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426" w:type="dxa"/>
        <w:shd w:val="clear" w:color="auto" w:fill="FFFFFF"/>
        <w:tblCellMar>
          <w:left w:w="0" w:type="dxa"/>
          <w:right w:w="0" w:type="dxa"/>
        </w:tblCellMar>
        <w:tblLook w:val="04A0" w:firstRow="1" w:lastRow="0" w:firstColumn="1" w:lastColumn="0" w:noHBand="0" w:noVBand="1"/>
      </w:tblPr>
      <w:tblGrid>
        <w:gridCol w:w="9215"/>
      </w:tblGrid>
      <w:tr w:rsidR="00F06048" w:rsidRPr="00355B11" w14:paraId="471D40D3" w14:textId="77777777" w:rsidTr="00CA0F5E">
        <w:trPr>
          <w:trHeight w:val="5812"/>
        </w:trPr>
        <w:tc>
          <w:tcPr>
            <w:tcW w:w="9215" w:type="dxa"/>
            <w:tcBorders>
              <w:bottom w:val="single" w:sz="4" w:space="0" w:color="auto"/>
            </w:tcBorders>
            <w:shd w:val="clear" w:color="auto" w:fill="FFFFFF"/>
            <w:hideMark/>
          </w:tcPr>
          <w:p w14:paraId="0BDDD102" w14:textId="77777777" w:rsidR="00F06048" w:rsidRPr="00355B11" w:rsidRDefault="00F06048" w:rsidP="00313ABC">
            <w:pPr>
              <w:shd w:val="clear" w:color="auto" w:fill="FFFFFF"/>
              <w:spacing w:line="240" w:lineRule="auto"/>
              <w:jc w:val="center"/>
              <w:rPr>
                <w:rFonts w:ascii="Times New Roman" w:hAnsi="Times New Roman" w:cs="Times New Roman"/>
                <w:color w:val="000000" w:themeColor="text1"/>
                <w:sz w:val="24"/>
                <w:szCs w:val="24"/>
                <w:lang w:val="lv-LV"/>
              </w:rPr>
            </w:pPr>
            <w:r w:rsidRPr="00355B11">
              <w:rPr>
                <w:rFonts w:ascii="Times New Roman" w:hAnsi="Times New Roman" w:cs="Times New Roman"/>
                <w:b/>
                <w:bCs/>
                <w:color w:val="000000" w:themeColor="text1"/>
                <w:sz w:val="24"/>
                <w:szCs w:val="24"/>
                <w:lang w:val="lv-LV"/>
              </w:rPr>
              <w:t>Likumprojekta</w:t>
            </w:r>
            <w:r w:rsidRPr="00355B11">
              <w:rPr>
                <w:rFonts w:ascii="Times New Roman" w:hAnsi="Times New Roman" w:cs="Times New Roman"/>
                <w:color w:val="000000" w:themeColor="text1"/>
                <w:sz w:val="24"/>
                <w:szCs w:val="24"/>
                <w:lang w:val="lv-LV"/>
              </w:rPr>
              <w:t xml:space="preserve"> </w:t>
            </w:r>
            <w:r w:rsidRPr="00355B11">
              <w:rPr>
                <w:rFonts w:ascii="Times New Roman" w:hAnsi="Times New Roman" w:cs="Times New Roman"/>
                <w:b/>
                <w:bCs/>
                <w:color w:val="000000" w:themeColor="text1"/>
                <w:sz w:val="24"/>
                <w:szCs w:val="24"/>
                <w:lang w:val="lv-LV"/>
              </w:rPr>
              <w:t>"</w:t>
            </w:r>
            <w:r w:rsidR="00495379" w:rsidRPr="00355B11">
              <w:rPr>
                <w:rFonts w:ascii="Times New Roman" w:hAnsi="Times New Roman" w:cs="Times New Roman"/>
                <w:b/>
                <w:bCs/>
                <w:color w:val="000000" w:themeColor="text1"/>
                <w:sz w:val="24"/>
                <w:szCs w:val="24"/>
                <w:lang w:val="lv-LV"/>
              </w:rPr>
              <w:t xml:space="preserve">Grozījumi </w:t>
            </w:r>
            <w:r w:rsidRPr="00355B11">
              <w:rPr>
                <w:rFonts w:ascii="Times New Roman" w:hAnsi="Times New Roman" w:cs="Times New Roman"/>
                <w:b/>
                <w:bCs/>
                <w:color w:val="000000" w:themeColor="text1"/>
                <w:sz w:val="24"/>
                <w:szCs w:val="24"/>
                <w:lang w:val="lv-LV"/>
              </w:rPr>
              <w:t>Finan</w:t>
            </w:r>
            <w:r w:rsidR="00495379" w:rsidRPr="00355B11">
              <w:rPr>
                <w:rFonts w:ascii="Times New Roman" w:hAnsi="Times New Roman" w:cs="Times New Roman"/>
                <w:b/>
                <w:bCs/>
                <w:color w:val="000000" w:themeColor="text1"/>
                <w:sz w:val="24"/>
                <w:szCs w:val="24"/>
                <w:lang w:val="lv-LV"/>
              </w:rPr>
              <w:t>šu instrumentu tirgus likumā</w:t>
            </w:r>
            <w:r w:rsidRPr="00355B11">
              <w:rPr>
                <w:rFonts w:ascii="Times New Roman" w:hAnsi="Times New Roman" w:cs="Times New Roman"/>
                <w:b/>
                <w:bCs/>
                <w:color w:val="000000" w:themeColor="text1"/>
                <w:sz w:val="24"/>
                <w:szCs w:val="24"/>
                <w:lang w:val="lv-LV"/>
              </w:rPr>
              <w:t>" sākotnējās ietekmes novērtējuma ziņojums</w:t>
            </w:r>
            <w:r w:rsidRPr="00355B11">
              <w:rPr>
                <w:rFonts w:ascii="Times New Roman" w:hAnsi="Times New Roman" w:cs="Times New Roman"/>
                <w:color w:val="000000" w:themeColor="text1"/>
                <w:sz w:val="24"/>
                <w:szCs w:val="24"/>
                <w:lang w:val="lv-LV"/>
              </w:rPr>
              <w:t xml:space="preserve"> </w:t>
            </w:r>
            <w:r w:rsidRPr="00355B11">
              <w:rPr>
                <w:rFonts w:ascii="Times New Roman" w:hAnsi="Times New Roman" w:cs="Times New Roman"/>
                <w:b/>
                <w:bCs/>
                <w:color w:val="000000" w:themeColor="text1"/>
                <w:sz w:val="24"/>
                <w:szCs w:val="24"/>
                <w:lang w:val="lv-LV"/>
              </w:rP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1443"/>
              <w:gridCol w:w="7516"/>
            </w:tblGrid>
            <w:tr w:rsidR="00F06048" w:rsidRPr="00705817" w14:paraId="635FF1BD" w14:textId="77777777" w:rsidTr="00F34A72">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A801F5" w14:textId="77777777" w:rsidR="00F06048" w:rsidRPr="00355B11" w:rsidRDefault="00F06048" w:rsidP="00313ABC">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lv-LV" w:eastAsia="lv-LV"/>
                    </w:rPr>
                  </w:pPr>
                  <w:r w:rsidRPr="00355B11">
                    <w:rPr>
                      <w:rFonts w:ascii="Times New Roman" w:eastAsia="Times New Roman" w:hAnsi="Times New Roman" w:cs="Times New Roman"/>
                      <w:b/>
                      <w:bCs/>
                      <w:color w:val="000000" w:themeColor="text1"/>
                      <w:sz w:val="24"/>
                      <w:szCs w:val="24"/>
                      <w:lang w:val="lv-LV" w:eastAsia="lv-LV"/>
                    </w:rPr>
                    <w:t>I. Tiesību akta projekta izstrādes nepieciešamība</w:t>
                  </w:r>
                </w:p>
              </w:tc>
            </w:tr>
            <w:tr w:rsidR="00F06048" w:rsidRPr="00AB5936" w14:paraId="71704966" w14:textId="77777777" w:rsidTr="00686071">
              <w:trPr>
                <w:trHeight w:val="405"/>
              </w:trPr>
              <w:tc>
                <w:tcPr>
                  <w:tcW w:w="130" w:type="pct"/>
                  <w:tcBorders>
                    <w:top w:val="outset" w:sz="6" w:space="0" w:color="414142"/>
                    <w:left w:val="outset" w:sz="6" w:space="0" w:color="414142"/>
                    <w:bottom w:val="outset" w:sz="6" w:space="0" w:color="414142"/>
                    <w:right w:val="outset" w:sz="6" w:space="0" w:color="414142"/>
                  </w:tcBorders>
                  <w:hideMark/>
                </w:tcPr>
                <w:p w14:paraId="72C9C26A" w14:textId="77777777" w:rsidR="00F06048" w:rsidRPr="00355B11" w:rsidRDefault="00F06048" w:rsidP="00313AB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1.</w:t>
                  </w:r>
                </w:p>
              </w:tc>
              <w:tc>
                <w:tcPr>
                  <w:tcW w:w="785" w:type="pct"/>
                  <w:tcBorders>
                    <w:top w:val="outset" w:sz="6" w:space="0" w:color="414142"/>
                    <w:left w:val="outset" w:sz="6" w:space="0" w:color="414142"/>
                    <w:bottom w:val="outset" w:sz="6" w:space="0" w:color="414142"/>
                    <w:right w:val="outset" w:sz="6" w:space="0" w:color="414142"/>
                  </w:tcBorders>
                  <w:hideMark/>
                </w:tcPr>
                <w:p w14:paraId="413445C8" w14:textId="77777777" w:rsidR="00F06048" w:rsidRPr="00355B11" w:rsidRDefault="00F06048" w:rsidP="00313ABC">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Pamatojums</w:t>
                  </w:r>
                </w:p>
              </w:tc>
              <w:tc>
                <w:tcPr>
                  <w:tcW w:w="4084" w:type="pct"/>
                  <w:tcBorders>
                    <w:top w:val="outset" w:sz="6" w:space="0" w:color="414142"/>
                    <w:left w:val="outset" w:sz="6" w:space="0" w:color="414142"/>
                    <w:bottom w:val="outset" w:sz="6" w:space="0" w:color="414142"/>
                    <w:right w:val="outset" w:sz="6" w:space="0" w:color="414142"/>
                  </w:tcBorders>
                  <w:hideMark/>
                </w:tcPr>
                <w:p w14:paraId="65044FA5" w14:textId="68867D73" w:rsidR="00E2788C" w:rsidRPr="00E2788C" w:rsidRDefault="005A1AD9" w:rsidP="00E2788C">
                  <w:pPr>
                    <w:spacing w:line="240" w:lineRule="auto"/>
                    <w:jc w:val="both"/>
                    <w:rPr>
                      <w:rFonts w:ascii="Times New Roman" w:hAnsi="Times New Roman" w:cs="Times New Roman"/>
                      <w:sz w:val="24"/>
                      <w:lang w:val="lv-LV"/>
                    </w:rPr>
                  </w:pPr>
                  <w:r>
                    <w:rPr>
                      <w:rFonts w:ascii="Times New Roman" w:hAnsi="Times New Roman" w:cs="Times New Roman"/>
                      <w:sz w:val="24"/>
                      <w:szCs w:val="24"/>
                      <w:lang w:val="lv-LV"/>
                    </w:rPr>
                    <w:t xml:space="preserve">Likumprojekts “Grozījumi </w:t>
                  </w:r>
                  <w:r w:rsidR="00355B11" w:rsidRPr="00355B11">
                    <w:rPr>
                      <w:rFonts w:ascii="Times New Roman" w:hAnsi="Times New Roman" w:cs="Times New Roman"/>
                      <w:sz w:val="24"/>
                      <w:szCs w:val="24"/>
                      <w:lang w:val="lv-LV"/>
                    </w:rPr>
                    <w:t>Finanšu instrumentu tirgus likum</w:t>
                  </w:r>
                  <w:r>
                    <w:rPr>
                      <w:rFonts w:ascii="Times New Roman" w:hAnsi="Times New Roman" w:cs="Times New Roman"/>
                      <w:sz w:val="24"/>
                      <w:szCs w:val="24"/>
                      <w:lang w:val="lv-LV"/>
                    </w:rPr>
                    <w:t>ā” (turpmāk - likumprojekts) izstrādāts pēc Finanšu ministrijas iniciatīvas</w:t>
                  </w:r>
                  <w:r w:rsidR="00C36EC1" w:rsidRPr="00355B11">
                    <w:rPr>
                      <w:rFonts w:ascii="Times New Roman" w:hAnsi="Times New Roman" w:cs="Times New Roman"/>
                      <w:sz w:val="24"/>
                      <w:szCs w:val="24"/>
                      <w:lang w:val="lv-LV"/>
                    </w:rPr>
                    <w:t>, jo 2014.</w:t>
                  </w:r>
                  <w:r>
                    <w:rPr>
                      <w:rFonts w:ascii="Times New Roman" w:hAnsi="Times New Roman" w:cs="Times New Roman"/>
                      <w:sz w:val="24"/>
                      <w:szCs w:val="24"/>
                      <w:lang w:val="lv-LV"/>
                    </w:rPr>
                    <w:t>gada 17.septembrī</w:t>
                  </w:r>
                  <w:r w:rsidR="00C36EC1" w:rsidRPr="00355B11">
                    <w:rPr>
                      <w:rFonts w:ascii="Times New Roman" w:hAnsi="Times New Roman" w:cs="Times New Roman"/>
                      <w:sz w:val="24"/>
                      <w:szCs w:val="24"/>
                      <w:lang w:val="lv-LV"/>
                    </w:rPr>
                    <w:t xml:space="preserve"> stājās spēkā </w:t>
                  </w:r>
                  <w:r w:rsidR="004E4A73" w:rsidRPr="00355B11">
                    <w:rPr>
                      <w:rFonts w:ascii="Times New Roman" w:eastAsia="Times New Roman" w:hAnsi="Times New Roman" w:cs="Times New Roman"/>
                      <w:color w:val="000000"/>
                      <w:sz w:val="24"/>
                      <w:szCs w:val="24"/>
                      <w:lang w:val="lv-LV" w:eastAsia="lv-LV"/>
                    </w:rPr>
                    <w:t xml:space="preserve">Eiropas Parlamenta un Padomes 2014.gada 23.jūlija regula (ES) Nr. 909/2014 par vērtspapīru norēķinu uzlabošanu Eiropas Savienībā, centrālajiem vērtspapīru depozitārijiem un grozījumiem Direktīvās 98/26/EK un 2014/65/ES un Regulā (ES) Nr. 236/2012 (turpmāk – Regula Nr. 909/2014), </w:t>
                  </w:r>
                  <w:r w:rsidR="00C36EC1" w:rsidRPr="00355B11">
                    <w:rPr>
                      <w:rFonts w:ascii="Times New Roman" w:hAnsi="Times New Roman" w:cs="Times New Roman"/>
                      <w:sz w:val="24"/>
                      <w:szCs w:val="24"/>
                      <w:lang w:val="lv-LV"/>
                    </w:rPr>
                    <w:t>kas kopā ar tehniskiem standartiem</w:t>
                  </w:r>
                  <w:r w:rsidR="002E0B6F">
                    <w:rPr>
                      <w:rFonts w:ascii="Times New Roman" w:hAnsi="Times New Roman" w:cs="Times New Roman"/>
                      <w:sz w:val="24"/>
                      <w:szCs w:val="24"/>
                      <w:lang w:val="lv-LV"/>
                    </w:rPr>
                    <w:t xml:space="preserve"> (RTS)</w:t>
                  </w:r>
                  <w:r w:rsidR="00CE5063">
                    <w:rPr>
                      <w:rFonts w:ascii="Times New Roman" w:hAnsi="Times New Roman" w:cs="Times New Roman"/>
                      <w:sz w:val="24"/>
                      <w:szCs w:val="24"/>
                      <w:lang w:val="lv-LV"/>
                    </w:rPr>
                    <w:t>, kuri izriet no</w:t>
                  </w:r>
                  <w:r w:rsidR="00C36EC1" w:rsidRPr="00355B11">
                    <w:rPr>
                      <w:rFonts w:ascii="Times New Roman" w:hAnsi="Times New Roman" w:cs="Times New Roman"/>
                      <w:sz w:val="24"/>
                      <w:szCs w:val="24"/>
                      <w:lang w:val="lv-LV"/>
                    </w:rPr>
                    <w:t xml:space="preserve"> </w:t>
                  </w:r>
                  <w:r w:rsidR="00CE5063">
                    <w:rPr>
                      <w:rFonts w:ascii="Times New Roman" w:eastAsia="Times New Roman" w:hAnsi="Times New Roman" w:cs="Times New Roman"/>
                      <w:color w:val="000000"/>
                      <w:sz w:val="24"/>
                      <w:szCs w:val="24"/>
                      <w:lang w:val="lv-LV" w:eastAsia="lv-LV"/>
                    </w:rPr>
                    <w:t>Komisijas Deleģētā Regula</w:t>
                  </w:r>
                  <w:r w:rsidR="00E907E4">
                    <w:rPr>
                      <w:rFonts w:ascii="Times New Roman" w:eastAsia="Times New Roman" w:hAnsi="Times New Roman" w:cs="Times New Roman"/>
                      <w:color w:val="000000"/>
                      <w:sz w:val="24"/>
                      <w:szCs w:val="24"/>
                      <w:lang w:val="lv-LV" w:eastAsia="lv-LV"/>
                    </w:rPr>
                    <w:t>s</w:t>
                  </w:r>
                  <w:r w:rsidR="00CE5063">
                    <w:rPr>
                      <w:rFonts w:ascii="Times New Roman" w:eastAsia="Times New Roman" w:hAnsi="Times New Roman" w:cs="Times New Roman"/>
                      <w:color w:val="000000"/>
                      <w:sz w:val="24"/>
                      <w:szCs w:val="24"/>
                      <w:lang w:val="lv-LV" w:eastAsia="lv-LV"/>
                    </w:rPr>
                    <w:t xml:space="preserve"> (ES) 2017/392 (2016.gada 11.novembris) ar ko Eiropas Parlamenta un Padomes Regulu (ES) Nr. 909/2014 papildina attiecībā uz regulatīvajiem tehniskajiem sta</w:t>
                  </w:r>
                  <w:r w:rsidR="00FD72CB">
                    <w:rPr>
                      <w:rFonts w:ascii="Times New Roman" w:eastAsia="Times New Roman" w:hAnsi="Times New Roman" w:cs="Times New Roman"/>
                      <w:color w:val="000000"/>
                      <w:sz w:val="24"/>
                      <w:szCs w:val="24"/>
                      <w:lang w:val="lv-LV" w:eastAsia="lv-LV"/>
                    </w:rPr>
                    <w:t>ndartiem par atļauju izsniegšanas</w:t>
                  </w:r>
                  <w:r w:rsidR="00CE5063">
                    <w:rPr>
                      <w:rFonts w:ascii="Times New Roman" w:eastAsia="Times New Roman" w:hAnsi="Times New Roman" w:cs="Times New Roman"/>
                      <w:color w:val="000000"/>
                      <w:sz w:val="24"/>
                      <w:szCs w:val="24"/>
                      <w:lang w:val="lv-LV" w:eastAsia="lv-LV"/>
                    </w:rPr>
                    <w:t>, uzraudzības un operacionālajām prasībām centrālajiem vērtspapīru depozitārijiem,</w:t>
                  </w:r>
                  <w:r w:rsidR="00C36EC1" w:rsidRPr="00355B11">
                    <w:rPr>
                      <w:rFonts w:ascii="Times New Roman" w:hAnsi="Times New Roman" w:cs="Times New Roman"/>
                      <w:sz w:val="24"/>
                      <w:szCs w:val="24"/>
                      <w:lang w:val="lv-LV"/>
                    </w:rPr>
                    <w:t xml:space="preserve"> Eiropas Savienībā ievieš vienotus darbības noteikumus centrālajiem vērtspapīru depozitārijiem (</w:t>
                  </w:r>
                  <w:r w:rsidR="0080244D">
                    <w:rPr>
                      <w:rFonts w:ascii="Times New Roman" w:hAnsi="Times New Roman" w:cs="Times New Roman"/>
                      <w:sz w:val="24"/>
                      <w:szCs w:val="24"/>
                      <w:lang w:val="lv-LV"/>
                    </w:rPr>
                    <w:t xml:space="preserve">turpmāk - </w:t>
                  </w:r>
                  <w:r w:rsidR="00C36EC1" w:rsidRPr="00355B11">
                    <w:rPr>
                      <w:rFonts w:ascii="Times New Roman" w:hAnsi="Times New Roman" w:cs="Times New Roman"/>
                      <w:sz w:val="24"/>
                      <w:szCs w:val="24"/>
                      <w:lang w:val="lv-LV"/>
                    </w:rPr>
                    <w:t>CVD) un turpmāk tieši regulēs CVD darbību.</w:t>
                  </w:r>
                  <w:r w:rsidR="00C27C45" w:rsidRPr="00355B11">
                    <w:rPr>
                      <w:rFonts w:ascii="Times New Roman" w:hAnsi="Times New Roman" w:cs="Times New Roman"/>
                      <w:sz w:val="24"/>
                      <w:szCs w:val="24"/>
                      <w:lang w:val="lv-LV"/>
                    </w:rPr>
                    <w:t xml:space="preserve"> </w:t>
                  </w:r>
                  <w:r w:rsidR="00C27C45" w:rsidRPr="00355B11">
                    <w:rPr>
                      <w:rFonts w:ascii="Times New Roman" w:hAnsi="Times New Roman" w:cs="Times New Roman"/>
                      <w:sz w:val="24"/>
                      <w:lang w:val="lv-LV"/>
                    </w:rPr>
                    <w:t xml:space="preserve">Līdz ar minēto regulu spēkā stāšanos Latvijas Centrālais depozitārijs </w:t>
                  </w:r>
                  <w:r w:rsidR="0086716D">
                    <w:rPr>
                      <w:rFonts w:ascii="Times New Roman" w:hAnsi="Times New Roman" w:cs="Times New Roman"/>
                      <w:sz w:val="24"/>
                      <w:lang w:val="lv-LV"/>
                    </w:rPr>
                    <w:t>(</w:t>
                  </w:r>
                  <w:r w:rsidR="0080244D">
                    <w:rPr>
                      <w:rFonts w:ascii="Times New Roman" w:hAnsi="Times New Roman" w:cs="Times New Roman"/>
                      <w:sz w:val="24"/>
                      <w:lang w:val="lv-LV"/>
                    </w:rPr>
                    <w:t xml:space="preserve">turpmāk - </w:t>
                  </w:r>
                  <w:r w:rsidR="0086716D">
                    <w:rPr>
                      <w:rFonts w:ascii="Times New Roman" w:hAnsi="Times New Roman" w:cs="Times New Roman"/>
                      <w:sz w:val="24"/>
                      <w:lang w:val="lv-LV"/>
                    </w:rPr>
                    <w:t xml:space="preserve">LCD) </w:t>
                  </w:r>
                  <w:r w:rsidR="00C27C45" w:rsidRPr="00355B11">
                    <w:rPr>
                      <w:rFonts w:ascii="Times New Roman" w:hAnsi="Times New Roman" w:cs="Times New Roman"/>
                      <w:sz w:val="24"/>
                      <w:lang w:val="lv-LV"/>
                    </w:rPr>
                    <w:t xml:space="preserve">zaudē </w:t>
                  </w:r>
                  <w:r w:rsidR="00E504DF">
                    <w:rPr>
                      <w:rFonts w:ascii="Times New Roman" w:hAnsi="Times New Roman" w:cs="Times New Roman"/>
                      <w:sz w:val="24"/>
                      <w:lang w:val="lv-LV"/>
                    </w:rPr>
                    <w:t>ekskluzīvās tiesības</w:t>
                  </w:r>
                  <w:r w:rsidR="00E504DF" w:rsidRPr="00355B11">
                    <w:rPr>
                      <w:rFonts w:ascii="Times New Roman" w:hAnsi="Times New Roman" w:cs="Times New Roman"/>
                      <w:sz w:val="24"/>
                      <w:lang w:val="lv-LV"/>
                    </w:rPr>
                    <w:t xml:space="preserve"> </w:t>
                  </w:r>
                  <w:r w:rsidR="00C27C45" w:rsidRPr="00355B11">
                    <w:rPr>
                      <w:rFonts w:ascii="Times New Roman" w:hAnsi="Times New Roman" w:cs="Times New Roman"/>
                      <w:sz w:val="24"/>
                      <w:lang w:val="lv-LV"/>
                    </w:rPr>
                    <w:t>uz CVD pakalpojumu sniegšanu Latvijā, kā rezultātā tam vairs nevar būt LCD statuss.</w:t>
                  </w:r>
                </w:p>
              </w:tc>
            </w:tr>
            <w:tr w:rsidR="00F06048" w:rsidRPr="00AB5936" w14:paraId="4D30748C" w14:textId="77777777" w:rsidTr="00686071">
              <w:trPr>
                <w:trHeight w:val="465"/>
              </w:trPr>
              <w:tc>
                <w:tcPr>
                  <w:tcW w:w="130" w:type="pct"/>
                  <w:tcBorders>
                    <w:top w:val="outset" w:sz="6" w:space="0" w:color="414142"/>
                    <w:left w:val="outset" w:sz="6" w:space="0" w:color="414142"/>
                    <w:bottom w:val="outset" w:sz="6" w:space="0" w:color="414142"/>
                    <w:right w:val="outset" w:sz="6" w:space="0" w:color="414142"/>
                  </w:tcBorders>
                  <w:hideMark/>
                </w:tcPr>
                <w:p w14:paraId="7BBCD3CC" w14:textId="77777777" w:rsidR="00F06048" w:rsidRPr="00355B11" w:rsidRDefault="00F06048" w:rsidP="00313ABC">
                  <w:pPr>
                    <w:spacing w:before="100" w:beforeAutospacing="1" w:after="100" w:afterAutospacing="1"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 xml:space="preserve"> 2.</w:t>
                  </w:r>
                </w:p>
              </w:tc>
              <w:tc>
                <w:tcPr>
                  <w:tcW w:w="785" w:type="pct"/>
                  <w:tcBorders>
                    <w:top w:val="outset" w:sz="6" w:space="0" w:color="414142"/>
                    <w:left w:val="outset" w:sz="6" w:space="0" w:color="414142"/>
                    <w:bottom w:val="outset" w:sz="6" w:space="0" w:color="414142"/>
                    <w:right w:val="outset" w:sz="6" w:space="0" w:color="414142"/>
                  </w:tcBorders>
                  <w:hideMark/>
                </w:tcPr>
                <w:p w14:paraId="16164228" w14:textId="77777777" w:rsidR="00C544BA" w:rsidRDefault="00F06048" w:rsidP="00313ABC">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Pašreizējā situācija un problēmas, kuru risināšanai tiesību akta projekts izstrādāts, tiesiskā regulējuma mērķis un būtība</w:t>
                  </w:r>
                </w:p>
                <w:p w14:paraId="6EF4B48C" w14:textId="77777777" w:rsidR="00C544BA" w:rsidRPr="002A3C7D" w:rsidRDefault="00C544BA" w:rsidP="002A3C7D">
                  <w:pPr>
                    <w:rPr>
                      <w:rFonts w:ascii="Times New Roman" w:eastAsia="Times New Roman" w:hAnsi="Times New Roman" w:cs="Times New Roman"/>
                      <w:sz w:val="24"/>
                      <w:szCs w:val="24"/>
                      <w:lang w:val="lv-LV" w:eastAsia="lv-LV"/>
                    </w:rPr>
                  </w:pPr>
                </w:p>
                <w:p w14:paraId="3CBF4BA8" w14:textId="77777777" w:rsidR="00C544BA" w:rsidRPr="002A3C7D" w:rsidRDefault="00C544BA" w:rsidP="002A3C7D">
                  <w:pPr>
                    <w:rPr>
                      <w:rFonts w:ascii="Times New Roman" w:eastAsia="Times New Roman" w:hAnsi="Times New Roman" w:cs="Times New Roman"/>
                      <w:sz w:val="24"/>
                      <w:szCs w:val="24"/>
                      <w:lang w:val="lv-LV" w:eastAsia="lv-LV"/>
                    </w:rPr>
                  </w:pPr>
                </w:p>
                <w:p w14:paraId="11C63BFC" w14:textId="77777777" w:rsidR="00C544BA" w:rsidRPr="002A3C7D" w:rsidRDefault="00C544BA" w:rsidP="002A3C7D">
                  <w:pPr>
                    <w:rPr>
                      <w:rFonts w:ascii="Times New Roman" w:eastAsia="Times New Roman" w:hAnsi="Times New Roman" w:cs="Times New Roman"/>
                      <w:sz w:val="24"/>
                      <w:szCs w:val="24"/>
                      <w:lang w:val="lv-LV" w:eastAsia="lv-LV"/>
                    </w:rPr>
                  </w:pPr>
                </w:p>
                <w:p w14:paraId="7CF7DEC0" w14:textId="77777777" w:rsidR="00C544BA" w:rsidRPr="002A3C7D" w:rsidRDefault="00C544BA" w:rsidP="002A3C7D">
                  <w:pPr>
                    <w:rPr>
                      <w:rFonts w:ascii="Times New Roman" w:eastAsia="Times New Roman" w:hAnsi="Times New Roman" w:cs="Times New Roman"/>
                      <w:sz w:val="24"/>
                      <w:szCs w:val="24"/>
                      <w:lang w:val="lv-LV" w:eastAsia="lv-LV"/>
                    </w:rPr>
                  </w:pPr>
                </w:p>
                <w:p w14:paraId="4C297265" w14:textId="77777777" w:rsidR="00C544BA" w:rsidRPr="002A3C7D" w:rsidRDefault="00C544BA" w:rsidP="002A3C7D">
                  <w:pPr>
                    <w:rPr>
                      <w:rFonts w:ascii="Times New Roman" w:eastAsia="Times New Roman" w:hAnsi="Times New Roman" w:cs="Times New Roman"/>
                      <w:sz w:val="24"/>
                      <w:szCs w:val="24"/>
                      <w:lang w:val="lv-LV" w:eastAsia="lv-LV"/>
                    </w:rPr>
                  </w:pPr>
                </w:p>
                <w:p w14:paraId="6D167643" w14:textId="77777777" w:rsidR="00C544BA" w:rsidRDefault="00C544BA" w:rsidP="00C544BA">
                  <w:pPr>
                    <w:rPr>
                      <w:rFonts w:ascii="Times New Roman" w:eastAsia="Times New Roman" w:hAnsi="Times New Roman" w:cs="Times New Roman"/>
                      <w:sz w:val="24"/>
                      <w:szCs w:val="24"/>
                      <w:lang w:val="lv-LV" w:eastAsia="lv-LV"/>
                    </w:rPr>
                  </w:pPr>
                </w:p>
                <w:p w14:paraId="11C3E5EC" w14:textId="77777777" w:rsidR="00C544BA" w:rsidRPr="00C544BA" w:rsidRDefault="00C544BA">
                  <w:pPr>
                    <w:rPr>
                      <w:rFonts w:ascii="Times New Roman" w:eastAsia="Times New Roman" w:hAnsi="Times New Roman" w:cs="Times New Roman"/>
                      <w:sz w:val="24"/>
                      <w:szCs w:val="24"/>
                      <w:lang w:val="lv-LV" w:eastAsia="lv-LV"/>
                    </w:rPr>
                  </w:pPr>
                  <w:bookmarkStart w:id="0" w:name="_GoBack"/>
                  <w:bookmarkEnd w:id="0"/>
                </w:p>
                <w:p w14:paraId="235852B2" w14:textId="77777777" w:rsidR="00C544BA" w:rsidRPr="00C544BA" w:rsidRDefault="00C544BA">
                  <w:pPr>
                    <w:rPr>
                      <w:rFonts w:ascii="Times New Roman" w:eastAsia="Times New Roman" w:hAnsi="Times New Roman" w:cs="Times New Roman"/>
                      <w:sz w:val="24"/>
                      <w:szCs w:val="24"/>
                      <w:lang w:val="lv-LV" w:eastAsia="lv-LV"/>
                    </w:rPr>
                  </w:pPr>
                </w:p>
                <w:p w14:paraId="0E6946D7" w14:textId="77777777" w:rsidR="00C544BA" w:rsidRPr="00C544BA" w:rsidRDefault="00C544BA">
                  <w:pPr>
                    <w:rPr>
                      <w:rFonts w:ascii="Times New Roman" w:eastAsia="Times New Roman" w:hAnsi="Times New Roman" w:cs="Times New Roman"/>
                      <w:sz w:val="24"/>
                      <w:szCs w:val="24"/>
                      <w:lang w:val="lv-LV" w:eastAsia="lv-LV"/>
                    </w:rPr>
                  </w:pPr>
                </w:p>
                <w:p w14:paraId="77CF6737" w14:textId="77777777" w:rsidR="00C544BA" w:rsidRPr="00C544BA" w:rsidRDefault="00C544BA">
                  <w:pPr>
                    <w:rPr>
                      <w:rFonts w:ascii="Times New Roman" w:eastAsia="Times New Roman" w:hAnsi="Times New Roman" w:cs="Times New Roman"/>
                      <w:sz w:val="24"/>
                      <w:szCs w:val="24"/>
                      <w:lang w:val="lv-LV" w:eastAsia="lv-LV"/>
                    </w:rPr>
                  </w:pPr>
                </w:p>
                <w:p w14:paraId="6AB7A343" w14:textId="77777777" w:rsidR="00F06048" w:rsidRPr="002A3C7D" w:rsidRDefault="00F06048" w:rsidP="002A3C7D">
                  <w:pPr>
                    <w:rPr>
                      <w:rFonts w:ascii="Times New Roman" w:eastAsia="Times New Roman" w:hAnsi="Times New Roman" w:cs="Times New Roman"/>
                      <w:sz w:val="24"/>
                      <w:szCs w:val="24"/>
                      <w:lang w:val="lv-LV" w:eastAsia="lv-LV"/>
                    </w:rPr>
                  </w:pPr>
                </w:p>
              </w:tc>
              <w:tc>
                <w:tcPr>
                  <w:tcW w:w="4084" w:type="pct"/>
                  <w:tcBorders>
                    <w:top w:val="outset" w:sz="6" w:space="0" w:color="414142"/>
                    <w:left w:val="outset" w:sz="6" w:space="0" w:color="414142"/>
                    <w:bottom w:val="outset" w:sz="6" w:space="0" w:color="414142"/>
                    <w:right w:val="outset" w:sz="6" w:space="0" w:color="414142"/>
                  </w:tcBorders>
                  <w:hideMark/>
                </w:tcPr>
                <w:p w14:paraId="21FF2BF7" w14:textId="0E5AC261" w:rsidR="005A1AD9" w:rsidRDefault="005A1AD9" w:rsidP="002A3C7D">
                  <w:pPr>
                    <w:spacing w:line="240" w:lineRule="auto"/>
                    <w:jc w:val="both"/>
                    <w:rPr>
                      <w:lang w:val="lv-LV"/>
                    </w:rPr>
                  </w:pPr>
                  <w:r>
                    <w:rPr>
                      <w:rFonts w:ascii="Times New Roman" w:hAnsi="Times New Roman" w:cs="Times New Roman"/>
                      <w:sz w:val="24"/>
                      <w:szCs w:val="24"/>
                      <w:lang w:val="lv-LV"/>
                    </w:rPr>
                    <w:lastRenderedPageBreak/>
                    <w:t xml:space="preserve">Likumprojekta </w:t>
                  </w:r>
                  <w:r w:rsidRPr="00355B11">
                    <w:rPr>
                      <w:rFonts w:ascii="Times New Roman" w:hAnsi="Times New Roman" w:cs="Times New Roman"/>
                      <w:sz w:val="24"/>
                      <w:szCs w:val="24"/>
                      <w:lang w:val="lv-LV"/>
                    </w:rPr>
                    <w:t>mērķis ir saskaņot</w:t>
                  </w:r>
                  <w:r>
                    <w:rPr>
                      <w:rFonts w:ascii="Times New Roman" w:hAnsi="Times New Roman" w:cs="Times New Roman"/>
                      <w:sz w:val="24"/>
                      <w:szCs w:val="24"/>
                      <w:lang w:val="lv-LV"/>
                    </w:rPr>
                    <w:t xml:space="preserve"> Finanšu instrumentu tirgus likuma (turpmāk – FITL)</w:t>
                  </w:r>
                  <w:r w:rsidRPr="00355B11">
                    <w:rPr>
                      <w:rFonts w:ascii="Times New Roman" w:hAnsi="Times New Roman" w:cs="Times New Roman"/>
                      <w:sz w:val="24"/>
                      <w:szCs w:val="24"/>
                      <w:lang w:val="lv-LV"/>
                    </w:rPr>
                    <w:t xml:space="preserve"> normas ar Regulu Nr. 909/2014, izslēdzot prasības jomās, kuras ir tieši regulētas ar Regulu Nr. 909/2014</w:t>
                  </w:r>
                  <w:r>
                    <w:rPr>
                      <w:rFonts w:ascii="Times New Roman" w:hAnsi="Times New Roman" w:cs="Times New Roman"/>
                      <w:sz w:val="24"/>
                      <w:szCs w:val="24"/>
                      <w:lang w:val="lv-LV"/>
                    </w:rPr>
                    <w:t>,</w:t>
                  </w:r>
                  <w:r w:rsidRPr="00355B11">
                    <w:rPr>
                      <w:rFonts w:ascii="Times New Roman" w:hAnsi="Times New Roman" w:cs="Times New Roman"/>
                      <w:sz w:val="24"/>
                      <w:szCs w:val="24"/>
                      <w:lang w:val="lv-LV"/>
                    </w:rPr>
                    <w:t xml:space="preserve"> un tehniskiem standartiem, </w:t>
                  </w:r>
                  <w:r>
                    <w:rPr>
                      <w:rFonts w:ascii="Times New Roman" w:hAnsi="Times New Roman" w:cs="Times New Roman"/>
                      <w:sz w:val="24"/>
                      <w:szCs w:val="24"/>
                      <w:lang w:val="lv-LV"/>
                    </w:rPr>
                    <w:t xml:space="preserve">kā arī </w:t>
                  </w:r>
                  <w:r w:rsidRPr="00355B11">
                    <w:rPr>
                      <w:rFonts w:ascii="Times New Roman" w:hAnsi="Times New Roman" w:cs="Times New Roman"/>
                      <w:sz w:val="24"/>
                      <w:szCs w:val="24"/>
                      <w:lang w:val="lv-LV"/>
                    </w:rPr>
                    <w:t xml:space="preserve">nosakot regulējumu jomās, kur nepieciešams nacionāls regulējums. </w:t>
                  </w:r>
                  <w:r w:rsidRPr="00355B11">
                    <w:rPr>
                      <w:rFonts w:ascii="Times New Roman" w:hAnsi="Times New Roman" w:cs="Times New Roman"/>
                      <w:sz w:val="24"/>
                      <w:lang w:val="lv-LV"/>
                    </w:rPr>
                    <w:t>Turklāt FITL ir nepieciešami arī citi labojum</w:t>
                  </w:r>
                  <w:r>
                    <w:rPr>
                      <w:rFonts w:ascii="Times New Roman" w:hAnsi="Times New Roman" w:cs="Times New Roman"/>
                      <w:sz w:val="24"/>
                      <w:lang w:val="lv-LV"/>
                    </w:rPr>
                    <w:t>i</w:t>
                  </w:r>
                  <w:r w:rsidRPr="00355B11">
                    <w:rPr>
                      <w:rFonts w:ascii="Times New Roman" w:hAnsi="Times New Roman" w:cs="Times New Roman"/>
                      <w:sz w:val="24"/>
                      <w:lang w:val="lv-LV"/>
                    </w:rPr>
                    <w:t xml:space="preserve">, </w:t>
                  </w:r>
                  <w:r w:rsidRPr="00EE0937">
                    <w:rPr>
                      <w:rFonts w:ascii="Times New Roman" w:hAnsi="Times New Roman" w:cs="Times New Roman"/>
                      <w:sz w:val="24"/>
                      <w:lang w:val="lv-LV"/>
                    </w:rPr>
                    <w:t>lai panāktu atbilstību Vērtspapīru notikumu apvienotās darba grupas vērtspapīru notikumu apstrādes tirgus standartiem (</w:t>
                  </w:r>
                  <w:r w:rsidRPr="00EB12F6">
                    <w:rPr>
                      <w:rFonts w:ascii="Times New Roman" w:hAnsi="Times New Roman" w:cs="Times New Roman"/>
                      <w:i/>
                      <w:sz w:val="24"/>
                      <w:lang w:val="lv-LV"/>
                    </w:rPr>
                    <w:t>Corporate Actions Joint Working Group Market Standards for Corporate Actions Processing</w:t>
                  </w:r>
                  <w:r w:rsidRPr="00EE0937">
                    <w:rPr>
                      <w:rFonts w:ascii="Times New Roman" w:hAnsi="Times New Roman" w:cs="Times New Roman"/>
                      <w:sz w:val="24"/>
                      <w:lang w:val="lv-LV"/>
                    </w:rPr>
                    <w:t>)</w:t>
                  </w:r>
                  <w:r>
                    <w:rPr>
                      <w:rFonts w:ascii="Times New Roman" w:hAnsi="Times New Roman" w:cs="Times New Roman"/>
                      <w:sz w:val="24"/>
                      <w:szCs w:val="24"/>
                      <w:lang w:val="lv-LV"/>
                    </w:rPr>
                    <w:t xml:space="preserve">. </w:t>
                  </w:r>
                  <w:r>
                    <w:rPr>
                      <w:rFonts w:ascii="Times New Roman" w:hAnsi="Times New Roman" w:cs="Times New Roman"/>
                      <w:sz w:val="24"/>
                      <w:lang w:val="lv-LV"/>
                    </w:rPr>
                    <w:t>Ņemot vērā, ka nākotnē mainās CVD kontu struktūra, FITL ir jāprecizē īpašumtiesību aspekti attiecībā uz finanšu instrumentiem, kas atrodas CVD kontos.</w:t>
                  </w:r>
                  <w:r w:rsidR="00134680">
                    <w:rPr>
                      <w:rFonts w:ascii="Times New Roman" w:hAnsi="Times New Roman" w:cs="Times New Roman"/>
                      <w:sz w:val="24"/>
                      <w:lang w:val="lv-LV"/>
                    </w:rPr>
                    <w:t xml:space="preserve"> </w:t>
                  </w:r>
                  <w:r>
                    <w:rPr>
                      <w:rFonts w:ascii="Times New Roman" w:hAnsi="Times New Roman" w:cs="Times New Roman"/>
                      <w:sz w:val="24"/>
                      <w:lang w:val="lv-LV"/>
                    </w:rPr>
                    <w:t xml:space="preserve">Turklāt, Latvijā reģistrēts CVD sniegs pakalpojumus citās valstīs, līdz ar ko </w:t>
                  </w:r>
                  <w:r w:rsidRPr="00355B11">
                    <w:rPr>
                      <w:rFonts w:ascii="Times New Roman" w:hAnsi="Times New Roman" w:cs="Times New Roman"/>
                      <w:sz w:val="24"/>
                      <w:lang w:val="lv-LV"/>
                    </w:rPr>
                    <w:t>ir nepieciešams visaptverošs un saskaņots kolīziju normu regulējums, kurš noteiktu piemērojamo likumu jautājumiem saistībā ar finanšu instrumentu turēšanu un atsavināšanu</w:t>
                  </w:r>
                  <w:r>
                    <w:rPr>
                      <w:rFonts w:ascii="Times New Roman" w:hAnsi="Times New Roman" w:cs="Times New Roman"/>
                      <w:sz w:val="24"/>
                      <w:lang w:val="lv-LV"/>
                    </w:rPr>
                    <w:t>.</w:t>
                  </w:r>
                </w:p>
                <w:p w14:paraId="5546686A" w14:textId="67F4707D" w:rsidR="00B5616B" w:rsidRPr="0036654A" w:rsidRDefault="00D5590F" w:rsidP="002A3C7D">
                  <w:pPr>
                    <w:spacing w:line="240" w:lineRule="auto"/>
                    <w:jc w:val="both"/>
                    <w:rPr>
                      <w:lang w:val="lv-LV"/>
                    </w:rPr>
                  </w:pPr>
                  <w:r w:rsidRPr="002A3C7D">
                    <w:rPr>
                      <w:rFonts w:ascii="Times New Roman" w:hAnsi="Times New Roman" w:cs="Times New Roman"/>
                      <w:sz w:val="24"/>
                      <w:szCs w:val="24"/>
                      <w:lang w:val="lv-LV"/>
                    </w:rPr>
                    <w:t>A</w:t>
                  </w:r>
                  <w:r w:rsidR="00355B11" w:rsidRPr="002A3C7D">
                    <w:rPr>
                      <w:rFonts w:ascii="Times New Roman" w:hAnsi="Times New Roman" w:cs="Times New Roman"/>
                      <w:sz w:val="24"/>
                      <w:szCs w:val="24"/>
                      <w:lang w:val="lv-LV"/>
                    </w:rPr>
                    <w:t xml:space="preserve">tbilstoši </w:t>
                  </w:r>
                  <w:r w:rsidR="00313ABC" w:rsidRPr="002A3C7D">
                    <w:rPr>
                      <w:rFonts w:ascii="Times New Roman" w:hAnsi="Times New Roman" w:cs="Times New Roman"/>
                      <w:sz w:val="24"/>
                      <w:szCs w:val="24"/>
                      <w:lang w:val="lv-LV"/>
                    </w:rPr>
                    <w:t>Eiropas Parlamenta un Padomes 1998.</w:t>
                  </w:r>
                  <w:r w:rsidR="0080244D">
                    <w:rPr>
                      <w:rFonts w:ascii="Times New Roman" w:hAnsi="Times New Roman" w:cs="Times New Roman"/>
                      <w:sz w:val="24"/>
                      <w:szCs w:val="24"/>
                      <w:lang w:val="lv-LV"/>
                    </w:rPr>
                    <w:t>gada 19.maija</w:t>
                  </w:r>
                  <w:r w:rsidR="00313ABC" w:rsidRPr="002A3C7D">
                    <w:rPr>
                      <w:rFonts w:ascii="Times New Roman" w:hAnsi="Times New Roman" w:cs="Times New Roman"/>
                      <w:sz w:val="24"/>
                      <w:szCs w:val="24"/>
                      <w:lang w:val="lv-LV"/>
                    </w:rPr>
                    <w:t xml:space="preserve"> Direktīvai 98/26/EK par norēķinu galīgumu maksājumu un vērtspapīru norēķinu sistēmās (turpmāk - Direktīva Nr. 98/26/EK),</w:t>
                  </w:r>
                  <w:r w:rsidR="00424A24" w:rsidRPr="002A3C7D">
                    <w:rPr>
                      <w:rFonts w:ascii="Times New Roman" w:hAnsi="Times New Roman" w:cs="Times New Roman"/>
                      <w:sz w:val="24"/>
                      <w:szCs w:val="24"/>
                      <w:lang w:val="lv-LV"/>
                    </w:rPr>
                    <w:t xml:space="preserve"> kas Latvijā ieviesta l</w:t>
                  </w:r>
                  <w:r w:rsidR="00355B11" w:rsidRPr="002A3C7D">
                    <w:rPr>
                      <w:rFonts w:ascii="Times New Roman" w:hAnsi="Times New Roman" w:cs="Times New Roman"/>
                      <w:sz w:val="24"/>
                      <w:szCs w:val="24"/>
                      <w:lang w:val="lv-LV"/>
                    </w:rPr>
                    <w:t xml:space="preserve">ikumā </w:t>
                  </w:r>
                  <w:r w:rsidR="00424A24" w:rsidRPr="002A3C7D">
                    <w:rPr>
                      <w:rFonts w:ascii="Times New Roman" w:hAnsi="Times New Roman" w:cs="Times New Roman"/>
                      <w:sz w:val="24"/>
                      <w:szCs w:val="24"/>
                      <w:lang w:val="lv-LV"/>
                    </w:rPr>
                    <w:t>"P</w:t>
                  </w:r>
                  <w:r w:rsidR="00355B11" w:rsidRPr="002A3C7D">
                    <w:rPr>
                      <w:rFonts w:ascii="Times New Roman" w:hAnsi="Times New Roman" w:cs="Times New Roman"/>
                      <w:sz w:val="24"/>
                      <w:szCs w:val="24"/>
                      <w:lang w:val="lv-LV"/>
                    </w:rPr>
                    <w:t>ar norēķinu galīgumu maksājumu un finanšu instrumentu norēķinu sistēmās</w:t>
                  </w:r>
                  <w:r w:rsidR="00424A24" w:rsidRPr="002A3C7D">
                    <w:rPr>
                      <w:rFonts w:ascii="Times New Roman" w:hAnsi="Times New Roman" w:cs="Times New Roman"/>
                      <w:sz w:val="24"/>
                      <w:szCs w:val="24"/>
                      <w:lang w:val="lv-LV"/>
                    </w:rPr>
                    <w:t>"</w:t>
                  </w:r>
                  <w:r w:rsidR="00355B11" w:rsidRPr="002A3C7D">
                    <w:rPr>
                      <w:rFonts w:ascii="Times New Roman" w:hAnsi="Times New Roman" w:cs="Times New Roman"/>
                      <w:sz w:val="24"/>
                      <w:szCs w:val="24"/>
                      <w:lang w:val="lv-LV"/>
                    </w:rPr>
                    <w:t xml:space="preserve">, CVD pamatpakalpojums – vērtspapīru norēķinu sistēma – ir mehānisms, kas darbojas saskaņā ar šīs sistēmas dalībnieku </w:t>
                  </w:r>
                  <w:r w:rsidR="00355B11" w:rsidRPr="002A3C7D">
                    <w:rPr>
                      <w:rFonts w:ascii="Times New Roman" w:hAnsi="Times New Roman" w:cs="Times New Roman"/>
                      <w:sz w:val="24"/>
                      <w:szCs w:val="24"/>
                      <w:u w:val="single"/>
                      <w:lang w:val="lv-LV"/>
                    </w:rPr>
                    <w:t>vienošanos</w:t>
                  </w:r>
                  <w:r w:rsidR="00355B11" w:rsidRPr="002A3C7D">
                    <w:rPr>
                      <w:rFonts w:ascii="Times New Roman" w:hAnsi="Times New Roman" w:cs="Times New Roman"/>
                      <w:sz w:val="24"/>
                      <w:szCs w:val="24"/>
                      <w:lang w:val="lv-LV"/>
                    </w:rPr>
                    <w:t xml:space="preserve"> – </w:t>
                  </w:r>
                  <w:r w:rsidR="001B7355" w:rsidRPr="002A3C7D">
                    <w:rPr>
                      <w:rFonts w:ascii="Times New Roman" w:hAnsi="Times New Roman" w:cs="Times New Roman"/>
                      <w:sz w:val="24"/>
                      <w:szCs w:val="24"/>
                      <w:lang w:val="lv-LV"/>
                    </w:rPr>
                    <w:t>D</w:t>
                  </w:r>
                  <w:r w:rsidR="00355B11" w:rsidRPr="002A3C7D">
                    <w:rPr>
                      <w:rFonts w:ascii="Times New Roman" w:hAnsi="Times New Roman" w:cs="Times New Roman"/>
                      <w:sz w:val="24"/>
                      <w:szCs w:val="24"/>
                      <w:lang w:val="lv-LV"/>
                    </w:rPr>
                    <w:t>irektīvas</w:t>
                  </w:r>
                  <w:r w:rsidR="001B7355" w:rsidRPr="002A3C7D">
                    <w:rPr>
                      <w:rFonts w:ascii="Times New Roman" w:hAnsi="Times New Roman" w:cs="Times New Roman"/>
                      <w:sz w:val="24"/>
                      <w:szCs w:val="24"/>
                      <w:lang w:val="lv-LV"/>
                    </w:rPr>
                    <w:t xml:space="preserve"> Nr. 98/26/EK</w:t>
                  </w:r>
                  <w:r w:rsidR="00355B11" w:rsidRPr="002A3C7D">
                    <w:rPr>
                      <w:rFonts w:ascii="Times New Roman" w:hAnsi="Times New Roman" w:cs="Times New Roman"/>
                      <w:sz w:val="24"/>
                      <w:szCs w:val="24"/>
                      <w:lang w:val="lv-LV"/>
                    </w:rPr>
                    <w:t xml:space="preserve"> 2</w:t>
                  </w:r>
                  <w:r w:rsidR="00F730ED">
                    <w:rPr>
                      <w:rFonts w:ascii="Times New Roman" w:hAnsi="Times New Roman" w:cs="Times New Roman"/>
                      <w:sz w:val="24"/>
                      <w:szCs w:val="24"/>
                      <w:lang w:val="lv-LV"/>
                    </w:rPr>
                    <w:t>.</w:t>
                  </w:r>
                  <w:r w:rsidR="00AB3066">
                    <w:rPr>
                      <w:rFonts w:ascii="Times New Roman" w:hAnsi="Times New Roman" w:cs="Times New Roman"/>
                      <w:sz w:val="24"/>
                      <w:szCs w:val="24"/>
                      <w:lang w:val="lv-LV"/>
                    </w:rPr>
                    <w:t>panta</w:t>
                  </w:r>
                  <w:r w:rsidR="00F730ED">
                    <w:rPr>
                      <w:rFonts w:ascii="Times New Roman" w:hAnsi="Times New Roman" w:cs="Times New Roman"/>
                      <w:sz w:val="24"/>
                      <w:szCs w:val="24"/>
                      <w:lang w:val="lv-LV"/>
                    </w:rPr>
                    <w:t xml:space="preserve"> “a” punkts</w:t>
                  </w:r>
                  <w:r w:rsidR="00355B11" w:rsidRPr="002A3C7D">
                    <w:rPr>
                      <w:rFonts w:ascii="Times New Roman" w:hAnsi="Times New Roman" w:cs="Times New Roman"/>
                      <w:sz w:val="24"/>
                      <w:szCs w:val="24"/>
                      <w:lang w:val="lv-LV"/>
                    </w:rPr>
                    <w:t xml:space="preserve"> ieviests minētā likuma 1. panta pirmās d</w:t>
                  </w:r>
                  <w:r w:rsidRPr="002A3C7D">
                    <w:rPr>
                      <w:rFonts w:ascii="Times New Roman" w:hAnsi="Times New Roman" w:cs="Times New Roman"/>
                      <w:sz w:val="24"/>
                      <w:szCs w:val="24"/>
                      <w:lang w:val="lv-LV"/>
                    </w:rPr>
                    <w:t xml:space="preserve">aļas 1. punkta "a" apakšpunktā. </w:t>
                  </w:r>
                  <w:r w:rsidR="00355B11" w:rsidRPr="002A3C7D">
                    <w:rPr>
                      <w:rFonts w:ascii="Times New Roman" w:hAnsi="Times New Roman" w:cs="Times New Roman"/>
                      <w:sz w:val="24"/>
                      <w:szCs w:val="24"/>
                      <w:lang w:val="lv-LV"/>
                    </w:rPr>
                    <w:t>Regulā Nr. 909/2014 ir ieviests princips, ka CVD tā pakalpojumu noteikumus apstiprina/pieņem tikai konsultējoties ar pakalpojumu lietotājiem, ņemot vēr</w:t>
                  </w:r>
                  <w:r w:rsidR="00424A24" w:rsidRPr="002A3C7D">
                    <w:rPr>
                      <w:rFonts w:ascii="Times New Roman" w:hAnsi="Times New Roman" w:cs="Times New Roman"/>
                      <w:sz w:val="24"/>
                      <w:szCs w:val="24"/>
                      <w:lang w:val="lv-LV"/>
                    </w:rPr>
                    <w:t>ā</w:t>
                  </w:r>
                  <w:r w:rsidR="00355B11" w:rsidRPr="002A3C7D">
                    <w:rPr>
                      <w:rFonts w:ascii="Times New Roman" w:hAnsi="Times New Roman" w:cs="Times New Roman"/>
                      <w:sz w:val="24"/>
                      <w:szCs w:val="24"/>
                      <w:lang w:val="lv-LV"/>
                    </w:rPr>
                    <w:t xml:space="preserve"> to vajadzības</w:t>
                  </w:r>
                  <w:r w:rsidRPr="002A3C7D">
                    <w:rPr>
                      <w:rFonts w:ascii="Times New Roman" w:hAnsi="Times New Roman" w:cs="Times New Roman"/>
                      <w:sz w:val="24"/>
                      <w:szCs w:val="24"/>
                      <w:lang w:val="lv-LV"/>
                    </w:rPr>
                    <w:t xml:space="preserve">. Tas nozīmē, ka CVD un tā dalībnieku attiecības ir privāttiesību attiecības, līdz ar to </w:t>
                  </w:r>
                  <w:r w:rsidR="00313ABC" w:rsidRPr="002A3C7D">
                    <w:rPr>
                      <w:rFonts w:ascii="Times New Roman" w:hAnsi="Times New Roman" w:cs="Times New Roman"/>
                      <w:sz w:val="24"/>
                      <w:szCs w:val="24"/>
                      <w:lang w:val="lv-LV"/>
                    </w:rPr>
                    <w:t>FITL</w:t>
                  </w:r>
                  <w:r w:rsidR="00355B11" w:rsidRPr="002A3C7D">
                    <w:rPr>
                      <w:rFonts w:ascii="Times New Roman" w:hAnsi="Times New Roman" w:cs="Times New Roman"/>
                      <w:sz w:val="24"/>
                      <w:szCs w:val="24"/>
                      <w:lang w:val="lv-LV"/>
                    </w:rPr>
                    <w:t xml:space="preserve"> nav nepieciešamības ietvert prasību par CVD noteikumiem, jo CVD </w:t>
                  </w:r>
                  <w:r w:rsidR="00355B11" w:rsidRPr="002A3C7D">
                    <w:rPr>
                      <w:rFonts w:ascii="Times New Roman" w:hAnsi="Times New Roman" w:cs="Times New Roman"/>
                      <w:sz w:val="24"/>
                      <w:szCs w:val="24"/>
                      <w:lang w:val="lv-LV"/>
                    </w:rPr>
                    <w:lastRenderedPageBreak/>
                    <w:t>un tā dalībnieku attiecības nav publisko tiesību attiecības, bet līgum</w:t>
                  </w:r>
                  <w:r w:rsidR="00313ABC" w:rsidRPr="002A3C7D">
                    <w:rPr>
                      <w:rFonts w:ascii="Times New Roman" w:hAnsi="Times New Roman" w:cs="Times New Roman"/>
                      <w:sz w:val="24"/>
                      <w:szCs w:val="24"/>
                      <w:lang w:val="lv-LV"/>
                    </w:rPr>
                    <w:t>iskās</w:t>
                  </w:r>
                  <w:r w:rsidR="0080244D">
                    <w:rPr>
                      <w:rFonts w:ascii="Times New Roman" w:hAnsi="Times New Roman" w:cs="Times New Roman"/>
                      <w:sz w:val="24"/>
                      <w:szCs w:val="24"/>
                      <w:lang w:val="lv-LV"/>
                    </w:rPr>
                    <w:t xml:space="preserve"> </w:t>
                  </w:r>
                  <w:r w:rsidR="00313ABC" w:rsidRPr="002A3C7D">
                    <w:rPr>
                      <w:rFonts w:ascii="Times New Roman" w:hAnsi="Times New Roman" w:cs="Times New Roman"/>
                      <w:sz w:val="24"/>
                      <w:szCs w:val="24"/>
                      <w:lang w:val="lv-LV"/>
                    </w:rPr>
                    <w:t>attiecība</w:t>
                  </w:r>
                  <w:r w:rsidR="00FC1F5F" w:rsidRPr="002A3C7D">
                    <w:rPr>
                      <w:rFonts w:ascii="Times New Roman" w:hAnsi="Times New Roman" w:cs="Times New Roman"/>
                      <w:sz w:val="24"/>
                      <w:szCs w:val="24"/>
                      <w:lang w:val="lv-LV"/>
                    </w:rPr>
                    <w:t>s</w:t>
                  </w:r>
                  <w:r w:rsidR="00313ABC" w:rsidRPr="002A3C7D">
                    <w:rPr>
                      <w:rFonts w:ascii="Times New Roman" w:hAnsi="Times New Roman" w:cs="Times New Roman"/>
                      <w:sz w:val="24"/>
                      <w:szCs w:val="24"/>
                      <w:lang w:val="lv-LV"/>
                    </w:rPr>
                    <w:t>.</w:t>
                  </w:r>
                  <w:r w:rsidR="00D81297">
                    <w:rPr>
                      <w:rFonts w:ascii="Times New Roman" w:hAnsi="Times New Roman" w:cs="Times New Roman"/>
                      <w:sz w:val="24"/>
                      <w:szCs w:val="24"/>
                      <w:lang w:val="lv-LV"/>
                    </w:rPr>
                    <w:t xml:space="preserve"> </w:t>
                  </w:r>
                  <w:r w:rsidR="00D81297" w:rsidRPr="00D81297">
                    <w:rPr>
                      <w:rFonts w:ascii="Times New Roman" w:hAnsi="Times New Roman" w:cs="Times New Roman"/>
                      <w:noProof/>
                      <w:sz w:val="24"/>
                      <w:szCs w:val="24"/>
                      <w:lang w:val="lv-LV"/>
                    </w:rPr>
                    <w:t xml:space="preserve">Vienlaikus netiek mainīta kārtība, ka valsts vērtspapīru izlaišanu arī turpmāk reglamentē </w:t>
                  </w:r>
                  <w:r w:rsidR="00866D79" w:rsidRPr="00866D79">
                    <w:rPr>
                      <w:rFonts w:ascii="Times New Roman" w:hAnsi="Times New Roman" w:cs="Times New Roman"/>
                      <w:noProof/>
                      <w:sz w:val="24"/>
                      <w:szCs w:val="24"/>
                      <w:lang w:val="lv-LV"/>
                    </w:rPr>
                    <w:t>uz Likuma par budžetu un finanšu vadību pamata izdoti un Ministru kabineta apstiprināti noteikumi vai to aizstājošie normatīvie akti</w:t>
                  </w:r>
                  <w:r w:rsidR="00D81297" w:rsidRPr="00D81297">
                    <w:rPr>
                      <w:rFonts w:ascii="Times New Roman" w:hAnsi="Times New Roman" w:cs="Times New Roman"/>
                      <w:noProof/>
                      <w:sz w:val="24"/>
                      <w:szCs w:val="24"/>
                      <w:lang w:val="lv-LV"/>
                    </w:rPr>
                    <w:t>, attiecīgi saglabājot šim procesam publiski tiesisku raksturu, ko nevar izmainīt privāttiesisks līgums.</w:t>
                  </w:r>
                  <w:r w:rsidR="00355B11" w:rsidRPr="002A3C7D">
                    <w:rPr>
                      <w:rFonts w:ascii="Times New Roman" w:hAnsi="Times New Roman" w:cs="Times New Roman"/>
                      <w:sz w:val="24"/>
                      <w:szCs w:val="24"/>
                      <w:lang w:val="lv-LV"/>
                    </w:rPr>
                    <w:t xml:space="preserve"> CVD pakalpojumu noteikumi kļūst saistoši tā dalībniekiem uz līguma pamata. </w:t>
                  </w:r>
                  <w:r w:rsidR="00FC1F5F" w:rsidRPr="002A3C7D">
                    <w:rPr>
                      <w:rFonts w:ascii="Times New Roman" w:hAnsi="Times New Roman" w:cs="Times New Roman"/>
                      <w:sz w:val="24"/>
                      <w:szCs w:val="24"/>
                      <w:lang w:val="lv-LV"/>
                    </w:rPr>
                    <w:t xml:space="preserve">Pēc būtības pamatpakalpojuma – vērtspapīru norēķinu sistēmas – noteikumi atbilstoši </w:t>
                  </w:r>
                  <w:r w:rsidR="00424A24" w:rsidRPr="002A3C7D">
                    <w:rPr>
                      <w:rFonts w:ascii="Times New Roman" w:hAnsi="Times New Roman" w:cs="Times New Roman"/>
                      <w:sz w:val="24"/>
                      <w:szCs w:val="24"/>
                      <w:lang w:val="lv-LV"/>
                    </w:rPr>
                    <w:t>l</w:t>
                  </w:r>
                  <w:r w:rsidR="00FC1F5F" w:rsidRPr="002A3C7D">
                    <w:rPr>
                      <w:rFonts w:ascii="Times New Roman" w:hAnsi="Times New Roman" w:cs="Times New Roman"/>
                      <w:sz w:val="24"/>
                      <w:szCs w:val="24"/>
                      <w:lang w:val="lv-LV"/>
                    </w:rPr>
                    <w:t xml:space="preserve">ikumā </w:t>
                  </w:r>
                  <w:r w:rsidR="00424A24" w:rsidRPr="002A3C7D">
                    <w:rPr>
                      <w:rFonts w:ascii="Times New Roman" w:hAnsi="Times New Roman" w:cs="Times New Roman"/>
                      <w:sz w:val="24"/>
                      <w:szCs w:val="24"/>
                      <w:lang w:val="lv-LV"/>
                    </w:rPr>
                    <w:t>"P</w:t>
                  </w:r>
                  <w:r w:rsidR="00FC1F5F" w:rsidRPr="002A3C7D">
                    <w:rPr>
                      <w:rFonts w:ascii="Times New Roman" w:hAnsi="Times New Roman" w:cs="Times New Roman"/>
                      <w:sz w:val="24"/>
                      <w:szCs w:val="24"/>
                      <w:lang w:val="lv-LV"/>
                    </w:rPr>
                    <w:t>ar norēķinu galīgumu maksājumu un finanšu instrumentu norēķinu sistēmās</w:t>
                  </w:r>
                  <w:r w:rsidR="00424A24" w:rsidRPr="002A3C7D">
                    <w:rPr>
                      <w:rFonts w:ascii="Times New Roman" w:hAnsi="Times New Roman" w:cs="Times New Roman"/>
                      <w:sz w:val="24"/>
                      <w:szCs w:val="24"/>
                      <w:lang w:val="lv-LV"/>
                    </w:rPr>
                    <w:t>"</w:t>
                  </w:r>
                  <w:r w:rsidR="00FC1F5F" w:rsidRPr="002A3C7D">
                    <w:rPr>
                      <w:rFonts w:ascii="Times New Roman" w:hAnsi="Times New Roman" w:cs="Times New Roman"/>
                      <w:sz w:val="24"/>
                      <w:szCs w:val="24"/>
                      <w:lang w:val="lv-LV"/>
                    </w:rPr>
                    <w:t xml:space="preserve"> sniegtajai definīcijai </w:t>
                  </w:r>
                  <w:r w:rsidR="00B5616B" w:rsidRPr="002A3C7D">
                    <w:rPr>
                      <w:rFonts w:ascii="Times New Roman" w:hAnsi="Times New Roman" w:cs="Times New Roman"/>
                      <w:sz w:val="24"/>
                      <w:szCs w:val="24"/>
                      <w:lang w:val="lv-LV"/>
                    </w:rPr>
                    <w:t xml:space="preserve">ir vienošanās starp šīs sistēmas dalībniekiem. </w:t>
                  </w:r>
                  <w:r w:rsidR="00355B11" w:rsidRPr="002A3C7D">
                    <w:rPr>
                      <w:rFonts w:ascii="Times New Roman" w:hAnsi="Times New Roman" w:cs="Times New Roman"/>
                      <w:sz w:val="24"/>
                      <w:szCs w:val="24"/>
                      <w:lang w:val="lv-LV"/>
                    </w:rPr>
                    <w:t xml:space="preserve">Tāpēc FITL </w:t>
                  </w:r>
                  <w:r w:rsidR="00313ABC" w:rsidRPr="002A3C7D">
                    <w:rPr>
                      <w:rFonts w:ascii="Times New Roman" w:hAnsi="Times New Roman" w:cs="Times New Roman"/>
                      <w:sz w:val="24"/>
                      <w:szCs w:val="24"/>
                      <w:lang w:val="lv-LV"/>
                    </w:rPr>
                    <w:t>94. pants esošā redakcijā ir jā</w:t>
                  </w:r>
                  <w:r w:rsidR="0080244D">
                    <w:rPr>
                      <w:rFonts w:ascii="Times New Roman" w:hAnsi="Times New Roman" w:cs="Times New Roman"/>
                      <w:sz w:val="24"/>
                      <w:szCs w:val="24"/>
                      <w:lang w:val="lv-LV"/>
                    </w:rPr>
                    <w:t>izslēdz</w:t>
                  </w:r>
                  <w:r w:rsidR="00313ABC" w:rsidRPr="00DE3F50">
                    <w:rPr>
                      <w:rFonts w:ascii="Times New Roman" w:hAnsi="Times New Roman" w:cs="Times New Roman"/>
                      <w:sz w:val="24"/>
                      <w:szCs w:val="24"/>
                      <w:lang w:val="lv-LV"/>
                    </w:rPr>
                    <w:t>.</w:t>
                  </w:r>
                  <w:r w:rsidR="00355B11" w:rsidRPr="00DE3F50">
                    <w:rPr>
                      <w:rFonts w:ascii="Times New Roman" w:hAnsi="Times New Roman" w:cs="Times New Roman"/>
                      <w:sz w:val="24"/>
                      <w:szCs w:val="24"/>
                      <w:lang w:val="lv-LV"/>
                    </w:rPr>
                    <w:t xml:space="preserve"> </w:t>
                  </w:r>
                </w:p>
                <w:p w14:paraId="09208181" w14:textId="6EBD82C3" w:rsidR="00A80BE5" w:rsidRPr="0080244D" w:rsidRDefault="00A80BE5" w:rsidP="00D5590F">
                  <w:pPr>
                    <w:pStyle w:val="NormalWeb"/>
                    <w:spacing w:before="150" w:beforeAutospacing="0" w:after="150" w:afterAutospacing="0"/>
                    <w:jc w:val="both"/>
                    <w:rPr>
                      <w:lang w:val="lv-LV"/>
                    </w:rPr>
                  </w:pPr>
                  <w:r w:rsidRPr="0080244D">
                    <w:rPr>
                      <w:lang w:val="lv-LV"/>
                    </w:rPr>
                    <w:t>FITL 95., 97., 98., 99. pant</w:t>
                  </w:r>
                  <w:r w:rsidR="00256633" w:rsidRPr="0080244D">
                    <w:rPr>
                      <w:lang w:val="lv-LV"/>
                    </w:rPr>
                    <w:t xml:space="preserve">s </w:t>
                  </w:r>
                  <w:r w:rsidR="003F3E55" w:rsidRPr="0080244D">
                    <w:rPr>
                      <w:lang w:val="lv-LV"/>
                    </w:rPr>
                    <w:t xml:space="preserve">esošā redakcijā </w:t>
                  </w:r>
                  <w:r w:rsidR="00256633" w:rsidRPr="0080244D">
                    <w:rPr>
                      <w:lang w:val="lv-LV"/>
                    </w:rPr>
                    <w:t xml:space="preserve">tiek </w:t>
                  </w:r>
                  <w:r w:rsidR="0080244D">
                    <w:rPr>
                      <w:lang w:val="lv-LV"/>
                    </w:rPr>
                    <w:t>izslēgts</w:t>
                  </w:r>
                  <w:r w:rsidRPr="0080244D">
                    <w:rPr>
                      <w:lang w:val="lv-LV"/>
                    </w:rPr>
                    <w:t>, jo šīs jomas tiek plaši regulētas Regulā Nr. 909/2014</w:t>
                  </w:r>
                  <w:r w:rsidR="00170735" w:rsidRPr="0080244D">
                    <w:rPr>
                      <w:lang w:val="lv-LV"/>
                    </w:rPr>
                    <w:t xml:space="preserve"> (sk. zemāk)</w:t>
                  </w:r>
                  <w:r w:rsidRPr="0080244D">
                    <w:rPr>
                      <w:lang w:val="lv-LV"/>
                    </w:rPr>
                    <w:t>.</w:t>
                  </w:r>
                </w:p>
                <w:p w14:paraId="3F14E0EB" w14:textId="77777777" w:rsidR="00355B11" w:rsidRPr="00DE3F50" w:rsidRDefault="00355B11" w:rsidP="00313ABC">
                  <w:pPr>
                    <w:spacing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 xml:space="preserve">Attiecībā uz CVD pakalpojumu aprakstiem (noteikumiem) un citiem dokumentiem – atbilstoši Regulas Nr. 909/2014 prasībai nekavējoties sniegt uzraudzības iestādei informāciju par visām būtiskām izmaiņām šajos dokumentos likumā jāparedz šo izmaiņu saskaņošana ar </w:t>
                  </w:r>
                  <w:r w:rsidR="00B5616B" w:rsidRPr="00DE3F50">
                    <w:rPr>
                      <w:rFonts w:ascii="Times New Roman" w:hAnsi="Times New Roman" w:cs="Times New Roman"/>
                      <w:sz w:val="24"/>
                      <w:szCs w:val="24"/>
                      <w:lang w:val="lv-LV"/>
                    </w:rPr>
                    <w:t>Finanšu un kapitāla tirgus komisiju (turpmāk – FKTK)</w:t>
                  </w:r>
                  <w:r w:rsidRPr="00DE3F50">
                    <w:rPr>
                      <w:rFonts w:ascii="Times New Roman" w:hAnsi="Times New Roman" w:cs="Times New Roman"/>
                      <w:sz w:val="24"/>
                      <w:szCs w:val="24"/>
                      <w:lang w:val="lv-LV"/>
                    </w:rPr>
                    <w:t xml:space="preserve">. Tas atbilst licencēšanas loģikai – ja ir izmaiņas dokumentos, uz kuru pamata CVD ir </w:t>
                  </w:r>
                  <w:r w:rsidR="000565BD" w:rsidRPr="00DE3F50">
                    <w:rPr>
                      <w:rFonts w:ascii="Times New Roman" w:hAnsi="Times New Roman" w:cs="Times New Roman"/>
                      <w:sz w:val="24"/>
                      <w:szCs w:val="24"/>
                      <w:lang w:val="lv-LV"/>
                    </w:rPr>
                    <w:t>dota atļauja</w:t>
                  </w:r>
                  <w:r w:rsidRPr="00DE3F50">
                    <w:rPr>
                      <w:rFonts w:ascii="Times New Roman" w:hAnsi="Times New Roman" w:cs="Times New Roman"/>
                      <w:sz w:val="24"/>
                      <w:szCs w:val="24"/>
                      <w:lang w:val="lv-LV"/>
                    </w:rPr>
                    <w:t xml:space="preserve">, </w:t>
                  </w:r>
                  <w:r w:rsidR="00B5616B" w:rsidRPr="00DE3F50">
                    <w:rPr>
                      <w:rFonts w:ascii="Times New Roman" w:hAnsi="Times New Roman" w:cs="Times New Roman"/>
                      <w:sz w:val="24"/>
                      <w:szCs w:val="24"/>
                      <w:lang w:val="lv-LV"/>
                    </w:rPr>
                    <w:t xml:space="preserve">FKTK </w:t>
                  </w:r>
                  <w:r w:rsidRPr="00DE3F50">
                    <w:rPr>
                      <w:rFonts w:ascii="Times New Roman" w:hAnsi="Times New Roman" w:cs="Times New Roman"/>
                      <w:sz w:val="24"/>
                      <w:szCs w:val="24"/>
                      <w:lang w:val="lv-LV"/>
                    </w:rPr>
                    <w:t>tās vērtē</w:t>
                  </w:r>
                  <w:r w:rsidR="00D5590F" w:rsidRPr="00DE3F50">
                    <w:rPr>
                      <w:rFonts w:ascii="Times New Roman" w:hAnsi="Times New Roman" w:cs="Times New Roman"/>
                      <w:sz w:val="24"/>
                      <w:szCs w:val="24"/>
                      <w:lang w:val="lv-LV"/>
                    </w:rPr>
                    <w:t xml:space="preserve"> (94.</w:t>
                  </w:r>
                  <w:r w:rsidR="00D5590F" w:rsidRPr="00DE3F50">
                    <w:rPr>
                      <w:rFonts w:ascii="Times New Roman" w:hAnsi="Times New Roman" w:cs="Times New Roman"/>
                      <w:sz w:val="24"/>
                      <w:szCs w:val="24"/>
                      <w:vertAlign w:val="superscript"/>
                      <w:lang w:val="lv-LV"/>
                    </w:rPr>
                    <w:t>1</w:t>
                  </w:r>
                  <w:r w:rsidR="00D5590F" w:rsidRPr="00DE3F50">
                    <w:rPr>
                      <w:rFonts w:ascii="Times New Roman" w:hAnsi="Times New Roman" w:cs="Times New Roman"/>
                      <w:sz w:val="24"/>
                      <w:szCs w:val="24"/>
                      <w:lang w:val="lv-LV"/>
                    </w:rPr>
                    <w:t>pants)</w:t>
                  </w:r>
                  <w:r w:rsidRPr="00DE3F50">
                    <w:rPr>
                      <w:rFonts w:ascii="Times New Roman" w:hAnsi="Times New Roman" w:cs="Times New Roman"/>
                      <w:sz w:val="24"/>
                      <w:szCs w:val="24"/>
                      <w:lang w:val="lv-LV"/>
                    </w:rPr>
                    <w:t>.</w:t>
                  </w:r>
                </w:p>
                <w:p w14:paraId="1F0573E9" w14:textId="4ED1E14E" w:rsidR="00355B11" w:rsidRPr="0036654A" w:rsidRDefault="00313ABC" w:rsidP="00313ABC">
                  <w:pPr>
                    <w:spacing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FITL</w:t>
                  </w:r>
                  <w:r w:rsidR="00355B11" w:rsidRPr="00DE3F50">
                    <w:rPr>
                      <w:rFonts w:ascii="Times New Roman" w:hAnsi="Times New Roman" w:cs="Times New Roman"/>
                      <w:sz w:val="24"/>
                      <w:szCs w:val="24"/>
                      <w:lang w:val="lv-LV"/>
                    </w:rPr>
                    <w:t xml:space="preserve"> nav jāparedz CVD funkcijas, jo Regula Nr. 909/2014 uzskaita, kādus pakalpojumus CVD ir tiesīgs sniegt un kāda ir to sniegšanas uzsākšanas kārtība (</w:t>
                  </w:r>
                  <w:r w:rsidR="00663D45" w:rsidRPr="00DE3F50">
                    <w:rPr>
                      <w:rFonts w:ascii="Times New Roman" w:hAnsi="Times New Roman" w:cs="Times New Roman"/>
                      <w:sz w:val="24"/>
                      <w:szCs w:val="24"/>
                      <w:lang w:val="lv-LV"/>
                    </w:rPr>
                    <w:t>atļaujas saņemšanas kārtība</w:t>
                  </w:r>
                  <w:r w:rsidR="00355B11" w:rsidRPr="00DE3F50">
                    <w:rPr>
                      <w:rFonts w:ascii="Times New Roman" w:hAnsi="Times New Roman" w:cs="Times New Roman"/>
                      <w:sz w:val="24"/>
                      <w:szCs w:val="24"/>
                      <w:lang w:val="lv-LV"/>
                    </w:rPr>
                    <w:t>)</w:t>
                  </w:r>
                  <w:r w:rsidR="00D5590F" w:rsidRPr="00DE3F50">
                    <w:rPr>
                      <w:rFonts w:ascii="Times New Roman" w:hAnsi="Times New Roman" w:cs="Times New Roman"/>
                      <w:sz w:val="24"/>
                      <w:szCs w:val="24"/>
                      <w:lang w:val="lv-LV"/>
                    </w:rPr>
                    <w:t xml:space="preserve"> (tiek </w:t>
                  </w:r>
                  <w:r w:rsidR="00DE3F50">
                    <w:rPr>
                      <w:rFonts w:ascii="Times New Roman" w:hAnsi="Times New Roman" w:cs="Times New Roman"/>
                      <w:sz w:val="24"/>
                      <w:szCs w:val="24"/>
                      <w:lang w:val="lv-LV"/>
                    </w:rPr>
                    <w:t xml:space="preserve">precizēts </w:t>
                  </w:r>
                  <w:r w:rsidR="009D6104" w:rsidRPr="0036654A">
                    <w:rPr>
                      <w:rFonts w:ascii="Times New Roman" w:hAnsi="Times New Roman" w:cs="Times New Roman"/>
                      <w:sz w:val="24"/>
                      <w:szCs w:val="24"/>
                      <w:lang w:val="lv-LV"/>
                    </w:rPr>
                    <w:t>92.pants</w:t>
                  </w:r>
                  <w:r w:rsidR="00DE3F50">
                    <w:rPr>
                      <w:rFonts w:ascii="Times New Roman" w:hAnsi="Times New Roman" w:cs="Times New Roman"/>
                      <w:sz w:val="24"/>
                      <w:szCs w:val="24"/>
                      <w:lang w:val="lv-LV"/>
                    </w:rPr>
                    <w:t xml:space="preserve">, iekļaujot tajā atsauci uz </w:t>
                  </w:r>
                  <w:r w:rsidR="00DE3F50" w:rsidRPr="00DE3F50">
                    <w:rPr>
                      <w:rFonts w:ascii="Times New Roman" w:hAnsi="Times New Roman" w:cs="Times New Roman"/>
                      <w:sz w:val="24"/>
                      <w:szCs w:val="24"/>
                      <w:lang w:val="lv-LV"/>
                    </w:rPr>
                    <w:t>Regul</w:t>
                  </w:r>
                  <w:r w:rsidR="00DE3F50">
                    <w:rPr>
                      <w:rFonts w:ascii="Times New Roman" w:hAnsi="Times New Roman" w:cs="Times New Roman"/>
                      <w:sz w:val="24"/>
                      <w:szCs w:val="24"/>
                      <w:lang w:val="lv-LV"/>
                    </w:rPr>
                    <w:t>u</w:t>
                  </w:r>
                  <w:r w:rsidR="00DE3F50" w:rsidRPr="00DE3F50">
                    <w:rPr>
                      <w:rFonts w:ascii="Times New Roman" w:hAnsi="Times New Roman" w:cs="Times New Roman"/>
                      <w:sz w:val="24"/>
                      <w:szCs w:val="24"/>
                      <w:lang w:val="lv-LV"/>
                    </w:rPr>
                    <w:t xml:space="preserve"> Nr. 909/2014</w:t>
                  </w:r>
                  <w:r w:rsidR="009D6104" w:rsidRPr="0036654A">
                    <w:rPr>
                      <w:rFonts w:ascii="Times New Roman" w:hAnsi="Times New Roman" w:cs="Times New Roman"/>
                      <w:sz w:val="24"/>
                      <w:szCs w:val="24"/>
                      <w:lang w:val="lv-LV"/>
                    </w:rPr>
                    <w:t>)</w:t>
                  </w:r>
                  <w:r w:rsidR="00355B11" w:rsidRPr="0036654A">
                    <w:rPr>
                      <w:rFonts w:ascii="Times New Roman" w:hAnsi="Times New Roman" w:cs="Times New Roman"/>
                      <w:sz w:val="24"/>
                      <w:szCs w:val="24"/>
                      <w:lang w:val="lv-LV"/>
                    </w:rPr>
                    <w:t>.</w:t>
                  </w:r>
                </w:p>
                <w:p w14:paraId="2F3C71A2" w14:textId="4924B113" w:rsidR="00355B11" w:rsidRPr="0036654A" w:rsidRDefault="00313ABC" w:rsidP="00313ABC">
                  <w:pPr>
                    <w:spacing w:line="240" w:lineRule="auto"/>
                    <w:jc w:val="both"/>
                    <w:rPr>
                      <w:rFonts w:ascii="Times New Roman" w:hAnsi="Times New Roman" w:cs="Times New Roman"/>
                      <w:sz w:val="24"/>
                      <w:szCs w:val="24"/>
                      <w:lang w:val="lv-LV"/>
                    </w:rPr>
                  </w:pPr>
                  <w:r w:rsidRPr="002A3C7D">
                    <w:rPr>
                      <w:rFonts w:ascii="Times New Roman" w:hAnsi="Times New Roman" w:cs="Times New Roman"/>
                      <w:sz w:val="24"/>
                      <w:szCs w:val="24"/>
                      <w:lang w:val="lv-LV"/>
                    </w:rPr>
                    <w:t>FITL vairs nav jādefinē</w:t>
                  </w:r>
                  <w:r w:rsidR="00355B11" w:rsidRPr="002A3C7D">
                    <w:rPr>
                      <w:rFonts w:ascii="Times New Roman" w:hAnsi="Times New Roman" w:cs="Times New Roman"/>
                      <w:sz w:val="24"/>
                      <w:szCs w:val="24"/>
                      <w:lang w:val="lv-LV"/>
                    </w:rPr>
                    <w:t xml:space="preserve"> depozitārija dalībnieks, jo tas izriet no Regulas Nr. 909/2014 definīcijas, kas atsaucas uz Direktīvas Nr. 98/26/EK</w:t>
                  </w:r>
                  <w:r w:rsidR="00355B11" w:rsidRPr="002A3C7D" w:rsidDel="00B4643D">
                    <w:rPr>
                      <w:rFonts w:ascii="Times New Roman" w:hAnsi="Times New Roman" w:cs="Times New Roman"/>
                      <w:sz w:val="24"/>
                      <w:szCs w:val="24"/>
                      <w:lang w:val="lv-LV"/>
                    </w:rPr>
                    <w:t xml:space="preserve"> </w:t>
                  </w:r>
                  <w:r w:rsidR="00355B11" w:rsidRPr="00DE3F50">
                    <w:rPr>
                      <w:rFonts w:ascii="Times New Roman" w:hAnsi="Times New Roman" w:cs="Times New Roman"/>
                      <w:sz w:val="24"/>
                      <w:szCs w:val="24"/>
                      <w:lang w:val="lv-LV"/>
                    </w:rPr>
                    <w:t>definīciju 2.pa</w:t>
                  </w:r>
                  <w:r w:rsidR="00221515" w:rsidRPr="00DE3F50">
                    <w:rPr>
                      <w:rFonts w:ascii="Times New Roman" w:hAnsi="Times New Roman" w:cs="Times New Roman"/>
                      <w:sz w:val="24"/>
                      <w:szCs w:val="24"/>
                      <w:lang w:val="lv-LV"/>
                    </w:rPr>
                    <w:t>nta</w:t>
                  </w:r>
                  <w:r w:rsidR="00355B11" w:rsidRPr="00DE3F50">
                    <w:rPr>
                      <w:rFonts w:ascii="Times New Roman" w:hAnsi="Times New Roman" w:cs="Times New Roman"/>
                      <w:sz w:val="24"/>
                      <w:szCs w:val="24"/>
                      <w:lang w:val="lv-LV"/>
                    </w:rPr>
                    <w:t xml:space="preserve"> "f" punktā. Nav nepieciešamības paredzēt emitenta d</w:t>
                  </w:r>
                  <w:r w:rsidR="00221515" w:rsidRPr="00DE3F50">
                    <w:rPr>
                      <w:rFonts w:ascii="Times New Roman" w:hAnsi="Times New Roman" w:cs="Times New Roman"/>
                      <w:sz w:val="24"/>
                      <w:szCs w:val="24"/>
                      <w:lang w:val="lv-LV"/>
                    </w:rPr>
                    <w:t>alībnieka statusu īpašā režīmā, jo</w:t>
                  </w:r>
                  <w:r w:rsidR="00355B11" w:rsidRPr="00DE3F50">
                    <w:rPr>
                      <w:rFonts w:ascii="Times New Roman" w:hAnsi="Times New Roman" w:cs="Times New Roman"/>
                      <w:sz w:val="24"/>
                      <w:szCs w:val="24"/>
                      <w:lang w:val="lv-LV"/>
                    </w:rPr>
                    <w:t xml:space="preserve"> </w:t>
                  </w:r>
                  <w:r w:rsidR="00A615FA" w:rsidRPr="00DE3F50">
                    <w:rPr>
                      <w:rFonts w:ascii="Times New Roman" w:hAnsi="Times New Roman" w:cs="Times New Roman"/>
                      <w:sz w:val="24"/>
                      <w:szCs w:val="24"/>
                      <w:lang w:val="lv-LV"/>
                    </w:rPr>
                    <w:t>emitents</w:t>
                  </w:r>
                  <w:r w:rsidR="00355B11" w:rsidRPr="00DE3F50">
                    <w:rPr>
                      <w:rFonts w:ascii="Times New Roman" w:hAnsi="Times New Roman" w:cs="Times New Roman"/>
                      <w:sz w:val="24"/>
                      <w:szCs w:val="24"/>
                      <w:lang w:val="lv-LV"/>
                    </w:rPr>
                    <w:t xml:space="preserve"> nepiedalās vērtspapīru norēķinu sistēmā (norēķinu veikšanā</w:t>
                  </w:r>
                  <w:r w:rsidR="009D6104" w:rsidRPr="00DE3F50">
                    <w:rPr>
                      <w:rFonts w:ascii="Times New Roman" w:hAnsi="Times New Roman" w:cs="Times New Roman"/>
                      <w:sz w:val="24"/>
                      <w:szCs w:val="24"/>
                      <w:lang w:val="lv-LV"/>
                    </w:rPr>
                    <w:t xml:space="preserve">) (tiek </w:t>
                  </w:r>
                  <w:r w:rsidR="00F730ED">
                    <w:rPr>
                      <w:rFonts w:ascii="Times New Roman" w:hAnsi="Times New Roman" w:cs="Times New Roman"/>
                      <w:sz w:val="24"/>
                      <w:szCs w:val="24"/>
                      <w:lang w:val="lv-LV"/>
                    </w:rPr>
                    <w:t>izslēgt</w:t>
                  </w:r>
                  <w:r w:rsidR="009D6104" w:rsidRPr="0036654A">
                    <w:rPr>
                      <w:rFonts w:ascii="Times New Roman" w:hAnsi="Times New Roman" w:cs="Times New Roman"/>
                      <w:sz w:val="24"/>
                      <w:szCs w:val="24"/>
                      <w:lang w:val="lv-LV"/>
                    </w:rPr>
                    <w:t>s 9</w:t>
                  </w:r>
                  <w:r w:rsidR="00787FB2" w:rsidRPr="0036654A">
                    <w:rPr>
                      <w:rFonts w:ascii="Times New Roman" w:hAnsi="Times New Roman" w:cs="Times New Roman"/>
                      <w:sz w:val="24"/>
                      <w:szCs w:val="24"/>
                      <w:lang w:val="lv-LV"/>
                    </w:rPr>
                    <w:t>5</w:t>
                  </w:r>
                  <w:r w:rsidR="009D6104" w:rsidRPr="0036654A">
                    <w:rPr>
                      <w:rFonts w:ascii="Times New Roman" w:hAnsi="Times New Roman" w:cs="Times New Roman"/>
                      <w:sz w:val="24"/>
                      <w:szCs w:val="24"/>
                      <w:lang w:val="lv-LV"/>
                    </w:rPr>
                    <w:t>.pants).</w:t>
                  </w:r>
                </w:p>
                <w:p w14:paraId="3CE03256" w14:textId="77777777" w:rsidR="00355B11" w:rsidRPr="00DE3F50" w:rsidRDefault="00355B11" w:rsidP="00313ABC">
                  <w:pPr>
                    <w:spacing w:line="240" w:lineRule="auto"/>
                    <w:jc w:val="both"/>
                    <w:rPr>
                      <w:rFonts w:ascii="Times New Roman" w:hAnsi="Times New Roman" w:cs="Times New Roman"/>
                      <w:sz w:val="24"/>
                      <w:szCs w:val="24"/>
                      <w:lang w:val="lv-LV"/>
                    </w:rPr>
                  </w:pPr>
                  <w:r w:rsidRPr="002A3C7D">
                    <w:rPr>
                      <w:rFonts w:ascii="Times New Roman" w:hAnsi="Times New Roman" w:cs="Times New Roman"/>
                      <w:sz w:val="24"/>
                      <w:szCs w:val="24"/>
                      <w:lang w:val="lv-LV"/>
                    </w:rPr>
                    <w:t>Regula Nr. 909/2014 izvirza prasības tiem CVD īpašniekiem, kuri īsteno kontroli pār CVD. Līdz ar to šīs prasības nav jāīsteno attiecībā uz citiem īpašniekiem, kuriem ir būtiska līdzdalība CVD, bet kuriem nav kontroles</w:t>
                  </w:r>
                  <w:r w:rsidR="00DB0CAC" w:rsidRPr="00DE3F50">
                    <w:rPr>
                      <w:rFonts w:ascii="Times New Roman" w:hAnsi="Times New Roman" w:cs="Times New Roman"/>
                      <w:sz w:val="24"/>
                      <w:szCs w:val="24"/>
                      <w:lang w:val="lv-LV"/>
                    </w:rPr>
                    <w:t xml:space="preserve"> (95.</w:t>
                  </w:r>
                  <w:r w:rsidR="00DB0CAC" w:rsidRPr="00DE3F50">
                    <w:rPr>
                      <w:rFonts w:ascii="Times New Roman" w:hAnsi="Times New Roman" w:cs="Times New Roman"/>
                      <w:sz w:val="24"/>
                      <w:szCs w:val="24"/>
                      <w:vertAlign w:val="superscript"/>
                      <w:lang w:val="lv-LV"/>
                    </w:rPr>
                    <w:t>1</w:t>
                  </w:r>
                  <w:r w:rsidR="00DB0CAC" w:rsidRPr="00DE3F50">
                    <w:rPr>
                      <w:rFonts w:ascii="Times New Roman" w:hAnsi="Times New Roman" w:cs="Times New Roman"/>
                      <w:sz w:val="24"/>
                      <w:szCs w:val="24"/>
                      <w:lang w:val="lv-LV"/>
                    </w:rPr>
                    <w:t>pants)</w:t>
                  </w:r>
                  <w:r w:rsidRPr="00DE3F50">
                    <w:rPr>
                      <w:rFonts w:ascii="Times New Roman" w:hAnsi="Times New Roman" w:cs="Times New Roman"/>
                      <w:sz w:val="24"/>
                      <w:szCs w:val="24"/>
                      <w:lang w:val="lv-LV"/>
                    </w:rPr>
                    <w:t>.</w:t>
                  </w:r>
                </w:p>
                <w:p w14:paraId="7FF7E8F3" w14:textId="77777777" w:rsidR="00F730ED" w:rsidRDefault="00355B11" w:rsidP="00EB406C">
                  <w:pPr>
                    <w:spacing w:after="60"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Regula Nr. 909/2014 paredz</w:t>
                  </w:r>
                  <w:r w:rsidR="00F8504A" w:rsidRPr="00DE3F50">
                    <w:rPr>
                      <w:rFonts w:ascii="Times New Roman" w:hAnsi="Times New Roman" w:cs="Times New Roman"/>
                      <w:sz w:val="24"/>
                      <w:szCs w:val="24"/>
                      <w:lang w:val="lv-LV"/>
                    </w:rPr>
                    <w:t xml:space="preserve">, ka CVD izstrādā tā darbības nepārtrauktības plānu, savukārt FKTK </w:t>
                  </w:r>
                  <w:r w:rsidR="00A32D65" w:rsidRPr="00DE3F50">
                    <w:rPr>
                      <w:rFonts w:ascii="Times New Roman" w:hAnsi="Times New Roman" w:cs="Times New Roman"/>
                      <w:sz w:val="24"/>
                      <w:szCs w:val="24"/>
                      <w:lang w:val="lv-LV"/>
                    </w:rPr>
                    <w:t xml:space="preserve">kā kompetenta iestāde Regulas Nr. 909/2014 izpratnē </w:t>
                  </w:r>
                  <w:r w:rsidR="00F8504A" w:rsidRPr="0036654A">
                    <w:rPr>
                      <w:rFonts w:ascii="Times New Roman" w:hAnsi="Times New Roman" w:cs="Times New Roman"/>
                      <w:sz w:val="24"/>
                      <w:szCs w:val="24"/>
                      <w:lang w:val="lv-LV"/>
                    </w:rPr>
                    <w:t xml:space="preserve">izstrādā CVD noregulējuma plānu. Lai FKTK varētu pieņemt noregulējuma plānu, ir jābūt noteiktam, kādā veidā tiek nodalītas CVD kritiskās funkcijas (kurām jānodrošina </w:t>
                  </w:r>
                  <w:r w:rsidR="00E84E59" w:rsidRPr="002A3C7D">
                    <w:rPr>
                      <w:rFonts w:ascii="Times New Roman" w:hAnsi="Times New Roman" w:cs="Times New Roman"/>
                      <w:sz w:val="24"/>
                      <w:szCs w:val="24"/>
                      <w:lang w:val="lv-LV"/>
                    </w:rPr>
                    <w:t xml:space="preserve">darbības </w:t>
                  </w:r>
                  <w:r w:rsidR="00F8504A" w:rsidRPr="002A3C7D">
                    <w:rPr>
                      <w:rFonts w:ascii="Times New Roman" w:hAnsi="Times New Roman" w:cs="Times New Roman"/>
                      <w:sz w:val="24"/>
                      <w:szCs w:val="24"/>
                      <w:lang w:val="lv-LV"/>
                    </w:rPr>
                    <w:t>nepārtraukt</w:t>
                  </w:r>
                  <w:r w:rsidR="00E84E59" w:rsidRPr="002A3C7D">
                    <w:rPr>
                      <w:rFonts w:ascii="Times New Roman" w:hAnsi="Times New Roman" w:cs="Times New Roman"/>
                      <w:sz w:val="24"/>
                      <w:szCs w:val="24"/>
                      <w:lang w:val="lv-LV"/>
                    </w:rPr>
                    <w:t>ība</w:t>
                  </w:r>
                  <w:r w:rsidR="00F8504A" w:rsidRPr="002A3C7D">
                    <w:rPr>
                      <w:rFonts w:ascii="Times New Roman" w:hAnsi="Times New Roman" w:cs="Times New Roman"/>
                      <w:sz w:val="24"/>
                      <w:szCs w:val="24"/>
                      <w:lang w:val="lv-LV"/>
                    </w:rPr>
                    <w:t>), kāds ir šo funkciju nodrošināšanas finansēšanas modelis un kādā veidā pārņemtās funkcijas tiek nodotas citam pakalpojuma sniedzējam (CVD).</w:t>
                  </w:r>
                  <w:r w:rsidR="005B0954" w:rsidRPr="00DE3F50">
                    <w:rPr>
                      <w:rFonts w:ascii="Times New Roman" w:hAnsi="Times New Roman" w:cs="Times New Roman"/>
                      <w:sz w:val="24"/>
                      <w:szCs w:val="24"/>
                      <w:lang w:val="lv-LV"/>
                    </w:rPr>
                    <w:t xml:space="preserve"> Kaut arī FITL 92.</w:t>
                  </w:r>
                  <w:r w:rsidR="005B0954" w:rsidRPr="00DE3F50">
                    <w:rPr>
                      <w:rFonts w:ascii="Times New Roman" w:hAnsi="Times New Roman" w:cs="Times New Roman"/>
                      <w:sz w:val="24"/>
                      <w:szCs w:val="24"/>
                      <w:vertAlign w:val="superscript"/>
                      <w:lang w:val="lv-LV"/>
                    </w:rPr>
                    <w:t>1</w:t>
                  </w:r>
                  <w:r w:rsidR="005B0954" w:rsidRPr="00DE3F50">
                    <w:rPr>
                      <w:rFonts w:ascii="Times New Roman" w:hAnsi="Times New Roman" w:cs="Times New Roman"/>
                      <w:sz w:val="24"/>
                      <w:szCs w:val="24"/>
                      <w:lang w:val="lv-LV"/>
                    </w:rPr>
                    <w:t xml:space="preserve"> pants šobrīd nosaka, ka LCD darbība tiek finansēta no FKTK budžeta, šādu normu jau šobrīd būtu problemātiski piemērot, jo: </w:t>
                  </w:r>
                </w:p>
                <w:p w14:paraId="64B0BF11" w14:textId="4F00FCC2" w:rsidR="00F730ED" w:rsidRDefault="00F730ED" w:rsidP="00EB406C">
                  <w:pPr>
                    <w:spacing w:after="6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B0954" w:rsidRPr="0036654A">
                    <w:rPr>
                      <w:rFonts w:ascii="Times New Roman" w:hAnsi="Times New Roman" w:cs="Times New Roman"/>
                      <w:sz w:val="24"/>
                      <w:szCs w:val="24"/>
                      <w:lang w:val="lv-LV"/>
                    </w:rPr>
                    <w:t>nav noteikts, no kādiem avotiem FKTK iegūst līdzekļus LCD darbības finansēšanai</w:t>
                  </w:r>
                  <w:r w:rsidR="00EB406C" w:rsidRPr="002A3C7D">
                    <w:rPr>
                      <w:rFonts w:ascii="Times New Roman" w:hAnsi="Times New Roman" w:cs="Times New Roman"/>
                      <w:sz w:val="24"/>
                      <w:szCs w:val="24"/>
                      <w:lang w:val="lv-LV"/>
                    </w:rPr>
                    <w:t xml:space="preserve"> un kādā apmērā</w:t>
                  </w:r>
                  <w:r>
                    <w:rPr>
                      <w:rFonts w:ascii="Times New Roman" w:hAnsi="Times New Roman" w:cs="Times New Roman"/>
                      <w:sz w:val="24"/>
                      <w:szCs w:val="24"/>
                      <w:lang w:val="lv-LV"/>
                    </w:rPr>
                    <w:t xml:space="preserve">, </w:t>
                  </w:r>
                </w:p>
                <w:p w14:paraId="6B9ED4B4" w14:textId="73ED729E" w:rsidR="00F730ED" w:rsidRDefault="00F730ED" w:rsidP="00EB406C">
                  <w:pPr>
                    <w:spacing w:after="6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00EB406C" w:rsidRPr="0036654A">
                    <w:rPr>
                      <w:rFonts w:ascii="Times New Roman" w:hAnsi="Times New Roman" w:cs="Times New Roman"/>
                      <w:sz w:val="24"/>
                      <w:szCs w:val="24"/>
                      <w:lang w:val="lv-LV"/>
                    </w:rPr>
                    <w:t xml:space="preserve">nav paredzēts, kā tiek noteikts, kuri LCD izdevumi ir sedzami no FKTK līdzekļiem – pēc būtības administratora funkcija ir likvidēt uzņēmumu, acīmredzot jābūt CVD funkciju sadalījuma mehānismam (kritērijiem), kuru likumā šobrīd nav, pretējā gadījumā </w:t>
                  </w:r>
                  <w:r w:rsidR="00EB406C" w:rsidRPr="002A3C7D">
                    <w:rPr>
                      <w:rFonts w:ascii="Times New Roman" w:hAnsi="Times New Roman" w:cs="Times New Roman"/>
                      <w:sz w:val="24"/>
                      <w:szCs w:val="24"/>
                      <w:lang w:val="lv-LV"/>
                    </w:rPr>
                    <w:t xml:space="preserve">tiek panākts, ka no FKTK līdzekļiem jāfinansē visa LCD darbība, tai skaitā tāda, kas nav saistīta ar būtiskas tirgus infrastruktūras uzturēšanu; </w:t>
                  </w:r>
                </w:p>
                <w:p w14:paraId="4752DBF3" w14:textId="775316EC" w:rsidR="00F730ED" w:rsidRDefault="00F730ED" w:rsidP="00EB406C">
                  <w:pPr>
                    <w:spacing w:after="6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EB406C" w:rsidRPr="0036654A">
                    <w:rPr>
                      <w:rFonts w:ascii="Times New Roman" w:hAnsi="Times New Roman" w:cs="Times New Roman"/>
                      <w:sz w:val="24"/>
                      <w:szCs w:val="24"/>
                      <w:lang w:val="lv-LV"/>
                    </w:rPr>
                    <w:t>FKTK budžets šobrīd ir veidots tā, lai segtu tikai tos izdevumus, kas saistīti ar pašas FKTK darbību;</w:t>
                  </w:r>
                  <w:r>
                    <w:rPr>
                      <w:rFonts w:ascii="Times New Roman" w:hAnsi="Times New Roman" w:cs="Times New Roman"/>
                      <w:sz w:val="24"/>
                      <w:szCs w:val="24"/>
                      <w:lang w:val="lv-LV"/>
                    </w:rPr>
                    <w:t xml:space="preserve"> </w:t>
                  </w:r>
                </w:p>
                <w:p w14:paraId="50CCDC1B" w14:textId="1BEB0DD9" w:rsidR="00F8504A" w:rsidRPr="002A3C7D" w:rsidRDefault="00F730ED" w:rsidP="00EB406C">
                  <w:pPr>
                    <w:spacing w:after="6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EB406C" w:rsidRPr="0036654A">
                    <w:rPr>
                      <w:rFonts w:ascii="Times New Roman" w:hAnsi="Times New Roman" w:cs="Times New Roman"/>
                      <w:sz w:val="24"/>
                      <w:szCs w:val="24"/>
                      <w:lang w:val="lv-LV"/>
                    </w:rPr>
                    <w:t>jāņem vērā arī tas aspekts, ka Baltijas apvienotā depozitārija gadījumā izdevumi būs būtiski lielāki, nekā pašreiz tas ir LCD gadījumā</w:t>
                  </w:r>
                  <w:r w:rsidR="00022958" w:rsidRPr="002A3C7D">
                    <w:rPr>
                      <w:rFonts w:ascii="Times New Roman" w:hAnsi="Times New Roman" w:cs="Times New Roman"/>
                      <w:sz w:val="24"/>
                      <w:szCs w:val="24"/>
                      <w:lang w:val="lv-LV"/>
                    </w:rPr>
                    <w:t>.</w:t>
                  </w:r>
                </w:p>
                <w:p w14:paraId="5E24E80D" w14:textId="237F0FA8" w:rsidR="00EB406C" w:rsidRPr="00DE3F50" w:rsidRDefault="00221515" w:rsidP="00313ABC">
                  <w:pPr>
                    <w:spacing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 xml:space="preserve">Līdz ar to </w:t>
                  </w:r>
                  <w:r w:rsidR="00355B11" w:rsidRPr="00DE3F50">
                    <w:rPr>
                      <w:rFonts w:ascii="Times New Roman" w:hAnsi="Times New Roman" w:cs="Times New Roman"/>
                      <w:sz w:val="24"/>
                      <w:szCs w:val="24"/>
                      <w:lang w:val="lv-LV"/>
                    </w:rPr>
                    <w:t>FITL jā</w:t>
                  </w:r>
                  <w:r w:rsidR="00F730ED">
                    <w:rPr>
                      <w:rFonts w:ascii="Times New Roman" w:hAnsi="Times New Roman" w:cs="Times New Roman"/>
                      <w:sz w:val="24"/>
                      <w:szCs w:val="24"/>
                      <w:lang w:val="lv-LV"/>
                    </w:rPr>
                    <w:t>izslēdz</w:t>
                  </w:r>
                  <w:r w:rsidR="00355B11" w:rsidRPr="0036654A">
                    <w:rPr>
                      <w:rFonts w:ascii="Times New Roman" w:hAnsi="Times New Roman" w:cs="Times New Roman"/>
                      <w:sz w:val="24"/>
                      <w:szCs w:val="24"/>
                      <w:lang w:val="lv-LV"/>
                    </w:rPr>
                    <w:t xml:space="preserve"> norma par CVD darbības finansēšanu no FKTK budžeta.</w:t>
                  </w:r>
                  <w:r w:rsidR="00EB406C" w:rsidRPr="002A3C7D">
                    <w:rPr>
                      <w:rFonts w:ascii="Times New Roman" w:hAnsi="Times New Roman" w:cs="Times New Roman"/>
                      <w:sz w:val="24"/>
                      <w:szCs w:val="24"/>
                      <w:lang w:val="lv-LV"/>
                    </w:rPr>
                    <w:t xml:space="preserve"> CVD darbības finansēšana gadījumā, kad pats CVD nevar nodrošināt pamatpakalpojumu sniegšanu, tiks noteikta FKTK izstrādā noregulējuma plānā, kuram atbilstoši Regulas Nr. 909/2014 jābūt CVD darbības otrajā gadā</w:t>
                  </w:r>
                  <w:r w:rsidR="00022958" w:rsidRPr="00DE3F50">
                    <w:rPr>
                      <w:rFonts w:ascii="Times New Roman" w:hAnsi="Times New Roman" w:cs="Times New Roman"/>
                      <w:sz w:val="24"/>
                      <w:szCs w:val="24"/>
                      <w:lang w:val="lv-LV"/>
                    </w:rPr>
                    <w:t xml:space="preserve"> (92.</w:t>
                  </w:r>
                  <w:r w:rsidR="00022958" w:rsidRPr="00DE3F50">
                    <w:rPr>
                      <w:rFonts w:ascii="Times New Roman" w:hAnsi="Times New Roman" w:cs="Times New Roman"/>
                      <w:sz w:val="24"/>
                      <w:szCs w:val="24"/>
                      <w:vertAlign w:val="superscript"/>
                      <w:lang w:val="lv-LV"/>
                    </w:rPr>
                    <w:t>1</w:t>
                  </w:r>
                  <w:r w:rsidR="00022958" w:rsidRPr="00DE3F50">
                    <w:rPr>
                      <w:rFonts w:ascii="Times New Roman" w:hAnsi="Times New Roman" w:cs="Times New Roman"/>
                      <w:sz w:val="24"/>
                      <w:szCs w:val="24"/>
                      <w:lang w:val="lv-LV"/>
                    </w:rPr>
                    <w:t xml:space="preserve"> pants)</w:t>
                  </w:r>
                  <w:r w:rsidR="00EB406C" w:rsidRPr="00DE3F50">
                    <w:rPr>
                      <w:rFonts w:ascii="Times New Roman" w:hAnsi="Times New Roman" w:cs="Times New Roman"/>
                      <w:sz w:val="24"/>
                      <w:szCs w:val="24"/>
                      <w:lang w:val="lv-LV"/>
                    </w:rPr>
                    <w:t xml:space="preserve">. </w:t>
                  </w:r>
                </w:p>
                <w:p w14:paraId="48E7184F" w14:textId="15288DB6" w:rsidR="00355B11" w:rsidRPr="00DE3F50" w:rsidRDefault="00355B11" w:rsidP="00313ABC">
                  <w:pPr>
                    <w:spacing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 xml:space="preserve">Publiskajā apgrozībā esošo finanšu instrumentu iegrāmatošanas (emitentu akceptēšana) un uzskaites kārtību (CVD reģistrā saglabājamā informācija) </w:t>
                  </w:r>
                  <w:r w:rsidRPr="002A3C7D">
                    <w:rPr>
                      <w:rFonts w:ascii="Times New Roman" w:hAnsi="Times New Roman" w:cs="Times New Roman"/>
                      <w:sz w:val="24"/>
                      <w:szCs w:val="24"/>
                      <w:lang w:val="lv-LV"/>
                    </w:rPr>
                    <w:t xml:space="preserve">noteiks Regula Nr. 909/2014 un </w:t>
                  </w:r>
                  <w:r w:rsidR="008F0D13" w:rsidRPr="00355B11">
                    <w:rPr>
                      <w:rFonts w:ascii="Times New Roman" w:hAnsi="Times New Roman" w:cs="Times New Roman"/>
                      <w:sz w:val="24"/>
                      <w:szCs w:val="24"/>
                      <w:lang w:val="lv-LV"/>
                    </w:rPr>
                    <w:t>tieši piemērot</w:t>
                  </w:r>
                  <w:r w:rsidR="008F0D13">
                    <w:rPr>
                      <w:rFonts w:ascii="Times New Roman" w:hAnsi="Times New Roman" w:cs="Times New Roman"/>
                      <w:sz w:val="24"/>
                      <w:szCs w:val="24"/>
                      <w:lang w:val="lv-LV"/>
                    </w:rPr>
                    <w:t>ā</w:t>
                  </w:r>
                  <w:r w:rsidR="008F0D13" w:rsidRPr="00355B11">
                    <w:rPr>
                      <w:rFonts w:ascii="Times New Roman" w:hAnsi="Times New Roman" w:cs="Times New Roman"/>
                      <w:sz w:val="24"/>
                      <w:szCs w:val="24"/>
                      <w:lang w:val="lv-LV"/>
                    </w:rPr>
                    <w:t xml:space="preserve"> deleģēt</w:t>
                  </w:r>
                  <w:r w:rsidR="008F0D13">
                    <w:rPr>
                      <w:rFonts w:ascii="Times New Roman" w:hAnsi="Times New Roman" w:cs="Times New Roman"/>
                      <w:sz w:val="24"/>
                      <w:szCs w:val="24"/>
                      <w:lang w:val="lv-LV"/>
                    </w:rPr>
                    <w:t>ā</w:t>
                  </w:r>
                  <w:r w:rsidR="008F0D13" w:rsidRPr="00355B11">
                    <w:rPr>
                      <w:rFonts w:ascii="Times New Roman" w:hAnsi="Times New Roman" w:cs="Times New Roman"/>
                      <w:sz w:val="24"/>
                      <w:szCs w:val="24"/>
                      <w:lang w:val="lv-LV"/>
                    </w:rPr>
                    <w:t xml:space="preserve"> regul</w:t>
                  </w:r>
                  <w:r w:rsidR="008F0D13">
                    <w:rPr>
                      <w:rFonts w:ascii="Times New Roman" w:hAnsi="Times New Roman" w:cs="Times New Roman"/>
                      <w:sz w:val="24"/>
                      <w:szCs w:val="24"/>
                      <w:lang w:val="lv-LV"/>
                    </w:rPr>
                    <w:t>a</w:t>
                  </w:r>
                  <w:r w:rsidR="008F0D13" w:rsidRPr="00355B11">
                    <w:rPr>
                      <w:rFonts w:ascii="Times New Roman" w:hAnsi="Times New Roman" w:cs="Times New Roman"/>
                      <w:sz w:val="24"/>
                      <w:szCs w:val="24"/>
                      <w:lang w:val="lv-LV"/>
                    </w:rPr>
                    <w:t xml:space="preserve"> </w:t>
                  </w:r>
                  <w:r w:rsidR="008F0D13">
                    <w:rPr>
                      <w:rFonts w:ascii="Times New Roman" w:hAnsi="Times New Roman" w:cs="Times New Roman"/>
                      <w:sz w:val="24"/>
                      <w:szCs w:val="24"/>
                      <w:lang w:val="lv-LV"/>
                    </w:rPr>
                    <w:t>(</w:t>
                  </w:r>
                  <w:r w:rsidRPr="002A3C7D">
                    <w:rPr>
                      <w:rFonts w:ascii="Times New Roman" w:hAnsi="Times New Roman" w:cs="Times New Roman"/>
                      <w:sz w:val="24"/>
                      <w:szCs w:val="24"/>
                      <w:lang w:val="lv-LV"/>
                    </w:rPr>
                    <w:t>RTS</w:t>
                  </w:r>
                  <w:r w:rsidR="008F0D13">
                    <w:rPr>
                      <w:rFonts w:ascii="Times New Roman" w:hAnsi="Times New Roman" w:cs="Times New Roman"/>
                      <w:sz w:val="24"/>
                      <w:szCs w:val="24"/>
                      <w:lang w:val="lv-LV"/>
                    </w:rPr>
                    <w:t>)</w:t>
                  </w:r>
                  <w:r w:rsidRPr="0036654A">
                    <w:rPr>
                      <w:rFonts w:ascii="Times New Roman" w:hAnsi="Times New Roman" w:cs="Times New Roman"/>
                      <w:sz w:val="24"/>
                      <w:szCs w:val="24"/>
                      <w:lang w:val="lv-LV"/>
                    </w:rPr>
                    <w:t>, tāpēc FITL 93. pants</w:t>
                  </w:r>
                  <w:r w:rsidR="003F3E55" w:rsidRPr="0036654A">
                    <w:rPr>
                      <w:rFonts w:ascii="Times New Roman" w:hAnsi="Times New Roman" w:cs="Times New Roman"/>
                      <w:sz w:val="24"/>
                      <w:szCs w:val="24"/>
                      <w:lang w:val="lv-LV"/>
                    </w:rPr>
                    <w:t xml:space="preserve"> </w:t>
                  </w:r>
                  <w:r w:rsidR="00F730ED">
                    <w:rPr>
                      <w:rFonts w:ascii="Times New Roman" w:hAnsi="Times New Roman" w:cs="Times New Roman"/>
                      <w:sz w:val="24"/>
                      <w:szCs w:val="24"/>
                      <w:lang w:val="lv-LV"/>
                    </w:rPr>
                    <w:t xml:space="preserve">jāizsaka jaunā </w:t>
                  </w:r>
                  <w:r w:rsidR="003F3E55" w:rsidRPr="0036654A">
                    <w:rPr>
                      <w:rFonts w:ascii="Times New Roman" w:hAnsi="Times New Roman" w:cs="Times New Roman"/>
                      <w:sz w:val="24"/>
                      <w:szCs w:val="24"/>
                      <w:lang w:val="lv-LV"/>
                    </w:rPr>
                    <w:t>redakcijā</w:t>
                  </w:r>
                  <w:r w:rsidR="00873C82">
                    <w:rPr>
                      <w:rFonts w:ascii="Times New Roman" w:hAnsi="Times New Roman" w:cs="Times New Roman"/>
                      <w:sz w:val="24"/>
                      <w:szCs w:val="24"/>
                      <w:lang w:val="lv-LV"/>
                    </w:rPr>
                    <w:t>,</w:t>
                  </w:r>
                  <w:r w:rsidRPr="0036654A">
                    <w:rPr>
                      <w:rFonts w:ascii="Times New Roman" w:hAnsi="Times New Roman" w:cs="Times New Roman"/>
                      <w:sz w:val="24"/>
                      <w:szCs w:val="24"/>
                      <w:lang w:val="lv-LV"/>
                    </w:rPr>
                    <w:t xml:space="preserve"> </w:t>
                  </w:r>
                  <w:r w:rsidR="00261D66" w:rsidRPr="0036654A">
                    <w:rPr>
                      <w:rFonts w:ascii="Times New Roman" w:hAnsi="Times New Roman" w:cs="Times New Roman"/>
                      <w:sz w:val="24"/>
                      <w:szCs w:val="24"/>
                      <w:lang w:val="lv-LV"/>
                    </w:rPr>
                    <w:t>nosak</w:t>
                  </w:r>
                  <w:r w:rsidR="00F730ED">
                    <w:rPr>
                      <w:rFonts w:ascii="Times New Roman" w:hAnsi="Times New Roman" w:cs="Times New Roman"/>
                      <w:sz w:val="24"/>
                      <w:szCs w:val="24"/>
                      <w:lang w:val="lv-LV"/>
                    </w:rPr>
                    <w:t>ot</w:t>
                  </w:r>
                  <w:r w:rsidR="00261D66" w:rsidRPr="0036654A">
                    <w:rPr>
                      <w:rFonts w:ascii="Times New Roman" w:hAnsi="Times New Roman" w:cs="Times New Roman"/>
                      <w:sz w:val="24"/>
                      <w:szCs w:val="24"/>
                      <w:lang w:val="lv-LV"/>
                    </w:rPr>
                    <w:t xml:space="preserve"> pienākumu</w:t>
                  </w:r>
                  <w:r w:rsidR="003F3E55" w:rsidRPr="0036654A">
                    <w:rPr>
                      <w:rFonts w:ascii="Times New Roman" w:hAnsi="Times New Roman" w:cs="Times New Roman"/>
                      <w:sz w:val="24"/>
                      <w:szCs w:val="24"/>
                      <w:lang w:val="lv-LV"/>
                    </w:rPr>
                    <w:t xml:space="preserve"> finanšu instrumentu īpašnieku noskaidrošanai – ar mērķi nodrošināt efektīvāku uzraudzību (uzraudzības nolūkos kļūst pieejamāka informācija par finanšu instrumentu īpašniekiem), kā arī pienākumu nodot finanšu instrumentu īpašniekiem informāciju par finanšu</w:t>
                  </w:r>
                  <w:r w:rsidR="003F3E55" w:rsidRPr="002A3C7D">
                    <w:rPr>
                      <w:rFonts w:ascii="Times New Roman" w:hAnsi="Times New Roman" w:cs="Times New Roman"/>
                      <w:sz w:val="24"/>
                      <w:szCs w:val="24"/>
                      <w:lang w:val="lv-LV"/>
                    </w:rPr>
                    <w:t xml:space="preserve"> instrumentu notikumiem</w:t>
                  </w:r>
                  <w:r w:rsidR="000B5B9A" w:rsidRPr="002A3C7D">
                    <w:rPr>
                      <w:rFonts w:ascii="Times New Roman" w:hAnsi="Times New Roman" w:cs="Times New Roman"/>
                      <w:sz w:val="24"/>
                      <w:szCs w:val="24"/>
                      <w:lang w:val="lv-LV"/>
                    </w:rPr>
                    <w:t xml:space="preserve"> (93.pants)</w:t>
                  </w:r>
                  <w:r w:rsidR="003F3E55" w:rsidRPr="00DE3F50">
                    <w:rPr>
                      <w:rFonts w:ascii="Times New Roman" w:hAnsi="Times New Roman" w:cs="Times New Roman"/>
                      <w:sz w:val="24"/>
                      <w:szCs w:val="24"/>
                      <w:lang w:val="lv-LV"/>
                    </w:rPr>
                    <w:t>.</w:t>
                  </w:r>
                </w:p>
                <w:p w14:paraId="649C6384" w14:textId="02C656C8" w:rsidR="00355B11" w:rsidRPr="00DE3F50" w:rsidRDefault="00CA2056" w:rsidP="00313ABC">
                  <w:pPr>
                    <w:spacing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FITL</w:t>
                  </w:r>
                  <w:r w:rsidR="00355B11" w:rsidRPr="00DE3F50">
                    <w:rPr>
                      <w:rFonts w:ascii="Times New Roman" w:hAnsi="Times New Roman" w:cs="Times New Roman"/>
                      <w:sz w:val="24"/>
                      <w:szCs w:val="24"/>
                      <w:lang w:val="lv-LV"/>
                    </w:rPr>
                    <w:t xml:space="preserve"> 96. panta redakcija ir jāgroza, paskaidrojot, ka </w:t>
                  </w:r>
                  <w:r w:rsidR="00705817">
                    <w:rPr>
                      <w:rFonts w:ascii="Times New Roman" w:hAnsi="Times New Roman" w:cs="Times New Roman"/>
                      <w:sz w:val="24"/>
                      <w:szCs w:val="24"/>
                      <w:lang w:val="lv-LV"/>
                    </w:rPr>
                    <w:t xml:space="preserve">atbilstoši </w:t>
                  </w:r>
                  <w:r w:rsidR="00355B11" w:rsidRPr="00DE3F50">
                    <w:rPr>
                      <w:rFonts w:ascii="Times New Roman" w:hAnsi="Times New Roman" w:cs="Times New Roman"/>
                      <w:sz w:val="24"/>
                      <w:szCs w:val="24"/>
                      <w:lang w:val="lv-LV"/>
                    </w:rPr>
                    <w:t xml:space="preserve">Regulā Nr. 909/2014 </w:t>
                  </w:r>
                  <w:r w:rsidR="00705817">
                    <w:rPr>
                      <w:rFonts w:ascii="Times New Roman" w:hAnsi="Times New Roman" w:cs="Times New Roman"/>
                      <w:sz w:val="24"/>
                      <w:szCs w:val="24"/>
                      <w:lang w:val="lv-LV"/>
                    </w:rPr>
                    <w:t>noteiktajam CVD pārvaldes institūciju pienākumus un atbildību nosaka Komerclikums</w:t>
                  </w:r>
                  <w:r w:rsidR="00355B11" w:rsidRPr="00DE3F50">
                    <w:rPr>
                      <w:rFonts w:ascii="Times New Roman" w:hAnsi="Times New Roman" w:cs="Times New Roman"/>
                      <w:sz w:val="24"/>
                      <w:szCs w:val="24"/>
                      <w:lang w:val="lv-LV"/>
                    </w:rPr>
                    <w:t xml:space="preserve">. </w:t>
                  </w:r>
                  <w:r w:rsidR="00705817">
                    <w:rPr>
                      <w:rFonts w:ascii="Times New Roman" w:hAnsi="Times New Roman" w:cs="Times New Roman"/>
                      <w:sz w:val="24"/>
                      <w:szCs w:val="24"/>
                      <w:lang w:val="lv-LV"/>
                    </w:rPr>
                    <w:t>Ņemot vērā, ka CVD komitējām, tai skaitā lietotāju komitejai, ir pārraudzības loma, ir nepieciešams noteikt, ka tā personālsastāvu nosaka padome.</w:t>
                  </w:r>
                  <w:r w:rsidR="00355B11" w:rsidRPr="00DE3F50">
                    <w:rPr>
                      <w:rFonts w:ascii="Times New Roman" w:hAnsi="Times New Roman" w:cs="Times New Roman"/>
                      <w:sz w:val="24"/>
                      <w:szCs w:val="24"/>
                      <w:lang w:val="lv-LV"/>
                    </w:rPr>
                    <w:t xml:space="preserve"> Ņemot vērā, ka </w:t>
                  </w:r>
                  <w:r w:rsidR="00AD5914" w:rsidRPr="00DE3F50">
                    <w:rPr>
                      <w:rFonts w:ascii="Times New Roman" w:hAnsi="Times New Roman" w:cs="Times New Roman"/>
                      <w:sz w:val="24"/>
                      <w:szCs w:val="24"/>
                      <w:lang w:val="lv-LV"/>
                    </w:rPr>
                    <w:t>FKTK</w:t>
                  </w:r>
                  <w:r w:rsidR="00355B11" w:rsidRPr="00DE3F50">
                    <w:rPr>
                      <w:rFonts w:ascii="Times New Roman" w:hAnsi="Times New Roman" w:cs="Times New Roman"/>
                      <w:sz w:val="24"/>
                      <w:szCs w:val="24"/>
                      <w:lang w:val="lv-LV"/>
                    </w:rPr>
                    <w:t xml:space="preserve"> pastāvīgi izmantos tai Regulā Nr. 909/2014 noteiktās tiesības prasīt informāciju par CVD pārvaldes institūciju sēdēs izskatītiem jautājumiem un pieņemtiem lēmumiem, ir lietderīgi to noteikt kā pastāvīgu prasību</w:t>
                  </w:r>
                  <w:r w:rsidR="00170735" w:rsidRPr="00DE3F50">
                    <w:rPr>
                      <w:rFonts w:ascii="Times New Roman" w:hAnsi="Times New Roman" w:cs="Times New Roman"/>
                      <w:sz w:val="24"/>
                      <w:szCs w:val="24"/>
                      <w:lang w:val="lv-LV"/>
                    </w:rPr>
                    <w:t xml:space="preserve"> (96.pants)</w:t>
                  </w:r>
                  <w:r w:rsidR="00355B11" w:rsidRPr="00DE3F50">
                    <w:rPr>
                      <w:rFonts w:ascii="Times New Roman" w:hAnsi="Times New Roman" w:cs="Times New Roman"/>
                      <w:sz w:val="24"/>
                      <w:szCs w:val="24"/>
                      <w:lang w:val="lv-LV"/>
                    </w:rPr>
                    <w:t>.</w:t>
                  </w:r>
                </w:p>
                <w:p w14:paraId="2258CC8E" w14:textId="29FADC59" w:rsidR="000862F0" w:rsidRPr="0036654A" w:rsidRDefault="00355B11" w:rsidP="00313ABC">
                  <w:pPr>
                    <w:spacing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 xml:space="preserve">Prasības CVD pārvaldes institūciju locekļiem un prasība ievēlēt padomē neatkarīgus locekļus ir noteiktas Regulas Nr. 909/2014 27. pantā, tāpēc FITL </w:t>
                  </w:r>
                  <w:r w:rsidR="00CA2056" w:rsidRPr="0036654A">
                    <w:rPr>
                      <w:rFonts w:ascii="Times New Roman" w:hAnsi="Times New Roman" w:cs="Times New Roman"/>
                      <w:sz w:val="24"/>
                      <w:szCs w:val="24"/>
                      <w:lang w:val="lv-LV"/>
                    </w:rPr>
                    <w:t>97. un 98. pants jā</w:t>
                  </w:r>
                  <w:r w:rsidR="002D4F08">
                    <w:rPr>
                      <w:rFonts w:ascii="Times New Roman" w:hAnsi="Times New Roman" w:cs="Times New Roman"/>
                      <w:sz w:val="24"/>
                      <w:szCs w:val="24"/>
                      <w:lang w:val="lv-LV"/>
                    </w:rPr>
                    <w:t>izslēdz</w:t>
                  </w:r>
                  <w:r w:rsidRPr="0036654A">
                    <w:rPr>
                      <w:rFonts w:ascii="Times New Roman" w:hAnsi="Times New Roman" w:cs="Times New Roman"/>
                      <w:sz w:val="24"/>
                      <w:szCs w:val="24"/>
                      <w:lang w:val="lv-LV"/>
                    </w:rPr>
                    <w:t>.</w:t>
                  </w:r>
                  <w:r w:rsidR="002D4F08">
                    <w:rPr>
                      <w:rFonts w:ascii="Times New Roman" w:hAnsi="Times New Roman" w:cs="Times New Roman"/>
                      <w:sz w:val="24"/>
                      <w:szCs w:val="24"/>
                      <w:lang w:val="lv-LV"/>
                    </w:rPr>
                    <w:t xml:space="preserve"> </w:t>
                  </w:r>
                  <w:r w:rsidR="000862F0" w:rsidRPr="002A3C7D">
                    <w:rPr>
                      <w:rFonts w:ascii="Times New Roman" w:hAnsi="Times New Roman" w:cs="Times New Roman"/>
                      <w:sz w:val="24"/>
                      <w:szCs w:val="24"/>
                      <w:lang w:val="lv-LV"/>
                    </w:rPr>
                    <w:t xml:space="preserve">Līdzīgi </w:t>
                  </w:r>
                  <w:r w:rsidRPr="002A3C7D">
                    <w:rPr>
                      <w:rFonts w:ascii="Times New Roman" w:hAnsi="Times New Roman" w:cs="Times New Roman"/>
                      <w:sz w:val="24"/>
                      <w:szCs w:val="24"/>
                      <w:lang w:val="lv-LV"/>
                    </w:rPr>
                    <w:t>CVD tiesības un pienākumi kopumā ir plaši regulēti Regulā Nr. 909/2014</w:t>
                  </w:r>
                  <w:r w:rsidR="000862F0" w:rsidRPr="002A3C7D">
                    <w:rPr>
                      <w:rFonts w:ascii="Times New Roman" w:hAnsi="Times New Roman" w:cs="Times New Roman"/>
                      <w:sz w:val="24"/>
                      <w:szCs w:val="24"/>
                      <w:lang w:val="lv-LV"/>
                    </w:rPr>
                    <w:t xml:space="preserve"> </w:t>
                  </w:r>
                  <w:r w:rsidRPr="002A3C7D">
                    <w:rPr>
                      <w:rFonts w:ascii="Times New Roman" w:hAnsi="Times New Roman" w:cs="Times New Roman"/>
                      <w:sz w:val="24"/>
                      <w:szCs w:val="24"/>
                      <w:lang w:val="lv-LV"/>
                    </w:rPr>
                    <w:t xml:space="preserve">un RTS, tāpēc FITL </w:t>
                  </w:r>
                  <w:r w:rsidR="000862F0" w:rsidRPr="00DE3F50">
                    <w:rPr>
                      <w:rFonts w:ascii="Times New Roman" w:hAnsi="Times New Roman" w:cs="Times New Roman"/>
                      <w:sz w:val="24"/>
                      <w:szCs w:val="24"/>
                      <w:lang w:val="lv-LV"/>
                    </w:rPr>
                    <w:t>99. pants jā</w:t>
                  </w:r>
                  <w:r w:rsidR="002D4F08">
                    <w:rPr>
                      <w:rFonts w:ascii="Times New Roman" w:hAnsi="Times New Roman" w:cs="Times New Roman"/>
                      <w:sz w:val="24"/>
                      <w:szCs w:val="24"/>
                      <w:lang w:val="lv-LV"/>
                    </w:rPr>
                    <w:t>izslēdz.</w:t>
                  </w:r>
                </w:p>
                <w:p w14:paraId="43AC18B6" w14:textId="77777777" w:rsidR="00355B11" w:rsidRPr="00DE3F50" w:rsidRDefault="00355B11" w:rsidP="00313ABC">
                  <w:pPr>
                    <w:spacing w:line="240" w:lineRule="auto"/>
                    <w:jc w:val="both"/>
                    <w:rPr>
                      <w:rFonts w:ascii="Times New Roman" w:hAnsi="Times New Roman" w:cs="Times New Roman"/>
                      <w:sz w:val="24"/>
                      <w:szCs w:val="24"/>
                      <w:lang w:val="lv-LV"/>
                    </w:rPr>
                  </w:pPr>
                  <w:r w:rsidRPr="002A3C7D">
                    <w:rPr>
                      <w:rFonts w:ascii="Times New Roman" w:hAnsi="Times New Roman" w:cs="Times New Roman"/>
                      <w:sz w:val="24"/>
                      <w:szCs w:val="24"/>
                      <w:lang w:val="lv-LV"/>
                    </w:rPr>
                    <w:t>Regulas Nr. 909/2014</w:t>
                  </w:r>
                  <w:r w:rsidR="009F5C02" w:rsidRPr="002A3C7D">
                    <w:rPr>
                      <w:rFonts w:ascii="Times New Roman" w:hAnsi="Times New Roman" w:cs="Times New Roman"/>
                      <w:sz w:val="24"/>
                      <w:szCs w:val="24"/>
                      <w:lang w:val="lv-LV"/>
                    </w:rPr>
                    <w:t xml:space="preserve"> 40.</w:t>
                  </w:r>
                  <w:r w:rsidRPr="002A3C7D">
                    <w:rPr>
                      <w:rFonts w:ascii="Times New Roman" w:hAnsi="Times New Roman" w:cs="Times New Roman"/>
                      <w:sz w:val="24"/>
                      <w:szCs w:val="24"/>
                      <w:lang w:val="lv-LV"/>
                    </w:rPr>
                    <w:t xml:space="preserve">pants nosaka, ka norēķiniem, kur vien tas ir iespējams, jānotiek </w:t>
                  </w:r>
                  <w:r w:rsidR="002E0B6F" w:rsidRPr="00DE3F50">
                    <w:rPr>
                      <w:rFonts w:ascii="Times New Roman" w:hAnsi="Times New Roman" w:cs="Times New Roman"/>
                      <w:sz w:val="24"/>
                      <w:szCs w:val="24"/>
                      <w:lang w:val="lv-LV"/>
                    </w:rPr>
                    <w:t xml:space="preserve">kontos, kas atvērti </w:t>
                  </w:r>
                  <w:r w:rsidRPr="00DE3F50">
                    <w:rPr>
                      <w:rFonts w:ascii="Times New Roman" w:hAnsi="Times New Roman" w:cs="Times New Roman"/>
                      <w:sz w:val="24"/>
                      <w:szCs w:val="24"/>
                      <w:lang w:val="lv-LV"/>
                    </w:rPr>
                    <w:t>centrālās bank</w:t>
                  </w:r>
                  <w:r w:rsidR="002E0B6F" w:rsidRPr="00DE3F50">
                    <w:rPr>
                      <w:rFonts w:ascii="Times New Roman" w:hAnsi="Times New Roman" w:cs="Times New Roman"/>
                      <w:sz w:val="24"/>
                      <w:szCs w:val="24"/>
                      <w:lang w:val="lv-LV"/>
                    </w:rPr>
                    <w:t>ā</w:t>
                  </w:r>
                  <w:r w:rsidRPr="00DE3F50">
                    <w:rPr>
                      <w:rFonts w:ascii="Times New Roman" w:hAnsi="Times New Roman" w:cs="Times New Roman"/>
                      <w:sz w:val="24"/>
                      <w:szCs w:val="24"/>
                      <w:lang w:val="lv-LV"/>
                    </w:rPr>
                    <w:t xml:space="preserve">. Regulas </w:t>
                  </w:r>
                  <w:r w:rsidR="009F5C02" w:rsidRPr="00DE3F50">
                    <w:rPr>
                      <w:rFonts w:ascii="Times New Roman" w:hAnsi="Times New Roman" w:cs="Times New Roman"/>
                      <w:sz w:val="24"/>
                      <w:szCs w:val="24"/>
                      <w:lang w:val="lv-LV"/>
                    </w:rPr>
                    <w:t xml:space="preserve">Nr. 909/2014 </w:t>
                  </w:r>
                  <w:r w:rsidRPr="00DE3F50">
                    <w:rPr>
                      <w:rFonts w:ascii="Times New Roman" w:hAnsi="Times New Roman" w:cs="Times New Roman"/>
                      <w:sz w:val="24"/>
                      <w:szCs w:val="24"/>
                      <w:lang w:val="lv-LV"/>
                    </w:rPr>
                    <w:t xml:space="preserve">54. pants paredz īpašus noteikumus, </w:t>
                  </w:r>
                  <w:r w:rsidR="002E0B6F" w:rsidRPr="00DE3F50">
                    <w:rPr>
                      <w:rFonts w:ascii="Times New Roman" w:hAnsi="Times New Roman" w:cs="Times New Roman"/>
                      <w:sz w:val="24"/>
                      <w:szCs w:val="24"/>
                      <w:lang w:val="lv-LV"/>
                    </w:rPr>
                    <w:t>ja</w:t>
                  </w:r>
                  <w:r w:rsidRPr="00DE3F50">
                    <w:rPr>
                      <w:rFonts w:ascii="Times New Roman" w:hAnsi="Times New Roman" w:cs="Times New Roman"/>
                      <w:sz w:val="24"/>
                      <w:szCs w:val="24"/>
                      <w:lang w:val="lv-LV"/>
                    </w:rPr>
                    <w:t xml:space="preserve"> n</w:t>
                  </w:r>
                  <w:r w:rsidR="009F5C02" w:rsidRPr="00DE3F50">
                    <w:rPr>
                      <w:rFonts w:ascii="Times New Roman" w:hAnsi="Times New Roman" w:cs="Times New Roman"/>
                      <w:sz w:val="24"/>
                      <w:szCs w:val="24"/>
                      <w:lang w:val="lv-LV"/>
                    </w:rPr>
                    <w:t xml:space="preserve">orēķini ir </w:t>
                  </w:r>
                  <w:r w:rsidR="002E0B6F" w:rsidRPr="00DE3F50">
                    <w:rPr>
                      <w:rFonts w:ascii="Times New Roman" w:hAnsi="Times New Roman" w:cs="Times New Roman"/>
                      <w:sz w:val="24"/>
                      <w:szCs w:val="24"/>
                      <w:lang w:val="lv-LV"/>
                    </w:rPr>
                    <w:t>kontos, kas atvērti kredītiestādē</w:t>
                  </w:r>
                  <w:r w:rsidR="009F5C02" w:rsidRPr="00DE3F50">
                    <w:rPr>
                      <w:rFonts w:ascii="Times New Roman" w:hAnsi="Times New Roman" w:cs="Times New Roman"/>
                      <w:sz w:val="24"/>
                      <w:szCs w:val="24"/>
                      <w:lang w:val="lv-LV"/>
                    </w:rPr>
                    <w:t>.</w:t>
                  </w:r>
                  <w:r w:rsidRPr="00DE3F50">
                    <w:rPr>
                      <w:rFonts w:ascii="Times New Roman" w:hAnsi="Times New Roman" w:cs="Times New Roman"/>
                      <w:sz w:val="24"/>
                      <w:szCs w:val="24"/>
                      <w:lang w:val="lv-LV"/>
                    </w:rPr>
                    <w:t xml:space="preserve"> Faktiski Regula Nr. 909/2014 nosaka, ka CVD var atvērt tā pakalpojumu nodrošināšanai nepieciešamus kontus centrālā bankā un/vai kredītiestādē. </w:t>
                  </w:r>
                  <w:r w:rsidR="00AD5914" w:rsidRPr="00DE3F50">
                    <w:rPr>
                      <w:rFonts w:ascii="Times New Roman" w:hAnsi="Times New Roman" w:cs="Times New Roman"/>
                      <w:sz w:val="24"/>
                      <w:szCs w:val="24"/>
                      <w:lang w:val="lv-LV"/>
                    </w:rPr>
                    <w:t xml:space="preserve">Ņemot vērā, ka cits CVD, kuram ir licence kredītiestādes darbībai, arī pielīdzināms kredītiestādei Regulas Nr. 909/2014 54. panta izpratnē, CVD var atvērt kontu </w:t>
                  </w:r>
                  <w:r w:rsidR="002E0B6F" w:rsidRPr="00DE3F50">
                    <w:rPr>
                      <w:rFonts w:ascii="Times New Roman" w:hAnsi="Times New Roman" w:cs="Times New Roman"/>
                      <w:sz w:val="24"/>
                      <w:szCs w:val="24"/>
                      <w:lang w:val="lv-LV"/>
                    </w:rPr>
                    <w:t xml:space="preserve">naudas </w:t>
                  </w:r>
                  <w:r w:rsidR="00AD5914" w:rsidRPr="00DE3F50">
                    <w:rPr>
                      <w:rFonts w:ascii="Times New Roman" w:hAnsi="Times New Roman" w:cs="Times New Roman"/>
                      <w:sz w:val="24"/>
                      <w:szCs w:val="24"/>
                      <w:lang w:val="lv-LV"/>
                    </w:rPr>
                    <w:t xml:space="preserve">norēķinu veikšanai šādā CVD. </w:t>
                  </w:r>
                  <w:r w:rsidR="009F5C02" w:rsidRPr="00DE3F50">
                    <w:rPr>
                      <w:rFonts w:ascii="Times New Roman" w:hAnsi="Times New Roman" w:cs="Times New Roman"/>
                      <w:sz w:val="24"/>
                      <w:szCs w:val="24"/>
                      <w:lang w:val="lv-LV"/>
                    </w:rPr>
                    <w:t xml:space="preserve">Līdz ar to </w:t>
                  </w:r>
                  <w:r w:rsidRPr="00DE3F50">
                    <w:rPr>
                      <w:rFonts w:ascii="Times New Roman" w:hAnsi="Times New Roman" w:cs="Times New Roman"/>
                      <w:sz w:val="24"/>
                      <w:szCs w:val="24"/>
                      <w:lang w:val="lv-LV"/>
                    </w:rPr>
                    <w:t xml:space="preserve">FITL ir nepieciešams atrunāt CVD dalībnieku/klientu naudas šķirtību, un jāsaglabā noteikums, ka CVD turējumā esošie naudas līdzekļi nevar tikt </w:t>
                  </w:r>
                  <w:r w:rsidRPr="00DE3F50">
                    <w:rPr>
                      <w:rFonts w:ascii="Times New Roman" w:hAnsi="Times New Roman" w:cs="Times New Roman"/>
                      <w:sz w:val="24"/>
                      <w:szCs w:val="24"/>
                      <w:lang w:val="lv-LV"/>
                    </w:rPr>
                    <w:lastRenderedPageBreak/>
                    <w:t>izmantoti CVD kreditoru prasījumu apmierināšanai</w:t>
                  </w:r>
                  <w:r w:rsidR="00E2554F" w:rsidRPr="00DE3F50">
                    <w:rPr>
                      <w:rFonts w:ascii="Times New Roman" w:hAnsi="Times New Roman" w:cs="Times New Roman"/>
                      <w:sz w:val="24"/>
                      <w:szCs w:val="24"/>
                      <w:lang w:val="lv-LV"/>
                    </w:rPr>
                    <w:t xml:space="preserve"> (99.</w:t>
                  </w:r>
                  <w:r w:rsidR="00E2554F" w:rsidRPr="00DE3F50">
                    <w:rPr>
                      <w:rFonts w:ascii="Times New Roman" w:hAnsi="Times New Roman" w:cs="Times New Roman"/>
                      <w:sz w:val="24"/>
                      <w:szCs w:val="24"/>
                      <w:vertAlign w:val="superscript"/>
                      <w:lang w:val="lv-LV"/>
                    </w:rPr>
                    <w:t>1</w:t>
                  </w:r>
                  <w:r w:rsidR="00E2554F" w:rsidRPr="00DE3F50">
                    <w:rPr>
                      <w:rFonts w:ascii="Times New Roman" w:hAnsi="Times New Roman" w:cs="Times New Roman"/>
                      <w:sz w:val="24"/>
                      <w:szCs w:val="24"/>
                      <w:lang w:val="lv-LV"/>
                    </w:rPr>
                    <w:t>pants)</w:t>
                  </w:r>
                  <w:r w:rsidRPr="00DE3F50">
                    <w:rPr>
                      <w:rFonts w:ascii="Times New Roman" w:hAnsi="Times New Roman" w:cs="Times New Roman"/>
                      <w:sz w:val="24"/>
                      <w:szCs w:val="24"/>
                      <w:lang w:val="lv-LV"/>
                    </w:rPr>
                    <w:t xml:space="preserve">. </w:t>
                  </w:r>
                </w:p>
                <w:p w14:paraId="3C3CCFA4" w14:textId="1150BB5A" w:rsidR="00355B11" w:rsidRPr="00DE3F50" w:rsidRDefault="00355B11" w:rsidP="00313ABC">
                  <w:pPr>
                    <w:spacing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Kā nacionālā īpatnība FITL jāregulē Sākotnējā reģistrā (</w:t>
                  </w:r>
                  <w:r w:rsidR="0006479A">
                    <w:rPr>
                      <w:rFonts w:ascii="Times New Roman" w:hAnsi="Times New Roman" w:cs="Times New Roman"/>
                      <w:sz w:val="24"/>
                      <w:szCs w:val="24"/>
                      <w:lang w:val="lv-LV"/>
                    </w:rPr>
                    <w:t xml:space="preserve">turpmāk - </w:t>
                  </w:r>
                  <w:r w:rsidRPr="0036654A">
                    <w:rPr>
                      <w:rFonts w:ascii="Times New Roman" w:hAnsi="Times New Roman" w:cs="Times New Roman"/>
                      <w:sz w:val="24"/>
                      <w:szCs w:val="24"/>
                      <w:lang w:val="lv-LV"/>
                    </w:rPr>
                    <w:t xml:space="preserve">SR) esošo vērtspapīru un naudas līdzekļu turēšana trešo personu labā. </w:t>
                  </w:r>
                  <w:r w:rsidR="009F5C02" w:rsidRPr="002A3C7D">
                    <w:rPr>
                      <w:rFonts w:ascii="Times New Roman" w:hAnsi="Times New Roman" w:cs="Times New Roman"/>
                      <w:sz w:val="24"/>
                      <w:szCs w:val="24"/>
                      <w:lang w:val="lv-LV"/>
                    </w:rPr>
                    <w:t>Jāprecizē</w:t>
                  </w:r>
                  <w:r w:rsidRPr="002A3C7D">
                    <w:rPr>
                      <w:rFonts w:ascii="Times New Roman" w:hAnsi="Times New Roman" w:cs="Times New Roman"/>
                      <w:sz w:val="24"/>
                      <w:szCs w:val="24"/>
                      <w:lang w:val="lv-LV"/>
                    </w:rPr>
                    <w:t xml:space="preserve">, kādos parāda </w:t>
                  </w:r>
                  <w:r w:rsidR="00AD5914" w:rsidRPr="00DE3F50">
                    <w:rPr>
                      <w:rFonts w:ascii="Times New Roman" w:hAnsi="Times New Roman" w:cs="Times New Roman"/>
                      <w:sz w:val="24"/>
                      <w:szCs w:val="24"/>
                      <w:lang w:val="lv-LV"/>
                    </w:rPr>
                    <w:t xml:space="preserve">vērtspapīros </w:t>
                  </w:r>
                  <w:r w:rsidRPr="00DE3F50">
                    <w:rPr>
                      <w:rFonts w:ascii="Times New Roman" w:hAnsi="Times New Roman" w:cs="Times New Roman"/>
                      <w:sz w:val="24"/>
                      <w:szCs w:val="24"/>
                      <w:lang w:val="lv-LV"/>
                    </w:rPr>
                    <w:t>CVD var ieguldīt tā turējumā esošu</w:t>
                  </w:r>
                  <w:r w:rsidR="009F5C02" w:rsidRPr="00DE3F50">
                    <w:rPr>
                      <w:rFonts w:ascii="Times New Roman" w:hAnsi="Times New Roman" w:cs="Times New Roman"/>
                      <w:sz w:val="24"/>
                      <w:szCs w:val="24"/>
                      <w:lang w:val="lv-LV"/>
                    </w:rPr>
                    <w:t>s naudas līdzekļus, kā arī paredzēt CVD atbildību</w:t>
                  </w:r>
                  <w:r w:rsidRPr="00DE3F50">
                    <w:rPr>
                      <w:rFonts w:ascii="Times New Roman" w:hAnsi="Times New Roman" w:cs="Times New Roman"/>
                      <w:sz w:val="24"/>
                      <w:szCs w:val="24"/>
                      <w:lang w:val="lv-LV"/>
                    </w:rPr>
                    <w:t xml:space="preserve"> par zaudējumiem, kuri rodas šādas ieguldīšanas darbības rezultātā, ierobežojot tos ar apmēru, kas vienāds ar pēdējo desmit gadu laikā gūtajiem augļiem no šādas ieguldīšanas darbības. Ņemot vērā negatīvo procentu likmju laiku, FITL jāparedz iespēja, ka CVD izdevumus, kas saistīti ar naudas turēšanu, sedz no SR naudas līdzekļiem</w:t>
                  </w:r>
                  <w:r w:rsidR="00F05537" w:rsidRPr="00DE3F50">
                    <w:rPr>
                      <w:rFonts w:ascii="Times New Roman" w:hAnsi="Times New Roman" w:cs="Times New Roman"/>
                      <w:sz w:val="24"/>
                      <w:szCs w:val="24"/>
                      <w:lang w:val="lv-LV"/>
                    </w:rPr>
                    <w:t xml:space="preserve"> (99.</w:t>
                  </w:r>
                  <w:r w:rsidR="00F05537" w:rsidRPr="00DE3F50">
                    <w:rPr>
                      <w:rFonts w:ascii="Times New Roman" w:hAnsi="Times New Roman" w:cs="Times New Roman"/>
                      <w:sz w:val="24"/>
                      <w:szCs w:val="24"/>
                      <w:vertAlign w:val="superscript"/>
                      <w:lang w:val="lv-LV"/>
                    </w:rPr>
                    <w:t>2</w:t>
                  </w:r>
                  <w:r w:rsidR="00F05537" w:rsidRPr="00DE3F50">
                    <w:rPr>
                      <w:rFonts w:ascii="Times New Roman" w:hAnsi="Times New Roman" w:cs="Times New Roman"/>
                      <w:sz w:val="24"/>
                      <w:szCs w:val="24"/>
                      <w:lang w:val="lv-LV"/>
                    </w:rPr>
                    <w:t>pants)</w:t>
                  </w:r>
                  <w:r w:rsidRPr="00DE3F50">
                    <w:rPr>
                      <w:rFonts w:ascii="Times New Roman" w:hAnsi="Times New Roman" w:cs="Times New Roman"/>
                      <w:sz w:val="24"/>
                      <w:szCs w:val="24"/>
                      <w:lang w:val="lv-LV"/>
                    </w:rPr>
                    <w:t>.</w:t>
                  </w:r>
                </w:p>
                <w:p w14:paraId="03F69209" w14:textId="77777777" w:rsidR="00355B11" w:rsidRPr="00DE3F50" w:rsidRDefault="00355B11" w:rsidP="00313ABC">
                  <w:pPr>
                    <w:spacing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FITL jāno</w:t>
                  </w:r>
                  <w:r w:rsidR="009F5C02" w:rsidRPr="00DE3F50">
                    <w:rPr>
                      <w:rFonts w:ascii="Times New Roman" w:hAnsi="Times New Roman" w:cs="Times New Roman"/>
                      <w:sz w:val="24"/>
                      <w:szCs w:val="24"/>
                      <w:lang w:val="lv-LV"/>
                    </w:rPr>
                    <w:t>saka papildu tiesības FKTK</w:t>
                  </w:r>
                  <w:r w:rsidRPr="00DE3F50">
                    <w:rPr>
                      <w:rFonts w:ascii="Times New Roman" w:hAnsi="Times New Roman" w:cs="Times New Roman"/>
                      <w:sz w:val="24"/>
                      <w:szCs w:val="24"/>
                      <w:lang w:val="lv-LV"/>
                    </w:rPr>
                    <w:t>, lai īstenotu no Regulas Nr. 909/2014 izrietošus pienākumus (regulas 33. panta 3. punkts, 49. panta 4. punkts, 52. panta 2. punkts, 53. panta 3. punkts).</w:t>
                  </w:r>
                  <w:r w:rsidR="009F5C02" w:rsidRPr="00DE3F50">
                    <w:rPr>
                      <w:rFonts w:ascii="Times New Roman" w:hAnsi="Times New Roman" w:cs="Times New Roman"/>
                      <w:sz w:val="24"/>
                      <w:szCs w:val="24"/>
                      <w:lang w:val="lv-LV"/>
                    </w:rPr>
                    <w:t xml:space="preserve"> Tāpat FITL</w:t>
                  </w:r>
                  <w:r w:rsidRPr="00DE3F50">
                    <w:rPr>
                      <w:rFonts w:ascii="Times New Roman" w:hAnsi="Times New Roman" w:cs="Times New Roman"/>
                      <w:sz w:val="24"/>
                      <w:szCs w:val="24"/>
                      <w:lang w:val="lv-LV"/>
                    </w:rPr>
                    <w:t xml:space="preserve"> jāparedz </w:t>
                  </w:r>
                  <w:r w:rsidR="009F5C02" w:rsidRPr="00DE3F50">
                    <w:rPr>
                      <w:rFonts w:ascii="Times New Roman" w:hAnsi="Times New Roman" w:cs="Times New Roman"/>
                      <w:sz w:val="24"/>
                      <w:szCs w:val="24"/>
                      <w:lang w:val="lv-LV"/>
                    </w:rPr>
                    <w:t>FKTK</w:t>
                  </w:r>
                  <w:r w:rsidRPr="00DE3F50">
                    <w:rPr>
                      <w:rFonts w:ascii="Times New Roman" w:hAnsi="Times New Roman" w:cs="Times New Roman"/>
                      <w:sz w:val="24"/>
                      <w:szCs w:val="24"/>
                      <w:lang w:val="lv-LV"/>
                    </w:rPr>
                    <w:t xml:space="preserve"> tiesības īstenot ierobežojošus pasākumus attiecībā uz CVD dalībniekiem, ja tas nepieciešams, lai nodrošinātu finanšu tirgus stabilu darbību, tai skaitā pārtrauktu praksi, kas ir pretrunā ar Regulu Nr. 909/2014 un citiem normatīviem aktiem. Ņemot vērā, ka Regula Nr. 909/2014 izvirza prasības CVD prudenciālā jomā un </w:t>
                  </w:r>
                  <w:r w:rsidR="00CA2AA1" w:rsidRPr="00DE3F50">
                    <w:rPr>
                      <w:rFonts w:ascii="Times New Roman" w:hAnsi="Times New Roman" w:cs="Times New Roman"/>
                      <w:sz w:val="24"/>
                      <w:szCs w:val="24"/>
                      <w:lang w:val="lv-LV"/>
                    </w:rPr>
                    <w:t xml:space="preserve">ka </w:t>
                  </w:r>
                  <w:r w:rsidRPr="00DE3F50">
                    <w:rPr>
                      <w:rFonts w:ascii="Times New Roman" w:hAnsi="Times New Roman" w:cs="Times New Roman"/>
                      <w:sz w:val="24"/>
                      <w:szCs w:val="24"/>
                      <w:lang w:val="lv-LV"/>
                    </w:rPr>
                    <w:t xml:space="preserve">uzraudzība tiek balstīta uz iestādes sniegto informāciju, </w:t>
                  </w:r>
                  <w:r w:rsidR="009F5C02" w:rsidRPr="00DE3F50">
                    <w:rPr>
                      <w:rFonts w:ascii="Times New Roman" w:hAnsi="Times New Roman" w:cs="Times New Roman"/>
                      <w:sz w:val="24"/>
                      <w:szCs w:val="24"/>
                      <w:lang w:val="lv-LV"/>
                    </w:rPr>
                    <w:t>FITL</w:t>
                  </w:r>
                  <w:r w:rsidRPr="00DE3F50">
                    <w:rPr>
                      <w:rFonts w:ascii="Times New Roman" w:hAnsi="Times New Roman" w:cs="Times New Roman"/>
                      <w:sz w:val="24"/>
                      <w:szCs w:val="24"/>
                      <w:lang w:val="lv-LV"/>
                    </w:rPr>
                    <w:t xml:space="preserve"> </w:t>
                  </w:r>
                  <w:r w:rsidR="009F5C02" w:rsidRPr="00DE3F50">
                    <w:rPr>
                      <w:rFonts w:ascii="Times New Roman" w:hAnsi="Times New Roman" w:cs="Times New Roman"/>
                      <w:sz w:val="24"/>
                      <w:szCs w:val="24"/>
                      <w:lang w:val="lv-LV"/>
                    </w:rPr>
                    <w:t>jāparedz FKTK</w:t>
                  </w:r>
                  <w:r w:rsidRPr="00DE3F50">
                    <w:rPr>
                      <w:rFonts w:ascii="Times New Roman" w:hAnsi="Times New Roman" w:cs="Times New Roman"/>
                      <w:sz w:val="24"/>
                      <w:szCs w:val="24"/>
                      <w:lang w:val="lv-LV"/>
                    </w:rPr>
                    <w:t xml:space="preserve"> tiesības pieņemt noteikumus, kas nosaka informācijas apjomu un biežumu, ko CVD sniedz Komisijai uzraudzības vajadzībām</w:t>
                  </w:r>
                  <w:r w:rsidR="0017244D" w:rsidRPr="00DE3F50">
                    <w:rPr>
                      <w:rFonts w:ascii="Times New Roman" w:hAnsi="Times New Roman" w:cs="Times New Roman"/>
                      <w:sz w:val="24"/>
                      <w:szCs w:val="24"/>
                      <w:lang w:val="lv-LV"/>
                    </w:rPr>
                    <w:t xml:space="preserve"> (100.</w:t>
                  </w:r>
                  <w:r w:rsidR="0017244D" w:rsidRPr="00DE3F50">
                    <w:rPr>
                      <w:rFonts w:ascii="Times New Roman" w:hAnsi="Times New Roman" w:cs="Times New Roman"/>
                      <w:sz w:val="24"/>
                      <w:szCs w:val="24"/>
                      <w:vertAlign w:val="superscript"/>
                      <w:lang w:val="lv-LV"/>
                    </w:rPr>
                    <w:t>4</w:t>
                  </w:r>
                  <w:r w:rsidR="0017244D" w:rsidRPr="00DE3F50">
                    <w:rPr>
                      <w:rFonts w:ascii="Times New Roman" w:hAnsi="Times New Roman" w:cs="Times New Roman"/>
                      <w:sz w:val="24"/>
                      <w:szCs w:val="24"/>
                      <w:lang w:val="lv-LV"/>
                    </w:rPr>
                    <w:t>pants)</w:t>
                  </w:r>
                  <w:r w:rsidRPr="00DE3F50">
                    <w:rPr>
                      <w:rFonts w:ascii="Times New Roman" w:hAnsi="Times New Roman" w:cs="Times New Roman"/>
                      <w:sz w:val="24"/>
                      <w:szCs w:val="24"/>
                      <w:lang w:val="lv-LV"/>
                    </w:rPr>
                    <w:t>.</w:t>
                  </w:r>
                </w:p>
                <w:p w14:paraId="254D1360" w14:textId="77777777" w:rsidR="00A971D7" w:rsidRPr="00DE3F50" w:rsidRDefault="00355B11" w:rsidP="00313ABC">
                  <w:pPr>
                    <w:spacing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Regulas Nr. 909/2014 38. pants paredz minimāl</w:t>
                  </w:r>
                  <w:r w:rsidR="00CA2AA1" w:rsidRPr="00DE3F50">
                    <w:rPr>
                      <w:rFonts w:ascii="Times New Roman" w:hAnsi="Times New Roman" w:cs="Times New Roman"/>
                      <w:sz w:val="24"/>
                      <w:szCs w:val="24"/>
                      <w:lang w:val="lv-LV"/>
                    </w:rPr>
                    <w:t>o</w:t>
                  </w:r>
                  <w:r w:rsidRPr="00DE3F50">
                    <w:rPr>
                      <w:rFonts w:ascii="Times New Roman" w:hAnsi="Times New Roman" w:cs="Times New Roman"/>
                      <w:sz w:val="24"/>
                      <w:szCs w:val="24"/>
                      <w:lang w:val="lv-LV"/>
                    </w:rPr>
                    <w:t>s segregācijas līmeņus. Tirgus dalībnieki ir izteikuši vēlmi</w:t>
                  </w:r>
                  <w:r w:rsidR="009F5C02" w:rsidRPr="00DE3F50">
                    <w:rPr>
                      <w:rFonts w:ascii="Times New Roman" w:hAnsi="Times New Roman" w:cs="Times New Roman"/>
                      <w:sz w:val="24"/>
                      <w:szCs w:val="24"/>
                      <w:lang w:val="lv-LV"/>
                    </w:rPr>
                    <w:t xml:space="preserve">, ka kontu veidi ir jāatrunā likumā. </w:t>
                  </w:r>
                  <w:r w:rsidR="00A971D7" w:rsidRPr="00DE3F50">
                    <w:rPr>
                      <w:rFonts w:ascii="Times New Roman" w:hAnsi="Times New Roman" w:cs="Times New Roman"/>
                      <w:sz w:val="24"/>
                      <w:szCs w:val="24"/>
                      <w:lang w:val="lv-LV"/>
                    </w:rPr>
                    <w:t>Regula Nr. 909/2014 (nedz 38. pants, nedz citi panti) neparedz kontu veidus, kādus atver CVD līmenī. Regulas</w:t>
                  </w:r>
                  <w:r w:rsidR="00CA2AA1" w:rsidRPr="00DE3F50">
                    <w:rPr>
                      <w:rFonts w:ascii="Times New Roman" w:hAnsi="Times New Roman" w:cs="Times New Roman"/>
                      <w:sz w:val="24"/>
                      <w:szCs w:val="24"/>
                      <w:lang w:val="lv-LV"/>
                    </w:rPr>
                    <w:t xml:space="preserve"> Nr. 909/2014</w:t>
                  </w:r>
                  <w:r w:rsidR="00A971D7" w:rsidRPr="00DE3F50">
                    <w:rPr>
                      <w:rFonts w:ascii="Times New Roman" w:hAnsi="Times New Roman" w:cs="Times New Roman"/>
                      <w:sz w:val="24"/>
                      <w:szCs w:val="24"/>
                      <w:lang w:val="lv-LV"/>
                    </w:rPr>
                    <w:t xml:space="preserve"> 38.pants nosaka minimālos segregācijas līmeņus. Finanšu instrumentu norēķinu sistēmā var paredzēt tādus kontu veidus, kas atbilst 38.pantā norādītiem segregācijas līmeņiem. Latvijā modelis līdz šim ir bijis tāds, ka likums neregulēja, kādi konti tiek uzturēti depozitārija līmenī.</w:t>
                  </w:r>
                </w:p>
                <w:p w14:paraId="18ED14E2" w14:textId="1CC47EC5" w:rsidR="005024CC" w:rsidRPr="00DE3F50" w:rsidRDefault="009F5C02" w:rsidP="00313ABC">
                  <w:pPr>
                    <w:spacing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Likumprojektā p</w:t>
                  </w:r>
                  <w:r w:rsidR="00355B11" w:rsidRPr="00DE3F50">
                    <w:rPr>
                      <w:rFonts w:ascii="Times New Roman" w:hAnsi="Times New Roman" w:cs="Times New Roman"/>
                      <w:sz w:val="24"/>
                      <w:szCs w:val="24"/>
                      <w:lang w:val="lv-LV"/>
                    </w:rPr>
                    <w:t xml:space="preserve">iedāvātie kontu veidi atbilst </w:t>
                  </w:r>
                  <w:r w:rsidRPr="00DE3F50">
                    <w:rPr>
                      <w:rFonts w:ascii="Times New Roman" w:hAnsi="Times New Roman" w:cs="Times New Roman"/>
                      <w:sz w:val="24"/>
                      <w:szCs w:val="24"/>
                      <w:lang w:val="lv-LV"/>
                    </w:rPr>
                    <w:t>Regulas Nr. 909/2014</w:t>
                  </w:r>
                  <w:r w:rsidR="00355B11" w:rsidRPr="00DE3F50">
                    <w:rPr>
                      <w:rFonts w:ascii="Times New Roman" w:hAnsi="Times New Roman" w:cs="Times New Roman"/>
                      <w:sz w:val="24"/>
                      <w:szCs w:val="24"/>
                      <w:lang w:val="lv-LV"/>
                    </w:rPr>
                    <w:t xml:space="preserve"> 38. pantā minēta</w:t>
                  </w:r>
                  <w:r w:rsidR="00CA2AA1" w:rsidRPr="00DE3F50">
                    <w:rPr>
                      <w:rFonts w:ascii="Times New Roman" w:hAnsi="Times New Roman" w:cs="Times New Roman"/>
                      <w:sz w:val="24"/>
                      <w:szCs w:val="24"/>
                      <w:lang w:val="lv-LV"/>
                    </w:rPr>
                    <w:t>ja</w:t>
                  </w:r>
                  <w:r w:rsidR="00355B11" w:rsidRPr="00DE3F50">
                    <w:rPr>
                      <w:rFonts w:ascii="Times New Roman" w:hAnsi="Times New Roman" w:cs="Times New Roman"/>
                      <w:sz w:val="24"/>
                      <w:szCs w:val="24"/>
                      <w:lang w:val="lv-LV"/>
                    </w:rPr>
                    <w:t xml:space="preserve">i segregācijai. </w:t>
                  </w:r>
                  <w:r w:rsidR="002E0B6F" w:rsidRPr="00DE3F50">
                    <w:rPr>
                      <w:rFonts w:ascii="Times New Roman" w:hAnsi="Times New Roman" w:cs="Times New Roman"/>
                      <w:sz w:val="24"/>
                      <w:szCs w:val="24"/>
                      <w:lang w:val="lv-LV"/>
                    </w:rPr>
                    <w:t>K</w:t>
                  </w:r>
                  <w:r w:rsidR="00AD5914" w:rsidRPr="00DE3F50">
                    <w:rPr>
                      <w:rFonts w:ascii="Times New Roman" w:hAnsi="Times New Roman" w:cs="Times New Roman"/>
                      <w:sz w:val="24"/>
                      <w:szCs w:val="24"/>
                      <w:lang w:val="lv-LV"/>
                    </w:rPr>
                    <w:t>ontu veidu uzskaitījum</w:t>
                  </w:r>
                  <w:r w:rsidR="00A971D7" w:rsidRPr="00DE3F50">
                    <w:rPr>
                      <w:rFonts w:ascii="Times New Roman" w:hAnsi="Times New Roman" w:cs="Times New Roman"/>
                      <w:sz w:val="24"/>
                      <w:szCs w:val="24"/>
                      <w:lang w:val="lv-LV"/>
                    </w:rPr>
                    <w:t xml:space="preserve">am </w:t>
                  </w:r>
                  <w:r w:rsidR="00355B11" w:rsidRPr="00DE3F50">
                    <w:rPr>
                      <w:rFonts w:ascii="Times New Roman" w:hAnsi="Times New Roman" w:cs="Times New Roman"/>
                      <w:sz w:val="24"/>
                      <w:szCs w:val="24"/>
                      <w:lang w:val="lv-LV"/>
                    </w:rPr>
                    <w:t xml:space="preserve">likumā </w:t>
                  </w:r>
                  <w:r w:rsidR="00CA2AA1" w:rsidRPr="00DE3F50">
                    <w:rPr>
                      <w:rFonts w:ascii="Times New Roman" w:hAnsi="Times New Roman" w:cs="Times New Roman"/>
                      <w:sz w:val="24"/>
                      <w:szCs w:val="24"/>
                      <w:lang w:val="lv-LV"/>
                    </w:rPr>
                    <w:t>nav jābūt noslēgtam. Likumā</w:t>
                  </w:r>
                  <w:r w:rsidR="00A971D7" w:rsidRPr="00DE3F50">
                    <w:rPr>
                      <w:rFonts w:ascii="Times New Roman" w:hAnsi="Times New Roman" w:cs="Times New Roman"/>
                      <w:sz w:val="24"/>
                      <w:szCs w:val="24"/>
                      <w:lang w:val="lv-LV"/>
                    </w:rPr>
                    <w:t xml:space="preserve"> </w:t>
                  </w:r>
                  <w:r w:rsidR="00CA2AA1" w:rsidRPr="00DE3F50">
                    <w:rPr>
                      <w:rFonts w:ascii="Times New Roman" w:hAnsi="Times New Roman" w:cs="Times New Roman"/>
                      <w:sz w:val="24"/>
                      <w:szCs w:val="24"/>
                      <w:lang w:val="lv-LV"/>
                    </w:rPr>
                    <w:t>jā</w:t>
                  </w:r>
                  <w:r w:rsidR="00A971D7" w:rsidRPr="00DE3F50">
                    <w:rPr>
                      <w:rFonts w:ascii="Times New Roman" w:hAnsi="Times New Roman" w:cs="Times New Roman"/>
                      <w:sz w:val="24"/>
                      <w:szCs w:val="24"/>
                      <w:lang w:val="lv-LV"/>
                    </w:rPr>
                    <w:t>atstāj</w:t>
                  </w:r>
                  <w:r w:rsidR="00CA2AA1" w:rsidRPr="00DE3F50">
                    <w:rPr>
                      <w:rFonts w:ascii="Times New Roman" w:hAnsi="Times New Roman" w:cs="Times New Roman"/>
                      <w:sz w:val="24"/>
                      <w:szCs w:val="24"/>
                      <w:lang w:val="lv-LV"/>
                    </w:rPr>
                    <w:t xml:space="preserve"> iespēja</w:t>
                  </w:r>
                  <w:r w:rsidR="00A971D7" w:rsidRPr="00DE3F50">
                    <w:rPr>
                      <w:rFonts w:ascii="Times New Roman" w:hAnsi="Times New Roman" w:cs="Times New Roman"/>
                      <w:sz w:val="24"/>
                      <w:szCs w:val="24"/>
                      <w:lang w:val="lv-LV"/>
                    </w:rPr>
                    <w:t xml:space="preserve"> </w:t>
                  </w:r>
                  <w:r w:rsidR="00CA2AA1" w:rsidRPr="00DE3F50">
                    <w:rPr>
                      <w:rFonts w:ascii="Times New Roman" w:hAnsi="Times New Roman" w:cs="Times New Roman"/>
                      <w:sz w:val="24"/>
                      <w:szCs w:val="24"/>
                      <w:lang w:val="lv-LV"/>
                    </w:rPr>
                    <w:t xml:space="preserve">sistēmā paredzēt citus kontu veidus, </w:t>
                  </w:r>
                  <w:r w:rsidR="00A971D7" w:rsidRPr="00DE3F50">
                    <w:rPr>
                      <w:rFonts w:ascii="Times New Roman" w:hAnsi="Times New Roman" w:cs="Times New Roman"/>
                      <w:sz w:val="24"/>
                      <w:szCs w:val="24"/>
                      <w:lang w:val="lv-LV"/>
                    </w:rPr>
                    <w:t>ja tirgus dalībnieki par to vienojas (ja radīsies attiecīgs pieprasīj</w:t>
                  </w:r>
                  <w:r w:rsidR="00CA2AA1" w:rsidRPr="00DE3F50">
                    <w:rPr>
                      <w:rFonts w:ascii="Times New Roman" w:hAnsi="Times New Roman" w:cs="Times New Roman"/>
                      <w:sz w:val="24"/>
                      <w:szCs w:val="24"/>
                      <w:lang w:val="lv-LV"/>
                    </w:rPr>
                    <w:t>ums no tirgus dalībnieku puses)</w:t>
                  </w:r>
                  <w:r w:rsidR="00A971D7" w:rsidRPr="00DE3F50">
                    <w:rPr>
                      <w:rFonts w:ascii="Times New Roman" w:hAnsi="Times New Roman" w:cs="Times New Roman"/>
                      <w:sz w:val="24"/>
                      <w:szCs w:val="24"/>
                      <w:lang w:val="lv-LV"/>
                    </w:rPr>
                    <w:t xml:space="preserve">. </w:t>
                  </w:r>
                  <w:r w:rsidR="009E5F15" w:rsidRPr="00DE3F50">
                    <w:rPr>
                      <w:rFonts w:ascii="Times New Roman" w:hAnsi="Times New Roman" w:cs="Times New Roman"/>
                      <w:sz w:val="24"/>
                      <w:szCs w:val="24"/>
                      <w:lang w:val="lv-LV"/>
                    </w:rPr>
                    <w:t>Slēgtais k</w:t>
                  </w:r>
                  <w:r w:rsidR="0000558A" w:rsidRPr="00DE3F50">
                    <w:rPr>
                      <w:rFonts w:ascii="Times New Roman" w:hAnsi="Times New Roman" w:cs="Times New Roman"/>
                      <w:sz w:val="24"/>
                      <w:szCs w:val="24"/>
                      <w:lang w:val="lv-LV"/>
                    </w:rPr>
                    <w:t>ontu veidu uzskaitījums būtu ierobežojums, kas nav paredzēts Regulā</w:t>
                  </w:r>
                  <w:r w:rsidR="0006479A">
                    <w:rPr>
                      <w:rFonts w:ascii="Times New Roman" w:hAnsi="Times New Roman" w:cs="Times New Roman"/>
                      <w:sz w:val="24"/>
                      <w:szCs w:val="24"/>
                      <w:lang w:val="lv-LV"/>
                    </w:rPr>
                    <w:t xml:space="preserve"> Nr.</w:t>
                  </w:r>
                  <w:r w:rsidR="0006479A" w:rsidRPr="004E2488">
                    <w:rPr>
                      <w:rFonts w:ascii="Times New Roman" w:hAnsi="Times New Roman" w:cs="Times New Roman"/>
                      <w:sz w:val="24"/>
                      <w:szCs w:val="24"/>
                      <w:lang w:val="lv-LV"/>
                    </w:rPr>
                    <w:t>909/2014</w:t>
                  </w:r>
                  <w:r w:rsidR="0000558A" w:rsidRPr="0036654A">
                    <w:rPr>
                      <w:rFonts w:ascii="Times New Roman" w:hAnsi="Times New Roman" w:cs="Times New Roman"/>
                      <w:sz w:val="24"/>
                      <w:szCs w:val="24"/>
                      <w:lang w:val="lv-LV"/>
                    </w:rPr>
                    <w:t xml:space="preserve">. </w:t>
                  </w:r>
                  <w:r w:rsidR="005F5A0F" w:rsidRPr="0036654A">
                    <w:rPr>
                      <w:rFonts w:ascii="Times New Roman" w:hAnsi="Times New Roman" w:cs="Times New Roman"/>
                      <w:sz w:val="24"/>
                      <w:szCs w:val="24"/>
                      <w:lang w:val="lv-LV"/>
                    </w:rPr>
                    <w:t xml:space="preserve">Tas būtu ierobežojums arī citā ES dalībvalstī reģistrētam CVD, kurš var izvēlēties Latvijas likumu tā uzturētajai vērtspapīru norēķinu </w:t>
                  </w:r>
                  <w:r w:rsidR="003F442C" w:rsidRPr="0036654A">
                    <w:rPr>
                      <w:rFonts w:ascii="Times New Roman" w:hAnsi="Times New Roman" w:cs="Times New Roman"/>
                      <w:sz w:val="24"/>
                      <w:szCs w:val="24"/>
                      <w:lang w:val="lv-LV"/>
                    </w:rPr>
                    <w:t>sistēmai. Attiecībā uz individuāliem kontiem (</w:t>
                  </w:r>
                  <w:r w:rsidR="0006479A">
                    <w:rPr>
                      <w:rFonts w:ascii="Times New Roman" w:hAnsi="Times New Roman" w:cs="Times New Roman"/>
                      <w:sz w:val="24"/>
                      <w:szCs w:val="24"/>
                      <w:lang w:val="lv-LV"/>
                    </w:rPr>
                    <w:t xml:space="preserve">turpmāk - </w:t>
                  </w:r>
                  <w:r w:rsidR="003F442C" w:rsidRPr="0036654A">
                    <w:rPr>
                      <w:rFonts w:ascii="Times New Roman" w:hAnsi="Times New Roman" w:cs="Times New Roman"/>
                      <w:sz w:val="24"/>
                      <w:szCs w:val="24"/>
                      <w:lang w:val="lv-LV"/>
                    </w:rPr>
                    <w:t>IK) j</w:t>
                  </w:r>
                  <w:r w:rsidR="00EF2525" w:rsidRPr="0036654A">
                    <w:rPr>
                      <w:rFonts w:ascii="Times New Roman" w:hAnsi="Times New Roman" w:cs="Times New Roman"/>
                      <w:sz w:val="24"/>
                      <w:szCs w:val="24"/>
                      <w:lang w:val="lv-LV"/>
                    </w:rPr>
                    <w:t>āievieš</w:t>
                  </w:r>
                  <w:r w:rsidR="00355B11" w:rsidRPr="0036654A">
                    <w:rPr>
                      <w:rFonts w:ascii="Times New Roman" w:hAnsi="Times New Roman" w:cs="Times New Roman"/>
                      <w:sz w:val="24"/>
                      <w:szCs w:val="24"/>
                      <w:lang w:val="lv-LV"/>
                    </w:rPr>
                    <w:t xml:space="preserve"> prasība </w:t>
                  </w:r>
                  <w:r w:rsidR="003F442C" w:rsidRPr="0036654A">
                    <w:rPr>
                      <w:rFonts w:ascii="Times New Roman" w:hAnsi="Times New Roman" w:cs="Times New Roman"/>
                      <w:sz w:val="24"/>
                      <w:szCs w:val="24"/>
                      <w:lang w:val="lv-LV"/>
                    </w:rPr>
                    <w:t xml:space="preserve">CVD līmenī </w:t>
                  </w:r>
                  <w:r w:rsidR="00355B11" w:rsidRPr="0036654A">
                    <w:rPr>
                      <w:rFonts w:ascii="Times New Roman" w:hAnsi="Times New Roman" w:cs="Times New Roman"/>
                      <w:sz w:val="24"/>
                      <w:szCs w:val="24"/>
                      <w:lang w:val="lv-LV"/>
                    </w:rPr>
                    <w:t>identificēt</w:t>
                  </w:r>
                  <w:r w:rsidR="003F442C" w:rsidRPr="002A3C7D">
                    <w:rPr>
                      <w:rFonts w:ascii="Times New Roman" w:hAnsi="Times New Roman" w:cs="Times New Roman"/>
                      <w:sz w:val="24"/>
                      <w:szCs w:val="24"/>
                      <w:lang w:val="lv-LV"/>
                    </w:rPr>
                    <w:t xml:space="preserve"> personu, kuras īpašumā vai turējumā atrodas IK esošie vērtspapīri</w:t>
                  </w:r>
                  <w:r w:rsidR="00EF2525" w:rsidRPr="00DE3F50">
                    <w:rPr>
                      <w:rFonts w:ascii="Times New Roman" w:hAnsi="Times New Roman" w:cs="Times New Roman"/>
                      <w:sz w:val="24"/>
                      <w:szCs w:val="24"/>
                      <w:lang w:val="lv-LV"/>
                    </w:rPr>
                    <w:t>. Identifikācija dotu</w:t>
                  </w:r>
                  <w:r w:rsidR="00355B11" w:rsidRPr="00DE3F50">
                    <w:rPr>
                      <w:rFonts w:ascii="Times New Roman" w:hAnsi="Times New Roman" w:cs="Times New Roman"/>
                      <w:sz w:val="24"/>
                      <w:szCs w:val="24"/>
                      <w:lang w:val="lv-LV"/>
                    </w:rPr>
                    <w:t xml:space="preserve"> iespēju nodrošināt darījumu pārskatāmību efektīvākai uzraudzībai – ar mazākiem izdevumiem ir zināms</w:t>
                  </w:r>
                  <w:r w:rsidR="003F442C" w:rsidRPr="00DE3F50">
                    <w:rPr>
                      <w:rFonts w:ascii="Times New Roman" w:hAnsi="Times New Roman" w:cs="Times New Roman"/>
                      <w:sz w:val="24"/>
                      <w:szCs w:val="24"/>
                      <w:lang w:val="lv-LV"/>
                    </w:rPr>
                    <w:t xml:space="preserve"> vērtspapīru</w:t>
                  </w:r>
                  <w:r w:rsidR="00355B11" w:rsidRPr="00DE3F50">
                    <w:rPr>
                      <w:rFonts w:ascii="Times New Roman" w:hAnsi="Times New Roman" w:cs="Times New Roman"/>
                      <w:sz w:val="24"/>
                      <w:szCs w:val="24"/>
                      <w:lang w:val="lv-LV"/>
                    </w:rPr>
                    <w:t xml:space="preserve"> īpašnieks</w:t>
                  </w:r>
                  <w:r w:rsidR="003F442C" w:rsidRPr="00DE3F50">
                    <w:rPr>
                      <w:rFonts w:ascii="Times New Roman" w:hAnsi="Times New Roman" w:cs="Times New Roman"/>
                      <w:sz w:val="24"/>
                      <w:szCs w:val="24"/>
                      <w:lang w:val="lv-LV"/>
                    </w:rPr>
                    <w:t xml:space="preserve"> vai turētājs</w:t>
                  </w:r>
                  <w:r w:rsidR="00355B11" w:rsidRPr="00DE3F50">
                    <w:rPr>
                      <w:rFonts w:ascii="Times New Roman" w:hAnsi="Times New Roman" w:cs="Times New Roman"/>
                      <w:sz w:val="24"/>
                      <w:szCs w:val="24"/>
                      <w:lang w:val="lv-LV"/>
                    </w:rPr>
                    <w:t>.</w:t>
                  </w:r>
                  <w:r w:rsidR="007B43DA" w:rsidRPr="00DE3F50">
                    <w:rPr>
                      <w:rFonts w:ascii="Times New Roman" w:hAnsi="Times New Roman" w:cs="Times New Roman"/>
                      <w:sz w:val="24"/>
                      <w:szCs w:val="24"/>
                      <w:lang w:val="lv-LV"/>
                    </w:rPr>
                    <w:t xml:space="preserve"> </w:t>
                  </w:r>
                </w:p>
                <w:p w14:paraId="5A46CEC2" w14:textId="77777777" w:rsidR="00355B11" w:rsidRPr="00DE3F50" w:rsidRDefault="007B43DA" w:rsidP="00313ABC">
                  <w:pPr>
                    <w:spacing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 xml:space="preserve">Likumprojektā nav nepieciešams iekļaut normas par IK apkalpošanas kārtību – attiecībā uz šo darbojas vispārīgi principi, ka konta apkalpošana notiek saskaņā ar noslēgtiem līgumiem. Piemēram, kaut arī IK tiks uzskaitīti CVD dalībnieka klienta īpašumā vai turējumā esošie finanšu instrumenti, nav nepieciešams noteikt, kuras personas rīkojumus rīcībai ar IK esošiem finanšu </w:t>
                  </w:r>
                  <w:r w:rsidRPr="00DE3F50">
                    <w:rPr>
                      <w:rFonts w:ascii="Times New Roman" w:hAnsi="Times New Roman" w:cs="Times New Roman"/>
                      <w:sz w:val="24"/>
                      <w:szCs w:val="24"/>
                      <w:lang w:val="lv-LV"/>
                    </w:rPr>
                    <w:lastRenderedPageBreak/>
                    <w:t>instrumentiem CVD pieņem izpildei, jo CVD ir līgumattiecības tikai ar tā dalībniekiem, bet IK atvēršana nerada līgumattiecības starp CVD un CVD dalībnieka klientu, līdz ar ko nav pamata uzskatam, ka IK īpašnieks ir cita persona nekā CVD dalībnieks. Tikai CVD dalībnieks varēs operēt, proti, sniegt CVD pārveduma instrukcijas darbībām ar IK</w:t>
                  </w:r>
                  <w:r w:rsidR="0017244D" w:rsidRPr="00DE3F50">
                    <w:rPr>
                      <w:rFonts w:ascii="Times New Roman" w:hAnsi="Times New Roman" w:cs="Times New Roman"/>
                      <w:sz w:val="24"/>
                      <w:szCs w:val="24"/>
                      <w:lang w:val="lv-LV"/>
                    </w:rPr>
                    <w:t xml:space="preserve"> (100.</w:t>
                  </w:r>
                  <w:r w:rsidR="0017244D" w:rsidRPr="00DE3F50">
                    <w:rPr>
                      <w:rFonts w:ascii="Times New Roman" w:hAnsi="Times New Roman" w:cs="Times New Roman"/>
                      <w:sz w:val="24"/>
                      <w:szCs w:val="24"/>
                      <w:vertAlign w:val="superscript"/>
                      <w:lang w:val="lv-LV"/>
                    </w:rPr>
                    <w:t>1</w:t>
                  </w:r>
                  <w:r w:rsidR="0017244D" w:rsidRPr="00DE3F50">
                    <w:rPr>
                      <w:rFonts w:ascii="Times New Roman" w:hAnsi="Times New Roman" w:cs="Times New Roman"/>
                      <w:sz w:val="24"/>
                      <w:szCs w:val="24"/>
                      <w:lang w:val="lv-LV"/>
                    </w:rPr>
                    <w:t>pants)</w:t>
                  </w:r>
                  <w:r w:rsidRPr="00DE3F50">
                    <w:rPr>
                      <w:rFonts w:ascii="Times New Roman" w:hAnsi="Times New Roman" w:cs="Times New Roman"/>
                      <w:sz w:val="24"/>
                      <w:szCs w:val="24"/>
                      <w:lang w:val="lv-LV"/>
                    </w:rPr>
                    <w:t>.</w:t>
                  </w:r>
                </w:p>
                <w:p w14:paraId="6976CC34" w14:textId="77777777" w:rsidR="008B62B3" w:rsidRPr="00DE3F50" w:rsidRDefault="008B62B3" w:rsidP="00313ABC">
                  <w:pPr>
                    <w:spacing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Ņemot vērā, ka nākotnē mainās CVD kontu struktūra, FITL ir jāprecizē īpašumtiesību aspekti attiecībā uz finanšu instrumentiem, kas atrodas CVD kontos</w:t>
                  </w:r>
                  <w:r w:rsidR="0017244D" w:rsidRPr="00DE3F50">
                    <w:rPr>
                      <w:rFonts w:ascii="Times New Roman" w:hAnsi="Times New Roman" w:cs="Times New Roman"/>
                      <w:sz w:val="24"/>
                      <w:szCs w:val="24"/>
                      <w:lang w:val="lv-LV"/>
                    </w:rPr>
                    <w:t xml:space="preserve"> (125.pants)</w:t>
                  </w:r>
                  <w:r w:rsidRPr="00DE3F50">
                    <w:rPr>
                      <w:rFonts w:ascii="Times New Roman" w:hAnsi="Times New Roman" w:cs="Times New Roman"/>
                      <w:sz w:val="24"/>
                      <w:szCs w:val="24"/>
                      <w:lang w:val="lv-LV"/>
                    </w:rPr>
                    <w:t>.</w:t>
                  </w:r>
                </w:p>
                <w:p w14:paraId="0D84DE08" w14:textId="77777777" w:rsidR="00B82B9E" w:rsidRPr="00DE3F50" w:rsidRDefault="00B82B9E" w:rsidP="00313ABC">
                  <w:pPr>
                    <w:spacing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Šobrīd praksē nav unificēt</w:t>
                  </w:r>
                  <w:r w:rsidR="00F66D86" w:rsidRPr="00DE3F50">
                    <w:rPr>
                      <w:rFonts w:ascii="Times New Roman" w:hAnsi="Times New Roman" w:cs="Times New Roman"/>
                      <w:sz w:val="24"/>
                      <w:szCs w:val="24"/>
                      <w:lang w:val="lv-LV"/>
                    </w:rPr>
                    <w:t>a</w:t>
                  </w:r>
                  <w:r w:rsidRPr="00DE3F50">
                    <w:rPr>
                      <w:rFonts w:ascii="Times New Roman" w:hAnsi="Times New Roman" w:cs="Times New Roman"/>
                      <w:sz w:val="24"/>
                      <w:szCs w:val="24"/>
                      <w:lang w:val="lv-LV"/>
                    </w:rPr>
                    <w:t>s procedūras, kādā veidā jāreģistrē ķīla uz finanšu instrumentiem. Tas var notikt gan ar pārvedumu uz ieķīlāto finanšu instrumentu kontu, gan ar atzīmi esošā finanšu instrumentu kontā. Likumprojekts atstāj ķīlas reģistrāciju līgumslēdzēju ziņā. Likumprojekts precizē, kas tiek uzskatīts par ķīlas tiesību pierādījumu abos iepriekšminētos variantos.</w:t>
                  </w:r>
                </w:p>
                <w:p w14:paraId="3D46850A" w14:textId="77777777" w:rsidR="00355B11" w:rsidRPr="00DE3F50" w:rsidRDefault="00EF2525" w:rsidP="00313ABC">
                  <w:pPr>
                    <w:spacing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 xml:space="preserve">Ņemot vērā, ka </w:t>
                  </w:r>
                  <w:r w:rsidR="00357A71" w:rsidRPr="00DE3F50">
                    <w:rPr>
                      <w:rFonts w:ascii="Times New Roman" w:hAnsi="Times New Roman" w:cs="Times New Roman"/>
                      <w:sz w:val="24"/>
                      <w:szCs w:val="24"/>
                      <w:lang w:val="lv-LV"/>
                    </w:rPr>
                    <w:t>RTS 67.</w:t>
                  </w:r>
                  <w:r w:rsidR="00355B11" w:rsidRPr="00DE3F50">
                    <w:rPr>
                      <w:rFonts w:ascii="Times New Roman" w:hAnsi="Times New Roman" w:cs="Times New Roman"/>
                      <w:sz w:val="24"/>
                      <w:szCs w:val="24"/>
                      <w:lang w:val="lv-LV"/>
                    </w:rPr>
                    <w:t>pants uzliek par pienākumu CVD analizēt tā dalībnieku klientu darījumus, FITL jāparedz CVD tiesības saņemt no kredītiestādēm un ieguldījumu brokeru sabiedrībām informāciju par to klientu kontiem</w:t>
                  </w:r>
                  <w:r w:rsidR="00BF5B8B" w:rsidRPr="00DE3F50">
                    <w:rPr>
                      <w:rFonts w:ascii="Times New Roman" w:hAnsi="Times New Roman" w:cs="Times New Roman"/>
                      <w:sz w:val="24"/>
                      <w:szCs w:val="24"/>
                      <w:lang w:val="lv-LV"/>
                    </w:rPr>
                    <w:t xml:space="preserve"> (</w:t>
                  </w:r>
                  <w:r w:rsidR="00705136" w:rsidRPr="00DE3F50">
                    <w:rPr>
                      <w:rFonts w:ascii="Times New Roman" w:hAnsi="Times New Roman" w:cs="Times New Roman"/>
                      <w:sz w:val="24"/>
                      <w:szCs w:val="24"/>
                      <w:lang w:val="lv-LV"/>
                    </w:rPr>
                    <w:t>131.pants)</w:t>
                  </w:r>
                  <w:r w:rsidR="00355B11" w:rsidRPr="00DE3F50">
                    <w:rPr>
                      <w:rFonts w:ascii="Times New Roman" w:hAnsi="Times New Roman" w:cs="Times New Roman"/>
                      <w:sz w:val="24"/>
                      <w:szCs w:val="24"/>
                      <w:lang w:val="lv-LV"/>
                    </w:rPr>
                    <w:t>.</w:t>
                  </w:r>
                </w:p>
                <w:p w14:paraId="556AA9F2" w14:textId="77777777" w:rsidR="00355B11" w:rsidRPr="00DE3F50" w:rsidRDefault="00355B11" w:rsidP="00313ABC">
                  <w:pPr>
                    <w:spacing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FITL jāatrunā kārtībā, kādā notiek dalībnieka konta CVD apkalpošana, ja dalībnieks zaudē licenci/kļūst maksātnespējīgs, lai ir skaidrs, kādā veidā var notikt šī konta tālākā apkalpošana.</w:t>
                  </w:r>
                  <w:r w:rsidR="00CC7EC9" w:rsidRPr="00DE3F50">
                    <w:rPr>
                      <w:rFonts w:ascii="Times New Roman" w:hAnsi="Times New Roman" w:cs="Times New Roman"/>
                      <w:sz w:val="24"/>
                      <w:szCs w:val="24"/>
                      <w:lang w:val="lv-LV"/>
                    </w:rPr>
                    <w:t xml:space="preserve"> FITL nav jāatrunā procedūras, kas CVD jāīsteno CVD dalībnieka maksātnespējas gadījumā, jo šāds pienākums</w:t>
                  </w:r>
                  <w:r w:rsidR="00CC7EC9" w:rsidRPr="00DE3F50">
                    <w:rPr>
                      <w:rFonts w:ascii="Times New Roman" w:hAnsi="Times New Roman" w:cs="Times New Roman"/>
                      <w:i/>
                      <w:sz w:val="24"/>
                      <w:szCs w:val="24"/>
                      <w:lang w:val="lv-LV"/>
                    </w:rPr>
                    <w:t xml:space="preserve"> </w:t>
                  </w:r>
                  <w:r w:rsidR="0008225C" w:rsidRPr="00DE3F50">
                    <w:rPr>
                      <w:rFonts w:ascii="Times New Roman" w:hAnsi="Times New Roman" w:cs="Times New Roman"/>
                      <w:sz w:val="24"/>
                      <w:szCs w:val="24"/>
                      <w:lang w:val="lv-LV"/>
                    </w:rPr>
                    <w:t>izriet no R</w:t>
                  </w:r>
                  <w:r w:rsidR="00CC7EC9" w:rsidRPr="00DE3F50">
                    <w:rPr>
                      <w:rFonts w:ascii="Times New Roman" w:hAnsi="Times New Roman" w:cs="Times New Roman"/>
                      <w:sz w:val="24"/>
                      <w:szCs w:val="24"/>
                      <w:lang w:val="lv-LV"/>
                    </w:rPr>
                    <w:t xml:space="preserve">egulas </w:t>
                  </w:r>
                  <w:r w:rsidR="0008225C" w:rsidRPr="00DE3F50">
                    <w:rPr>
                      <w:rFonts w:ascii="Times New Roman" w:hAnsi="Times New Roman" w:cs="Times New Roman"/>
                      <w:sz w:val="24"/>
                      <w:szCs w:val="24"/>
                      <w:lang w:val="lv-LV"/>
                    </w:rPr>
                    <w:t xml:space="preserve">Nr. 909/2014 </w:t>
                  </w:r>
                  <w:r w:rsidR="00CC7EC9" w:rsidRPr="00DE3F50">
                    <w:rPr>
                      <w:rFonts w:ascii="Times New Roman" w:hAnsi="Times New Roman" w:cs="Times New Roman"/>
                      <w:sz w:val="24"/>
                      <w:szCs w:val="24"/>
                      <w:lang w:val="lv-LV"/>
                    </w:rPr>
                    <w:t>41.panta, kura piemērošana tiks paskaidrota Eiropas Vērtspapīru un tirgus iestādes izdotās pamatnostādnēs (šobrīd pieņemšanas procesā)</w:t>
                  </w:r>
                  <w:r w:rsidR="008F2F46" w:rsidRPr="00DE3F50">
                    <w:rPr>
                      <w:rFonts w:ascii="Times New Roman" w:hAnsi="Times New Roman" w:cs="Times New Roman"/>
                      <w:sz w:val="24"/>
                      <w:szCs w:val="24"/>
                      <w:lang w:val="lv-LV"/>
                    </w:rPr>
                    <w:t xml:space="preserve"> (100.</w:t>
                  </w:r>
                  <w:r w:rsidR="008F2F46" w:rsidRPr="00DE3F50">
                    <w:rPr>
                      <w:rFonts w:ascii="Times New Roman" w:hAnsi="Times New Roman" w:cs="Times New Roman"/>
                      <w:sz w:val="24"/>
                      <w:szCs w:val="24"/>
                      <w:vertAlign w:val="superscript"/>
                      <w:lang w:val="lv-LV"/>
                    </w:rPr>
                    <w:t>2</w:t>
                  </w:r>
                  <w:r w:rsidR="008F2F46" w:rsidRPr="00DE3F50">
                    <w:rPr>
                      <w:rFonts w:ascii="Times New Roman" w:hAnsi="Times New Roman" w:cs="Times New Roman"/>
                      <w:sz w:val="24"/>
                      <w:szCs w:val="24"/>
                      <w:lang w:val="lv-LV"/>
                    </w:rPr>
                    <w:t>pants)</w:t>
                  </w:r>
                  <w:r w:rsidR="00CC7EC9" w:rsidRPr="00DE3F50">
                    <w:rPr>
                      <w:rFonts w:ascii="Times New Roman" w:hAnsi="Times New Roman" w:cs="Times New Roman"/>
                      <w:sz w:val="24"/>
                      <w:szCs w:val="24"/>
                      <w:lang w:val="lv-LV"/>
                    </w:rPr>
                    <w:t>.</w:t>
                  </w:r>
                </w:p>
                <w:p w14:paraId="78069688" w14:textId="5E2936B6" w:rsidR="00355B11" w:rsidRPr="0036654A" w:rsidRDefault="00355B11" w:rsidP="00313ABC">
                  <w:pPr>
                    <w:spacing w:line="240" w:lineRule="auto"/>
                    <w:jc w:val="both"/>
                    <w:rPr>
                      <w:rFonts w:ascii="Times New Roman" w:hAnsi="Times New Roman" w:cs="Times New Roman"/>
                      <w:sz w:val="24"/>
                      <w:szCs w:val="24"/>
                      <w:lang w:val="lv-LV"/>
                    </w:rPr>
                  </w:pPr>
                  <w:r w:rsidRPr="00DE3F50">
                    <w:rPr>
                      <w:rFonts w:ascii="Times New Roman" w:hAnsi="Times New Roman" w:cs="Times New Roman"/>
                      <w:sz w:val="24"/>
                      <w:szCs w:val="24"/>
                      <w:lang w:val="lv-LV"/>
                    </w:rPr>
                    <w:t xml:space="preserve">Ņemot vēra, ka CVD ir finanšu tirgus nozīmīgās infrastruktūras operators, no kura stabilas darbības ir atkarīgā visa finanšu sektora stabilitāte (piemēram, CVD stabila darbība ir nepieciešama, lai kredītiestādēm būtu nodrošināta piekļuve centrālās bankas monetārām operācijām) un CVD vadības neatbilstošā rīcība vai problēmas CVD darbībā var radīt nopietnus draudus finanšu sektoram kopumā, FITL jāparedz ierobežojumi CVD, kas pēc </w:t>
                  </w:r>
                  <w:r w:rsidRPr="002A3C7D">
                    <w:rPr>
                      <w:rFonts w:ascii="Times New Roman" w:hAnsi="Times New Roman" w:cs="Times New Roman"/>
                      <w:sz w:val="24"/>
                      <w:szCs w:val="24"/>
                      <w:lang w:val="lv-LV"/>
                    </w:rPr>
                    <w:t xml:space="preserve">būtības identiski ierobežojumiem kredītiestādēm, </w:t>
                  </w:r>
                  <w:r w:rsidR="008F0D13">
                    <w:rPr>
                      <w:rFonts w:ascii="Times New Roman" w:hAnsi="Times New Roman" w:cs="Times New Roman"/>
                      <w:sz w:val="24"/>
                      <w:szCs w:val="24"/>
                      <w:lang w:val="lv-LV"/>
                    </w:rPr>
                    <w:t>tāpat nepieciešams papildināt FITL ar FKTK pilnvarnieka iecelšanas un pilnvaru izbeigšanos kārtību, pilnvarnieka tiesībām un pienākumiem</w:t>
                  </w:r>
                  <w:r w:rsidR="00891CFA" w:rsidRPr="002A3C7D">
                    <w:rPr>
                      <w:rFonts w:ascii="Times New Roman" w:hAnsi="Times New Roman" w:cs="Times New Roman"/>
                      <w:sz w:val="24"/>
                      <w:szCs w:val="24"/>
                      <w:lang w:val="lv-LV"/>
                    </w:rPr>
                    <w:t xml:space="preserve"> (100.</w:t>
                  </w:r>
                  <w:r w:rsidR="00891CFA" w:rsidRPr="002A3C7D">
                    <w:rPr>
                      <w:rFonts w:ascii="Times New Roman" w:hAnsi="Times New Roman" w:cs="Times New Roman"/>
                      <w:sz w:val="24"/>
                      <w:szCs w:val="24"/>
                      <w:vertAlign w:val="superscript"/>
                      <w:lang w:val="lv-LV"/>
                    </w:rPr>
                    <w:t>5</w:t>
                  </w:r>
                  <w:r w:rsidR="002367DD">
                    <w:rPr>
                      <w:rFonts w:ascii="Times New Roman" w:hAnsi="Times New Roman" w:cs="Times New Roman"/>
                      <w:sz w:val="24"/>
                      <w:szCs w:val="24"/>
                      <w:vertAlign w:val="superscript"/>
                      <w:lang w:val="lv-LV"/>
                    </w:rPr>
                    <w:t xml:space="preserve"> </w:t>
                  </w:r>
                  <w:r w:rsidR="002367DD">
                    <w:rPr>
                      <w:rFonts w:ascii="Times New Roman" w:hAnsi="Times New Roman" w:cs="Times New Roman"/>
                      <w:sz w:val="24"/>
                      <w:szCs w:val="24"/>
                      <w:lang w:val="lv-LV"/>
                    </w:rPr>
                    <w:t xml:space="preserve">līdz </w:t>
                  </w:r>
                  <w:r w:rsidR="00891CFA" w:rsidRPr="0036654A">
                    <w:rPr>
                      <w:rFonts w:ascii="Times New Roman" w:hAnsi="Times New Roman" w:cs="Times New Roman"/>
                      <w:sz w:val="24"/>
                      <w:szCs w:val="24"/>
                      <w:lang w:val="lv-LV"/>
                    </w:rPr>
                    <w:t>100.</w:t>
                  </w:r>
                  <w:r w:rsidR="00891CFA" w:rsidRPr="0036654A">
                    <w:rPr>
                      <w:rFonts w:ascii="Times New Roman" w:hAnsi="Times New Roman" w:cs="Times New Roman"/>
                      <w:sz w:val="24"/>
                      <w:szCs w:val="24"/>
                      <w:vertAlign w:val="superscript"/>
                      <w:lang w:val="lv-LV"/>
                    </w:rPr>
                    <w:t>11</w:t>
                  </w:r>
                  <w:r w:rsidR="00891CFA" w:rsidRPr="0036654A">
                    <w:rPr>
                      <w:rFonts w:ascii="Times New Roman" w:hAnsi="Times New Roman" w:cs="Times New Roman"/>
                      <w:sz w:val="24"/>
                      <w:szCs w:val="24"/>
                      <w:lang w:val="lv-LV"/>
                    </w:rPr>
                    <w:t>pants)</w:t>
                  </w:r>
                  <w:r w:rsidRPr="0036654A">
                    <w:rPr>
                      <w:rFonts w:ascii="Times New Roman" w:hAnsi="Times New Roman" w:cs="Times New Roman"/>
                      <w:sz w:val="24"/>
                      <w:szCs w:val="24"/>
                      <w:lang w:val="lv-LV"/>
                    </w:rPr>
                    <w:t>.</w:t>
                  </w:r>
                </w:p>
                <w:p w14:paraId="2FC9D5A5" w14:textId="77777777" w:rsidR="00355B11" w:rsidRPr="00DE3F50" w:rsidRDefault="00355B11" w:rsidP="00313ABC">
                  <w:pPr>
                    <w:spacing w:line="240" w:lineRule="auto"/>
                    <w:jc w:val="both"/>
                    <w:rPr>
                      <w:rFonts w:ascii="Times New Roman" w:hAnsi="Times New Roman" w:cs="Times New Roman"/>
                      <w:sz w:val="24"/>
                      <w:szCs w:val="24"/>
                      <w:lang w:val="lv-LV"/>
                    </w:rPr>
                  </w:pPr>
                  <w:r w:rsidRPr="002A3C7D">
                    <w:rPr>
                      <w:rFonts w:ascii="Times New Roman" w:hAnsi="Times New Roman" w:cs="Times New Roman"/>
                      <w:sz w:val="24"/>
                      <w:szCs w:val="24"/>
                      <w:lang w:val="lv-LV"/>
                    </w:rPr>
                    <w:t xml:space="preserve">Šobrīd Latvijā spēkā esošais kolīziju normu regulējums par piemērojamo tiesisko regulējumu finanšu instrumentiem ir fragmentārs un neskaidrs. Līdz ar to, lai novērstu tiesisko neskaidrību par finanšu instrumentiem piemērojamo likumu pārrobežu situācijā </w:t>
                  </w:r>
                  <w:r w:rsidR="00C063FB" w:rsidRPr="00DE3F50">
                    <w:rPr>
                      <w:rFonts w:ascii="Times New Roman" w:hAnsi="Times New Roman" w:cs="Times New Roman"/>
                      <w:sz w:val="24"/>
                      <w:szCs w:val="24"/>
                      <w:lang w:val="lv-LV"/>
                    </w:rPr>
                    <w:t xml:space="preserve">(nākotnē Baltijas vienots CVD uzturēs vērtspapīru norēķinu sistēmas, kuras darbosies pēc dažādu valstu likumiem) </w:t>
                  </w:r>
                  <w:r w:rsidRPr="00DE3F50">
                    <w:rPr>
                      <w:rFonts w:ascii="Times New Roman" w:hAnsi="Times New Roman" w:cs="Times New Roman"/>
                      <w:sz w:val="24"/>
                      <w:szCs w:val="24"/>
                      <w:lang w:val="lv-LV"/>
                    </w:rPr>
                    <w:t>ir nepieciešams visaptverošs un saskaņots kolīziju normu regulējums, kurš noteiktu piemērojamo likumu jautājumiem saistībā ar finanšu instrumentu turēšanu un atsavināšanu.</w:t>
                  </w:r>
                </w:p>
                <w:p w14:paraId="6D15E6B1" w14:textId="77777777" w:rsidR="00C063FB" w:rsidRPr="0080244D" w:rsidRDefault="00C063FB" w:rsidP="00C063FB">
                  <w:pPr>
                    <w:pStyle w:val="SLONumberedList"/>
                    <w:numPr>
                      <w:ilvl w:val="0"/>
                      <w:numId w:val="0"/>
                    </w:numPr>
                    <w:rPr>
                      <w:sz w:val="24"/>
                      <w:lang w:val="lv-LV"/>
                    </w:rPr>
                  </w:pPr>
                  <w:r w:rsidRPr="0080244D">
                    <w:rPr>
                      <w:sz w:val="24"/>
                      <w:lang w:val="lv-LV"/>
                    </w:rPr>
                    <w:t>Spēkā esošais kolīziju normu regulējums ir fragmentārs un nepilnīgs. Civillikuma 18.panta pirmā teikuma (</w:t>
                  </w:r>
                  <w:r w:rsidRPr="0080244D">
                    <w:rPr>
                      <w:i/>
                      <w:sz w:val="24"/>
                      <w:lang w:val="lv-LV"/>
                    </w:rPr>
                    <w:t>lex rei sitae</w:t>
                  </w:r>
                  <w:r w:rsidRPr="0080244D">
                    <w:rPr>
                      <w:sz w:val="24"/>
                      <w:lang w:val="lv-LV"/>
                    </w:rPr>
                    <w:t xml:space="preserve">) piemērošana </w:t>
                  </w:r>
                  <w:r w:rsidRPr="0080244D">
                    <w:rPr>
                      <w:sz w:val="24"/>
                      <w:lang w:val="lv-LV"/>
                    </w:rPr>
                    <w:lastRenderedPageBreak/>
                    <w:t xml:space="preserve">dematerializētiem </w:t>
                  </w:r>
                  <w:r w:rsidR="00520469" w:rsidRPr="0080244D">
                    <w:rPr>
                      <w:sz w:val="24"/>
                      <w:lang w:val="lv-LV"/>
                    </w:rPr>
                    <w:t>finanšu instrumentiem</w:t>
                  </w:r>
                  <w:r w:rsidRPr="0080244D">
                    <w:rPr>
                      <w:sz w:val="24"/>
                      <w:lang w:val="lv-LV"/>
                    </w:rPr>
                    <w:t xml:space="preserve">, kuri tiek turēti ar viena vai vairāku finanšu starpnieku starpniecību, nav skaidra. Finanšu nodrošinājuma likuma 11.pants ir piemērojams tikai finanšu nodrošinājumam uz </w:t>
                  </w:r>
                  <w:r w:rsidR="00520469" w:rsidRPr="0080244D">
                    <w:rPr>
                      <w:sz w:val="24"/>
                      <w:lang w:val="lv-LV"/>
                    </w:rPr>
                    <w:t>finanšu instrumentiem</w:t>
                  </w:r>
                  <w:r w:rsidRPr="0080244D">
                    <w:rPr>
                      <w:sz w:val="24"/>
                      <w:lang w:val="lv-LV"/>
                    </w:rPr>
                    <w:t>. Kredītiestāžu likuma 126.</w:t>
                  </w:r>
                  <w:r w:rsidRPr="0080244D">
                    <w:rPr>
                      <w:sz w:val="24"/>
                      <w:vertAlign w:val="superscript"/>
                      <w:lang w:val="lv-LV"/>
                    </w:rPr>
                    <w:t>1</w:t>
                  </w:r>
                  <w:r w:rsidRPr="0080244D">
                    <w:rPr>
                      <w:sz w:val="24"/>
                      <w:lang w:val="lv-LV"/>
                    </w:rPr>
                    <w:t xml:space="preserve"> otrās daļas 3.punkts ir piemērojams, lai noteiktu piemērojamo likumu tiesībām uz </w:t>
                  </w:r>
                  <w:r w:rsidR="00404C4B" w:rsidRPr="0080244D">
                    <w:rPr>
                      <w:sz w:val="24"/>
                      <w:lang w:val="lv-LV"/>
                    </w:rPr>
                    <w:t>finanšu instrumentiem</w:t>
                  </w:r>
                  <w:r w:rsidRPr="0080244D">
                    <w:rPr>
                      <w:sz w:val="24"/>
                      <w:lang w:val="lv-LV"/>
                    </w:rPr>
                    <w:t xml:space="preserve"> kredītiestādes (ne ieguldījumu brokeru sabiedrības) likvidācijas vai maksātnespējas gadījumā. FITL 3.</w:t>
                  </w:r>
                  <w:r w:rsidRPr="0080244D">
                    <w:rPr>
                      <w:sz w:val="24"/>
                      <w:vertAlign w:val="superscript"/>
                      <w:lang w:val="lv-LV"/>
                    </w:rPr>
                    <w:t>4</w:t>
                  </w:r>
                  <w:r w:rsidRPr="0080244D">
                    <w:rPr>
                      <w:sz w:val="24"/>
                      <w:lang w:val="lv-LV"/>
                    </w:rPr>
                    <w:t xml:space="preserve"> panta mērķis ir novērst šīs nepilnības, radot vispārīgu un ar Finanšu nodrošinājuma likumu un Kredītiestāžu likuma normām saskanīgu regulējumu.</w:t>
                  </w:r>
                </w:p>
                <w:p w14:paraId="7C4006A3" w14:textId="77777777" w:rsidR="00520469" w:rsidRPr="0080244D" w:rsidRDefault="00520469" w:rsidP="00520469">
                  <w:pPr>
                    <w:pStyle w:val="SLONumberedList"/>
                    <w:numPr>
                      <w:ilvl w:val="0"/>
                      <w:numId w:val="0"/>
                    </w:numPr>
                    <w:rPr>
                      <w:sz w:val="24"/>
                      <w:lang w:val="lv-LV"/>
                    </w:rPr>
                  </w:pPr>
                  <w:r w:rsidRPr="0080244D">
                    <w:rPr>
                      <w:sz w:val="24"/>
                      <w:lang w:val="lv-LV"/>
                    </w:rPr>
                    <w:t>Priekšlikuma mērķis ir radīt modernu un starptautiskajiem standartiem atbilstošu regulējumu par piemērojamo likumu tiesībām uz finanšu instrumentiem, kāds pastāv arī citos starptautiskos finanšu centros (piemēram, Beļģijā un Luksemburgā, kurā ir reģistrēti divi Eiropas lielākie starptautiskie centrālie vērtspapīru depozitāriji (Euroclear un Clearstream).</w:t>
                  </w:r>
                </w:p>
                <w:p w14:paraId="3F4BA29C" w14:textId="77777777" w:rsidR="00520469" w:rsidRPr="0080244D" w:rsidRDefault="00520469" w:rsidP="00520469">
                  <w:pPr>
                    <w:spacing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Saskaņā ar vispāratzītiem starptautisko privāttiesību principiem tiek piemērotas tās valsts kolīziju normas, kuras tiesai ir jurisdikcija izskatīt strīdu (</w:t>
                  </w:r>
                  <w:r w:rsidRPr="0080244D">
                    <w:rPr>
                      <w:rFonts w:ascii="Times New Roman" w:hAnsi="Times New Roman" w:cs="Times New Roman"/>
                      <w:i/>
                      <w:sz w:val="24"/>
                      <w:szCs w:val="24"/>
                      <w:lang w:val="lv-LV"/>
                    </w:rPr>
                    <w:t>lex fori</w:t>
                  </w:r>
                  <w:r w:rsidRPr="0080244D">
                    <w:rPr>
                      <w:rFonts w:ascii="Times New Roman" w:hAnsi="Times New Roman" w:cs="Times New Roman"/>
                      <w:sz w:val="24"/>
                      <w:szCs w:val="24"/>
                      <w:lang w:val="lv-LV"/>
                    </w:rPr>
                    <w:t xml:space="preserve">). Līdz ar to </w:t>
                  </w:r>
                  <w:r w:rsidR="00404C4B" w:rsidRPr="0080244D">
                    <w:rPr>
                      <w:rFonts w:ascii="Times New Roman" w:hAnsi="Times New Roman" w:cs="Times New Roman"/>
                      <w:sz w:val="24"/>
                      <w:szCs w:val="24"/>
                      <w:lang w:val="lv-LV"/>
                    </w:rPr>
                    <w:t>FITL</w:t>
                  </w:r>
                  <w:r w:rsidRPr="0080244D">
                    <w:rPr>
                      <w:rFonts w:ascii="Times New Roman" w:hAnsi="Times New Roman" w:cs="Times New Roman"/>
                      <w:sz w:val="24"/>
                      <w:szCs w:val="24"/>
                      <w:lang w:val="lv-LV"/>
                    </w:rPr>
                    <w:t xml:space="preserve"> 3.</w:t>
                  </w:r>
                  <w:r w:rsidRPr="0080244D">
                    <w:rPr>
                      <w:rFonts w:ascii="Times New Roman" w:hAnsi="Times New Roman" w:cs="Times New Roman"/>
                      <w:sz w:val="24"/>
                      <w:szCs w:val="24"/>
                      <w:vertAlign w:val="superscript"/>
                      <w:lang w:val="lv-LV"/>
                    </w:rPr>
                    <w:t>4</w:t>
                  </w:r>
                  <w:r w:rsidRPr="0080244D">
                    <w:rPr>
                      <w:rFonts w:ascii="Times New Roman" w:hAnsi="Times New Roman" w:cs="Times New Roman"/>
                      <w:sz w:val="24"/>
                      <w:szCs w:val="24"/>
                      <w:lang w:val="lv-LV"/>
                    </w:rPr>
                    <w:t xml:space="preserve"> pants tiks piemērots tad, ja Latvijas tiesai ir jurisdikcija izskatīt pušu strīdu. Lai novērstu risku, ka vairāku valstu kolīziju normas norāda uz dažādu valstu likumiem, </w:t>
                  </w:r>
                  <w:r w:rsidR="00404C4B" w:rsidRPr="0080244D">
                    <w:rPr>
                      <w:rFonts w:ascii="Times New Roman" w:hAnsi="Times New Roman" w:cs="Times New Roman"/>
                      <w:sz w:val="24"/>
                      <w:szCs w:val="24"/>
                      <w:lang w:val="lv-LV"/>
                    </w:rPr>
                    <w:t>FITL</w:t>
                  </w:r>
                  <w:r w:rsidRPr="0080244D">
                    <w:rPr>
                      <w:rFonts w:ascii="Times New Roman" w:hAnsi="Times New Roman" w:cs="Times New Roman"/>
                      <w:sz w:val="24"/>
                      <w:szCs w:val="24"/>
                      <w:lang w:val="lv-LV"/>
                    </w:rPr>
                    <w:t xml:space="preserve"> 3.</w:t>
                  </w:r>
                  <w:r w:rsidRPr="0080244D">
                    <w:rPr>
                      <w:rFonts w:ascii="Times New Roman" w:hAnsi="Times New Roman" w:cs="Times New Roman"/>
                      <w:sz w:val="24"/>
                      <w:szCs w:val="24"/>
                      <w:vertAlign w:val="superscript"/>
                      <w:lang w:val="lv-LV"/>
                    </w:rPr>
                    <w:t>4</w:t>
                  </w:r>
                  <w:r w:rsidRPr="0080244D">
                    <w:rPr>
                      <w:rFonts w:ascii="Times New Roman" w:hAnsi="Times New Roman" w:cs="Times New Roman"/>
                      <w:sz w:val="24"/>
                      <w:szCs w:val="24"/>
                      <w:lang w:val="lv-LV"/>
                    </w:rPr>
                    <w:t xml:space="preserve"> panta pirmās daļas otrais teikums nosaka, ka norāde uz attiecīgās valsts likumu norāda uz šīs valsts materiālajām tiesībām, neņemot vērā nekādus citus noteikumus, kuri paredz, ka ir jāpiemēro kādas citas valsts likums (</w:t>
                  </w:r>
                  <w:r w:rsidRPr="0080244D">
                    <w:rPr>
                      <w:rFonts w:ascii="Times New Roman" w:hAnsi="Times New Roman" w:cs="Times New Roman"/>
                      <w:i/>
                      <w:sz w:val="24"/>
                      <w:szCs w:val="24"/>
                      <w:lang w:val="lv-LV"/>
                    </w:rPr>
                    <w:t xml:space="preserve">renvoi </w:t>
                  </w:r>
                  <w:r w:rsidRPr="0080244D">
                    <w:rPr>
                      <w:rFonts w:ascii="Times New Roman" w:hAnsi="Times New Roman" w:cs="Times New Roman"/>
                      <w:sz w:val="24"/>
                      <w:szCs w:val="24"/>
                      <w:lang w:val="lv-LV"/>
                    </w:rPr>
                    <w:t xml:space="preserve">aizliegums). </w:t>
                  </w:r>
                </w:p>
                <w:p w14:paraId="53AA1D34" w14:textId="77777777" w:rsidR="00520469" w:rsidRPr="0080244D" w:rsidRDefault="00520469" w:rsidP="00520469">
                  <w:pPr>
                    <w:spacing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 xml:space="preserve">Pušu līgumam piemērojamais likums parasti nosaka tikai līgumtiesiskiem jautājumiem (t.i., līguma pušu tiesībām un pienākumiem) piemērojamo likumu. Likumu, kas ir piemērojams lietu tiesībām uz </w:t>
                  </w:r>
                  <w:r w:rsidR="0075373A" w:rsidRPr="0080244D">
                    <w:rPr>
                      <w:rFonts w:ascii="Times New Roman" w:hAnsi="Times New Roman" w:cs="Times New Roman"/>
                      <w:sz w:val="24"/>
                      <w:szCs w:val="24"/>
                      <w:lang w:val="lv-LV"/>
                    </w:rPr>
                    <w:t>finanšu instrumentiem</w:t>
                  </w:r>
                  <w:r w:rsidRPr="0080244D">
                    <w:rPr>
                      <w:rFonts w:ascii="Times New Roman" w:hAnsi="Times New Roman" w:cs="Times New Roman"/>
                      <w:sz w:val="24"/>
                      <w:szCs w:val="24"/>
                      <w:lang w:val="lv-LV"/>
                    </w:rPr>
                    <w:t xml:space="preserve"> (īpašumtiesības, ķīlas tiesības, trešās labticīgās personas) vai tiesībām uz </w:t>
                  </w:r>
                  <w:r w:rsidR="00123C4F" w:rsidRPr="0080244D">
                    <w:rPr>
                      <w:rFonts w:ascii="Times New Roman" w:hAnsi="Times New Roman" w:cs="Times New Roman"/>
                      <w:sz w:val="24"/>
                      <w:szCs w:val="24"/>
                      <w:lang w:val="lv-LV"/>
                    </w:rPr>
                    <w:t>finanšu instrumentiem</w:t>
                  </w:r>
                  <w:r w:rsidRPr="0080244D">
                    <w:rPr>
                      <w:rFonts w:ascii="Times New Roman" w:hAnsi="Times New Roman" w:cs="Times New Roman"/>
                      <w:sz w:val="24"/>
                      <w:szCs w:val="24"/>
                      <w:lang w:val="lv-LV"/>
                    </w:rPr>
                    <w:t xml:space="preserve"> finanšu starpnieka maksātnespējas gadījumā, parasti nosaka, pamatojoties uz kolīziju normām, nevis līguma noteikumiem, jo lietu tiesību un maksātnespējas seku regulējums nav pakļauts privātautonomijas principam un pušu līguma brīvībai</w:t>
                  </w:r>
                  <w:r w:rsidR="00E242E7" w:rsidRPr="0080244D">
                    <w:rPr>
                      <w:rFonts w:ascii="Times New Roman" w:hAnsi="Times New Roman" w:cs="Times New Roman"/>
                      <w:sz w:val="24"/>
                      <w:szCs w:val="24"/>
                      <w:lang w:val="lv-LV"/>
                    </w:rPr>
                    <w:t xml:space="preserve"> (3.</w:t>
                  </w:r>
                  <w:r w:rsidR="00E242E7" w:rsidRPr="0080244D">
                    <w:rPr>
                      <w:rFonts w:ascii="Times New Roman" w:hAnsi="Times New Roman" w:cs="Times New Roman"/>
                      <w:sz w:val="24"/>
                      <w:szCs w:val="24"/>
                      <w:vertAlign w:val="superscript"/>
                      <w:lang w:val="lv-LV"/>
                    </w:rPr>
                    <w:t>4</w:t>
                  </w:r>
                  <w:r w:rsidR="00E242E7" w:rsidRPr="0080244D">
                    <w:rPr>
                      <w:rFonts w:ascii="Times New Roman" w:hAnsi="Times New Roman" w:cs="Times New Roman"/>
                      <w:sz w:val="24"/>
                      <w:szCs w:val="24"/>
                      <w:lang w:val="lv-LV"/>
                    </w:rPr>
                    <w:t>pants)</w:t>
                  </w:r>
                  <w:r w:rsidRPr="0080244D">
                    <w:rPr>
                      <w:rFonts w:ascii="Times New Roman" w:hAnsi="Times New Roman" w:cs="Times New Roman"/>
                      <w:sz w:val="24"/>
                      <w:szCs w:val="24"/>
                      <w:lang w:val="lv-LV"/>
                    </w:rPr>
                    <w:t xml:space="preserve">. </w:t>
                  </w:r>
                </w:p>
                <w:p w14:paraId="402F2843" w14:textId="77777777" w:rsidR="00355B11" w:rsidRPr="00DE3F50" w:rsidRDefault="00355B11" w:rsidP="00313ABC">
                  <w:pPr>
                    <w:spacing w:line="240" w:lineRule="auto"/>
                    <w:jc w:val="both"/>
                    <w:rPr>
                      <w:rFonts w:ascii="Times New Roman" w:hAnsi="Times New Roman" w:cs="Times New Roman"/>
                      <w:sz w:val="24"/>
                      <w:szCs w:val="24"/>
                      <w:lang w:val="lv-LV"/>
                    </w:rPr>
                  </w:pPr>
                  <w:r w:rsidRPr="0036654A">
                    <w:rPr>
                      <w:rFonts w:ascii="Times New Roman" w:hAnsi="Times New Roman" w:cs="Times New Roman"/>
                      <w:sz w:val="24"/>
                      <w:szCs w:val="24"/>
                      <w:lang w:val="lv-LV"/>
                    </w:rPr>
                    <w:t>Turklāt FITL ir nepieciešami arī citi labojum</w:t>
                  </w:r>
                  <w:r w:rsidR="002E0B6F" w:rsidRPr="0036654A">
                    <w:rPr>
                      <w:rFonts w:ascii="Times New Roman" w:hAnsi="Times New Roman" w:cs="Times New Roman"/>
                      <w:sz w:val="24"/>
                      <w:szCs w:val="24"/>
                      <w:lang w:val="lv-LV"/>
                    </w:rPr>
                    <w:t>i</w:t>
                  </w:r>
                  <w:r w:rsidRPr="0036654A">
                    <w:rPr>
                      <w:rFonts w:ascii="Times New Roman" w:hAnsi="Times New Roman" w:cs="Times New Roman"/>
                      <w:sz w:val="24"/>
                      <w:szCs w:val="24"/>
                      <w:lang w:val="lv-LV"/>
                    </w:rPr>
                    <w:t xml:space="preserve">, </w:t>
                  </w:r>
                  <w:r w:rsidR="00EE0937" w:rsidRPr="0036654A">
                    <w:rPr>
                      <w:rFonts w:ascii="Times New Roman" w:hAnsi="Times New Roman" w:cs="Times New Roman"/>
                      <w:sz w:val="24"/>
                      <w:szCs w:val="24"/>
                      <w:lang w:val="lv-LV"/>
                    </w:rPr>
                    <w:t>lai panāktu atbilstību Vērtspapīru notikumu apvienotās darba grupas vērtspapīru notikumu apstrādes tirgus standartiem (</w:t>
                  </w:r>
                  <w:r w:rsidR="00EE0937" w:rsidRPr="002A3C7D">
                    <w:rPr>
                      <w:rFonts w:ascii="Times New Roman" w:hAnsi="Times New Roman" w:cs="Times New Roman"/>
                      <w:i/>
                      <w:sz w:val="24"/>
                      <w:szCs w:val="24"/>
                      <w:lang w:val="lv-LV"/>
                    </w:rPr>
                    <w:t xml:space="preserve">Corporate Actions Joint Working Group Market Standards </w:t>
                  </w:r>
                  <w:r w:rsidR="00EE0937" w:rsidRPr="00DE3F50">
                    <w:rPr>
                      <w:rFonts w:ascii="Times New Roman" w:hAnsi="Times New Roman" w:cs="Times New Roman"/>
                      <w:i/>
                      <w:sz w:val="24"/>
                      <w:szCs w:val="24"/>
                      <w:lang w:val="lv-LV"/>
                    </w:rPr>
                    <w:t>for Corporate Actions Processing</w:t>
                  </w:r>
                  <w:r w:rsidR="00EE0937" w:rsidRPr="00DE3F50">
                    <w:rPr>
                      <w:rFonts w:ascii="Times New Roman" w:hAnsi="Times New Roman" w:cs="Times New Roman"/>
                      <w:sz w:val="24"/>
                      <w:szCs w:val="24"/>
                      <w:lang w:val="lv-LV"/>
                    </w:rPr>
                    <w:t>)</w:t>
                  </w:r>
                  <w:r w:rsidR="000D040C" w:rsidRPr="00DE3F50">
                    <w:rPr>
                      <w:rFonts w:ascii="Times New Roman" w:hAnsi="Times New Roman" w:cs="Times New Roman"/>
                      <w:sz w:val="24"/>
                      <w:szCs w:val="24"/>
                      <w:lang w:val="lv-LV"/>
                    </w:rPr>
                    <w:t xml:space="preserve"> (71.,73.,75.,76.,80.-83.pants)</w:t>
                  </w:r>
                  <w:r w:rsidR="00A80F53" w:rsidRPr="00DE3F50">
                    <w:rPr>
                      <w:rFonts w:ascii="Times New Roman" w:hAnsi="Times New Roman" w:cs="Times New Roman"/>
                      <w:sz w:val="24"/>
                      <w:szCs w:val="24"/>
                      <w:lang w:val="lv-LV"/>
                    </w:rPr>
                    <w:t>, kā arī novērstu atklāto nepilnību esošā FITL redakcijā (54.panta 1.</w:t>
                  </w:r>
                  <w:r w:rsidR="00A80F53" w:rsidRPr="00DE3F50">
                    <w:rPr>
                      <w:rFonts w:ascii="Times New Roman" w:hAnsi="Times New Roman" w:cs="Times New Roman"/>
                      <w:sz w:val="24"/>
                      <w:szCs w:val="24"/>
                      <w:vertAlign w:val="superscript"/>
                      <w:lang w:val="lv-LV"/>
                    </w:rPr>
                    <w:t>2</w:t>
                  </w:r>
                  <w:r w:rsidR="00A80F53" w:rsidRPr="00DE3F50">
                    <w:rPr>
                      <w:rFonts w:ascii="Times New Roman" w:hAnsi="Times New Roman" w:cs="Times New Roman"/>
                      <w:sz w:val="24"/>
                      <w:szCs w:val="24"/>
                      <w:lang w:val="lv-LV"/>
                    </w:rPr>
                    <w:t xml:space="preserve"> daļa)</w:t>
                  </w:r>
                </w:p>
                <w:p w14:paraId="6C285A0B" w14:textId="77777777" w:rsidR="00357A71" w:rsidRPr="0080244D" w:rsidRDefault="00357A71" w:rsidP="00357A71">
                  <w:pPr>
                    <w:rPr>
                      <w:rFonts w:ascii="Times New Roman" w:hAnsi="Times New Roman" w:cs="Times New Roman"/>
                      <w:sz w:val="24"/>
                      <w:szCs w:val="24"/>
                      <w:lang w:val="lv-LV"/>
                    </w:rPr>
                  </w:pPr>
                  <w:r w:rsidRPr="0080244D">
                    <w:rPr>
                      <w:rFonts w:ascii="Times New Roman" w:hAnsi="Times New Roman" w:cs="Times New Roman"/>
                      <w:sz w:val="24"/>
                      <w:szCs w:val="24"/>
                      <w:lang w:val="lv-LV"/>
                    </w:rPr>
                    <w:t>Līdz ar to ir veikti šādi FITL grozījumi:</w:t>
                  </w:r>
                </w:p>
                <w:p w14:paraId="631351AE" w14:textId="77777777" w:rsidR="00357A71" w:rsidRPr="0080244D" w:rsidRDefault="00357A71"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 xml:space="preserve">papildināts likumā </w:t>
                  </w:r>
                  <w:r w:rsidR="003D62A0" w:rsidRPr="0080244D">
                    <w:rPr>
                      <w:rFonts w:ascii="Times New Roman" w:hAnsi="Times New Roman" w:cs="Times New Roman"/>
                      <w:sz w:val="24"/>
                      <w:szCs w:val="24"/>
                      <w:lang w:val="lv-LV"/>
                    </w:rPr>
                    <w:t xml:space="preserve">1. pantā </w:t>
                  </w:r>
                  <w:r w:rsidRPr="0080244D">
                    <w:rPr>
                      <w:rFonts w:ascii="Times New Roman" w:hAnsi="Times New Roman" w:cs="Times New Roman"/>
                      <w:sz w:val="24"/>
                      <w:szCs w:val="24"/>
                      <w:lang w:val="lv-LV"/>
                    </w:rPr>
                    <w:t>lietoto terminu klāsts ar šādu jēdzienu skaidrojumiem – piedāvātājs</w:t>
                  </w:r>
                  <w:r w:rsidR="003D62A0" w:rsidRPr="0080244D">
                    <w:rPr>
                      <w:rFonts w:ascii="Times New Roman" w:hAnsi="Times New Roman" w:cs="Times New Roman"/>
                      <w:sz w:val="24"/>
                      <w:szCs w:val="24"/>
                      <w:lang w:val="lv-LV"/>
                    </w:rPr>
                    <w:t xml:space="preserve"> (17.punkts)</w:t>
                  </w:r>
                  <w:r w:rsidRPr="0080244D">
                    <w:rPr>
                      <w:rFonts w:ascii="Times New Roman" w:hAnsi="Times New Roman" w:cs="Times New Roman"/>
                      <w:sz w:val="24"/>
                      <w:szCs w:val="24"/>
                      <w:lang w:val="lv-LV"/>
                    </w:rPr>
                    <w:t>, Centrālais vērtspapīru depozitārijs</w:t>
                  </w:r>
                  <w:r w:rsidR="003D62A0" w:rsidRPr="0080244D">
                    <w:rPr>
                      <w:rFonts w:ascii="Times New Roman" w:hAnsi="Times New Roman" w:cs="Times New Roman"/>
                      <w:sz w:val="24"/>
                      <w:szCs w:val="24"/>
                      <w:lang w:val="lv-LV"/>
                    </w:rPr>
                    <w:t xml:space="preserve"> (18.punkts)</w:t>
                  </w:r>
                  <w:r w:rsidRPr="0080244D">
                    <w:rPr>
                      <w:rFonts w:ascii="Times New Roman" w:hAnsi="Times New Roman" w:cs="Times New Roman"/>
                      <w:sz w:val="24"/>
                      <w:szCs w:val="24"/>
                      <w:lang w:val="lv-LV"/>
                    </w:rPr>
                    <w:t>, Centrālā vērtspapīru depozitārija dalībnieks</w:t>
                  </w:r>
                  <w:r w:rsidR="003D62A0" w:rsidRPr="0080244D">
                    <w:rPr>
                      <w:rFonts w:ascii="Times New Roman" w:hAnsi="Times New Roman" w:cs="Times New Roman"/>
                      <w:sz w:val="24"/>
                      <w:szCs w:val="24"/>
                      <w:lang w:val="lv-LV"/>
                    </w:rPr>
                    <w:t xml:space="preserve"> (18.</w:t>
                  </w:r>
                  <w:r w:rsidR="003D62A0" w:rsidRPr="0080244D">
                    <w:rPr>
                      <w:rFonts w:ascii="Times New Roman" w:hAnsi="Times New Roman" w:cs="Times New Roman"/>
                      <w:sz w:val="24"/>
                      <w:szCs w:val="24"/>
                      <w:vertAlign w:val="superscript"/>
                      <w:lang w:val="lv-LV"/>
                    </w:rPr>
                    <w:t>1</w:t>
                  </w:r>
                  <w:r w:rsidR="003D62A0" w:rsidRPr="0080244D">
                    <w:rPr>
                      <w:rFonts w:ascii="Times New Roman" w:hAnsi="Times New Roman" w:cs="Times New Roman"/>
                      <w:sz w:val="24"/>
                      <w:szCs w:val="24"/>
                      <w:lang w:val="lv-LV"/>
                    </w:rPr>
                    <w:t>punkts)</w:t>
                  </w:r>
                  <w:r w:rsidRPr="0080244D">
                    <w:rPr>
                      <w:rFonts w:ascii="Times New Roman" w:hAnsi="Times New Roman" w:cs="Times New Roman"/>
                      <w:sz w:val="24"/>
                      <w:szCs w:val="24"/>
                      <w:lang w:val="lv-LV"/>
                    </w:rPr>
                    <w:t xml:space="preserve">, </w:t>
                  </w:r>
                  <w:r w:rsidR="003D62A0" w:rsidRPr="0080244D">
                    <w:rPr>
                      <w:rFonts w:ascii="Times New Roman" w:hAnsi="Times New Roman" w:cs="Times New Roman"/>
                      <w:sz w:val="24"/>
                      <w:szCs w:val="24"/>
                      <w:lang w:val="lv-LV"/>
                    </w:rPr>
                    <w:t>finanšu instrumentu notikums (72.punkts), precizēts termins "</w:t>
                  </w:r>
                  <w:r w:rsidRPr="0080244D">
                    <w:rPr>
                      <w:rFonts w:ascii="Times New Roman" w:hAnsi="Times New Roman" w:cs="Times New Roman"/>
                      <w:sz w:val="24"/>
                      <w:szCs w:val="24"/>
                      <w:lang w:val="lv-LV"/>
                    </w:rPr>
                    <w:t>ieraksta datums</w:t>
                  </w:r>
                  <w:r w:rsidR="003D62A0" w:rsidRPr="0080244D">
                    <w:rPr>
                      <w:rFonts w:ascii="Times New Roman" w:hAnsi="Times New Roman" w:cs="Times New Roman"/>
                      <w:sz w:val="24"/>
                      <w:szCs w:val="24"/>
                      <w:lang w:val="lv-LV"/>
                    </w:rPr>
                    <w:t>" (64.punkts)</w:t>
                  </w:r>
                  <w:r w:rsidRPr="0080244D">
                    <w:rPr>
                      <w:rFonts w:ascii="Times New Roman" w:hAnsi="Times New Roman" w:cs="Times New Roman"/>
                      <w:sz w:val="24"/>
                      <w:szCs w:val="24"/>
                      <w:lang w:val="lv-LV"/>
                    </w:rPr>
                    <w:t>;</w:t>
                  </w:r>
                </w:p>
                <w:p w14:paraId="77315973" w14:textId="596FDA99" w:rsidR="00357A71" w:rsidRPr="0080244D" w:rsidRDefault="00B243E2"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ir atcelts Latvijas Centrālā depozitārija monopola statuss, izslēdzot</w:t>
                  </w:r>
                  <w:r w:rsidR="00357A71" w:rsidRPr="0080244D">
                    <w:rPr>
                      <w:rFonts w:ascii="Times New Roman" w:hAnsi="Times New Roman" w:cs="Times New Roman"/>
                      <w:sz w:val="24"/>
                      <w:szCs w:val="24"/>
                      <w:lang w:val="lv-LV"/>
                    </w:rPr>
                    <w:t xml:space="preserve"> neaktuālās normas (53.panta trešā daļa, 94., 95., 97, 98</w:t>
                  </w:r>
                  <w:r w:rsidR="00AC6E9E">
                    <w:rPr>
                      <w:rFonts w:ascii="Times New Roman" w:hAnsi="Times New Roman" w:cs="Times New Roman"/>
                      <w:sz w:val="24"/>
                      <w:szCs w:val="24"/>
                      <w:lang w:val="lv-LV"/>
                    </w:rPr>
                    <w:t>.</w:t>
                  </w:r>
                  <w:r w:rsidR="00357A71" w:rsidRPr="0080244D">
                    <w:rPr>
                      <w:rFonts w:ascii="Times New Roman" w:hAnsi="Times New Roman" w:cs="Times New Roman"/>
                      <w:sz w:val="24"/>
                      <w:szCs w:val="24"/>
                      <w:lang w:val="lv-LV"/>
                    </w:rPr>
                    <w:t>, 99</w:t>
                  </w:r>
                  <w:r w:rsidR="00AC6E9E">
                    <w:rPr>
                      <w:rFonts w:ascii="Times New Roman" w:hAnsi="Times New Roman" w:cs="Times New Roman"/>
                      <w:sz w:val="24"/>
                      <w:szCs w:val="24"/>
                      <w:lang w:val="lv-LV"/>
                    </w:rPr>
                    <w:t>.</w:t>
                  </w:r>
                  <w:r w:rsidR="00357A71" w:rsidRPr="0080244D">
                    <w:rPr>
                      <w:rFonts w:ascii="Times New Roman" w:hAnsi="Times New Roman" w:cs="Times New Roman"/>
                      <w:sz w:val="24"/>
                      <w:szCs w:val="24"/>
                      <w:lang w:val="lv-LV"/>
                    </w:rPr>
                    <w:t xml:space="preserve">, 100.pants), </w:t>
                  </w:r>
                  <w:r w:rsidRPr="0080244D">
                    <w:rPr>
                      <w:rFonts w:ascii="Times New Roman" w:hAnsi="Times New Roman" w:cs="Times New Roman"/>
                      <w:sz w:val="24"/>
                      <w:szCs w:val="24"/>
                      <w:lang w:val="lv-LV"/>
                    </w:rPr>
                    <w:t xml:space="preserve">t.sk. </w:t>
                  </w:r>
                  <w:r w:rsidR="00F42580" w:rsidRPr="0080244D">
                    <w:rPr>
                      <w:rFonts w:ascii="Times New Roman" w:hAnsi="Times New Roman" w:cs="Times New Roman"/>
                      <w:sz w:val="24"/>
                      <w:szCs w:val="24"/>
                      <w:lang w:val="lv-LV"/>
                    </w:rPr>
                    <w:t>precizētas</w:t>
                  </w:r>
                  <w:r w:rsidR="00357A71" w:rsidRPr="0080244D">
                    <w:rPr>
                      <w:rFonts w:ascii="Times New Roman" w:hAnsi="Times New Roman" w:cs="Times New Roman"/>
                      <w:sz w:val="24"/>
                      <w:szCs w:val="24"/>
                      <w:lang w:val="lv-LV"/>
                    </w:rPr>
                    <w:t xml:space="preserve"> normas, kas paliks aktuālas attiecībā uz </w:t>
                  </w:r>
                  <w:r w:rsidR="00357A71" w:rsidRPr="0080244D">
                    <w:rPr>
                      <w:rFonts w:ascii="Times New Roman" w:hAnsi="Times New Roman" w:cs="Times New Roman"/>
                      <w:sz w:val="24"/>
                      <w:szCs w:val="24"/>
                      <w:lang w:val="lv-LV"/>
                    </w:rPr>
                    <w:lastRenderedPageBreak/>
                    <w:t>CVD (piemēram, likuma tekstā jēdziens "Centrālais depozitārijs" (attiecīgā locījumā) izslēgts vai aizstāts ar vārdiem "Centrālais vērtspapīru depozitārijs" (attiecīgā locījumā), kā arī veikti citi tehniska rakstura precizējumi;</w:t>
                  </w:r>
                </w:p>
                <w:p w14:paraId="3B41776E" w14:textId="77777777" w:rsidR="00357A71" w:rsidRPr="0080244D" w:rsidRDefault="00357A71"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papildināts FKTK pieņemto lēmumu uzskaitījums</w:t>
                  </w:r>
                  <w:r w:rsidR="00254EC0" w:rsidRPr="0080244D">
                    <w:rPr>
                      <w:rFonts w:ascii="Times New Roman" w:hAnsi="Times New Roman" w:cs="Times New Roman"/>
                      <w:sz w:val="24"/>
                      <w:szCs w:val="24"/>
                      <w:lang w:val="lv-LV"/>
                    </w:rPr>
                    <w:t xml:space="preserve"> (4.pantā)</w:t>
                  </w:r>
                  <w:r w:rsidRPr="0080244D">
                    <w:rPr>
                      <w:rFonts w:ascii="Times New Roman" w:hAnsi="Times New Roman" w:cs="Times New Roman"/>
                      <w:sz w:val="24"/>
                      <w:szCs w:val="24"/>
                      <w:lang w:val="lv-LV"/>
                    </w:rPr>
                    <w:t>, kas to pārsūdzēšanas tiesā gadījumā neaptur to izpildi;</w:t>
                  </w:r>
                </w:p>
                <w:p w14:paraId="598F8B1B" w14:textId="77777777" w:rsidR="00357A71" w:rsidRPr="0080244D" w:rsidRDefault="00357A71"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iekļauta kolīziju norma par finanšu instrumentiem piemērojamo likumu jautājumos, kas ir saistīti ar to turēšanu un atsavināšanu</w:t>
                  </w:r>
                  <w:r w:rsidR="00254EC0" w:rsidRPr="0080244D">
                    <w:rPr>
                      <w:rFonts w:ascii="Times New Roman" w:hAnsi="Times New Roman" w:cs="Times New Roman"/>
                      <w:sz w:val="24"/>
                      <w:szCs w:val="24"/>
                      <w:lang w:val="lv-LV"/>
                    </w:rPr>
                    <w:t xml:space="preserve"> (3.</w:t>
                  </w:r>
                  <w:r w:rsidR="00254EC0" w:rsidRPr="0080244D">
                    <w:rPr>
                      <w:rFonts w:ascii="Times New Roman" w:hAnsi="Times New Roman" w:cs="Times New Roman"/>
                      <w:sz w:val="24"/>
                      <w:szCs w:val="24"/>
                      <w:vertAlign w:val="superscript"/>
                      <w:lang w:val="lv-LV"/>
                    </w:rPr>
                    <w:t>4</w:t>
                  </w:r>
                  <w:r w:rsidR="00254EC0" w:rsidRPr="0080244D">
                    <w:rPr>
                      <w:rFonts w:ascii="Times New Roman" w:hAnsi="Times New Roman" w:cs="Times New Roman"/>
                      <w:sz w:val="24"/>
                      <w:szCs w:val="24"/>
                      <w:lang w:val="lv-LV"/>
                    </w:rPr>
                    <w:t>pants)</w:t>
                  </w:r>
                  <w:r w:rsidRPr="0080244D">
                    <w:rPr>
                      <w:rFonts w:ascii="Times New Roman" w:hAnsi="Times New Roman" w:cs="Times New Roman"/>
                      <w:sz w:val="24"/>
                      <w:szCs w:val="24"/>
                      <w:lang w:val="lv-LV"/>
                    </w:rPr>
                    <w:t>;</w:t>
                  </w:r>
                </w:p>
                <w:p w14:paraId="72D863F8" w14:textId="77777777" w:rsidR="00357A71" w:rsidRPr="0080244D" w:rsidRDefault="00357A71"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noteikts, ka Finanšu instrumentu tirdzniecību regulētajā tirgū drīkst uzsākt tikai pēc to iegrāmatošanas CVD</w:t>
                  </w:r>
                  <w:r w:rsidR="00690D1D" w:rsidRPr="0080244D">
                    <w:rPr>
                      <w:rFonts w:ascii="Times New Roman" w:hAnsi="Times New Roman" w:cs="Times New Roman"/>
                      <w:sz w:val="24"/>
                      <w:szCs w:val="24"/>
                      <w:lang w:val="lv-LV"/>
                    </w:rPr>
                    <w:t xml:space="preserve"> (53.panta otrā daļa)</w:t>
                  </w:r>
                  <w:r w:rsidRPr="0080244D">
                    <w:rPr>
                      <w:rFonts w:ascii="Times New Roman" w:hAnsi="Times New Roman" w:cs="Times New Roman"/>
                      <w:sz w:val="24"/>
                      <w:szCs w:val="24"/>
                      <w:lang w:val="lv-LV"/>
                    </w:rPr>
                    <w:t>;</w:t>
                  </w:r>
                </w:p>
                <w:p w14:paraId="72802723" w14:textId="77777777" w:rsidR="00357A71" w:rsidRPr="0080244D" w:rsidRDefault="00357A71"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precizēta FITL E sadaļas darbības joma;</w:t>
                  </w:r>
                </w:p>
                <w:p w14:paraId="396A6845" w14:textId="77777777" w:rsidR="005A70BF" w:rsidRPr="0080244D" w:rsidRDefault="005A70BF"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 xml:space="preserve">veikti labojumi, </w:t>
                  </w:r>
                  <w:r w:rsidR="009224BD" w:rsidRPr="0036654A">
                    <w:rPr>
                      <w:rFonts w:ascii="Times New Roman" w:hAnsi="Times New Roman" w:cs="Times New Roman"/>
                      <w:sz w:val="24"/>
                      <w:szCs w:val="24"/>
                      <w:lang w:val="lv-LV"/>
                    </w:rPr>
                    <w:t>lai panāktu atbilstību Vērtspapīru notikumu apvienotās darba grupas vērtspapīru notikumu apstrādes tirgus standartiem</w:t>
                  </w:r>
                  <w:r w:rsidRPr="0080244D">
                    <w:rPr>
                      <w:rFonts w:ascii="Times New Roman" w:hAnsi="Times New Roman" w:cs="Times New Roman"/>
                      <w:i/>
                      <w:sz w:val="24"/>
                      <w:szCs w:val="24"/>
                      <w:lang w:val="lv-LV"/>
                    </w:rPr>
                    <w:t xml:space="preserve"> </w:t>
                  </w:r>
                  <w:r w:rsidRPr="0080244D">
                    <w:rPr>
                      <w:rFonts w:ascii="Times New Roman" w:hAnsi="Times New Roman" w:cs="Times New Roman"/>
                      <w:sz w:val="24"/>
                      <w:szCs w:val="24"/>
                      <w:lang w:val="lv-LV"/>
                    </w:rPr>
                    <w:t>(likumprojektā tas galvenokārt skar galīgo akciju atpirkšanas procesu</w:t>
                  </w:r>
                  <w:r w:rsidR="00690D1D" w:rsidRPr="0080244D">
                    <w:rPr>
                      <w:rFonts w:ascii="Times New Roman" w:hAnsi="Times New Roman" w:cs="Times New Roman"/>
                      <w:sz w:val="24"/>
                      <w:szCs w:val="24"/>
                      <w:lang w:val="lv-LV"/>
                    </w:rPr>
                    <w:t>, grozījumi V nodaļā</w:t>
                  </w:r>
                  <w:r w:rsidRPr="0080244D">
                    <w:rPr>
                      <w:rFonts w:ascii="Times New Roman" w:hAnsi="Times New Roman" w:cs="Times New Roman"/>
                      <w:sz w:val="24"/>
                      <w:szCs w:val="24"/>
                      <w:lang w:val="lv-LV"/>
                    </w:rPr>
                    <w:t>)</w:t>
                  </w:r>
                  <w:r w:rsidR="00690D1D" w:rsidRPr="0080244D">
                    <w:rPr>
                      <w:rFonts w:ascii="Times New Roman" w:hAnsi="Times New Roman" w:cs="Times New Roman"/>
                      <w:sz w:val="24"/>
                      <w:szCs w:val="24"/>
                      <w:lang w:val="lv-LV"/>
                    </w:rPr>
                    <w:t>, tai skaitā:</w:t>
                  </w:r>
                </w:p>
                <w:p w14:paraId="422EF0F7" w14:textId="77777777" w:rsidR="00357A71" w:rsidRPr="0080244D" w:rsidRDefault="00357A71" w:rsidP="00690D1D">
                  <w:pPr>
                    <w:pStyle w:val="ListParagraph"/>
                    <w:numPr>
                      <w:ilvl w:val="1"/>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precizēta informācija, kas norādāma akciju atpirkšanas piedāvājuma prospektā, kā arī akciju atpirkšanas piedāvājuma prospekta izskatīšanas kārtība</w:t>
                  </w:r>
                  <w:r w:rsidR="00690D1D" w:rsidRPr="0080244D">
                    <w:rPr>
                      <w:rFonts w:ascii="Times New Roman" w:hAnsi="Times New Roman" w:cs="Times New Roman"/>
                      <w:sz w:val="24"/>
                      <w:szCs w:val="24"/>
                      <w:lang w:val="lv-LV"/>
                    </w:rPr>
                    <w:t xml:space="preserve"> (71.pants)</w:t>
                  </w:r>
                  <w:r w:rsidRPr="0080244D">
                    <w:rPr>
                      <w:rFonts w:ascii="Times New Roman" w:hAnsi="Times New Roman" w:cs="Times New Roman"/>
                      <w:sz w:val="24"/>
                      <w:szCs w:val="24"/>
                      <w:lang w:val="lv-LV"/>
                    </w:rPr>
                    <w:t>;</w:t>
                  </w:r>
                </w:p>
                <w:p w14:paraId="1DDEFBAA" w14:textId="77777777" w:rsidR="00357A71" w:rsidRPr="0080244D" w:rsidRDefault="00357A71" w:rsidP="00690D1D">
                  <w:pPr>
                    <w:pStyle w:val="ListParagraph"/>
                    <w:numPr>
                      <w:ilvl w:val="1"/>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precizēta informācijas atklāšanas kārtība par akciju atpirkšanas piedāvājumu</w:t>
                  </w:r>
                  <w:r w:rsidR="00690D1D" w:rsidRPr="0080244D">
                    <w:rPr>
                      <w:rFonts w:ascii="Times New Roman" w:hAnsi="Times New Roman" w:cs="Times New Roman"/>
                      <w:sz w:val="24"/>
                      <w:szCs w:val="24"/>
                      <w:lang w:val="lv-LV"/>
                    </w:rPr>
                    <w:t xml:space="preserve"> (73.pants)</w:t>
                  </w:r>
                  <w:r w:rsidRPr="0080244D">
                    <w:rPr>
                      <w:rFonts w:ascii="Times New Roman" w:hAnsi="Times New Roman" w:cs="Times New Roman"/>
                      <w:sz w:val="24"/>
                      <w:szCs w:val="24"/>
                      <w:lang w:val="lv-LV"/>
                    </w:rPr>
                    <w:t>;</w:t>
                  </w:r>
                </w:p>
                <w:p w14:paraId="0E696AA0" w14:textId="77777777" w:rsidR="00357A71" w:rsidRPr="0080244D" w:rsidRDefault="00357A71" w:rsidP="00690D1D">
                  <w:pPr>
                    <w:pStyle w:val="ListParagraph"/>
                    <w:numPr>
                      <w:ilvl w:val="1"/>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noteikts, ka par akciju atpirkšanas piedāvājumu piedāvātājs publicē oficiālajā izdevumā "Latvijas Vēstnesis" arī precīzus datumus, kad piedāvājums noslēgsies, kad tiks paziņoti piedāvājuma rezultāti un kad notiks norēķini</w:t>
                  </w:r>
                  <w:r w:rsidR="00690D1D" w:rsidRPr="0080244D">
                    <w:rPr>
                      <w:rFonts w:ascii="Times New Roman" w:hAnsi="Times New Roman" w:cs="Times New Roman"/>
                      <w:sz w:val="24"/>
                      <w:szCs w:val="24"/>
                      <w:lang w:val="lv-LV"/>
                    </w:rPr>
                    <w:t xml:space="preserve"> (73.pants)</w:t>
                  </w:r>
                  <w:r w:rsidRPr="0080244D">
                    <w:rPr>
                      <w:rFonts w:ascii="Times New Roman" w:hAnsi="Times New Roman" w:cs="Times New Roman"/>
                      <w:sz w:val="24"/>
                      <w:szCs w:val="24"/>
                      <w:lang w:val="lv-LV"/>
                    </w:rPr>
                    <w:t>;</w:t>
                  </w:r>
                </w:p>
                <w:p w14:paraId="7D2C22A2" w14:textId="77777777" w:rsidR="00357A71" w:rsidRPr="0080244D" w:rsidRDefault="00357A71" w:rsidP="00D441B4">
                  <w:pPr>
                    <w:pStyle w:val="ListParagraph"/>
                    <w:numPr>
                      <w:ilvl w:val="1"/>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noteikts, ka par atļauju grozīt akciju atpirkšanas piedāvājuma noteikumus FKTK nekavējoties informē arī attiecīgo tirgus organizētāju un CVD, kurā ir iegrāmatotas mērķa sabiedrības akcijas, un elektroniskā veidā nosūta tiem akciju atpirkšanas piedāvājuma prospekta grozījumu tekstu. Turklāt CVD paredzēts nosūtīt akciju atpirkšanas piedāvājuma prospekta grozījumu tekstu elektroniskā veidā visiem CVD dalībniekiem, kuru kontos CVD ir iegrāmatotas attiecīgās akcijas</w:t>
                  </w:r>
                  <w:r w:rsidR="00D441B4" w:rsidRPr="0080244D">
                    <w:rPr>
                      <w:rFonts w:ascii="Times New Roman" w:hAnsi="Times New Roman" w:cs="Times New Roman"/>
                      <w:sz w:val="24"/>
                      <w:szCs w:val="24"/>
                      <w:lang w:val="lv-LV"/>
                    </w:rPr>
                    <w:t xml:space="preserve"> (75.pants)</w:t>
                  </w:r>
                  <w:r w:rsidRPr="0080244D">
                    <w:rPr>
                      <w:rFonts w:ascii="Times New Roman" w:hAnsi="Times New Roman" w:cs="Times New Roman"/>
                      <w:sz w:val="24"/>
                      <w:szCs w:val="24"/>
                      <w:lang w:val="lv-LV"/>
                    </w:rPr>
                    <w:t>;</w:t>
                  </w:r>
                </w:p>
                <w:p w14:paraId="2139AEFE" w14:textId="77777777" w:rsidR="00357A71" w:rsidRPr="0080244D" w:rsidRDefault="00357A71" w:rsidP="007414C3">
                  <w:pPr>
                    <w:pStyle w:val="ListParagraph"/>
                    <w:numPr>
                      <w:ilvl w:val="1"/>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paredzēts, ka piedāvātājs ne vēlāk kā triju darbdienu laikā pēc tam, kad saņēmis FKTK lēmumu par atļauju grozīt piedāvājuma noteikumus, publicē minēto informāciju oficiālajā izdevumā "Latvijas Vēstnesis"</w:t>
                  </w:r>
                  <w:r w:rsidR="007414C3" w:rsidRPr="0080244D">
                    <w:rPr>
                      <w:rFonts w:ascii="Times New Roman" w:hAnsi="Times New Roman" w:cs="Times New Roman"/>
                      <w:sz w:val="24"/>
                      <w:szCs w:val="24"/>
                      <w:lang w:val="lv-LV"/>
                    </w:rPr>
                    <w:t xml:space="preserve"> (75.pants)</w:t>
                  </w:r>
                  <w:r w:rsidRPr="0080244D">
                    <w:rPr>
                      <w:rFonts w:ascii="Times New Roman" w:hAnsi="Times New Roman" w:cs="Times New Roman"/>
                      <w:sz w:val="24"/>
                      <w:szCs w:val="24"/>
                      <w:lang w:val="lv-LV"/>
                    </w:rPr>
                    <w:t>;</w:t>
                  </w:r>
                </w:p>
                <w:p w14:paraId="3CFB0FC7" w14:textId="77777777" w:rsidR="008C6E38" w:rsidRPr="0080244D" w:rsidRDefault="00357A71" w:rsidP="00FA39D9">
                  <w:pPr>
                    <w:pStyle w:val="ListParagraph"/>
                    <w:numPr>
                      <w:ilvl w:val="1"/>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noteikts, ka lēmumu par akciju atpirkšanas piedāvājuma atcelšanu FKTK nekavējoties paziņo piedāvātājam, attiecīgajam tirgus organizētājam un CVD, kurā ir iegrāmatotas mērķa sabiedrības akcijas</w:t>
                  </w:r>
                  <w:r w:rsidR="00FA39D9" w:rsidRPr="0080244D">
                    <w:rPr>
                      <w:rFonts w:ascii="Times New Roman" w:hAnsi="Times New Roman" w:cs="Times New Roman"/>
                      <w:sz w:val="24"/>
                      <w:szCs w:val="24"/>
                      <w:lang w:val="lv-LV"/>
                    </w:rPr>
                    <w:t xml:space="preserve"> (76.pants)</w:t>
                  </w:r>
                  <w:r w:rsidRPr="0080244D">
                    <w:rPr>
                      <w:rFonts w:ascii="Times New Roman" w:hAnsi="Times New Roman" w:cs="Times New Roman"/>
                      <w:sz w:val="24"/>
                      <w:szCs w:val="24"/>
                      <w:lang w:val="lv-LV"/>
                    </w:rPr>
                    <w:t>;</w:t>
                  </w:r>
                  <w:r w:rsidR="008C6E38" w:rsidRPr="0080244D">
                    <w:rPr>
                      <w:rFonts w:ascii="Times New Roman" w:hAnsi="Times New Roman" w:cs="Times New Roman"/>
                      <w:sz w:val="24"/>
                      <w:szCs w:val="24"/>
                      <w:lang w:val="lv-LV"/>
                    </w:rPr>
                    <w:t xml:space="preserve"> </w:t>
                  </w:r>
                </w:p>
                <w:p w14:paraId="5468641F" w14:textId="77777777" w:rsidR="00AC6E9E" w:rsidRDefault="008C6E38">
                  <w:pPr>
                    <w:pStyle w:val="ListParagraph"/>
                    <w:numPr>
                      <w:ilvl w:val="1"/>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precizēts regulējums par norēķiniem, paredzot, ka</w:t>
                  </w:r>
                  <w:r w:rsidR="00AC6E9E">
                    <w:rPr>
                      <w:rFonts w:ascii="Times New Roman" w:hAnsi="Times New Roman" w:cs="Times New Roman"/>
                      <w:sz w:val="24"/>
                      <w:szCs w:val="24"/>
                      <w:lang w:val="lv-LV"/>
                    </w:rPr>
                    <w:t>:</w:t>
                  </w:r>
                </w:p>
                <w:p w14:paraId="6FC0DF30" w14:textId="3321F4ED" w:rsidR="00AC6E9E" w:rsidRDefault="008C6E38" w:rsidP="00DE3F50">
                  <w:pPr>
                    <w:pStyle w:val="ListParagraph"/>
                    <w:numPr>
                      <w:ilvl w:val="2"/>
                      <w:numId w:val="9"/>
                    </w:numPr>
                    <w:spacing w:after="0" w:line="240" w:lineRule="auto"/>
                    <w:jc w:val="both"/>
                    <w:rPr>
                      <w:rFonts w:ascii="Times New Roman" w:hAnsi="Times New Roman" w:cs="Times New Roman"/>
                      <w:sz w:val="24"/>
                      <w:szCs w:val="24"/>
                      <w:lang w:val="lv-LV"/>
                    </w:rPr>
                  </w:pPr>
                  <w:r w:rsidRPr="00AC6E9E">
                    <w:rPr>
                      <w:rFonts w:ascii="Times New Roman" w:hAnsi="Times New Roman" w:cs="Times New Roman"/>
                      <w:sz w:val="24"/>
                      <w:szCs w:val="24"/>
                      <w:lang w:val="lv-LV"/>
                    </w:rPr>
                    <w:t xml:space="preserve">ieguldītājs, kurš nolēmis pieņemt akciju atpirkšanas piedāvājumu un akciju atpirkšanas termiņā iesniedzis attiecīgu iesniegumu, ir tiesīgs atsaukt iesniegumu līdz termiņam, kuru piedāvātājs ir norādījis akciju atpirkšanas piedāvājuma prospektā, </w:t>
                  </w:r>
                </w:p>
                <w:p w14:paraId="5B3E9C16" w14:textId="38BDFDAB" w:rsidR="00AC6E9E" w:rsidRDefault="008C6E38" w:rsidP="00DE3F50">
                  <w:pPr>
                    <w:pStyle w:val="ListParagraph"/>
                    <w:numPr>
                      <w:ilvl w:val="2"/>
                      <w:numId w:val="9"/>
                    </w:numPr>
                    <w:spacing w:after="0" w:line="240" w:lineRule="auto"/>
                    <w:jc w:val="both"/>
                    <w:rPr>
                      <w:rFonts w:ascii="Times New Roman" w:hAnsi="Times New Roman" w:cs="Times New Roman"/>
                      <w:sz w:val="24"/>
                      <w:szCs w:val="24"/>
                      <w:lang w:val="lv-LV"/>
                    </w:rPr>
                  </w:pPr>
                  <w:r w:rsidRPr="00AC6E9E">
                    <w:rPr>
                      <w:rFonts w:ascii="Times New Roman" w:hAnsi="Times New Roman" w:cs="Times New Roman"/>
                      <w:sz w:val="24"/>
                      <w:szCs w:val="24"/>
                      <w:lang w:val="lv-LV"/>
                    </w:rPr>
                    <w:t xml:space="preserve">akciju atpirkšana vai apmaiņa ir jāveic pēc iespējas </w:t>
                  </w:r>
                  <w:r w:rsidRPr="00AC6E9E">
                    <w:rPr>
                      <w:rFonts w:ascii="Times New Roman" w:hAnsi="Times New Roman" w:cs="Times New Roman"/>
                      <w:sz w:val="24"/>
                      <w:szCs w:val="24"/>
                      <w:lang w:val="lv-LV"/>
                    </w:rPr>
                    <w:lastRenderedPageBreak/>
                    <w:t xml:space="preserve">tuvāk akciju atpirkšanas piedāvājuma termiņa beigu dienai, bet ne vēlāk kā piecas darba dienas no piedāvājuma termiņa beigu dienas, </w:t>
                  </w:r>
                </w:p>
                <w:p w14:paraId="0168AFCA" w14:textId="6BB94D3B" w:rsidR="00AC6E9E" w:rsidRDefault="008C6E38" w:rsidP="00DE3F50">
                  <w:pPr>
                    <w:pStyle w:val="ListParagraph"/>
                    <w:numPr>
                      <w:ilvl w:val="2"/>
                      <w:numId w:val="9"/>
                    </w:numPr>
                    <w:spacing w:after="0" w:line="240" w:lineRule="auto"/>
                    <w:jc w:val="both"/>
                    <w:rPr>
                      <w:rFonts w:ascii="Times New Roman" w:hAnsi="Times New Roman" w:cs="Times New Roman"/>
                      <w:sz w:val="24"/>
                      <w:szCs w:val="24"/>
                      <w:lang w:val="lv-LV"/>
                    </w:rPr>
                  </w:pPr>
                  <w:r w:rsidRPr="00AC6E9E">
                    <w:rPr>
                      <w:rFonts w:ascii="Times New Roman" w:hAnsi="Times New Roman" w:cs="Times New Roman"/>
                      <w:sz w:val="24"/>
                      <w:szCs w:val="24"/>
                      <w:lang w:val="lv-LV"/>
                    </w:rPr>
                    <w:t>publiskajā apgrozībā esošo akciju atpirkšana vai maiņa notiek saskaņā ar CVD, kurā ir iegrāmatotas mērķa sabiedrības akcijas, noteikumiem</w:t>
                  </w:r>
                  <w:r w:rsidR="00D502D0" w:rsidRPr="00AC6E9E">
                    <w:rPr>
                      <w:rFonts w:ascii="Times New Roman" w:hAnsi="Times New Roman" w:cs="Times New Roman"/>
                      <w:sz w:val="24"/>
                      <w:szCs w:val="24"/>
                      <w:lang w:val="lv-LV"/>
                    </w:rPr>
                    <w:t xml:space="preserve">, </w:t>
                  </w:r>
                </w:p>
                <w:p w14:paraId="06992667" w14:textId="0038E9BC" w:rsidR="00357A71" w:rsidRPr="00AC6E9E" w:rsidRDefault="00D502D0" w:rsidP="00DE3F50">
                  <w:pPr>
                    <w:pStyle w:val="ListParagraph"/>
                    <w:numPr>
                      <w:ilvl w:val="2"/>
                      <w:numId w:val="9"/>
                    </w:numPr>
                    <w:spacing w:after="0" w:line="240" w:lineRule="auto"/>
                    <w:jc w:val="both"/>
                    <w:rPr>
                      <w:rFonts w:ascii="Times New Roman" w:hAnsi="Times New Roman" w:cs="Times New Roman"/>
                      <w:sz w:val="24"/>
                      <w:szCs w:val="24"/>
                      <w:lang w:val="lv-LV"/>
                    </w:rPr>
                  </w:pPr>
                  <w:r w:rsidRPr="00AC6E9E">
                    <w:rPr>
                      <w:rFonts w:ascii="Times New Roman" w:hAnsi="Times New Roman" w:cs="Times New Roman"/>
                      <w:sz w:val="24"/>
                      <w:szCs w:val="24"/>
                      <w:lang w:val="lv-LV"/>
                    </w:rPr>
                    <w:t xml:space="preserve">veicot akciju atpirkšanu vai maiņu, tiek nodrošināts, ka akcijas tiek aizskatītas no akciju atsavinātāja konta tikai pēc tam, kad CVD ir pārliecinājies, ka CVD norādītajā naudas vai finanšu instrumentu kontā ir ieskaitīta visa atpirkšanai vai maiņai nepieciešamā naudas summa vai finanšu instrumenti. </w:t>
                  </w:r>
                  <w:r w:rsidR="008C6E38" w:rsidRPr="00AC6E9E">
                    <w:rPr>
                      <w:rFonts w:ascii="Times New Roman" w:hAnsi="Times New Roman" w:cs="Times New Roman"/>
                      <w:sz w:val="24"/>
                      <w:szCs w:val="24"/>
                      <w:lang w:val="lv-LV"/>
                    </w:rPr>
                    <w:t>(80</w:t>
                  </w:r>
                  <w:r w:rsidRPr="00AC6E9E">
                    <w:rPr>
                      <w:rFonts w:ascii="Times New Roman" w:hAnsi="Times New Roman" w:cs="Times New Roman"/>
                      <w:sz w:val="24"/>
                      <w:szCs w:val="24"/>
                      <w:lang w:val="lv-LV"/>
                    </w:rPr>
                    <w:t>.pants)</w:t>
                  </w:r>
                  <w:r w:rsidR="008C6E38" w:rsidRPr="00AC6E9E">
                    <w:rPr>
                      <w:rFonts w:ascii="Times New Roman" w:hAnsi="Times New Roman" w:cs="Times New Roman"/>
                      <w:sz w:val="24"/>
                      <w:szCs w:val="24"/>
                      <w:lang w:val="lv-LV"/>
                    </w:rPr>
                    <w:t>;</w:t>
                  </w:r>
                </w:p>
                <w:p w14:paraId="3C63007B" w14:textId="226B7F9B" w:rsidR="00A00E2F" w:rsidRPr="0080244D" w:rsidRDefault="00A00E2F" w:rsidP="00A00E2F">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precizēta galīgās akciju atpirkšanas kārtība (81.</w:t>
                  </w:r>
                  <w:r w:rsidR="003D7B5C">
                    <w:rPr>
                      <w:rFonts w:ascii="Times New Roman" w:hAnsi="Times New Roman" w:cs="Times New Roman"/>
                      <w:sz w:val="24"/>
                      <w:szCs w:val="24"/>
                      <w:lang w:val="lv-LV"/>
                    </w:rPr>
                    <w:t xml:space="preserve"> līdz </w:t>
                  </w:r>
                  <w:r w:rsidRPr="0080244D">
                    <w:rPr>
                      <w:rFonts w:ascii="Times New Roman" w:hAnsi="Times New Roman" w:cs="Times New Roman"/>
                      <w:sz w:val="24"/>
                      <w:szCs w:val="24"/>
                      <w:lang w:val="lv-LV"/>
                    </w:rPr>
                    <w:t>83.pants);</w:t>
                  </w:r>
                </w:p>
                <w:p w14:paraId="3D1637F7" w14:textId="77777777" w:rsidR="001521B4" w:rsidRPr="0080244D" w:rsidRDefault="001521B4"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tiek paredzēta CVD atbildība par zaudējumiem no Sākotnēja reģistrā (SR) esošo naudas līdzekļu ieguldīšanas, kā arī paredzēta iespēja no SR līdzekļiem segt tā uzturēšanas izmaksas</w:t>
                  </w:r>
                  <w:r w:rsidR="00AA2DDE" w:rsidRPr="0080244D">
                    <w:rPr>
                      <w:rFonts w:ascii="Times New Roman" w:hAnsi="Times New Roman" w:cs="Times New Roman"/>
                      <w:sz w:val="24"/>
                      <w:szCs w:val="24"/>
                      <w:lang w:val="lv-LV"/>
                    </w:rPr>
                    <w:t xml:space="preserve"> (99.</w:t>
                  </w:r>
                  <w:r w:rsidR="00AA2DDE" w:rsidRPr="0080244D">
                    <w:rPr>
                      <w:rFonts w:ascii="Times New Roman" w:hAnsi="Times New Roman" w:cs="Times New Roman"/>
                      <w:sz w:val="24"/>
                      <w:szCs w:val="24"/>
                      <w:vertAlign w:val="superscript"/>
                      <w:lang w:val="lv-LV"/>
                    </w:rPr>
                    <w:t>2</w:t>
                  </w:r>
                  <w:r w:rsidR="00AA2DDE" w:rsidRPr="0080244D">
                    <w:rPr>
                      <w:rFonts w:ascii="Times New Roman" w:hAnsi="Times New Roman" w:cs="Times New Roman"/>
                      <w:sz w:val="24"/>
                      <w:szCs w:val="24"/>
                      <w:lang w:val="lv-LV"/>
                    </w:rPr>
                    <w:t>pants)</w:t>
                  </w:r>
                  <w:r w:rsidRPr="0080244D">
                    <w:rPr>
                      <w:rFonts w:ascii="Times New Roman" w:hAnsi="Times New Roman" w:cs="Times New Roman"/>
                      <w:sz w:val="24"/>
                      <w:szCs w:val="24"/>
                      <w:lang w:val="lv-LV"/>
                    </w:rPr>
                    <w:t>;</w:t>
                  </w:r>
                </w:p>
                <w:p w14:paraId="186DCAEF" w14:textId="77777777" w:rsidR="00357A71" w:rsidRPr="0080244D" w:rsidRDefault="00357A71"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noteikts, ka CVD darbojas saskaņā ar Regulu Nr. 909/2014, FITL, FKTK normatīvajiem noteikumiem un attiecīgā CVD statūtiem</w:t>
                  </w:r>
                  <w:r w:rsidR="00FA6CEA" w:rsidRPr="0080244D">
                    <w:rPr>
                      <w:rFonts w:ascii="Times New Roman" w:hAnsi="Times New Roman" w:cs="Times New Roman"/>
                      <w:sz w:val="24"/>
                      <w:szCs w:val="24"/>
                      <w:lang w:val="lv-LV"/>
                    </w:rPr>
                    <w:t xml:space="preserve"> (92.pants)</w:t>
                  </w:r>
                  <w:r w:rsidRPr="0080244D">
                    <w:rPr>
                      <w:rFonts w:ascii="Times New Roman" w:hAnsi="Times New Roman" w:cs="Times New Roman"/>
                      <w:sz w:val="24"/>
                      <w:szCs w:val="24"/>
                      <w:lang w:val="lv-LV"/>
                    </w:rPr>
                    <w:t>;</w:t>
                  </w:r>
                </w:p>
                <w:p w14:paraId="470F0240" w14:textId="77777777" w:rsidR="00357A71" w:rsidRPr="0080244D" w:rsidRDefault="00FA6CEA" w:rsidP="001521B4">
                  <w:pPr>
                    <w:pStyle w:val="NormalWeb"/>
                    <w:numPr>
                      <w:ilvl w:val="0"/>
                      <w:numId w:val="9"/>
                    </w:numPr>
                    <w:shd w:val="clear" w:color="auto" w:fill="FFFFFF"/>
                    <w:spacing w:before="0" w:beforeAutospacing="0" w:after="0" w:afterAutospacing="0"/>
                    <w:jc w:val="both"/>
                    <w:rPr>
                      <w:rFonts w:eastAsiaTheme="minorHAnsi"/>
                      <w:lang w:val="lv-LV" w:eastAsia="en-US"/>
                    </w:rPr>
                  </w:pPr>
                  <w:r w:rsidRPr="0080244D">
                    <w:rPr>
                      <w:rFonts w:eastAsiaTheme="minorHAnsi"/>
                      <w:lang w:val="lv-LV" w:eastAsia="en-US"/>
                    </w:rPr>
                    <w:t xml:space="preserve">precizēta </w:t>
                  </w:r>
                  <w:r w:rsidR="00357A71" w:rsidRPr="0080244D">
                    <w:rPr>
                      <w:rFonts w:eastAsiaTheme="minorHAnsi"/>
                      <w:lang w:val="lv-LV" w:eastAsia="en-US"/>
                    </w:rPr>
                    <w:t>norma par CVD darbības nepārtrauktību</w:t>
                  </w:r>
                  <w:r w:rsidRPr="0080244D">
                    <w:rPr>
                      <w:rFonts w:eastAsiaTheme="minorHAnsi"/>
                      <w:lang w:val="lv-LV" w:eastAsia="en-US"/>
                    </w:rPr>
                    <w:t xml:space="preserve"> (92.</w:t>
                  </w:r>
                  <w:r w:rsidRPr="0080244D">
                    <w:rPr>
                      <w:rFonts w:eastAsiaTheme="minorHAnsi"/>
                      <w:vertAlign w:val="superscript"/>
                      <w:lang w:val="lv-LV" w:eastAsia="en-US"/>
                    </w:rPr>
                    <w:t>1</w:t>
                  </w:r>
                  <w:r w:rsidRPr="0080244D">
                    <w:rPr>
                      <w:rFonts w:eastAsiaTheme="minorHAnsi"/>
                      <w:lang w:val="lv-LV" w:eastAsia="en-US"/>
                    </w:rPr>
                    <w:t>pants)</w:t>
                  </w:r>
                  <w:r w:rsidR="00357A71" w:rsidRPr="0080244D">
                    <w:rPr>
                      <w:rFonts w:eastAsiaTheme="minorHAnsi"/>
                      <w:lang w:val="lv-LV" w:eastAsia="en-US"/>
                    </w:rPr>
                    <w:t>;</w:t>
                  </w:r>
                </w:p>
                <w:p w14:paraId="25D61968" w14:textId="77777777" w:rsidR="00357A71" w:rsidRPr="0080244D" w:rsidRDefault="00357A71" w:rsidP="001521B4">
                  <w:pPr>
                    <w:pStyle w:val="NormalWeb"/>
                    <w:numPr>
                      <w:ilvl w:val="0"/>
                      <w:numId w:val="9"/>
                    </w:numPr>
                    <w:shd w:val="clear" w:color="auto" w:fill="FFFFFF"/>
                    <w:spacing w:before="0" w:beforeAutospacing="0" w:after="0" w:afterAutospacing="0"/>
                    <w:jc w:val="both"/>
                    <w:rPr>
                      <w:rFonts w:eastAsiaTheme="minorHAnsi"/>
                      <w:lang w:val="lv-LV" w:eastAsia="en-US"/>
                    </w:rPr>
                  </w:pPr>
                  <w:r w:rsidRPr="0080244D">
                    <w:rPr>
                      <w:lang w:val="lv-LV"/>
                    </w:rPr>
                    <w:t>precizēta kārtība</w:t>
                  </w:r>
                  <w:r w:rsidR="004C57A3" w:rsidRPr="0080244D">
                    <w:rPr>
                      <w:lang w:val="lv-LV"/>
                    </w:rPr>
                    <w:t>,</w:t>
                  </w:r>
                  <w:r w:rsidR="00F576D4" w:rsidRPr="0080244D">
                    <w:rPr>
                      <w:lang w:val="lv-LV"/>
                    </w:rPr>
                    <w:t xml:space="preserve"> lai nodrošinātu informācijas par finanšu instrumentu notikumiem paziņošanu klientam un finanšu instrumentu īpašnieku noskaidrošanu</w:t>
                  </w:r>
                  <w:r w:rsidR="003F3E55" w:rsidRPr="0080244D">
                    <w:rPr>
                      <w:lang w:val="lv-LV"/>
                    </w:rPr>
                    <w:t xml:space="preserve"> (93.pants)</w:t>
                  </w:r>
                  <w:r w:rsidRPr="0080244D">
                    <w:rPr>
                      <w:lang w:val="lv-LV"/>
                    </w:rPr>
                    <w:t>;</w:t>
                  </w:r>
                </w:p>
                <w:p w14:paraId="2199818D" w14:textId="77777777" w:rsidR="00357A71" w:rsidRPr="0080244D" w:rsidRDefault="00357A71"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 xml:space="preserve"> </w:t>
                  </w:r>
                  <w:r w:rsidRPr="0080244D">
                    <w:rPr>
                      <w:rFonts w:ascii="Times New Roman" w:eastAsia="Times New Roman" w:hAnsi="Times New Roman" w:cs="Times New Roman"/>
                      <w:sz w:val="24"/>
                      <w:szCs w:val="24"/>
                      <w:lang w:val="lv-LV" w:eastAsia="lv-LV"/>
                    </w:rPr>
                    <w:t>iekļauta norma par būtisku izmaiņu uz licencēšanu iesniegtajā informācijā saskaņošanas kārtību ar FKTK</w:t>
                  </w:r>
                  <w:r w:rsidR="007B38EB" w:rsidRPr="0080244D">
                    <w:rPr>
                      <w:rFonts w:ascii="Times New Roman" w:eastAsia="Times New Roman" w:hAnsi="Times New Roman" w:cs="Times New Roman"/>
                      <w:sz w:val="24"/>
                      <w:szCs w:val="24"/>
                      <w:lang w:val="lv-LV" w:eastAsia="lv-LV"/>
                    </w:rPr>
                    <w:t xml:space="preserve"> (94.</w:t>
                  </w:r>
                  <w:r w:rsidR="007B38EB" w:rsidRPr="0080244D">
                    <w:rPr>
                      <w:rFonts w:ascii="Times New Roman" w:eastAsia="Times New Roman" w:hAnsi="Times New Roman" w:cs="Times New Roman"/>
                      <w:sz w:val="24"/>
                      <w:szCs w:val="24"/>
                      <w:vertAlign w:val="superscript"/>
                      <w:lang w:val="lv-LV" w:eastAsia="lv-LV"/>
                    </w:rPr>
                    <w:t>1</w:t>
                  </w:r>
                  <w:r w:rsidR="007B38EB" w:rsidRPr="0080244D">
                    <w:rPr>
                      <w:rFonts w:ascii="Times New Roman" w:eastAsia="Times New Roman" w:hAnsi="Times New Roman" w:cs="Times New Roman"/>
                      <w:sz w:val="24"/>
                      <w:szCs w:val="24"/>
                      <w:lang w:val="lv-LV" w:eastAsia="lv-LV"/>
                    </w:rPr>
                    <w:t>pants)</w:t>
                  </w:r>
                  <w:r w:rsidRPr="0080244D">
                    <w:rPr>
                      <w:rFonts w:ascii="Times New Roman" w:eastAsia="Times New Roman" w:hAnsi="Times New Roman" w:cs="Times New Roman"/>
                      <w:sz w:val="24"/>
                      <w:szCs w:val="24"/>
                      <w:lang w:val="lv-LV" w:eastAsia="lv-LV"/>
                    </w:rPr>
                    <w:t>;</w:t>
                  </w:r>
                </w:p>
                <w:p w14:paraId="190BBEBD" w14:textId="77777777" w:rsidR="00357A71" w:rsidRPr="0080244D" w:rsidRDefault="00357A71"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iekļauts tiesiskais regulējums saistībā ar kontroles iegūšanu CVD</w:t>
                  </w:r>
                  <w:r w:rsidR="005E0B09" w:rsidRPr="0080244D">
                    <w:rPr>
                      <w:rFonts w:ascii="Times New Roman" w:hAnsi="Times New Roman" w:cs="Times New Roman"/>
                      <w:sz w:val="24"/>
                      <w:szCs w:val="24"/>
                      <w:lang w:val="lv-LV"/>
                    </w:rPr>
                    <w:t xml:space="preserve"> (95.</w:t>
                  </w:r>
                  <w:r w:rsidR="005E0B09" w:rsidRPr="0080244D">
                    <w:rPr>
                      <w:rFonts w:ascii="Times New Roman" w:hAnsi="Times New Roman" w:cs="Times New Roman"/>
                      <w:sz w:val="24"/>
                      <w:szCs w:val="24"/>
                      <w:vertAlign w:val="superscript"/>
                      <w:lang w:val="lv-LV"/>
                    </w:rPr>
                    <w:t>1</w:t>
                  </w:r>
                  <w:r w:rsidR="005E0B09" w:rsidRPr="0080244D">
                    <w:rPr>
                      <w:rFonts w:ascii="Times New Roman" w:hAnsi="Times New Roman" w:cs="Times New Roman"/>
                      <w:sz w:val="24"/>
                      <w:szCs w:val="24"/>
                      <w:lang w:val="lv-LV"/>
                    </w:rPr>
                    <w:t>pants)</w:t>
                  </w:r>
                  <w:r w:rsidRPr="0080244D">
                    <w:rPr>
                      <w:rFonts w:ascii="Times New Roman" w:hAnsi="Times New Roman" w:cs="Times New Roman"/>
                      <w:sz w:val="24"/>
                      <w:szCs w:val="24"/>
                      <w:lang w:val="lv-LV"/>
                    </w:rPr>
                    <w:t>;</w:t>
                  </w:r>
                </w:p>
                <w:p w14:paraId="72A11B32" w14:textId="110B1A88" w:rsidR="001521B4" w:rsidRPr="0080244D" w:rsidRDefault="001521B4"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noteikt</w:t>
                  </w:r>
                  <w:r w:rsidR="003D7B5C">
                    <w:rPr>
                      <w:rFonts w:ascii="Times New Roman" w:hAnsi="Times New Roman" w:cs="Times New Roman"/>
                      <w:sz w:val="24"/>
                      <w:szCs w:val="24"/>
                      <w:lang w:val="lv-LV"/>
                    </w:rPr>
                    <w:t>as tiesības</w:t>
                  </w:r>
                  <w:r w:rsidRPr="0080244D">
                    <w:rPr>
                      <w:rFonts w:ascii="Times New Roman" w:hAnsi="Times New Roman" w:cs="Times New Roman"/>
                      <w:sz w:val="24"/>
                      <w:szCs w:val="24"/>
                      <w:lang w:val="lv-LV"/>
                    </w:rPr>
                    <w:t xml:space="preserve"> FKTK pieņemt noteikumus, kas nosaka informācijas apjomu un biežumu, ko CVD sniedz FKTK uzraudzības vajadzībām</w:t>
                  </w:r>
                  <w:r w:rsidR="0070126B" w:rsidRPr="0080244D">
                    <w:rPr>
                      <w:rFonts w:ascii="Times New Roman" w:hAnsi="Times New Roman" w:cs="Times New Roman"/>
                      <w:sz w:val="24"/>
                      <w:szCs w:val="24"/>
                      <w:lang w:val="lv-LV"/>
                    </w:rPr>
                    <w:t xml:space="preserve"> (100.</w:t>
                  </w:r>
                  <w:r w:rsidR="0070126B" w:rsidRPr="0080244D">
                    <w:rPr>
                      <w:rFonts w:ascii="Times New Roman" w:hAnsi="Times New Roman" w:cs="Times New Roman"/>
                      <w:sz w:val="24"/>
                      <w:szCs w:val="24"/>
                      <w:vertAlign w:val="superscript"/>
                      <w:lang w:val="lv-LV"/>
                    </w:rPr>
                    <w:t>4</w:t>
                  </w:r>
                  <w:r w:rsidR="0070126B" w:rsidRPr="0080244D">
                    <w:rPr>
                      <w:rFonts w:ascii="Times New Roman" w:hAnsi="Times New Roman" w:cs="Times New Roman"/>
                      <w:sz w:val="24"/>
                      <w:szCs w:val="24"/>
                      <w:lang w:val="lv-LV"/>
                    </w:rPr>
                    <w:t>pants)</w:t>
                  </w:r>
                  <w:r w:rsidRPr="0080244D">
                    <w:rPr>
                      <w:rFonts w:ascii="Times New Roman" w:hAnsi="Times New Roman" w:cs="Times New Roman"/>
                      <w:sz w:val="24"/>
                      <w:szCs w:val="24"/>
                      <w:lang w:val="lv-LV"/>
                    </w:rPr>
                    <w:t>;</w:t>
                  </w:r>
                </w:p>
                <w:p w14:paraId="299D3265" w14:textId="77777777" w:rsidR="00357A71" w:rsidRPr="0080244D" w:rsidRDefault="00357A71"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iekļauts tiesiskais regulējums par CVD pārvaldes institūcijām un to kompetenci</w:t>
                  </w:r>
                  <w:r w:rsidR="00F42ABA" w:rsidRPr="0080244D">
                    <w:rPr>
                      <w:rFonts w:ascii="Times New Roman" w:hAnsi="Times New Roman" w:cs="Times New Roman"/>
                      <w:sz w:val="24"/>
                      <w:szCs w:val="24"/>
                      <w:lang w:val="lv-LV"/>
                    </w:rPr>
                    <w:t xml:space="preserve"> (95.</w:t>
                  </w:r>
                  <w:r w:rsidR="00F42ABA" w:rsidRPr="0080244D">
                    <w:rPr>
                      <w:rFonts w:ascii="Times New Roman" w:hAnsi="Times New Roman" w:cs="Times New Roman"/>
                      <w:sz w:val="24"/>
                      <w:szCs w:val="24"/>
                      <w:vertAlign w:val="superscript"/>
                      <w:lang w:val="lv-LV"/>
                    </w:rPr>
                    <w:t>2</w:t>
                  </w:r>
                  <w:r w:rsidR="00F42ABA" w:rsidRPr="0080244D">
                    <w:rPr>
                      <w:rFonts w:ascii="Times New Roman" w:hAnsi="Times New Roman" w:cs="Times New Roman"/>
                      <w:sz w:val="24"/>
                      <w:szCs w:val="24"/>
                      <w:lang w:val="lv-LV"/>
                    </w:rPr>
                    <w:t xml:space="preserve"> un 96.pants)</w:t>
                  </w:r>
                  <w:r w:rsidRPr="0080244D">
                    <w:rPr>
                      <w:rFonts w:ascii="Times New Roman" w:hAnsi="Times New Roman" w:cs="Times New Roman"/>
                      <w:sz w:val="24"/>
                      <w:szCs w:val="24"/>
                      <w:lang w:val="lv-LV"/>
                    </w:rPr>
                    <w:t>;</w:t>
                  </w:r>
                </w:p>
                <w:p w14:paraId="0EA30F75" w14:textId="77777777" w:rsidR="00B243E2" w:rsidRPr="0080244D" w:rsidRDefault="00357A71"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papildināts ar normām par CVD naudas kontiem un minimālo kontu plānu</w:t>
                  </w:r>
                  <w:r w:rsidR="008005DF" w:rsidRPr="0080244D">
                    <w:rPr>
                      <w:rFonts w:ascii="Times New Roman" w:hAnsi="Times New Roman" w:cs="Times New Roman"/>
                      <w:sz w:val="24"/>
                      <w:szCs w:val="24"/>
                      <w:lang w:val="lv-LV"/>
                    </w:rPr>
                    <w:t xml:space="preserve"> (100.</w:t>
                  </w:r>
                  <w:r w:rsidR="008005DF" w:rsidRPr="0080244D">
                    <w:rPr>
                      <w:rFonts w:ascii="Times New Roman" w:hAnsi="Times New Roman" w:cs="Times New Roman"/>
                      <w:sz w:val="24"/>
                      <w:szCs w:val="24"/>
                      <w:vertAlign w:val="superscript"/>
                      <w:lang w:val="lv-LV"/>
                    </w:rPr>
                    <w:t>1</w:t>
                  </w:r>
                  <w:r w:rsidR="008005DF" w:rsidRPr="0080244D">
                    <w:rPr>
                      <w:rFonts w:ascii="Times New Roman" w:hAnsi="Times New Roman" w:cs="Times New Roman"/>
                      <w:sz w:val="24"/>
                      <w:szCs w:val="24"/>
                      <w:lang w:val="lv-LV"/>
                    </w:rPr>
                    <w:t>pants)</w:t>
                  </w:r>
                  <w:r w:rsidRPr="0080244D">
                    <w:rPr>
                      <w:rFonts w:ascii="Times New Roman" w:hAnsi="Times New Roman" w:cs="Times New Roman"/>
                      <w:sz w:val="24"/>
                      <w:szCs w:val="24"/>
                      <w:lang w:val="lv-LV"/>
                    </w:rPr>
                    <w:t>, CVD dalībnieka konta apkalpošanas kārtību pēc dalībnieka statusa apturēšanas</w:t>
                  </w:r>
                  <w:r w:rsidR="00B243E2" w:rsidRPr="0080244D">
                    <w:rPr>
                      <w:rFonts w:ascii="Times New Roman" w:hAnsi="Times New Roman" w:cs="Times New Roman"/>
                      <w:sz w:val="24"/>
                      <w:szCs w:val="24"/>
                      <w:lang w:val="lv-LV"/>
                    </w:rPr>
                    <w:t xml:space="preserve"> (noteikta CVD dalībnieka konta apkalpošanas kārtība, ja šis dalībnieks zaudē licenci vai kļūst maksātnespējīgs)</w:t>
                  </w:r>
                  <w:r w:rsidR="008005DF" w:rsidRPr="0080244D">
                    <w:rPr>
                      <w:rFonts w:ascii="Times New Roman" w:hAnsi="Times New Roman" w:cs="Times New Roman"/>
                      <w:sz w:val="24"/>
                      <w:szCs w:val="24"/>
                      <w:lang w:val="lv-LV"/>
                    </w:rPr>
                    <w:t xml:space="preserve"> (100.</w:t>
                  </w:r>
                  <w:r w:rsidR="008005DF" w:rsidRPr="0080244D">
                    <w:rPr>
                      <w:rFonts w:ascii="Times New Roman" w:hAnsi="Times New Roman" w:cs="Times New Roman"/>
                      <w:sz w:val="24"/>
                      <w:szCs w:val="24"/>
                      <w:vertAlign w:val="superscript"/>
                      <w:lang w:val="lv-LV"/>
                    </w:rPr>
                    <w:t>2</w:t>
                  </w:r>
                  <w:r w:rsidR="008005DF" w:rsidRPr="0080244D">
                    <w:rPr>
                      <w:rFonts w:ascii="Times New Roman" w:hAnsi="Times New Roman" w:cs="Times New Roman"/>
                      <w:sz w:val="24"/>
                      <w:szCs w:val="24"/>
                      <w:lang w:val="lv-LV"/>
                    </w:rPr>
                    <w:t>pants)</w:t>
                  </w:r>
                  <w:r w:rsidR="00B243E2" w:rsidRPr="0080244D">
                    <w:rPr>
                      <w:rFonts w:ascii="Times New Roman" w:hAnsi="Times New Roman" w:cs="Times New Roman"/>
                      <w:sz w:val="24"/>
                      <w:szCs w:val="24"/>
                      <w:lang w:val="lv-LV"/>
                    </w:rPr>
                    <w:t>;</w:t>
                  </w:r>
                </w:p>
                <w:p w14:paraId="2094A8EA" w14:textId="77777777" w:rsidR="00AA3762" w:rsidRPr="0080244D" w:rsidRDefault="00AA3762"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papildināts ar normām par īpašuma tiesību un ķīlas tiesību apliecinājumu</w:t>
                  </w:r>
                  <w:r w:rsidR="00D1708B" w:rsidRPr="0080244D">
                    <w:rPr>
                      <w:rFonts w:ascii="Times New Roman" w:hAnsi="Times New Roman" w:cs="Times New Roman"/>
                      <w:sz w:val="24"/>
                      <w:szCs w:val="24"/>
                      <w:lang w:val="lv-LV"/>
                    </w:rPr>
                    <w:t xml:space="preserve"> (125.pants)</w:t>
                  </w:r>
                  <w:r w:rsidRPr="0080244D">
                    <w:rPr>
                      <w:rFonts w:ascii="Times New Roman" w:hAnsi="Times New Roman" w:cs="Times New Roman"/>
                      <w:sz w:val="24"/>
                      <w:szCs w:val="24"/>
                      <w:lang w:val="lv-LV"/>
                    </w:rPr>
                    <w:t>;</w:t>
                  </w:r>
                </w:p>
                <w:p w14:paraId="0220CF56" w14:textId="77777777" w:rsidR="001521B4" w:rsidRPr="0080244D" w:rsidRDefault="00357A71"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noteiktas FKTK tiesības attiecībā uz CVD uzraudzību</w:t>
                  </w:r>
                  <w:r w:rsidR="001521B4" w:rsidRPr="0080244D">
                    <w:rPr>
                      <w:rFonts w:ascii="Times New Roman" w:hAnsi="Times New Roman" w:cs="Times New Roman"/>
                      <w:sz w:val="24"/>
                      <w:szCs w:val="24"/>
                      <w:lang w:val="lv-LV"/>
                    </w:rPr>
                    <w:t xml:space="preserve"> (noteiktas papildu tiesības atbilstoši Nr. 909/2014 noteikta</w:t>
                  </w:r>
                  <w:r w:rsidR="005007EB" w:rsidRPr="0080244D">
                    <w:rPr>
                      <w:rFonts w:ascii="Times New Roman" w:hAnsi="Times New Roman" w:cs="Times New Roman"/>
                      <w:sz w:val="24"/>
                      <w:szCs w:val="24"/>
                      <w:lang w:val="lv-LV"/>
                    </w:rPr>
                    <w:t>ja</w:t>
                  </w:r>
                  <w:r w:rsidR="001521B4" w:rsidRPr="0080244D">
                    <w:rPr>
                      <w:rFonts w:ascii="Times New Roman" w:hAnsi="Times New Roman" w:cs="Times New Roman"/>
                      <w:sz w:val="24"/>
                      <w:szCs w:val="24"/>
                      <w:lang w:val="lv-LV"/>
                    </w:rPr>
                    <w:t>m mandātam, kā arī tiesības īstenot ierobežojošus pasākumus, ja tas nepieciešams, lai nodrošinātu finanšu tirgus stabilu darbību, tai skaitā pārtrauktu praksi, kas ir pretrunā ar Regulu Nr. 909/2014 un citiem normatīviem aktiem)</w:t>
                  </w:r>
                  <w:r w:rsidR="00D1708B" w:rsidRPr="0080244D">
                    <w:rPr>
                      <w:rFonts w:ascii="Times New Roman" w:hAnsi="Times New Roman" w:cs="Times New Roman"/>
                      <w:sz w:val="24"/>
                      <w:szCs w:val="24"/>
                      <w:lang w:val="lv-LV"/>
                    </w:rPr>
                    <w:t xml:space="preserve"> (100.</w:t>
                  </w:r>
                  <w:r w:rsidR="00D1708B" w:rsidRPr="0080244D">
                    <w:rPr>
                      <w:rFonts w:ascii="Times New Roman" w:hAnsi="Times New Roman" w:cs="Times New Roman"/>
                      <w:sz w:val="24"/>
                      <w:szCs w:val="24"/>
                      <w:vertAlign w:val="superscript"/>
                      <w:lang w:val="lv-LV"/>
                    </w:rPr>
                    <w:t>4</w:t>
                  </w:r>
                  <w:r w:rsidR="00D1708B" w:rsidRPr="0080244D">
                    <w:rPr>
                      <w:rFonts w:ascii="Times New Roman" w:hAnsi="Times New Roman" w:cs="Times New Roman"/>
                      <w:sz w:val="24"/>
                      <w:szCs w:val="24"/>
                      <w:lang w:val="lv-LV"/>
                    </w:rPr>
                    <w:t>pants)</w:t>
                  </w:r>
                  <w:r w:rsidR="001521B4" w:rsidRPr="0080244D">
                    <w:rPr>
                      <w:rFonts w:ascii="Times New Roman" w:hAnsi="Times New Roman" w:cs="Times New Roman"/>
                      <w:sz w:val="24"/>
                      <w:szCs w:val="24"/>
                      <w:lang w:val="lv-LV"/>
                    </w:rPr>
                    <w:t>;</w:t>
                  </w:r>
                </w:p>
                <w:p w14:paraId="3FBEBDCE" w14:textId="6D5B244F" w:rsidR="00B243E2" w:rsidRPr="0080244D" w:rsidRDefault="00B243E2"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paredzēti ierobežojumi CVD, kas pēc būtības identiski ierobežojumiem kredītiestādēm, ar atbilstošām Komisijas pilnvarām</w:t>
                  </w:r>
                  <w:r w:rsidR="00D1708B" w:rsidRPr="0080244D">
                    <w:rPr>
                      <w:rFonts w:ascii="Times New Roman" w:hAnsi="Times New Roman" w:cs="Times New Roman"/>
                      <w:sz w:val="24"/>
                      <w:szCs w:val="24"/>
                      <w:lang w:val="lv-LV"/>
                    </w:rPr>
                    <w:t xml:space="preserve"> </w:t>
                  </w:r>
                  <w:r w:rsidR="00D1708B" w:rsidRPr="0036654A">
                    <w:rPr>
                      <w:rFonts w:ascii="Times New Roman" w:hAnsi="Times New Roman" w:cs="Times New Roman"/>
                      <w:sz w:val="24"/>
                      <w:szCs w:val="24"/>
                      <w:lang w:val="lv-LV"/>
                    </w:rPr>
                    <w:t>(100.</w:t>
                  </w:r>
                  <w:r w:rsidR="00D1708B" w:rsidRPr="0036654A">
                    <w:rPr>
                      <w:rFonts w:ascii="Times New Roman" w:hAnsi="Times New Roman" w:cs="Times New Roman"/>
                      <w:sz w:val="24"/>
                      <w:szCs w:val="24"/>
                      <w:vertAlign w:val="superscript"/>
                      <w:lang w:val="lv-LV"/>
                    </w:rPr>
                    <w:t>5</w:t>
                  </w:r>
                  <w:r w:rsidR="001548E0">
                    <w:rPr>
                      <w:rFonts w:ascii="Times New Roman" w:hAnsi="Times New Roman" w:cs="Times New Roman"/>
                      <w:sz w:val="24"/>
                      <w:szCs w:val="24"/>
                      <w:vertAlign w:val="superscript"/>
                      <w:lang w:val="lv-LV"/>
                    </w:rPr>
                    <w:t xml:space="preserve"> </w:t>
                  </w:r>
                  <w:r w:rsidR="001548E0">
                    <w:rPr>
                      <w:rFonts w:ascii="Times New Roman" w:hAnsi="Times New Roman" w:cs="Times New Roman"/>
                      <w:sz w:val="24"/>
                      <w:szCs w:val="24"/>
                      <w:lang w:val="lv-LV"/>
                    </w:rPr>
                    <w:t>pants</w:t>
                  </w:r>
                  <w:r w:rsidR="00D1708B" w:rsidRPr="0036654A">
                    <w:rPr>
                      <w:rFonts w:ascii="Times New Roman" w:hAnsi="Times New Roman" w:cs="Times New Roman"/>
                      <w:sz w:val="24"/>
                      <w:szCs w:val="24"/>
                      <w:lang w:val="lv-LV"/>
                    </w:rPr>
                    <w:t>)</w:t>
                  </w:r>
                  <w:r w:rsidRPr="0080244D">
                    <w:rPr>
                      <w:rFonts w:ascii="Times New Roman" w:hAnsi="Times New Roman" w:cs="Times New Roman"/>
                      <w:sz w:val="24"/>
                      <w:szCs w:val="24"/>
                      <w:lang w:val="lv-LV"/>
                    </w:rPr>
                    <w:t>;</w:t>
                  </w:r>
                </w:p>
                <w:p w14:paraId="13845E15" w14:textId="72057E43" w:rsidR="00357A71" w:rsidRPr="0080244D" w:rsidRDefault="00357A71"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lastRenderedPageBreak/>
                    <w:t xml:space="preserve">iekļautas normas par pilnvarnieka iecelšanas kārtību CVD, prasībām pilnvarniekam, pilnvarnieka tiesībām un pienākumiem, </w:t>
                  </w:r>
                  <w:r w:rsidR="007E6A6F">
                    <w:rPr>
                      <w:rFonts w:ascii="Times New Roman" w:hAnsi="Times New Roman" w:cs="Times New Roman"/>
                      <w:sz w:val="24"/>
                      <w:szCs w:val="24"/>
                      <w:lang w:val="lv-LV"/>
                    </w:rPr>
                    <w:t xml:space="preserve">pilnvarnieka atlīdzību, </w:t>
                  </w:r>
                  <w:r w:rsidRPr="0080244D">
                    <w:rPr>
                      <w:rFonts w:ascii="Times New Roman" w:hAnsi="Times New Roman" w:cs="Times New Roman"/>
                      <w:sz w:val="24"/>
                      <w:szCs w:val="24"/>
                      <w:lang w:val="lv-LV"/>
                    </w:rPr>
                    <w:t>sadarbību ar pilnvarnieku, pilnvaru izbeigšanos</w:t>
                  </w:r>
                  <w:r w:rsidR="00D1708B" w:rsidRPr="0080244D">
                    <w:rPr>
                      <w:rFonts w:ascii="Times New Roman" w:hAnsi="Times New Roman" w:cs="Times New Roman"/>
                      <w:sz w:val="24"/>
                      <w:szCs w:val="24"/>
                      <w:lang w:val="lv-LV"/>
                    </w:rPr>
                    <w:t xml:space="preserve"> (</w:t>
                  </w:r>
                  <w:r w:rsidR="00D1708B" w:rsidRPr="0036654A">
                    <w:rPr>
                      <w:rFonts w:ascii="Times New Roman" w:hAnsi="Times New Roman" w:cs="Times New Roman"/>
                      <w:sz w:val="24"/>
                      <w:szCs w:val="24"/>
                      <w:lang w:val="lv-LV"/>
                    </w:rPr>
                    <w:t>100.</w:t>
                  </w:r>
                  <w:r w:rsidR="00E0005D" w:rsidRPr="0036654A">
                    <w:rPr>
                      <w:rFonts w:ascii="Times New Roman" w:hAnsi="Times New Roman" w:cs="Times New Roman"/>
                      <w:sz w:val="24"/>
                      <w:szCs w:val="24"/>
                      <w:vertAlign w:val="superscript"/>
                      <w:lang w:val="lv-LV"/>
                    </w:rPr>
                    <w:t>6</w:t>
                  </w:r>
                  <w:r w:rsidR="007E6A6F">
                    <w:rPr>
                      <w:rFonts w:ascii="Times New Roman" w:hAnsi="Times New Roman" w:cs="Times New Roman"/>
                      <w:sz w:val="24"/>
                      <w:szCs w:val="24"/>
                      <w:lang w:val="lv-LV"/>
                    </w:rPr>
                    <w:t xml:space="preserve"> līdz </w:t>
                  </w:r>
                  <w:r w:rsidR="00D1708B" w:rsidRPr="0036654A">
                    <w:rPr>
                      <w:rFonts w:ascii="Times New Roman" w:hAnsi="Times New Roman" w:cs="Times New Roman"/>
                      <w:sz w:val="24"/>
                      <w:szCs w:val="24"/>
                      <w:lang w:val="lv-LV"/>
                    </w:rPr>
                    <w:t>100.</w:t>
                  </w:r>
                  <w:r w:rsidR="00D1708B" w:rsidRPr="0036654A">
                    <w:rPr>
                      <w:rFonts w:ascii="Times New Roman" w:hAnsi="Times New Roman" w:cs="Times New Roman"/>
                      <w:sz w:val="24"/>
                      <w:szCs w:val="24"/>
                      <w:vertAlign w:val="superscript"/>
                      <w:lang w:val="lv-LV"/>
                    </w:rPr>
                    <w:t>11</w:t>
                  </w:r>
                  <w:r w:rsidR="00D1708B" w:rsidRPr="0036654A">
                    <w:rPr>
                      <w:rFonts w:ascii="Times New Roman" w:hAnsi="Times New Roman" w:cs="Times New Roman"/>
                      <w:sz w:val="24"/>
                      <w:szCs w:val="24"/>
                      <w:lang w:val="lv-LV"/>
                    </w:rPr>
                    <w:t>pants)</w:t>
                  </w:r>
                  <w:r w:rsidRPr="0080244D">
                    <w:rPr>
                      <w:rFonts w:ascii="Times New Roman" w:hAnsi="Times New Roman" w:cs="Times New Roman"/>
                      <w:sz w:val="24"/>
                      <w:szCs w:val="24"/>
                      <w:lang w:val="lv-LV"/>
                    </w:rPr>
                    <w:t>;</w:t>
                  </w:r>
                </w:p>
                <w:p w14:paraId="581A18BB" w14:textId="77777777" w:rsidR="00B243E2" w:rsidRPr="0080244D" w:rsidRDefault="00B243E2"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iekļauts regulējums par ziņošanu par iespējamiem un faktiskiem Regulas Nr. 909/2014 pārkāpumiem</w:t>
                  </w:r>
                  <w:r w:rsidR="000C49C1" w:rsidRPr="0080244D">
                    <w:rPr>
                      <w:rFonts w:ascii="Times New Roman" w:hAnsi="Times New Roman" w:cs="Times New Roman"/>
                      <w:sz w:val="24"/>
                      <w:szCs w:val="24"/>
                      <w:lang w:val="lv-LV"/>
                    </w:rPr>
                    <w:t xml:space="preserve"> (100.</w:t>
                  </w:r>
                  <w:r w:rsidR="000C49C1" w:rsidRPr="0080244D">
                    <w:rPr>
                      <w:rFonts w:ascii="Times New Roman" w:hAnsi="Times New Roman" w:cs="Times New Roman"/>
                      <w:sz w:val="24"/>
                      <w:szCs w:val="24"/>
                      <w:vertAlign w:val="superscript"/>
                      <w:lang w:val="lv-LV"/>
                    </w:rPr>
                    <w:t>3</w:t>
                  </w:r>
                  <w:r w:rsidR="000C49C1" w:rsidRPr="0080244D">
                    <w:rPr>
                      <w:rFonts w:ascii="Times New Roman" w:hAnsi="Times New Roman" w:cs="Times New Roman"/>
                      <w:sz w:val="24"/>
                      <w:szCs w:val="24"/>
                      <w:lang w:val="lv-LV"/>
                    </w:rPr>
                    <w:t>pants)</w:t>
                  </w:r>
                  <w:r w:rsidRPr="0080244D">
                    <w:rPr>
                      <w:rFonts w:ascii="Times New Roman" w:hAnsi="Times New Roman" w:cs="Times New Roman"/>
                      <w:sz w:val="24"/>
                      <w:szCs w:val="24"/>
                      <w:lang w:val="lv-LV"/>
                    </w:rPr>
                    <w:t>;</w:t>
                  </w:r>
                </w:p>
                <w:p w14:paraId="7C33943F" w14:textId="77777777" w:rsidR="00E56C37" w:rsidRDefault="00E56C37" w:rsidP="001521B4">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novērsta nepilnība esošajā 54.panta 1.</w:t>
                  </w:r>
                  <w:r w:rsidRPr="0080244D">
                    <w:rPr>
                      <w:rFonts w:ascii="Times New Roman" w:hAnsi="Times New Roman" w:cs="Times New Roman"/>
                      <w:sz w:val="24"/>
                      <w:szCs w:val="24"/>
                      <w:vertAlign w:val="superscript"/>
                      <w:lang w:val="lv-LV"/>
                    </w:rPr>
                    <w:t>2</w:t>
                  </w:r>
                  <w:r w:rsidRPr="0080244D">
                    <w:rPr>
                      <w:rFonts w:ascii="Times New Roman" w:hAnsi="Times New Roman" w:cs="Times New Roman"/>
                      <w:sz w:val="24"/>
                      <w:szCs w:val="24"/>
                      <w:lang w:val="lv-LV"/>
                    </w:rPr>
                    <w:t xml:space="preserve"> daļā, attiecinot 54.</w:t>
                  </w:r>
                  <w:r w:rsidRPr="00DE3F50">
                    <w:rPr>
                      <w:rFonts w:ascii="Times New Roman" w:hAnsi="Times New Roman" w:cs="Times New Roman"/>
                      <w:sz w:val="24"/>
                      <w:szCs w:val="24"/>
                      <w:vertAlign w:val="superscript"/>
                      <w:lang w:val="lv-LV"/>
                    </w:rPr>
                    <w:t>6</w:t>
                  </w:r>
                  <w:r w:rsidRPr="0080244D">
                    <w:rPr>
                      <w:rFonts w:ascii="Times New Roman" w:hAnsi="Times New Roman" w:cs="Times New Roman"/>
                      <w:sz w:val="24"/>
                      <w:szCs w:val="24"/>
                      <w:lang w:val="lv-LV"/>
                    </w:rPr>
                    <w:t xml:space="preserve"> panta prasības uz akciju sabiedrību, kuras akcijas ir iekļautas regulētajā tirgū, un tās akcionāriem;</w:t>
                  </w:r>
                </w:p>
                <w:p w14:paraId="6CD62F78" w14:textId="1F6D1C4E" w:rsidR="00355B11" w:rsidRPr="000F63AA" w:rsidRDefault="000F63AA" w:rsidP="000F63AA">
                  <w:pPr>
                    <w:pStyle w:val="ListParagraph"/>
                    <w:numPr>
                      <w:ilvl w:val="0"/>
                      <w:numId w:val="9"/>
                    </w:numPr>
                    <w:spacing w:after="0" w:line="240" w:lineRule="auto"/>
                    <w:jc w:val="both"/>
                    <w:rPr>
                      <w:rFonts w:ascii="Times New Roman" w:hAnsi="Times New Roman" w:cs="Times New Roman"/>
                      <w:sz w:val="24"/>
                      <w:szCs w:val="24"/>
                      <w:lang w:val="lv-LV"/>
                    </w:rPr>
                  </w:pPr>
                  <w:r w:rsidRPr="0080244D">
                    <w:rPr>
                      <w:rFonts w:ascii="Times New Roman" w:hAnsi="Times New Roman" w:cs="Times New Roman"/>
                      <w:sz w:val="24"/>
                      <w:szCs w:val="24"/>
                      <w:lang w:val="lv-LV"/>
                    </w:rPr>
                    <w:t>iekļaut</w:t>
                  </w:r>
                  <w:r>
                    <w:rPr>
                      <w:rFonts w:ascii="Times New Roman" w:hAnsi="Times New Roman" w:cs="Times New Roman"/>
                      <w:sz w:val="24"/>
                      <w:szCs w:val="24"/>
                      <w:lang w:val="lv-LV"/>
                    </w:rPr>
                    <w:t xml:space="preserve">s pārejas noteikums attiecībā uz normām, kas Pārejas noteikumos paredzēts, ka jaunās normas par centrālo vērtspapīru depozitāriju piemērojamas Latvijas Centrālajam depozitārijam tikai pēc tam, kad tas </w:t>
                  </w:r>
                  <w:r w:rsidRPr="0080244D">
                    <w:rPr>
                      <w:rFonts w:ascii="Times New Roman" w:hAnsi="Times New Roman" w:cs="Times New Roman"/>
                      <w:sz w:val="24"/>
                      <w:szCs w:val="24"/>
                      <w:lang w:val="lv-LV"/>
                    </w:rPr>
                    <w:t>Regul</w:t>
                  </w:r>
                  <w:r>
                    <w:rPr>
                      <w:rFonts w:ascii="Times New Roman" w:hAnsi="Times New Roman" w:cs="Times New Roman"/>
                      <w:sz w:val="24"/>
                      <w:szCs w:val="24"/>
                      <w:lang w:val="lv-LV"/>
                    </w:rPr>
                    <w:t>as</w:t>
                  </w:r>
                  <w:r w:rsidRPr="0080244D">
                    <w:rPr>
                      <w:rFonts w:ascii="Times New Roman" w:hAnsi="Times New Roman" w:cs="Times New Roman"/>
                      <w:sz w:val="24"/>
                      <w:szCs w:val="24"/>
                      <w:lang w:val="lv-LV"/>
                    </w:rPr>
                    <w:t xml:space="preserve"> Nr. 909/2014</w:t>
                  </w:r>
                  <w:r>
                    <w:rPr>
                      <w:rFonts w:ascii="Times New Roman" w:hAnsi="Times New Roman" w:cs="Times New Roman"/>
                      <w:sz w:val="24"/>
                      <w:szCs w:val="24"/>
                      <w:lang w:val="lv-LV"/>
                    </w:rPr>
                    <w:t xml:space="preserve"> noteiktajā kārtībā ieguvis licenci. Tāpat paredzēts pārejas noteikums attiecībā uz centrālā vērtspapīru depozitārija un tā dalībnieka līguma atbilstības nodrošināšanu Likumprojekta prasībām </w:t>
                  </w:r>
                  <w:r w:rsidR="000C49C1" w:rsidRPr="000F63AA">
                    <w:rPr>
                      <w:rFonts w:ascii="Times New Roman" w:hAnsi="Times New Roman" w:cs="Times New Roman"/>
                      <w:sz w:val="24"/>
                      <w:szCs w:val="24"/>
                      <w:lang w:val="lv-LV"/>
                    </w:rPr>
                    <w:t>(59. un 60 punkts)</w:t>
                  </w:r>
                  <w:r w:rsidR="00357A71" w:rsidRPr="000F63AA">
                    <w:rPr>
                      <w:rFonts w:ascii="Times New Roman" w:hAnsi="Times New Roman" w:cs="Times New Roman"/>
                      <w:sz w:val="24"/>
                      <w:szCs w:val="24"/>
                      <w:lang w:val="lv-LV"/>
                    </w:rPr>
                    <w:t>.</w:t>
                  </w:r>
                </w:p>
                <w:p w14:paraId="61CB3EAE" w14:textId="0C4A3515" w:rsidR="007E6A6F" w:rsidRPr="00DE3F50" w:rsidRDefault="007E6A6F" w:rsidP="000F63AA">
                  <w:pPr>
                    <w:spacing w:after="0" w:line="240" w:lineRule="auto"/>
                    <w:jc w:val="both"/>
                    <w:rPr>
                      <w:rFonts w:ascii="Times New Roman" w:hAnsi="Times New Roman" w:cs="Times New Roman"/>
                      <w:color w:val="000000" w:themeColor="text1"/>
                      <w:sz w:val="24"/>
                      <w:szCs w:val="24"/>
                      <w:lang w:val="lv-LV"/>
                    </w:rPr>
                  </w:pPr>
                </w:p>
              </w:tc>
            </w:tr>
            <w:tr w:rsidR="00F06048" w:rsidRPr="00705817" w14:paraId="47DD4AB1" w14:textId="77777777" w:rsidTr="00686071">
              <w:trPr>
                <w:trHeight w:val="465"/>
              </w:trPr>
              <w:tc>
                <w:tcPr>
                  <w:tcW w:w="130" w:type="pct"/>
                  <w:tcBorders>
                    <w:top w:val="outset" w:sz="6" w:space="0" w:color="414142"/>
                    <w:left w:val="outset" w:sz="6" w:space="0" w:color="414142"/>
                    <w:bottom w:val="outset" w:sz="6" w:space="0" w:color="414142"/>
                    <w:right w:val="outset" w:sz="6" w:space="0" w:color="414142"/>
                  </w:tcBorders>
                  <w:hideMark/>
                </w:tcPr>
                <w:p w14:paraId="56F408CF" w14:textId="65722929" w:rsidR="00F06048" w:rsidRPr="00355B11" w:rsidRDefault="00F06048" w:rsidP="00313AB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lastRenderedPageBreak/>
                    <w:t>3.</w:t>
                  </w:r>
                </w:p>
              </w:tc>
              <w:tc>
                <w:tcPr>
                  <w:tcW w:w="785" w:type="pct"/>
                  <w:tcBorders>
                    <w:top w:val="outset" w:sz="6" w:space="0" w:color="414142"/>
                    <w:left w:val="outset" w:sz="6" w:space="0" w:color="414142"/>
                    <w:bottom w:val="outset" w:sz="6" w:space="0" w:color="414142"/>
                    <w:right w:val="outset" w:sz="6" w:space="0" w:color="414142"/>
                  </w:tcBorders>
                  <w:hideMark/>
                </w:tcPr>
                <w:p w14:paraId="6B02C0E4" w14:textId="77777777" w:rsidR="00F06048" w:rsidRPr="00355B11" w:rsidRDefault="00F06048" w:rsidP="00313ABC">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Projekta izstrādē iesaistītās institūcijas</w:t>
                  </w:r>
                </w:p>
              </w:tc>
              <w:tc>
                <w:tcPr>
                  <w:tcW w:w="4084" w:type="pct"/>
                  <w:tcBorders>
                    <w:top w:val="outset" w:sz="6" w:space="0" w:color="414142"/>
                    <w:left w:val="outset" w:sz="6" w:space="0" w:color="414142"/>
                    <w:bottom w:val="outset" w:sz="6" w:space="0" w:color="414142"/>
                    <w:right w:val="outset" w:sz="6" w:space="0" w:color="414142"/>
                  </w:tcBorders>
                  <w:hideMark/>
                </w:tcPr>
                <w:p w14:paraId="63AEE6E8" w14:textId="77777777" w:rsidR="00F06048" w:rsidRPr="00355B11" w:rsidRDefault="00F06048" w:rsidP="00313ABC">
                  <w:pPr>
                    <w:tabs>
                      <w:tab w:val="left" w:pos="284"/>
                    </w:tabs>
                    <w:autoSpaceDE w:val="0"/>
                    <w:autoSpaceDN w:val="0"/>
                    <w:adjustRightInd w:val="0"/>
                    <w:spacing w:before="240" w:line="240" w:lineRule="auto"/>
                    <w:jc w:val="both"/>
                    <w:rPr>
                      <w:rFonts w:ascii="Times New Roman" w:eastAsia="Times New Roman" w:hAnsi="Times New Roman" w:cs="Times New Roman"/>
                      <w:color w:val="000000" w:themeColor="text1"/>
                      <w:sz w:val="24"/>
                      <w:szCs w:val="24"/>
                      <w:lang w:val="lv-LV" w:eastAsia="lv-LV"/>
                    </w:rPr>
                  </w:pPr>
                  <w:r w:rsidRPr="00355B11">
                    <w:rPr>
                      <w:rFonts w:ascii="Times New Roman" w:hAnsi="Times New Roman" w:cs="Times New Roman"/>
                      <w:color w:val="000000" w:themeColor="text1"/>
                      <w:sz w:val="24"/>
                      <w:szCs w:val="24"/>
                      <w:shd w:val="clear" w:color="auto" w:fill="FFFFFF"/>
                      <w:lang w:val="lv-LV"/>
                    </w:rPr>
                    <w:t>Finan</w:t>
                  </w:r>
                  <w:r w:rsidR="00C27C45" w:rsidRPr="00355B11">
                    <w:rPr>
                      <w:rFonts w:ascii="Times New Roman" w:hAnsi="Times New Roman" w:cs="Times New Roman"/>
                      <w:color w:val="000000" w:themeColor="text1"/>
                      <w:sz w:val="24"/>
                      <w:szCs w:val="24"/>
                      <w:shd w:val="clear" w:color="auto" w:fill="FFFFFF"/>
                      <w:lang w:val="lv-LV"/>
                    </w:rPr>
                    <w:t>šu un kapitāla tirgus komisija, Latvijas Banka, Latvijas Centrālais depozitārijs, Finanšu ministrija.</w:t>
                  </w:r>
                </w:p>
              </w:tc>
            </w:tr>
            <w:tr w:rsidR="00F06048" w:rsidRPr="00B2525F" w14:paraId="545D0B8E" w14:textId="77777777" w:rsidTr="00686071">
              <w:tc>
                <w:tcPr>
                  <w:tcW w:w="130" w:type="pct"/>
                  <w:tcBorders>
                    <w:top w:val="outset" w:sz="6" w:space="0" w:color="414142"/>
                    <w:left w:val="outset" w:sz="6" w:space="0" w:color="414142"/>
                    <w:bottom w:val="outset" w:sz="6" w:space="0" w:color="414142"/>
                    <w:right w:val="outset" w:sz="6" w:space="0" w:color="414142"/>
                  </w:tcBorders>
                  <w:hideMark/>
                </w:tcPr>
                <w:p w14:paraId="0F873E2C" w14:textId="77777777" w:rsidR="00F06048" w:rsidRPr="00355B11" w:rsidRDefault="00F06048" w:rsidP="00313AB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4.</w:t>
                  </w:r>
                </w:p>
              </w:tc>
              <w:tc>
                <w:tcPr>
                  <w:tcW w:w="785" w:type="pct"/>
                  <w:tcBorders>
                    <w:top w:val="outset" w:sz="6" w:space="0" w:color="414142"/>
                    <w:left w:val="outset" w:sz="6" w:space="0" w:color="414142"/>
                    <w:bottom w:val="outset" w:sz="6" w:space="0" w:color="414142"/>
                    <w:right w:val="outset" w:sz="6" w:space="0" w:color="414142"/>
                  </w:tcBorders>
                  <w:hideMark/>
                </w:tcPr>
                <w:p w14:paraId="5268D79A" w14:textId="77777777" w:rsidR="00F06048" w:rsidRPr="00355B11" w:rsidRDefault="00F06048" w:rsidP="00313ABC">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Cita informācija</w:t>
                  </w:r>
                </w:p>
              </w:tc>
              <w:tc>
                <w:tcPr>
                  <w:tcW w:w="4084" w:type="pct"/>
                  <w:tcBorders>
                    <w:top w:val="outset" w:sz="6" w:space="0" w:color="414142"/>
                    <w:left w:val="outset" w:sz="6" w:space="0" w:color="414142"/>
                    <w:bottom w:val="outset" w:sz="6" w:space="0" w:color="414142"/>
                    <w:right w:val="outset" w:sz="6" w:space="0" w:color="414142"/>
                  </w:tcBorders>
                  <w:hideMark/>
                </w:tcPr>
                <w:p w14:paraId="1B2422F0" w14:textId="581623A2" w:rsidR="00F06048" w:rsidRPr="00355B11" w:rsidRDefault="00C27C45" w:rsidP="00296000">
                  <w:pPr>
                    <w:spacing w:line="240" w:lineRule="auto"/>
                    <w:jc w:val="both"/>
                    <w:rPr>
                      <w:rFonts w:ascii="Times New Roman" w:eastAsia="Times New Roman" w:hAnsi="Times New Roman" w:cs="Times New Roman"/>
                      <w:color w:val="000000" w:themeColor="text1"/>
                      <w:sz w:val="24"/>
                      <w:szCs w:val="24"/>
                      <w:lang w:val="lv-LV" w:eastAsia="lv-LV"/>
                    </w:rPr>
                  </w:pPr>
                  <w:r w:rsidRPr="00355B11">
                    <w:rPr>
                      <w:rFonts w:ascii="Times New Roman" w:hAnsi="Times New Roman" w:cs="Times New Roman"/>
                      <w:sz w:val="24"/>
                      <w:szCs w:val="24"/>
                      <w:lang w:val="lv-LV"/>
                    </w:rPr>
                    <w:t xml:space="preserve">Likumprojektā ir sniegtas atsauces uz </w:t>
                  </w:r>
                  <w:r w:rsidR="00296000">
                    <w:rPr>
                      <w:rFonts w:ascii="Times New Roman" w:eastAsia="Times New Roman" w:hAnsi="Times New Roman" w:cs="Times New Roman"/>
                      <w:color w:val="000000"/>
                      <w:sz w:val="24"/>
                      <w:szCs w:val="24"/>
                      <w:lang w:val="lv-LV" w:eastAsia="lv-LV"/>
                    </w:rPr>
                    <w:t>Komisijas Deleģēto Regulu (ES) 2017/392 (2016.gada 11.novembris) ar ko Eiropas Parlamenta un Padomes Regulu (ES) Nr. 909/2014 papildina attiecībā uz regulatīvajiem tehniskajiem sta</w:t>
                  </w:r>
                  <w:r w:rsidR="00FD72CB">
                    <w:rPr>
                      <w:rFonts w:ascii="Times New Roman" w:eastAsia="Times New Roman" w:hAnsi="Times New Roman" w:cs="Times New Roman"/>
                      <w:color w:val="000000"/>
                      <w:sz w:val="24"/>
                      <w:szCs w:val="24"/>
                      <w:lang w:val="lv-LV" w:eastAsia="lv-LV"/>
                    </w:rPr>
                    <w:t>ndartiem par atļauju izsniegšanas</w:t>
                  </w:r>
                  <w:r w:rsidR="00296000">
                    <w:rPr>
                      <w:rFonts w:ascii="Times New Roman" w:eastAsia="Times New Roman" w:hAnsi="Times New Roman" w:cs="Times New Roman"/>
                      <w:color w:val="000000"/>
                      <w:sz w:val="24"/>
                      <w:szCs w:val="24"/>
                      <w:lang w:val="lv-LV" w:eastAsia="lv-LV"/>
                    </w:rPr>
                    <w:t>, uzraudzības un operacionālajām prasībām centrālajiem vērtspapīru depozitārijiem</w:t>
                  </w:r>
                  <w:r w:rsidRPr="00BF5896">
                    <w:rPr>
                      <w:rFonts w:ascii="Times New Roman" w:hAnsi="Times New Roman" w:cs="Times New Roman"/>
                      <w:sz w:val="24"/>
                      <w:szCs w:val="24"/>
                      <w:lang w:val="lv-LV"/>
                    </w:rPr>
                    <w:t xml:space="preserve">(saite uz RTS: </w:t>
                  </w:r>
                  <w:r w:rsidR="00296000" w:rsidRPr="00296000">
                    <w:rPr>
                      <w:rFonts w:ascii="Times New Roman" w:hAnsi="Times New Roman" w:cs="Times New Roman"/>
                      <w:sz w:val="24"/>
                      <w:szCs w:val="24"/>
                      <w:lang w:val="lv-LV"/>
                    </w:rPr>
                    <w:t>http://eur-lex.europa.eu/legal-content/LV/TXT/HTML/?uri=CELEX:32017R0392&amp;from=EN</w:t>
                  </w:r>
                  <w:r w:rsidR="008C3E69" w:rsidRPr="00BF5896">
                    <w:rPr>
                      <w:rFonts w:ascii="Times New Roman" w:hAnsi="Times New Roman" w:cs="Times New Roman"/>
                      <w:sz w:val="24"/>
                      <w:szCs w:val="24"/>
                      <w:lang w:val="lv-LV"/>
                    </w:rPr>
                    <w:t xml:space="preserve">). </w:t>
                  </w:r>
                </w:p>
              </w:tc>
            </w:tr>
          </w:tbl>
          <w:tbl>
            <w:tblPr>
              <w:tblpPr w:leftFromText="180" w:rightFromText="180" w:vertAnchor="text" w:horzAnchor="margin" w:tblpY="155"/>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52"/>
              <w:gridCol w:w="5887"/>
            </w:tblGrid>
            <w:tr w:rsidR="00F34A72" w:rsidRPr="00AB5936" w14:paraId="52644C00" w14:textId="77777777" w:rsidTr="00F34A72">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7D3B9A" w14:textId="77777777" w:rsidR="00F34A72" w:rsidRPr="00355B11" w:rsidRDefault="00F34A72" w:rsidP="00F34A72">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lv-LV" w:eastAsia="lv-LV"/>
                    </w:rPr>
                  </w:pPr>
                  <w:r w:rsidRPr="00355B11">
                    <w:rPr>
                      <w:rFonts w:ascii="Times New Roman" w:eastAsia="Times New Roman" w:hAnsi="Times New Roman" w:cs="Times New Roman"/>
                      <w:b/>
                      <w:bCs/>
                      <w:color w:val="000000" w:themeColor="text1"/>
                      <w:sz w:val="24"/>
                      <w:szCs w:val="24"/>
                      <w:lang w:val="lv-LV" w:eastAsia="lv-LV"/>
                    </w:rPr>
                    <w:t>II. Tiesību akta projekta ietekme uz sabiedrību, tautsaimniecības attīstību un administratīvo slogu</w:t>
                  </w:r>
                </w:p>
              </w:tc>
            </w:tr>
            <w:tr w:rsidR="00F34A72" w:rsidRPr="00705817" w14:paraId="4E7F5B03" w14:textId="77777777" w:rsidTr="00F34A7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C479A8" w14:textId="77777777" w:rsidR="00F34A72" w:rsidRPr="00355B11" w:rsidRDefault="00F34A72" w:rsidP="00F34A72">
                  <w:pPr>
                    <w:spacing w:after="0" w:line="240" w:lineRule="auto"/>
                    <w:jc w:val="center"/>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87C242E" w14:textId="77777777" w:rsidR="00F34A72" w:rsidRPr="00317487" w:rsidRDefault="00F34A72" w:rsidP="00F34A72">
                  <w:pPr>
                    <w:spacing w:after="0" w:line="240" w:lineRule="auto"/>
                    <w:rPr>
                      <w:rFonts w:ascii="Times New Roman" w:eastAsia="Times New Roman" w:hAnsi="Times New Roman" w:cs="Times New Roman"/>
                      <w:color w:val="000000" w:themeColor="text1"/>
                      <w:sz w:val="24"/>
                      <w:szCs w:val="24"/>
                      <w:lang w:val="lv-LV" w:eastAsia="lv-LV"/>
                    </w:rPr>
                  </w:pPr>
                  <w:r w:rsidRPr="00317487">
                    <w:rPr>
                      <w:rFonts w:ascii="Times New Roman" w:eastAsia="Times New Roman" w:hAnsi="Times New Roman" w:cs="Times New Roman"/>
                      <w:color w:val="000000" w:themeColor="text1"/>
                      <w:sz w:val="24"/>
                      <w:szCs w:val="24"/>
                      <w:lang w:val="lv-LV"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D84E62E" w14:textId="77777777" w:rsidR="00F34A72" w:rsidRPr="004A05AC" w:rsidRDefault="00F34A72" w:rsidP="00F34A72">
                  <w:pPr>
                    <w:spacing w:after="0" w:line="240" w:lineRule="auto"/>
                    <w:jc w:val="both"/>
                    <w:rPr>
                      <w:rFonts w:ascii="Times New Roman" w:eastAsia="Times New Roman" w:hAnsi="Times New Roman" w:cs="Times New Roman"/>
                      <w:sz w:val="24"/>
                      <w:szCs w:val="24"/>
                      <w:lang w:val="lv-LV" w:eastAsia="lv-LV"/>
                    </w:rPr>
                  </w:pPr>
                  <w:r w:rsidRPr="004A05AC">
                    <w:rPr>
                      <w:rFonts w:ascii="Times New Roman" w:eastAsia="Times New Roman" w:hAnsi="Times New Roman" w:cs="Times New Roman"/>
                      <w:sz w:val="24"/>
                      <w:szCs w:val="24"/>
                      <w:lang w:val="lv-LV" w:eastAsia="lv-LV"/>
                    </w:rPr>
                    <w:t>CVD, tā dalībnieki, citas personas, kuru īpašumā vai turējumā ir finanšu instrumenti</w:t>
                  </w:r>
                  <w:r>
                    <w:rPr>
                      <w:rFonts w:ascii="Times New Roman" w:eastAsia="Times New Roman" w:hAnsi="Times New Roman" w:cs="Times New Roman"/>
                      <w:sz w:val="24"/>
                      <w:szCs w:val="24"/>
                      <w:lang w:val="lv-LV" w:eastAsia="lv-LV"/>
                    </w:rPr>
                    <w:t>.</w:t>
                  </w:r>
                </w:p>
              </w:tc>
            </w:tr>
            <w:tr w:rsidR="00F34A72" w:rsidRPr="007E6A6F" w14:paraId="6F5EB05A" w14:textId="77777777" w:rsidTr="00F34A7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6D355F0" w14:textId="77777777" w:rsidR="00F34A72" w:rsidRPr="00355B11" w:rsidRDefault="00F34A72" w:rsidP="00F34A72">
                  <w:pPr>
                    <w:spacing w:after="0" w:line="240" w:lineRule="auto"/>
                    <w:jc w:val="center"/>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494957A" w14:textId="77777777" w:rsidR="00F34A72" w:rsidRPr="00355B11" w:rsidRDefault="00F34A72" w:rsidP="00F34A72">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337597E" w14:textId="77777777" w:rsidR="00F34A72" w:rsidRPr="00CA0F5E" w:rsidRDefault="00F34A72" w:rsidP="00F34A72">
                  <w:pPr>
                    <w:spacing w:after="0" w:line="240" w:lineRule="auto"/>
                    <w:rPr>
                      <w:rFonts w:ascii="Times New Roman" w:eastAsia="Times New Roman" w:hAnsi="Times New Roman" w:cs="Times New Roman"/>
                      <w:i/>
                      <w:color w:val="000000" w:themeColor="text1"/>
                      <w:sz w:val="24"/>
                      <w:szCs w:val="24"/>
                      <w:lang w:val="lv-LV" w:eastAsia="lv-LV"/>
                    </w:rPr>
                  </w:pPr>
                  <w:r w:rsidRPr="00CA0F5E">
                    <w:rPr>
                      <w:rFonts w:ascii="Times New Roman" w:eastAsia="Times New Roman" w:hAnsi="Times New Roman" w:cs="Times New Roman"/>
                      <w:i/>
                      <w:color w:val="000000" w:themeColor="text1"/>
                      <w:sz w:val="24"/>
                      <w:szCs w:val="24"/>
                      <w:lang w:val="lv-LV" w:eastAsia="lv-LV"/>
                    </w:rPr>
                    <w:t>Projekts šo jomu neskar.</w:t>
                  </w:r>
                </w:p>
                <w:p w14:paraId="7D70E719" w14:textId="77777777" w:rsidR="00F34A72" w:rsidRPr="007E6A6F" w:rsidRDefault="00F34A72" w:rsidP="00F34A72">
                  <w:pPr>
                    <w:spacing w:after="0" w:line="240" w:lineRule="auto"/>
                    <w:rPr>
                      <w:rFonts w:ascii="Times New Roman" w:eastAsia="Times New Roman" w:hAnsi="Times New Roman" w:cs="Times New Roman"/>
                      <w:color w:val="000000" w:themeColor="text1"/>
                      <w:sz w:val="24"/>
                      <w:szCs w:val="24"/>
                      <w:lang w:val="lv-LV" w:eastAsia="lv-LV"/>
                    </w:rPr>
                  </w:pPr>
                </w:p>
              </w:tc>
            </w:tr>
            <w:tr w:rsidR="00F34A72" w:rsidRPr="007E6A6F" w14:paraId="1B942120" w14:textId="77777777" w:rsidTr="00F34A7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EA070A5" w14:textId="77777777" w:rsidR="00F34A72" w:rsidRPr="00355B11" w:rsidRDefault="00F34A72" w:rsidP="00F34A72">
                  <w:pPr>
                    <w:spacing w:after="0" w:line="240" w:lineRule="auto"/>
                    <w:jc w:val="center"/>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C0E3ED7" w14:textId="5E49AA84" w:rsidR="00F34A72" w:rsidRPr="00355B11" w:rsidRDefault="00BC392F" w:rsidP="00F34A72">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D461DFC" w14:textId="77777777" w:rsidR="00BC392F" w:rsidRPr="00CA0F5E" w:rsidRDefault="00BC392F" w:rsidP="00BC392F">
                  <w:pPr>
                    <w:spacing w:after="0" w:line="240" w:lineRule="auto"/>
                    <w:rPr>
                      <w:rFonts w:ascii="Times New Roman" w:eastAsia="Times New Roman" w:hAnsi="Times New Roman" w:cs="Times New Roman"/>
                      <w:i/>
                      <w:color w:val="000000" w:themeColor="text1"/>
                      <w:sz w:val="24"/>
                      <w:szCs w:val="24"/>
                      <w:lang w:val="lv-LV" w:eastAsia="lv-LV"/>
                    </w:rPr>
                  </w:pPr>
                  <w:r w:rsidRPr="00CA0F5E">
                    <w:rPr>
                      <w:rFonts w:ascii="Times New Roman" w:eastAsia="Times New Roman" w:hAnsi="Times New Roman" w:cs="Times New Roman"/>
                      <w:i/>
                      <w:color w:val="000000" w:themeColor="text1"/>
                      <w:sz w:val="24"/>
                      <w:szCs w:val="24"/>
                      <w:lang w:val="lv-LV" w:eastAsia="lv-LV"/>
                    </w:rPr>
                    <w:t>Projekts šo jomu neskar.</w:t>
                  </w:r>
                </w:p>
                <w:p w14:paraId="6123201F" w14:textId="77777777" w:rsidR="00F34A72" w:rsidRPr="007E6A6F" w:rsidRDefault="00F34A72" w:rsidP="00BC392F">
                  <w:pPr>
                    <w:spacing w:after="0" w:line="240" w:lineRule="auto"/>
                    <w:rPr>
                      <w:rFonts w:ascii="Times New Roman" w:eastAsia="Times New Roman" w:hAnsi="Times New Roman" w:cs="Times New Roman"/>
                      <w:color w:val="000000" w:themeColor="text1"/>
                      <w:sz w:val="24"/>
                      <w:szCs w:val="24"/>
                      <w:lang w:val="lv-LV" w:eastAsia="lv-LV"/>
                    </w:rPr>
                  </w:pPr>
                </w:p>
              </w:tc>
            </w:tr>
            <w:tr w:rsidR="00F34A72" w:rsidRPr="004A05AC" w14:paraId="4FFBDFE3" w14:textId="77777777" w:rsidTr="00F34A72">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1CC796A1" w14:textId="77777777" w:rsidR="00F34A72" w:rsidRPr="00355B11" w:rsidRDefault="00F34A72" w:rsidP="00F34A72">
                  <w:pPr>
                    <w:spacing w:after="0" w:line="240" w:lineRule="auto"/>
                    <w:jc w:val="center"/>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FEA5556" w14:textId="2CC8F149" w:rsidR="00F34A72" w:rsidRPr="00355B11" w:rsidRDefault="00BC392F" w:rsidP="00F34A72">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 xml:space="preserve"> 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BD89C95" w14:textId="41FA0964" w:rsidR="000E5B32" w:rsidRPr="00CA0F5E" w:rsidRDefault="00BC392F" w:rsidP="00F34A72">
                  <w:pPr>
                    <w:spacing w:after="0" w:line="240" w:lineRule="auto"/>
                    <w:jc w:val="both"/>
                    <w:rPr>
                      <w:rFonts w:ascii="Times New Roman" w:eastAsia="Times New Roman" w:hAnsi="Times New Roman" w:cs="Times New Roman"/>
                      <w:i/>
                      <w:color w:val="000000" w:themeColor="text1"/>
                      <w:sz w:val="24"/>
                      <w:szCs w:val="24"/>
                      <w:lang w:val="lv-LV" w:eastAsia="lv-LV"/>
                    </w:rPr>
                  </w:pPr>
                  <w:r w:rsidRPr="00CA0F5E">
                    <w:rPr>
                      <w:rFonts w:ascii="Times New Roman" w:eastAsia="Times New Roman" w:hAnsi="Times New Roman" w:cs="Times New Roman"/>
                      <w:i/>
                      <w:color w:val="000000" w:themeColor="text1"/>
                      <w:sz w:val="24"/>
                      <w:szCs w:val="24"/>
                      <w:lang w:val="lv-LV" w:eastAsia="lv-LV"/>
                    </w:rPr>
                    <w:t>Nav.</w:t>
                  </w:r>
                </w:p>
              </w:tc>
            </w:tr>
            <w:tr w:rsidR="00BC392F" w:rsidRPr="00BF5896" w14:paraId="07D83E4E" w14:textId="77777777" w:rsidTr="004A05AC">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99F1A6" w14:textId="25747064" w:rsidR="00BC392F" w:rsidRPr="00355B11" w:rsidRDefault="00BC392F" w:rsidP="00BC392F">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lv-LV" w:eastAsia="lv-LV"/>
                    </w:rPr>
                  </w:pPr>
                  <w:r w:rsidRPr="00BC392F">
                    <w:rPr>
                      <w:rFonts w:ascii="Times New Roman" w:eastAsia="Times New Roman" w:hAnsi="Times New Roman" w:cs="Times New Roman"/>
                      <w:b/>
                      <w:bCs/>
                      <w:color w:val="000000" w:themeColor="text1"/>
                      <w:sz w:val="24"/>
                      <w:szCs w:val="24"/>
                      <w:lang w:val="lv-LV" w:eastAsia="lv-LV"/>
                    </w:rPr>
                    <w:t>III. Tiesību akta projekta ietekme uz valsts budžetu un pašvaldību budžetiem</w:t>
                  </w:r>
                </w:p>
              </w:tc>
            </w:tr>
            <w:tr w:rsidR="00BC392F" w:rsidRPr="004A05AC" w14:paraId="4F4D8F65" w14:textId="77777777" w:rsidTr="00BC392F">
              <w:trPr>
                <w:trHeight w:val="465"/>
              </w:trPr>
              <w:tc>
                <w:tcPr>
                  <w:tcW w:w="5000" w:type="pct"/>
                  <w:gridSpan w:val="3"/>
                  <w:tcBorders>
                    <w:top w:val="outset" w:sz="6" w:space="0" w:color="414142"/>
                    <w:left w:val="outset" w:sz="6" w:space="0" w:color="414142"/>
                    <w:bottom w:val="outset" w:sz="6" w:space="0" w:color="414142"/>
                  </w:tcBorders>
                </w:tcPr>
                <w:p w14:paraId="2450EAD4" w14:textId="56ACF745" w:rsidR="00BC392F" w:rsidRPr="00BC392F" w:rsidRDefault="00BC392F" w:rsidP="00BC392F">
                  <w:pPr>
                    <w:spacing w:after="0" w:line="240" w:lineRule="auto"/>
                    <w:jc w:val="center"/>
                    <w:rPr>
                      <w:rFonts w:ascii="Times New Roman" w:eastAsia="Times New Roman" w:hAnsi="Times New Roman" w:cs="Times New Roman"/>
                      <w:i/>
                      <w:sz w:val="24"/>
                      <w:szCs w:val="24"/>
                      <w:lang w:val="lv-LV" w:eastAsia="lv-LV"/>
                    </w:rPr>
                  </w:pPr>
                  <w:r>
                    <w:rPr>
                      <w:rFonts w:ascii="Times New Roman" w:eastAsia="Times New Roman" w:hAnsi="Times New Roman" w:cs="Times New Roman"/>
                      <w:i/>
                      <w:sz w:val="24"/>
                      <w:szCs w:val="24"/>
                      <w:lang w:val="lv-LV" w:eastAsia="lv-LV"/>
                    </w:rPr>
                    <w:t>Projekts šo jomu neskar.</w:t>
                  </w:r>
                </w:p>
              </w:tc>
            </w:tr>
          </w:tbl>
          <w:p w14:paraId="77E9101B" w14:textId="77777777" w:rsidR="00BC392F" w:rsidRPr="00BC392F" w:rsidRDefault="00BC392F" w:rsidP="000E5B32">
            <w:pPr>
              <w:shd w:val="clear" w:color="auto" w:fill="FFFFFF"/>
              <w:spacing w:after="0" w:line="240" w:lineRule="auto"/>
              <w:rPr>
                <w:rFonts w:ascii="Times New Roman" w:eastAsia="Times New Roman" w:hAnsi="Times New Roman" w:cs="Times New Roman"/>
                <w:color w:val="414142"/>
                <w:sz w:val="24"/>
                <w:szCs w:val="24"/>
                <w:lang w:val="lv-LV"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0"/>
              <w:gridCol w:w="2668"/>
              <w:gridCol w:w="6071"/>
            </w:tblGrid>
            <w:tr w:rsidR="000E5B32" w:rsidRPr="00AB5936" w14:paraId="7329FD2F" w14:textId="77777777" w:rsidTr="004A05AC">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DD5C48" w14:textId="77777777" w:rsidR="000E5B32" w:rsidRPr="00BC392F" w:rsidRDefault="000E5B32" w:rsidP="004A05AC">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val="lv-LV" w:eastAsia="lv-LV"/>
                    </w:rPr>
                  </w:pPr>
                  <w:r w:rsidRPr="00BC392F">
                    <w:rPr>
                      <w:rFonts w:ascii="Times New Roman" w:eastAsia="Times New Roman" w:hAnsi="Times New Roman" w:cs="Times New Roman"/>
                      <w:b/>
                      <w:bCs/>
                      <w:color w:val="000000" w:themeColor="text1"/>
                      <w:sz w:val="24"/>
                      <w:szCs w:val="24"/>
                      <w:lang w:val="lv-LV" w:eastAsia="lv-LV"/>
                    </w:rPr>
                    <w:t>IV. Tiesību akta projekta ietekme uz spēkā esošo tiesību normu sistēmu</w:t>
                  </w:r>
                </w:p>
              </w:tc>
            </w:tr>
            <w:tr w:rsidR="000E5B32" w:rsidRPr="00B2525F" w14:paraId="74B138BF" w14:textId="77777777" w:rsidTr="004A05AC">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CE2FBC5" w14:textId="77777777" w:rsidR="000E5B32" w:rsidRPr="00BC392F" w:rsidRDefault="000E5B32" w:rsidP="004A05AC">
                  <w:pPr>
                    <w:spacing w:after="0" w:line="240" w:lineRule="auto"/>
                    <w:rPr>
                      <w:rFonts w:ascii="Times New Roman" w:eastAsia="Times New Roman" w:hAnsi="Times New Roman" w:cs="Times New Roman"/>
                      <w:color w:val="000000" w:themeColor="text1"/>
                      <w:sz w:val="24"/>
                      <w:szCs w:val="24"/>
                      <w:lang w:val="lv-LV" w:eastAsia="lv-LV"/>
                    </w:rPr>
                  </w:pPr>
                  <w:r w:rsidRPr="00BC392F">
                    <w:rPr>
                      <w:rFonts w:ascii="Times New Roman" w:eastAsia="Times New Roman" w:hAnsi="Times New Roman" w:cs="Times New Roman"/>
                      <w:color w:val="000000" w:themeColor="text1"/>
                      <w:sz w:val="24"/>
                      <w:szCs w:val="24"/>
                      <w:lang w:val="lv-LV" w:eastAsia="lv-LV"/>
                    </w:rPr>
                    <w:lastRenderedPageBreak/>
                    <w:t>1.</w:t>
                  </w:r>
                </w:p>
              </w:tc>
              <w:tc>
                <w:tcPr>
                  <w:tcW w:w="1450" w:type="pct"/>
                  <w:tcBorders>
                    <w:top w:val="outset" w:sz="6" w:space="0" w:color="414142"/>
                    <w:left w:val="outset" w:sz="6" w:space="0" w:color="414142"/>
                    <w:bottom w:val="outset" w:sz="6" w:space="0" w:color="414142"/>
                    <w:right w:val="outset" w:sz="6" w:space="0" w:color="414142"/>
                  </w:tcBorders>
                  <w:hideMark/>
                </w:tcPr>
                <w:p w14:paraId="1AE18C9C" w14:textId="77777777" w:rsidR="000E5B32" w:rsidRPr="00BC392F" w:rsidRDefault="000E5B32" w:rsidP="004A05AC">
                  <w:pPr>
                    <w:spacing w:after="0" w:line="240" w:lineRule="auto"/>
                    <w:rPr>
                      <w:rFonts w:ascii="Times New Roman" w:eastAsia="Times New Roman" w:hAnsi="Times New Roman" w:cs="Times New Roman"/>
                      <w:color w:val="000000" w:themeColor="text1"/>
                      <w:sz w:val="24"/>
                      <w:szCs w:val="24"/>
                      <w:lang w:val="lv-LV" w:eastAsia="lv-LV"/>
                    </w:rPr>
                  </w:pPr>
                  <w:r w:rsidRPr="00BC392F">
                    <w:rPr>
                      <w:rFonts w:ascii="Times New Roman" w:eastAsia="Times New Roman" w:hAnsi="Times New Roman" w:cs="Times New Roman"/>
                      <w:color w:val="000000" w:themeColor="text1"/>
                      <w:sz w:val="24"/>
                      <w:szCs w:val="24"/>
                      <w:lang w:val="lv-LV"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311615C8" w14:textId="77777777" w:rsidR="00F102B8" w:rsidRDefault="00F102B8" w:rsidP="00F102B8">
                  <w:pPr>
                    <w:spacing w:line="240" w:lineRule="auto"/>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Saistībā ar FITL grozījumiem nepieciešams precizēt Likuma “Par iedzīvotāju ienākuma nodokli” 16.</w:t>
                  </w:r>
                  <w:r>
                    <w:rPr>
                      <w:rFonts w:ascii="Times New Roman" w:eastAsia="Times New Roman" w:hAnsi="Times New Roman" w:cs="Times New Roman"/>
                      <w:color w:val="000000" w:themeColor="text1"/>
                      <w:sz w:val="24"/>
                      <w:szCs w:val="24"/>
                      <w:vertAlign w:val="superscript"/>
                      <w:lang w:val="lv-LV" w:eastAsia="lv-LV"/>
                    </w:rPr>
                    <w:t>1</w:t>
                  </w:r>
                  <w:r>
                    <w:rPr>
                      <w:rFonts w:ascii="Times New Roman" w:eastAsia="Times New Roman" w:hAnsi="Times New Roman" w:cs="Times New Roman"/>
                      <w:color w:val="000000" w:themeColor="text1"/>
                      <w:sz w:val="24"/>
                      <w:szCs w:val="24"/>
                      <w:lang w:val="lv-LV" w:eastAsia="lv-LV"/>
                    </w:rPr>
                    <w:t xml:space="preserve"> panta astoto daļu, nosakot, ka, par vērtspapīru konta turētāju likuma “Par iedzīvotāju ienākuma nodokli” izpratnē (veic norēķinus ar klientu (maksātāju) un ietur un ieskaita valsts budžetā iedzīvotāju ienākuma nodokli) individuālajam, uz klienta (maksātāja) vārda atvērtajam, kontam CVD uzturētajā vērtspapīru norēķinu sistēmā, uzskata CVD dalībnieku, ar kura starpniecību šis konts ir atvērts un ar kuru ir noslēgts līgums par šī konta apkalpošanu.</w:t>
                  </w:r>
                </w:p>
                <w:p w14:paraId="500CE27B" w14:textId="7B171565" w:rsidR="00BC392F" w:rsidRDefault="00BC392F" w:rsidP="000E5B32">
                  <w:pPr>
                    <w:spacing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Tehniskas izmaiņas nepieciešam</w:t>
                  </w:r>
                  <w:r w:rsidR="00452F6B">
                    <w:rPr>
                      <w:rFonts w:ascii="Times New Roman" w:hAnsi="Times New Roman" w:cs="Times New Roman"/>
                      <w:color w:val="000000" w:themeColor="text1"/>
                      <w:sz w:val="24"/>
                      <w:szCs w:val="24"/>
                      <w:lang w:val="lv-LV"/>
                    </w:rPr>
                    <w:t xml:space="preserve">as Finanšu nodrošinājuma likumā un Ieguldītāju aizsardzības likumā. Gan šis likumprojekts, gan attiecīgās izmaiņas šajos divos likumos Ministru kabinetā un Saeimā skatāmi vienlaicīgi. </w:t>
                  </w:r>
                </w:p>
                <w:p w14:paraId="7544D904" w14:textId="00170347" w:rsidR="000E5B32" w:rsidRPr="000E5B32" w:rsidRDefault="000E5B32" w:rsidP="000E5B32">
                  <w:pPr>
                    <w:spacing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Tāpat </w:t>
                  </w:r>
                  <w:r w:rsidRPr="000E5B32">
                    <w:rPr>
                      <w:rFonts w:ascii="Times New Roman" w:hAnsi="Times New Roman" w:cs="Times New Roman"/>
                      <w:color w:val="000000" w:themeColor="text1"/>
                      <w:sz w:val="24"/>
                      <w:szCs w:val="24"/>
                      <w:lang w:val="lv-LV"/>
                    </w:rPr>
                    <w:t>būs nepieciešamība veikt labojumus šādos FKTK izdotos normatīvajos aktos:</w:t>
                  </w:r>
                </w:p>
                <w:p w14:paraId="6D466CEE" w14:textId="14BE6AB3" w:rsidR="000E5B32" w:rsidRPr="000E5B32" w:rsidRDefault="000E5B32" w:rsidP="000E5B32">
                  <w:pPr>
                    <w:spacing w:line="240" w:lineRule="auto"/>
                    <w:jc w:val="both"/>
                    <w:rPr>
                      <w:rFonts w:ascii="Times New Roman" w:hAnsi="Times New Roman" w:cs="Times New Roman"/>
                      <w:color w:val="000000" w:themeColor="text1"/>
                      <w:sz w:val="24"/>
                      <w:szCs w:val="24"/>
                      <w:lang w:val="lv-LV"/>
                    </w:rPr>
                  </w:pPr>
                  <w:r w:rsidRPr="000E5B32">
                    <w:rPr>
                      <w:rFonts w:ascii="Times New Roman" w:hAnsi="Times New Roman" w:cs="Times New Roman"/>
                      <w:color w:val="000000" w:themeColor="text1"/>
                      <w:sz w:val="24"/>
                      <w:szCs w:val="24"/>
                      <w:lang w:val="lv-LV"/>
                    </w:rPr>
                    <w:t>1) FKTK 2009.gada 20.marta normatīvie noteikumi Nr.37 "Paziņojumam par būtiskas līdzdalības iegūšanu vai palielināšanu kredītiestādē, apdrošināšanas sabiedrībā, pārapdrošināšanas sabiedrībā, regulētā tirgus organizētājā, Latvijas Centrālajā depozitārijā, ieguldījumu pārvaldes sabiedrībā, alternatīvo ieguldījumu fondu pārvaldniekā, maksājumu iestādē, elektroniskās naudas iestādē vai ieguldījumu brokeru sabiedrībā pievienojamās informācijas saraksts";</w:t>
                  </w:r>
                </w:p>
                <w:p w14:paraId="41CDD7AE" w14:textId="77777777" w:rsidR="000E5B32" w:rsidRPr="000E5B32" w:rsidRDefault="000E5B32" w:rsidP="000E5B32">
                  <w:pPr>
                    <w:spacing w:line="240" w:lineRule="auto"/>
                    <w:jc w:val="both"/>
                    <w:rPr>
                      <w:rFonts w:ascii="Times New Roman" w:hAnsi="Times New Roman" w:cs="Times New Roman"/>
                      <w:color w:val="000000" w:themeColor="text1"/>
                      <w:sz w:val="24"/>
                      <w:szCs w:val="24"/>
                      <w:lang w:val="lv-LV"/>
                    </w:rPr>
                  </w:pPr>
                  <w:r w:rsidRPr="000E5B32">
                    <w:rPr>
                      <w:rFonts w:ascii="Times New Roman" w:hAnsi="Times New Roman" w:cs="Times New Roman"/>
                      <w:color w:val="000000" w:themeColor="text1"/>
                      <w:sz w:val="24"/>
                      <w:szCs w:val="24"/>
                      <w:lang w:val="lv-LV"/>
                    </w:rPr>
                    <w:t>2) FKTK 2001.gada 30.novembra noteikumi Nr. 21 "Noteikumi par vērtspapīru turētāju loku, ko bankas drīkst izmantot A zonas valstu vērtspapīru turēšanai";</w:t>
                  </w:r>
                </w:p>
                <w:p w14:paraId="10D7F35F" w14:textId="3EC8792F" w:rsidR="000E5B32" w:rsidRPr="000E5B32" w:rsidRDefault="000E5B32" w:rsidP="000E5B32">
                  <w:pPr>
                    <w:spacing w:line="240" w:lineRule="auto"/>
                    <w:jc w:val="both"/>
                    <w:rPr>
                      <w:rFonts w:ascii="Times New Roman" w:hAnsi="Times New Roman" w:cs="Times New Roman"/>
                      <w:color w:val="000000" w:themeColor="text1"/>
                      <w:sz w:val="24"/>
                      <w:szCs w:val="24"/>
                      <w:lang w:val="lv-LV"/>
                    </w:rPr>
                  </w:pPr>
                  <w:r w:rsidRPr="000E5B32">
                    <w:rPr>
                      <w:rFonts w:ascii="Times New Roman" w:hAnsi="Times New Roman" w:cs="Times New Roman"/>
                      <w:color w:val="000000" w:themeColor="text1"/>
                      <w:sz w:val="24"/>
                      <w:szCs w:val="24"/>
                      <w:lang w:val="lv-LV"/>
                    </w:rPr>
                    <w:t>3) FKTK 2005. gada 23. decembra noteikumi Nr.165 "Nominālo finanšu instrumentu kontu turētāju kārtotās finanšu instrumentu uzskaites noteikumi";</w:t>
                  </w:r>
                </w:p>
                <w:p w14:paraId="47A05017" w14:textId="747CDBB9" w:rsidR="000E5B32" w:rsidRPr="000E5B32" w:rsidRDefault="000E5B32" w:rsidP="000E5B32">
                  <w:pPr>
                    <w:spacing w:line="240" w:lineRule="auto"/>
                    <w:jc w:val="both"/>
                    <w:rPr>
                      <w:rFonts w:ascii="Times New Roman" w:hAnsi="Times New Roman" w:cs="Times New Roman"/>
                      <w:color w:val="000000" w:themeColor="text1"/>
                      <w:sz w:val="24"/>
                      <w:szCs w:val="24"/>
                      <w:lang w:val="lv-LV"/>
                    </w:rPr>
                  </w:pPr>
                  <w:r w:rsidRPr="000E5B32">
                    <w:rPr>
                      <w:rFonts w:ascii="Times New Roman" w:hAnsi="Times New Roman" w:cs="Times New Roman"/>
                      <w:color w:val="000000" w:themeColor="text1"/>
                      <w:sz w:val="24"/>
                      <w:szCs w:val="24"/>
                      <w:lang w:val="lv-LV"/>
                    </w:rPr>
                    <w:t>4) FKTK 2004. gada 19. marta ieteikumi Nr.53 "Ieteikumi publiskā apgrozībā esošu akciju sabiedrībā "Latvijas Centrālais depozitārijs" neiegrāmatotu finanšu instrumentu uzskaites kārtošanai";</w:t>
                  </w:r>
                </w:p>
                <w:p w14:paraId="0466BEC5" w14:textId="0B3AE67F" w:rsidR="000E5B32" w:rsidRPr="00BC392F" w:rsidRDefault="000E5B32" w:rsidP="000E5B32">
                  <w:pPr>
                    <w:spacing w:line="240" w:lineRule="auto"/>
                    <w:jc w:val="both"/>
                    <w:rPr>
                      <w:rFonts w:ascii="Times New Roman" w:hAnsi="Times New Roman" w:cs="Times New Roman"/>
                      <w:color w:val="000000" w:themeColor="text1"/>
                      <w:sz w:val="24"/>
                      <w:szCs w:val="24"/>
                      <w:lang w:val="lv-LV"/>
                    </w:rPr>
                  </w:pPr>
                  <w:r w:rsidRPr="000E5B32">
                    <w:rPr>
                      <w:rFonts w:ascii="Times New Roman" w:hAnsi="Times New Roman" w:cs="Times New Roman"/>
                      <w:color w:val="000000" w:themeColor="text1"/>
                      <w:sz w:val="24"/>
                      <w:szCs w:val="24"/>
                      <w:lang w:val="lv-LV"/>
                    </w:rPr>
                    <w:t>5) FKTK 2001.gada 26.oktobra noteikumi Nr.16 "Ārpusbiržas darījumu publiskošanas noteikumi".</w:t>
                  </w:r>
                </w:p>
              </w:tc>
            </w:tr>
            <w:tr w:rsidR="000E5B32" w:rsidRPr="00705817" w14:paraId="777F88AE" w14:textId="77777777" w:rsidTr="004A05AC">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DDAE588" w14:textId="4D048852" w:rsidR="000E5B32" w:rsidRPr="000E5B32" w:rsidRDefault="000E5B32" w:rsidP="004A05AC">
                  <w:pPr>
                    <w:spacing w:after="0" w:line="240" w:lineRule="auto"/>
                    <w:rPr>
                      <w:rFonts w:ascii="Times New Roman" w:eastAsia="Times New Roman" w:hAnsi="Times New Roman" w:cs="Times New Roman"/>
                      <w:color w:val="000000" w:themeColor="text1"/>
                      <w:sz w:val="24"/>
                      <w:szCs w:val="24"/>
                      <w:lang w:eastAsia="lv-LV"/>
                    </w:rPr>
                  </w:pPr>
                  <w:r w:rsidRPr="000E5B32">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61A46CB1" w14:textId="397B5543" w:rsidR="000E5B32" w:rsidRPr="000E5B32" w:rsidRDefault="00193CBB" w:rsidP="004A05AC">
                  <w:pPr>
                    <w:spacing w:after="0" w:line="240" w:lineRule="auto"/>
                    <w:rPr>
                      <w:rFonts w:ascii="Times New Roman" w:eastAsia="Times New Roman" w:hAnsi="Times New Roman" w:cs="Times New Roman"/>
                      <w:noProof/>
                      <w:color w:val="000000" w:themeColor="text1"/>
                      <w:sz w:val="24"/>
                      <w:szCs w:val="24"/>
                      <w:lang w:eastAsia="lv-LV"/>
                    </w:rPr>
                  </w:pPr>
                  <w:r w:rsidRPr="000E5B32">
                    <w:rPr>
                      <w:rFonts w:ascii="Times New Roman" w:eastAsia="Times New Roman" w:hAnsi="Times New Roman" w:cs="Times New Roman"/>
                      <w:noProof/>
                      <w:color w:val="000000" w:themeColor="text1"/>
                      <w:sz w:val="24"/>
                      <w:szCs w:val="24"/>
                      <w:lang w:eastAsia="lv-LV"/>
                    </w:rPr>
                    <w:t xml:space="preserve"> 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BEABDC7" w14:textId="17931F49" w:rsidR="000E5B32" w:rsidRPr="00B2525F" w:rsidRDefault="00CA0F5E" w:rsidP="00193CBB">
                  <w:pPr>
                    <w:tabs>
                      <w:tab w:val="left" w:pos="2923"/>
                    </w:tabs>
                    <w:spacing w:after="0" w:line="240" w:lineRule="auto"/>
                    <w:rPr>
                      <w:rFonts w:ascii="Times New Roman" w:eastAsia="Times New Roman" w:hAnsi="Times New Roman" w:cs="Times New Roman"/>
                      <w:noProof/>
                      <w:color w:val="000000" w:themeColor="text1"/>
                      <w:sz w:val="24"/>
                      <w:szCs w:val="24"/>
                      <w:lang w:val="fr-FR" w:eastAsia="lv-LV"/>
                    </w:rPr>
                  </w:pPr>
                  <w:r w:rsidRPr="00B2525F">
                    <w:rPr>
                      <w:rFonts w:ascii="Times New Roman" w:eastAsia="Times New Roman" w:hAnsi="Times New Roman" w:cs="Times New Roman"/>
                      <w:noProof/>
                      <w:color w:val="000000" w:themeColor="text1"/>
                      <w:sz w:val="24"/>
                      <w:szCs w:val="24"/>
                      <w:lang w:val="fr-FR" w:eastAsia="lv-LV"/>
                    </w:rPr>
                    <w:t>Finanšu ministrija, Finanšu un kapitāla tirgus komisija.</w:t>
                  </w:r>
                </w:p>
              </w:tc>
            </w:tr>
            <w:tr w:rsidR="000E5B32" w:rsidRPr="000E5B32" w14:paraId="11A1E54B" w14:textId="77777777" w:rsidTr="004A05AC">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2AB721F" w14:textId="77777777" w:rsidR="000E5B32" w:rsidRPr="000E5B32" w:rsidRDefault="000E5B32" w:rsidP="004A05AC">
                  <w:pPr>
                    <w:spacing w:after="0" w:line="240" w:lineRule="auto"/>
                    <w:rPr>
                      <w:rFonts w:ascii="Times New Roman" w:eastAsia="Times New Roman" w:hAnsi="Times New Roman" w:cs="Times New Roman"/>
                      <w:color w:val="000000" w:themeColor="text1"/>
                      <w:sz w:val="24"/>
                      <w:szCs w:val="24"/>
                      <w:lang w:eastAsia="lv-LV"/>
                    </w:rPr>
                  </w:pPr>
                  <w:r w:rsidRPr="000E5B32">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645F34B" w14:textId="71DC3B9E" w:rsidR="000E5B32" w:rsidRPr="000E5B32" w:rsidRDefault="00193CBB" w:rsidP="004A05AC">
                  <w:pPr>
                    <w:spacing w:after="0" w:line="240" w:lineRule="auto"/>
                    <w:rPr>
                      <w:rFonts w:ascii="Times New Roman" w:eastAsia="Times New Roman" w:hAnsi="Times New Roman" w:cs="Times New Roman"/>
                      <w:noProof/>
                      <w:color w:val="000000" w:themeColor="text1"/>
                      <w:sz w:val="24"/>
                      <w:szCs w:val="24"/>
                      <w:lang w:eastAsia="lv-LV"/>
                    </w:rPr>
                  </w:pPr>
                  <w:r w:rsidRPr="000E5B32">
                    <w:rPr>
                      <w:rFonts w:ascii="Times New Roman" w:eastAsia="Times New Roman" w:hAnsi="Times New Roman" w:cs="Times New Roman"/>
                      <w:noProof/>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4934A9B" w14:textId="0802A9C6" w:rsidR="000E5B32" w:rsidRPr="00CA0F5E" w:rsidRDefault="00193CBB" w:rsidP="004A05AC">
                  <w:pPr>
                    <w:spacing w:before="100" w:beforeAutospacing="1" w:after="100" w:afterAutospacing="1" w:line="293" w:lineRule="atLeast"/>
                    <w:rPr>
                      <w:rFonts w:ascii="Times New Roman" w:eastAsia="Times New Roman" w:hAnsi="Times New Roman" w:cs="Times New Roman"/>
                      <w:i/>
                      <w:noProof/>
                      <w:color w:val="000000" w:themeColor="text1"/>
                      <w:sz w:val="24"/>
                      <w:szCs w:val="24"/>
                      <w:lang w:eastAsia="lv-LV"/>
                    </w:rPr>
                  </w:pPr>
                  <w:r w:rsidRPr="000E5B32">
                    <w:rPr>
                      <w:rFonts w:ascii="Times New Roman" w:eastAsia="Times New Roman" w:hAnsi="Times New Roman" w:cs="Times New Roman"/>
                      <w:noProof/>
                      <w:color w:val="000000" w:themeColor="text1"/>
                      <w:sz w:val="24"/>
                      <w:szCs w:val="24"/>
                      <w:lang w:eastAsia="lv-LV"/>
                    </w:rPr>
                    <w:t xml:space="preserve"> </w:t>
                  </w:r>
                  <w:r w:rsidRPr="00CA0F5E">
                    <w:rPr>
                      <w:rFonts w:ascii="Times New Roman" w:eastAsia="Times New Roman" w:hAnsi="Times New Roman" w:cs="Times New Roman"/>
                      <w:i/>
                      <w:noProof/>
                      <w:color w:val="000000" w:themeColor="text1"/>
                      <w:sz w:val="24"/>
                      <w:szCs w:val="24"/>
                      <w:lang w:eastAsia="lv-LV"/>
                    </w:rPr>
                    <w:t>Nav.</w:t>
                  </w:r>
                </w:p>
              </w:tc>
            </w:tr>
          </w:tbl>
          <w:tbl>
            <w:tblPr>
              <w:tblpPr w:leftFromText="180" w:rightFromText="180" w:vertAnchor="text" w:horzAnchor="margin" w:tblpY="-292"/>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668"/>
              <w:gridCol w:w="6071"/>
            </w:tblGrid>
            <w:tr w:rsidR="00686071" w:rsidRPr="00FE1B50" w14:paraId="57C7FBA8" w14:textId="77777777" w:rsidTr="00F34A7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21B920" w14:textId="77777777" w:rsidR="00686071" w:rsidRPr="00355B11" w:rsidRDefault="00686071" w:rsidP="00686071">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lv-LV" w:eastAsia="lv-LV"/>
                    </w:rPr>
                  </w:pPr>
                  <w:r w:rsidRPr="00355B11">
                    <w:rPr>
                      <w:rFonts w:ascii="Times New Roman" w:eastAsia="Times New Roman" w:hAnsi="Times New Roman" w:cs="Times New Roman"/>
                      <w:b/>
                      <w:bCs/>
                      <w:color w:val="000000" w:themeColor="text1"/>
                      <w:sz w:val="24"/>
                      <w:szCs w:val="24"/>
                      <w:lang w:val="lv-LV" w:eastAsia="lv-LV"/>
                    </w:rPr>
                    <w:lastRenderedPageBreak/>
                    <w:t>V. Tiesību akta projekta atbilstība Latvijas Republikas starptautiskajām saistībām</w:t>
                  </w:r>
                </w:p>
              </w:tc>
            </w:tr>
            <w:tr w:rsidR="00686071" w:rsidRPr="00AB5936" w14:paraId="62AB4098" w14:textId="77777777" w:rsidTr="00F34A72">
              <w:tc>
                <w:tcPr>
                  <w:tcW w:w="250" w:type="pct"/>
                  <w:tcBorders>
                    <w:top w:val="outset" w:sz="6" w:space="0" w:color="414142"/>
                    <w:left w:val="outset" w:sz="6" w:space="0" w:color="414142"/>
                    <w:bottom w:val="outset" w:sz="6" w:space="0" w:color="414142"/>
                    <w:right w:val="outset" w:sz="6" w:space="0" w:color="414142"/>
                  </w:tcBorders>
                  <w:hideMark/>
                </w:tcPr>
                <w:p w14:paraId="2E0E3F9D" w14:textId="77777777" w:rsidR="00686071" w:rsidRPr="00844CF3" w:rsidRDefault="00686071" w:rsidP="00686071">
                  <w:pPr>
                    <w:spacing w:after="0" w:line="240" w:lineRule="auto"/>
                    <w:jc w:val="both"/>
                    <w:rPr>
                      <w:rFonts w:ascii="Times New Roman" w:eastAsia="Times New Roman" w:hAnsi="Times New Roman" w:cs="Times New Roman"/>
                      <w:color w:val="000000" w:themeColor="text1"/>
                      <w:sz w:val="24"/>
                      <w:szCs w:val="24"/>
                      <w:lang w:val="lv-LV" w:eastAsia="lv-LV"/>
                    </w:rPr>
                  </w:pPr>
                  <w:r w:rsidRPr="00844CF3">
                    <w:rPr>
                      <w:rFonts w:ascii="Times New Roman" w:eastAsia="Times New Roman" w:hAnsi="Times New Roman" w:cs="Times New Roman"/>
                      <w:color w:val="000000" w:themeColor="text1"/>
                      <w:sz w:val="24"/>
                      <w:szCs w:val="24"/>
                      <w:lang w:val="lv-LV"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3AB2CDE" w14:textId="77777777" w:rsidR="00686071" w:rsidRPr="00844CF3" w:rsidRDefault="00686071" w:rsidP="00686071">
                  <w:pPr>
                    <w:spacing w:after="0" w:line="240" w:lineRule="auto"/>
                    <w:jc w:val="both"/>
                    <w:rPr>
                      <w:rFonts w:ascii="Times New Roman" w:eastAsia="Times New Roman" w:hAnsi="Times New Roman" w:cs="Times New Roman"/>
                      <w:color w:val="000000" w:themeColor="text1"/>
                      <w:sz w:val="24"/>
                      <w:szCs w:val="24"/>
                      <w:lang w:val="lv-LV" w:eastAsia="lv-LV"/>
                    </w:rPr>
                  </w:pPr>
                  <w:r w:rsidRPr="00844CF3">
                    <w:rPr>
                      <w:rFonts w:ascii="Times New Roman" w:eastAsia="Times New Roman" w:hAnsi="Times New Roman" w:cs="Times New Roman"/>
                      <w:color w:val="000000" w:themeColor="text1"/>
                      <w:sz w:val="24"/>
                      <w:szCs w:val="24"/>
                      <w:lang w:val="lv-LV"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5FEFAD6D" w14:textId="77777777" w:rsidR="00B320E0" w:rsidRDefault="00005D7D" w:rsidP="00686071">
                  <w:pPr>
                    <w:spacing w:after="0" w:line="240" w:lineRule="auto"/>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 xml:space="preserve">Eiropas Parlamenta un Padomes (ES) </w:t>
                  </w:r>
                  <w:r w:rsidR="00686071" w:rsidRPr="00452F6B">
                    <w:rPr>
                      <w:rFonts w:ascii="Times New Roman" w:eastAsia="Times New Roman" w:hAnsi="Times New Roman" w:cs="Times New Roman"/>
                      <w:color w:val="000000"/>
                      <w:sz w:val="24"/>
                      <w:szCs w:val="24"/>
                      <w:lang w:val="lv-LV" w:eastAsia="lv-LV"/>
                    </w:rPr>
                    <w:t>Regula Nr. 909/2014</w:t>
                  </w:r>
                  <w:r>
                    <w:rPr>
                      <w:rFonts w:ascii="Times New Roman" w:eastAsia="Times New Roman" w:hAnsi="Times New Roman" w:cs="Times New Roman"/>
                      <w:color w:val="000000"/>
                      <w:sz w:val="24"/>
                      <w:szCs w:val="24"/>
                      <w:lang w:val="lv-LV" w:eastAsia="lv-LV"/>
                    </w:rPr>
                    <w:t xml:space="preserve"> (2014</w:t>
                  </w:r>
                  <w:r w:rsidR="00686071">
                    <w:rPr>
                      <w:rFonts w:ascii="Times New Roman" w:eastAsia="Times New Roman" w:hAnsi="Times New Roman" w:cs="Times New Roman"/>
                      <w:color w:val="000000"/>
                      <w:sz w:val="24"/>
                      <w:szCs w:val="24"/>
                      <w:lang w:val="lv-LV" w:eastAsia="lv-LV"/>
                    </w:rPr>
                    <w:t>.</w:t>
                  </w:r>
                  <w:r>
                    <w:rPr>
                      <w:rFonts w:ascii="Times New Roman" w:eastAsia="Times New Roman" w:hAnsi="Times New Roman" w:cs="Times New Roman"/>
                      <w:color w:val="000000"/>
                      <w:sz w:val="24"/>
                      <w:szCs w:val="24"/>
                      <w:lang w:val="lv-LV" w:eastAsia="lv-LV"/>
                    </w:rPr>
                    <w:t xml:space="preserve"> gada 23.jūlijs) par vērtspapīru norēķinu uzlabošanu Eiropas Savienībā, centrālajiem vērtspapīru depozitārijiem un grozījumiem Direktīvās 98/26/EK un 2014/65/ES un Regulā (ES) Nr. 236/2012.</w:t>
                  </w:r>
                </w:p>
                <w:p w14:paraId="08E541C1" w14:textId="3AF3E21C" w:rsidR="00686071" w:rsidRPr="00452F6B" w:rsidRDefault="00B320E0" w:rsidP="00686071">
                  <w:pPr>
                    <w:spacing w:after="0" w:line="240" w:lineRule="auto"/>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Komisijas Deleģētā Regula (ES) 2017/392 (2016.gada 11.novembris) ar ko Eiropas Parlamenta un Padomes Regulu (ES) Nr. 909/2014 papildina attiecībā uz regulatīvajiem tehniskajiem sta</w:t>
                  </w:r>
                  <w:r w:rsidR="00FD72CB">
                    <w:rPr>
                      <w:rFonts w:ascii="Times New Roman" w:eastAsia="Times New Roman" w:hAnsi="Times New Roman" w:cs="Times New Roman"/>
                      <w:color w:val="000000"/>
                      <w:sz w:val="24"/>
                      <w:szCs w:val="24"/>
                      <w:lang w:val="lv-LV" w:eastAsia="lv-LV"/>
                    </w:rPr>
                    <w:t>ndartiem par atļauju izsniegšanas</w:t>
                  </w:r>
                  <w:r>
                    <w:rPr>
                      <w:rFonts w:ascii="Times New Roman" w:eastAsia="Times New Roman" w:hAnsi="Times New Roman" w:cs="Times New Roman"/>
                      <w:color w:val="000000"/>
                      <w:sz w:val="24"/>
                      <w:szCs w:val="24"/>
                      <w:lang w:val="lv-LV" w:eastAsia="lv-LV"/>
                    </w:rPr>
                    <w:t>, uzraudzības un operacionālajām prasībām centrālajiem vērtspapīru depozitārijiem.</w:t>
                  </w:r>
                  <w:r w:rsidR="00686071" w:rsidRPr="00452F6B">
                    <w:rPr>
                      <w:rFonts w:ascii="Times New Roman" w:eastAsia="Times New Roman" w:hAnsi="Times New Roman" w:cs="Times New Roman"/>
                      <w:color w:val="000000"/>
                      <w:sz w:val="24"/>
                      <w:szCs w:val="24"/>
                      <w:lang w:val="lv-LV" w:eastAsia="lv-LV"/>
                    </w:rPr>
                    <w:t xml:space="preserve"> </w:t>
                  </w:r>
                </w:p>
                <w:p w14:paraId="5E183B63" w14:textId="77777777" w:rsidR="00686071" w:rsidRPr="00FB0042" w:rsidRDefault="00686071" w:rsidP="00686071">
                  <w:pPr>
                    <w:spacing w:after="0" w:line="240" w:lineRule="auto"/>
                    <w:jc w:val="both"/>
                    <w:rPr>
                      <w:rFonts w:ascii="Times New Roman" w:hAnsi="Times New Roman" w:cs="Times New Roman"/>
                      <w:color w:val="000000" w:themeColor="text1"/>
                      <w:sz w:val="24"/>
                      <w:szCs w:val="24"/>
                      <w:shd w:val="clear" w:color="auto" w:fill="FFFFFF"/>
                      <w:lang w:val="lv-LV"/>
                    </w:rPr>
                  </w:pPr>
                  <w:r w:rsidRPr="00452F6B">
                    <w:rPr>
                      <w:rFonts w:ascii="Times New Roman" w:eastAsia="Times New Roman" w:hAnsi="Times New Roman" w:cs="Times New Roman"/>
                      <w:color w:val="000000"/>
                      <w:sz w:val="24"/>
                      <w:szCs w:val="24"/>
                      <w:lang w:val="lv-LV" w:eastAsia="lv-LV"/>
                    </w:rPr>
                    <w:t>Minētā regula tiek piemērota ar brīdi, kad saskaņā ar tās prasībām centrālais vērtspapīru depozitārijs saņem atļauju tā darbībai.</w:t>
                  </w:r>
                </w:p>
              </w:tc>
            </w:tr>
            <w:tr w:rsidR="00686071" w:rsidRPr="00E26761" w14:paraId="2A958065" w14:textId="77777777" w:rsidTr="00F34A72">
              <w:tc>
                <w:tcPr>
                  <w:tcW w:w="250" w:type="pct"/>
                  <w:tcBorders>
                    <w:top w:val="outset" w:sz="6" w:space="0" w:color="414142"/>
                    <w:left w:val="outset" w:sz="6" w:space="0" w:color="414142"/>
                    <w:bottom w:val="outset" w:sz="6" w:space="0" w:color="414142"/>
                    <w:right w:val="outset" w:sz="6" w:space="0" w:color="414142"/>
                  </w:tcBorders>
                  <w:hideMark/>
                </w:tcPr>
                <w:p w14:paraId="5ED9FC2E" w14:textId="77777777" w:rsidR="00686071" w:rsidRPr="00355B11" w:rsidRDefault="00686071" w:rsidP="00686071">
                  <w:pPr>
                    <w:spacing w:after="0" w:line="240" w:lineRule="auto"/>
                    <w:jc w:val="both"/>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6BAC5F4E" w14:textId="77777777" w:rsidR="00686071" w:rsidRPr="00355B11" w:rsidRDefault="00686071" w:rsidP="00686071">
                  <w:pPr>
                    <w:spacing w:after="0" w:line="240" w:lineRule="auto"/>
                    <w:jc w:val="both"/>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4ED11112" w14:textId="77777777" w:rsidR="00686071" w:rsidRPr="00CA0F5E" w:rsidRDefault="00686071" w:rsidP="00686071">
                  <w:pPr>
                    <w:spacing w:after="0" w:line="240" w:lineRule="auto"/>
                    <w:jc w:val="both"/>
                    <w:rPr>
                      <w:rFonts w:ascii="Times New Roman" w:eastAsia="Times New Roman" w:hAnsi="Times New Roman" w:cs="Times New Roman"/>
                      <w:i/>
                      <w:color w:val="000000" w:themeColor="text1"/>
                      <w:sz w:val="24"/>
                      <w:szCs w:val="24"/>
                      <w:lang w:val="lv-LV" w:eastAsia="lv-LV"/>
                    </w:rPr>
                  </w:pPr>
                  <w:r w:rsidRPr="00CA0F5E">
                    <w:rPr>
                      <w:rFonts w:ascii="Times New Roman" w:eastAsia="Times New Roman" w:hAnsi="Times New Roman" w:cs="Times New Roman"/>
                      <w:i/>
                      <w:color w:val="000000" w:themeColor="text1"/>
                      <w:sz w:val="24"/>
                      <w:szCs w:val="24"/>
                      <w:lang w:val="lv-LV" w:eastAsia="lv-LV"/>
                    </w:rPr>
                    <w:t>Projekts šo jomu neskar.</w:t>
                  </w:r>
                </w:p>
                <w:p w14:paraId="4588C25F" w14:textId="77777777" w:rsidR="00686071" w:rsidRPr="00FB0042" w:rsidRDefault="00686071" w:rsidP="00686071">
                  <w:pPr>
                    <w:spacing w:after="0" w:line="240" w:lineRule="auto"/>
                    <w:jc w:val="both"/>
                    <w:rPr>
                      <w:rFonts w:ascii="Times New Roman" w:eastAsia="Times New Roman" w:hAnsi="Times New Roman" w:cs="Times New Roman"/>
                      <w:color w:val="000000" w:themeColor="text1"/>
                      <w:sz w:val="24"/>
                      <w:szCs w:val="24"/>
                      <w:lang w:val="lv-LV" w:eastAsia="lv-LV"/>
                    </w:rPr>
                  </w:pPr>
                </w:p>
              </w:tc>
            </w:tr>
            <w:tr w:rsidR="00686071" w:rsidRPr="00E26761" w14:paraId="35F02C94" w14:textId="77777777" w:rsidTr="00F34A72">
              <w:tc>
                <w:tcPr>
                  <w:tcW w:w="250" w:type="pct"/>
                  <w:tcBorders>
                    <w:top w:val="outset" w:sz="6" w:space="0" w:color="414142"/>
                    <w:left w:val="outset" w:sz="6" w:space="0" w:color="414142"/>
                    <w:bottom w:val="outset" w:sz="6" w:space="0" w:color="414142"/>
                    <w:right w:val="outset" w:sz="6" w:space="0" w:color="414142"/>
                  </w:tcBorders>
                  <w:hideMark/>
                </w:tcPr>
                <w:p w14:paraId="446B59EA" w14:textId="77777777" w:rsidR="00686071" w:rsidRPr="00355B11" w:rsidRDefault="00686071" w:rsidP="00686071">
                  <w:pPr>
                    <w:spacing w:after="0" w:line="240" w:lineRule="auto"/>
                    <w:jc w:val="both"/>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65653AD3" w14:textId="77777777" w:rsidR="00686071" w:rsidRPr="00355B11" w:rsidRDefault="00686071" w:rsidP="00686071">
                  <w:pPr>
                    <w:spacing w:after="0" w:line="240" w:lineRule="auto"/>
                    <w:jc w:val="both"/>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78EA22A" w14:textId="237282F7" w:rsidR="00686071" w:rsidRPr="00CA0F5E" w:rsidRDefault="00686071" w:rsidP="00686071">
                  <w:pPr>
                    <w:spacing w:after="0" w:line="240" w:lineRule="auto"/>
                    <w:jc w:val="both"/>
                    <w:rPr>
                      <w:rFonts w:ascii="Times New Roman" w:eastAsia="Times New Roman" w:hAnsi="Times New Roman" w:cs="Times New Roman"/>
                      <w:i/>
                      <w:color w:val="000000" w:themeColor="text1"/>
                      <w:sz w:val="24"/>
                      <w:szCs w:val="24"/>
                      <w:lang w:val="lv-LV" w:eastAsia="lv-LV"/>
                    </w:rPr>
                  </w:pPr>
                  <w:r w:rsidRPr="00CA0F5E">
                    <w:rPr>
                      <w:rFonts w:ascii="Times New Roman" w:eastAsia="Times New Roman" w:hAnsi="Times New Roman" w:cs="Times New Roman"/>
                      <w:i/>
                      <w:color w:val="000000" w:themeColor="text1"/>
                      <w:sz w:val="24"/>
                      <w:szCs w:val="24"/>
                      <w:lang w:val="lv-LV" w:eastAsia="lv-LV"/>
                    </w:rPr>
                    <w:t>Nav.</w:t>
                  </w:r>
                </w:p>
              </w:tc>
            </w:tr>
          </w:tbl>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15"/>
              <w:gridCol w:w="2024"/>
              <w:gridCol w:w="2576"/>
              <w:gridCol w:w="2484"/>
            </w:tblGrid>
            <w:tr w:rsidR="00686071" w:rsidRPr="00355B11" w14:paraId="28356023" w14:textId="77777777" w:rsidTr="00F34A72">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59EB0540" w14:textId="77777777" w:rsidR="00686071" w:rsidRPr="00355B11" w:rsidRDefault="00686071" w:rsidP="00686071">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lv-LV" w:eastAsia="lv-LV"/>
                    </w:rPr>
                  </w:pPr>
                  <w:r w:rsidRPr="00355B11">
                    <w:rPr>
                      <w:rFonts w:ascii="Times New Roman" w:eastAsia="Times New Roman" w:hAnsi="Times New Roman" w:cs="Times New Roman"/>
                      <w:b/>
                      <w:bCs/>
                      <w:color w:val="000000" w:themeColor="text1"/>
                      <w:sz w:val="24"/>
                      <w:szCs w:val="24"/>
                      <w:lang w:val="lv-LV" w:eastAsia="lv-LV"/>
                    </w:rPr>
                    <w:t>1.tabula</w:t>
                  </w:r>
                  <w:r w:rsidRPr="00355B11">
                    <w:rPr>
                      <w:rFonts w:ascii="Times New Roman" w:eastAsia="Times New Roman" w:hAnsi="Times New Roman" w:cs="Times New Roman"/>
                      <w:b/>
                      <w:bCs/>
                      <w:color w:val="000000" w:themeColor="text1"/>
                      <w:sz w:val="24"/>
                      <w:szCs w:val="24"/>
                      <w:lang w:val="lv-LV" w:eastAsia="lv-LV"/>
                    </w:rPr>
                    <w:br/>
                    <w:t>Tiesību akta projekta atbilstība ES tiesību aktiem</w:t>
                  </w:r>
                </w:p>
              </w:tc>
            </w:tr>
            <w:tr w:rsidR="00686071" w:rsidRPr="00B2525F" w14:paraId="72581F5B" w14:textId="77777777" w:rsidTr="00F34A72">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22B5EA2B"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46EC89B7" w14:textId="77777777" w:rsidR="00686071" w:rsidRDefault="00005D7D" w:rsidP="00686071">
                  <w:pPr>
                    <w:spacing w:after="0" w:line="240" w:lineRule="auto"/>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 xml:space="preserve">Eiropas Parlamenta un Padomes (ES) </w:t>
                  </w:r>
                  <w:r w:rsidRPr="00452F6B">
                    <w:rPr>
                      <w:rFonts w:ascii="Times New Roman" w:eastAsia="Times New Roman" w:hAnsi="Times New Roman" w:cs="Times New Roman"/>
                      <w:color w:val="000000"/>
                      <w:sz w:val="24"/>
                      <w:szCs w:val="24"/>
                      <w:lang w:val="lv-LV" w:eastAsia="lv-LV"/>
                    </w:rPr>
                    <w:t>Regula Nr. 909/2014</w:t>
                  </w:r>
                  <w:r>
                    <w:rPr>
                      <w:rFonts w:ascii="Times New Roman" w:eastAsia="Times New Roman" w:hAnsi="Times New Roman" w:cs="Times New Roman"/>
                      <w:color w:val="000000"/>
                      <w:sz w:val="24"/>
                      <w:szCs w:val="24"/>
                      <w:lang w:val="lv-LV" w:eastAsia="lv-LV"/>
                    </w:rPr>
                    <w:t xml:space="preserve"> (2014. gada 23.jūlijs) par vērtspapīru norēķinu uzlabošanu Eiropas Savienībā, centrālajiem vērtspapīru depozitārijiem un grozījumiem Direktīvās 98/26/EK un 2014/65/ES un Regulā (ES) Nr. 236/2012.</w:t>
                  </w:r>
                </w:p>
                <w:p w14:paraId="37E54A17" w14:textId="1A41391B" w:rsidR="00B320E0" w:rsidRPr="00B320E0" w:rsidRDefault="00B320E0" w:rsidP="00B320E0">
                  <w:pPr>
                    <w:spacing w:after="0" w:line="240" w:lineRule="auto"/>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Komisijas Deleģētā Regula (ES) 2017/392 (2016.gada 11.novembris) ar ko Eiropas Parlamenta un Padomes Regulu (ES) Nr. 909/2014 papildina attiecībā uz regulatīvajiem tehniskajiem sta</w:t>
                  </w:r>
                  <w:r w:rsidR="00FD72CB">
                    <w:rPr>
                      <w:rFonts w:ascii="Times New Roman" w:eastAsia="Times New Roman" w:hAnsi="Times New Roman" w:cs="Times New Roman"/>
                      <w:color w:val="000000"/>
                      <w:sz w:val="24"/>
                      <w:szCs w:val="24"/>
                      <w:lang w:val="lv-LV" w:eastAsia="lv-LV"/>
                    </w:rPr>
                    <w:t>ndartiem par atļauju izsniegšanas</w:t>
                  </w:r>
                  <w:r>
                    <w:rPr>
                      <w:rFonts w:ascii="Times New Roman" w:eastAsia="Times New Roman" w:hAnsi="Times New Roman" w:cs="Times New Roman"/>
                      <w:color w:val="000000"/>
                      <w:sz w:val="24"/>
                      <w:szCs w:val="24"/>
                      <w:lang w:val="lv-LV" w:eastAsia="lv-LV"/>
                    </w:rPr>
                    <w:t>, uzraudzības un operacionālajām prasībām centrālajiem vērtspapīru depozitārijiem.</w:t>
                  </w:r>
                  <w:r w:rsidRPr="00452F6B">
                    <w:rPr>
                      <w:rFonts w:ascii="Times New Roman" w:eastAsia="Times New Roman" w:hAnsi="Times New Roman" w:cs="Times New Roman"/>
                      <w:color w:val="000000"/>
                      <w:sz w:val="24"/>
                      <w:szCs w:val="24"/>
                      <w:lang w:val="lv-LV" w:eastAsia="lv-LV"/>
                    </w:rPr>
                    <w:t xml:space="preserve"> </w:t>
                  </w:r>
                </w:p>
              </w:tc>
            </w:tr>
            <w:tr w:rsidR="00686071" w:rsidRPr="00355B11" w14:paraId="13CFB1D2" w14:textId="77777777" w:rsidTr="00F34A72">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14:paraId="39B7DF71" w14:textId="77777777" w:rsidR="00686071" w:rsidRPr="00355B11" w:rsidRDefault="00686071" w:rsidP="006860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5E03D5C7" w14:textId="77777777" w:rsidR="00686071" w:rsidRPr="00355B11" w:rsidRDefault="00686071" w:rsidP="006860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42D2A6E" w14:textId="77777777" w:rsidR="00686071" w:rsidRPr="00355B11" w:rsidRDefault="00686071" w:rsidP="006860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63C19075" w14:textId="77777777" w:rsidR="00686071" w:rsidRPr="00355B11" w:rsidRDefault="00686071" w:rsidP="006860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D</w:t>
                  </w:r>
                </w:p>
              </w:tc>
            </w:tr>
            <w:tr w:rsidR="00686071" w:rsidRPr="00AB5936" w14:paraId="580A4A0A" w14:textId="77777777" w:rsidTr="00F34A72">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21E58C8C"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14:paraId="7E4DA6BB"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14:paraId="040245E7"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Informācija par to, vai šīs tabulas A ailē minētās ES tiesību akta vienības tiek pārņemtas vai ieviestas pilnībā vai daļēji.</w:t>
                  </w:r>
                </w:p>
                <w:p w14:paraId="66406D08" w14:textId="77777777" w:rsidR="00686071" w:rsidRPr="00355B11" w:rsidRDefault="00686071" w:rsidP="00686071">
                  <w:pPr>
                    <w:spacing w:before="100" w:beforeAutospacing="1" w:after="100" w:afterAutospacing="1"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 xml:space="preserve">Ja attiecīgā ES tiesību akta vienība tiek pārņemta vai ieviesta daļēji, sniedz attiecīgu skaidrojumu, kā arī precīzi norāda, kad un kādā veidā ES tiesību akta vienība tiks pārņemta vai ieviesta </w:t>
                  </w:r>
                  <w:r w:rsidRPr="00355B11">
                    <w:rPr>
                      <w:rFonts w:ascii="Times New Roman" w:eastAsia="Times New Roman" w:hAnsi="Times New Roman" w:cs="Times New Roman"/>
                      <w:color w:val="000000" w:themeColor="text1"/>
                      <w:sz w:val="24"/>
                      <w:szCs w:val="24"/>
                      <w:lang w:val="lv-LV" w:eastAsia="lv-LV"/>
                    </w:rPr>
                    <w:lastRenderedPageBreak/>
                    <w:t>pilnībā.</w:t>
                  </w:r>
                </w:p>
                <w:p w14:paraId="50A3BC00" w14:textId="77777777" w:rsidR="00686071" w:rsidRPr="00355B11" w:rsidRDefault="00686071" w:rsidP="00686071">
                  <w:pPr>
                    <w:spacing w:before="100" w:beforeAutospacing="1" w:after="100" w:afterAutospacing="1"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34701BA6"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lastRenderedPageBreak/>
                    <w:t>Informācija par to, vai šīs tabulas B ailē minētās projekta vienības paredz stingrākas prasības nekā šīs tabulas A ailē minētās ES tiesību akta vienības.</w:t>
                  </w:r>
                </w:p>
                <w:p w14:paraId="4BE18C5D" w14:textId="77777777" w:rsidR="00686071" w:rsidRPr="00355B11" w:rsidRDefault="00686071" w:rsidP="00686071">
                  <w:pPr>
                    <w:spacing w:before="100" w:beforeAutospacing="1" w:after="100" w:afterAutospacing="1"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Ja projekts satur stingrākas prasības nekā attiecīgais ES tiesību akts, norāda pamatojumu un samērīgumu.</w:t>
                  </w:r>
                </w:p>
                <w:p w14:paraId="7D985538" w14:textId="0C807DD1" w:rsidR="00686071" w:rsidRPr="00355B11" w:rsidRDefault="00686071" w:rsidP="00686071">
                  <w:pPr>
                    <w:spacing w:before="100" w:beforeAutospacing="1" w:after="100" w:afterAutospacing="1"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 xml:space="preserve">Norāda iespējamās alternatīvas (t.sk. </w:t>
                  </w:r>
                  <w:r w:rsidRPr="00355B11">
                    <w:rPr>
                      <w:rFonts w:ascii="Times New Roman" w:eastAsia="Times New Roman" w:hAnsi="Times New Roman" w:cs="Times New Roman"/>
                      <w:color w:val="000000" w:themeColor="text1"/>
                      <w:sz w:val="24"/>
                      <w:szCs w:val="24"/>
                      <w:lang w:val="lv-LV" w:eastAsia="lv-LV"/>
                    </w:rPr>
                    <w:lastRenderedPageBreak/>
                    <w:t>alternatīvas, kas neparedz tiesiskā regulējuma izstrādi) – kādos gadījumos būtu iespējams izvairīties no stingrāku prasību noteikšanas, nekā paredzēts attiecīgajos ES tiesību aktos</w:t>
                  </w:r>
                </w:p>
              </w:tc>
            </w:tr>
            <w:tr w:rsidR="00686071" w:rsidRPr="00355B11" w14:paraId="417059DD" w14:textId="77777777" w:rsidTr="00F34A72">
              <w:trPr>
                <w:jc w:val="center"/>
              </w:trPr>
              <w:tc>
                <w:tcPr>
                  <w:tcW w:w="1150" w:type="pct"/>
                  <w:tcBorders>
                    <w:top w:val="outset" w:sz="6" w:space="0" w:color="414142"/>
                    <w:left w:val="outset" w:sz="6" w:space="0" w:color="414142"/>
                    <w:bottom w:val="outset" w:sz="6" w:space="0" w:color="414142"/>
                    <w:right w:val="outset" w:sz="6" w:space="0" w:color="414142"/>
                  </w:tcBorders>
                </w:tcPr>
                <w:p w14:paraId="1DC755D9" w14:textId="02E1DAC9" w:rsidR="00686071" w:rsidRPr="00355B11" w:rsidRDefault="00686071" w:rsidP="007F65BD">
                  <w:pPr>
                    <w:spacing w:after="0" w:line="240" w:lineRule="auto"/>
                    <w:rPr>
                      <w:rFonts w:ascii="Times New Roman" w:hAnsi="Times New Roman" w:cs="Times New Roman"/>
                      <w:color w:val="000000" w:themeColor="text1"/>
                      <w:spacing w:val="-2"/>
                      <w:sz w:val="24"/>
                      <w:szCs w:val="24"/>
                      <w:lang w:val="lv-LV"/>
                    </w:rPr>
                  </w:pPr>
                  <w:r w:rsidRPr="00C27C45">
                    <w:rPr>
                      <w:rFonts w:ascii="Times New Roman" w:hAnsi="Times New Roman" w:cs="Times New Roman"/>
                      <w:sz w:val="24"/>
                      <w:szCs w:val="24"/>
                      <w:lang w:val="lv-LV"/>
                    </w:rPr>
                    <w:lastRenderedPageBreak/>
                    <w:t>Regulas Nr. 909/2014</w:t>
                  </w:r>
                  <w:r>
                    <w:rPr>
                      <w:rFonts w:ascii="Times New Roman" w:hAnsi="Times New Roman" w:cs="Times New Roman"/>
                      <w:sz w:val="24"/>
                      <w:szCs w:val="24"/>
                      <w:lang w:val="lv-LV"/>
                    </w:rPr>
                    <w:t xml:space="preserve"> 2.panta 1.punkta 1.apakšpunkts </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14:paraId="0335351C" w14:textId="77777777" w:rsidR="00686071" w:rsidRPr="00355B11" w:rsidRDefault="00686071" w:rsidP="00686071">
                  <w:pPr>
                    <w:spacing w:after="0" w:line="240" w:lineRule="auto"/>
                    <w:rPr>
                      <w:rFonts w:ascii="Times New Roman" w:hAnsi="Times New Roman" w:cs="Times New Roman"/>
                      <w:color w:val="000000" w:themeColor="text1"/>
                      <w:spacing w:val="-2"/>
                      <w:sz w:val="24"/>
                      <w:szCs w:val="24"/>
                      <w:lang w:val="lv-LV"/>
                    </w:rPr>
                  </w:pPr>
                  <w:r>
                    <w:rPr>
                      <w:rFonts w:ascii="Times New Roman" w:hAnsi="Times New Roman" w:cs="Times New Roman"/>
                      <w:color w:val="000000" w:themeColor="text1"/>
                      <w:spacing w:val="-2"/>
                      <w:sz w:val="24"/>
                      <w:szCs w:val="24"/>
                      <w:lang w:val="lv-LV"/>
                    </w:rPr>
                    <w:t>Likumprojekta 1.pants</w:t>
                  </w:r>
                </w:p>
              </w:tc>
              <w:tc>
                <w:tcPr>
                  <w:tcW w:w="1400" w:type="pct"/>
                  <w:tcBorders>
                    <w:top w:val="outset" w:sz="6" w:space="0" w:color="414142"/>
                    <w:left w:val="outset" w:sz="6" w:space="0" w:color="414142"/>
                    <w:bottom w:val="outset" w:sz="6" w:space="0" w:color="414142"/>
                    <w:right w:val="outset" w:sz="6" w:space="0" w:color="414142"/>
                  </w:tcBorders>
                  <w:hideMark/>
                </w:tcPr>
                <w:p w14:paraId="2B432D65" w14:textId="317BED03"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 xml:space="preserve">ES tiesību akta vienība </w:t>
                  </w:r>
                  <w:r w:rsidR="00005D7D">
                    <w:rPr>
                      <w:rFonts w:ascii="Times New Roman" w:eastAsia="Times New Roman" w:hAnsi="Times New Roman" w:cs="Times New Roman"/>
                      <w:color w:val="000000" w:themeColor="text1"/>
                      <w:sz w:val="24"/>
                      <w:szCs w:val="24"/>
                      <w:lang w:val="lv-LV" w:eastAsia="lv-LV"/>
                    </w:rPr>
                    <w:t>tiek pārņemta/ ieviesta pilnībā</w:t>
                  </w:r>
                </w:p>
                <w:p w14:paraId="4B313457"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p>
              </w:tc>
              <w:tc>
                <w:tcPr>
                  <w:tcW w:w="1350" w:type="pct"/>
                  <w:tcBorders>
                    <w:top w:val="outset" w:sz="6" w:space="0" w:color="414142"/>
                    <w:left w:val="outset" w:sz="6" w:space="0" w:color="414142"/>
                    <w:bottom w:val="outset" w:sz="6" w:space="0" w:color="414142"/>
                    <w:right w:val="outset" w:sz="6" w:space="0" w:color="414142"/>
                  </w:tcBorders>
                  <w:hideMark/>
                </w:tcPr>
                <w:p w14:paraId="39B1C460"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hAnsi="Times New Roman" w:cs="Times New Roman"/>
                      <w:color w:val="000000" w:themeColor="text1"/>
                      <w:spacing w:val="-2"/>
                      <w:sz w:val="24"/>
                      <w:szCs w:val="24"/>
                      <w:lang w:val="lv-LV"/>
                    </w:rPr>
                    <w:t>Likumprojekts stingrākas prasības neparedz</w:t>
                  </w:r>
                </w:p>
                <w:p w14:paraId="73C75763" w14:textId="77777777" w:rsidR="00686071" w:rsidRPr="00355B11" w:rsidRDefault="00686071" w:rsidP="00686071">
                  <w:pPr>
                    <w:spacing w:after="0" w:line="240" w:lineRule="auto"/>
                    <w:rPr>
                      <w:rFonts w:ascii="Times New Roman" w:hAnsi="Times New Roman" w:cs="Times New Roman"/>
                      <w:color w:val="000000" w:themeColor="text1"/>
                      <w:spacing w:val="-2"/>
                      <w:sz w:val="24"/>
                      <w:szCs w:val="24"/>
                      <w:lang w:val="lv-LV"/>
                    </w:rPr>
                  </w:pPr>
                </w:p>
              </w:tc>
            </w:tr>
            <w:tr w:rsidR="007F65BD" w:rsidRPr="007F65BD" w14:paraId="6B496771" w14:textId="77777777" w:rsidTr="00F34A72">
              <w:trPr>
                <w:jc w:val="center"/>
              </w:trPr>
              <w:tc>
                <w:tcPr>
                  <w:tcW w:w="1150" w:type="pct"/>
                  <w:tcBorders>
                    <w:top w:val="outset" w:sz="6" w:space="0" w:color="414142"/>
                    <w:left w:val="outset" w:sz="6" w:space="0" w:color="414142"/>
                    <w:bottom w:val="outset" w:sz="6" w:space="0" w:color="414142"/>
                    <w:right w:val="outset" w:sz="6" w:space="0" w:color="414142"/>
                  </w:tcBorders>
                </w:tcPr>
                <w:p w14:paraId="184D3840" w14:textId="4138A635" w:rsidR="007F65BD" w:rsidRPr="00C27C45" w:rsidRDefault="007F65BD" w:rsidP="007F65BD">
                  <w:pPr>
                    <w:spacing w:after="0" w:line="240" w:lineRule="auto"/>
                    <w:rPr>
                      <w:rFonts w:ascii="Times New Roman" w:hAnsi="Times New Roman" w:cs="Times New Roman"/>
                      <w:sz w:val="24"/>
                      <w:szCs w:val="24"/>
                      <w:lang w:val="lv-LV"/>
                    </w:rPr>
                  </w:pPr>
                  <w:r w:rsidRPr="00C27C45">
                    <w:rPr>
                      <w:rFonts w:ascii="Times New Roman" w:hAnsi="Times New Roman" w:cs="Times New Roman"/>
                      <w:sz w:val="24"/>
                      <w:szCs w:val="24"/>
                      <w:lang w:val="lv-LV"/>
                    </w:rPr>
                    <w:t>Regulas Nr. 909/2014</w:t>
                  </w:r>
                  <w:r>
                    <w:rPr>
                      <w:rFonts w:ascii="Times New Roman" w:hAnsi="Times New Roman" w:cs="Times New Roman"/>
                      <w:sz w:val="24"/>
                      <w:szCs w:val="24"/>
                      <w:lang w:val="lv-LV"/>
                    </w:rPr>
                    <w:t xml:space="preserve"> 11. panta 1.punkts</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14:paraId="6573ADE3" w14:textId="354D065D" w:rsidR="007F65BD" w:rsidRDefault="007F65BD" w:rsidP="00686071">
                  <w:pPr>
                    <w:spacing w:after="0" w:line="240" w:lineRule="auto"/>
                    <w:rPr>
                      <w:rFonts w:ascii="Times New Roman" w:hAnsi="Times New Roman" w:cs="Times New Roman"/>
                      <w:color w:val="000000" w:themeColor="text1"/>
                      <w:spacing w:val="-2"/>
                      <w:sz w:val="24"/>
                      <w:szCs w:val="24"/>
                      <w:lang w:val="lv-LV"/>
                    </w:rPr>
                  </w:pPr>
                  <w:r>
                    <w:rPr>
                      <w:rFonts w:ascii="Times New Roman" w:hAnsi="Times New Roman" w:cs="Times New Roman"/>
                      <w:color w:val="000000" w:themeColor="text1"/>
                      <w:spacing w:val="-2"/>
                      <w:sz w:val="24"/>
                      <w:szCs w:val="24"/>
                      <w:lang w:val="lv-LV"/>
                    </w:rPr>
                    <w:t>Likumprojekta 3. pants</w:t>
                  </w:r>
                </w:p>
              </w:tc>
              <w:tc>
                <w:tcPr>
                  <w:tcW w:w="1400" w:type="pct"/>
                  <w:tcBorders>
                    <w:top w:val="outset" w:sz="6" w:space="0" w:color="414142"/>
                    <w:left w:val="outset" w:sz="6" w:space="0" w:color="414142"/>
                    <w:bottom w:val="outset" w:sz="6" w:space="0" w:color="414142"/>
                    <w:right w:val="outset" w:sz="6" w:space="0" w:color="414142"/>
                  </w:tcBorders>
                </w:tcPr>
                <w:p w14:paraId="35EB8C89" w14:textId="77777777" w:rsidR="007F65BD" w:rsidRPr="00355B11" w:rsidRDefault="007F65BD" w:rsidP="007F65BD">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 xml:space="preserve">ES tiesību akta vienība </w:t>
                  </w:r>
                  <w:r>
                    <w:rPr>
                      <w:rFonts w:ascii="Times New Roman" w:eastAsia="Times New Roman" w:hAnsi="Times New Roman" w:cs="Times New Roman"/>
                      <w:color w:val="000000" w:themeColor="text1"/>
                      <w:sz w:val="24"/>
                      <w:szCs w:val="24"/>
                      <w:lang w:val="lv-LV" w:eastAsia="lv-LV"/>
                    </w:rPr>
                    <w:t>tiek pārņemta/ ieviesta pilnībā</w:t>
                  </w:r>
                </w:p>
                <w:p w14:paraId="21E2D7FA" w14:textId="77777777" w:rsidR="007F65BD" w:rsidRPr="00355B11" w:rsidRDefault="007F65BD" w:rsidP="00686071">
                  <w:pPr>
                    <w:spacing w:after="0" w:line="240" w:lineRule="auto"/>
                    <w:rPr>
                      <w:rFonts w:ascii="Times New Roman" w:eastAsia="Times New Roman" w:hAnsi="Times New Roman" w:cs="Times New Roman"/>
                      <w:color w:val="000000" w:themeColor="text1"/>
                      <w:sz w:val="24"/>
                      <w:szCs w:val="24"/>
                      <w:lang w:val="lv-LV" w:eastAsia="lv-LV"/>
                    </w:rPr>
                  </w:pPr>
                </w:p>
              </w:tc>
              <w:tc>
                <w:tcPr>
                  <w:tcW w:w="1350" w:type="pct"/>
                  <w:tcBorders>
                    <w:top w:val="outset" w:sz="6" w:space="0" w:color="414142"/>
                    <w:left w:val="outset" w:sz="6" w:space="0" w:color="414142"/>
                    <w:bottom w:val="outset" w:sz="6" w:space="0" w:color="414142"/>
                    <w:right w:val="outset" w:sz="6" w:space="0" w:color="414142"/>
                  </w:tcBorders>
                </w:tcPr>
                <w:p w14:paraId="1AC9746B" w14:textId="77777777" w:rsidR="007F65BD" w:rsidRPr="00355B11" w:rsidRDefault="007F65BD" w:rsidP="007F65BD">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hAnsi="Times New Roman" w:cs="Times New Roman"/>
                      <w:color w:val="000000" w:themeColor="text1"/>
                      <w:spacing w:val="-2"/>
                      <w:sz w:val="24"/>
                      <w:szCs w:val="24"/>
                      <w:lang w:val="lv-LV"/>
                    </w:rPr>
                    <w:t>Likumprojekts stingrākas prasības neparedz</w:t>
                  </w:r>
                </w:p>
                <w:p w14:paraId="168444A0" w14:textId="77777777" w:rsidR="007F65BD" w:rsidRPr="00355B11" w:rsidRDefault="007F65BD" w:rsidP="00686071">
                  <w:pPr>
                    <w:spacing w:after="0" w:line="240" w:lineRule="auto"/>
                    <w:rPr>
                      <w:rFonts w:ascii="Times New Roman" w:hAnsi="Times New Roman" w:cs="Times New Roman"/>
                      <w:color w:val="000000" w:themeColor="text1"/>
                      <w:spacing w:val="-2"/>
                      <w:sz w:val="24"/>
                      <w:szCs w:val="24"/>
                      <w:lang w:val="lv-LV"/>
                    </w:rPr>
                  </w:pPr>
                </w:p>
              </w:tc>
            </w:tr>
            <w:tr w:rsidR="00452F6B" w:rsidRPr="00452F6B" w14:paraId="0B424563" w14:textId="77777777" w:rsidTr="00F34A72">
              <w:trPr>
                <w:trHeight w:val="1020"/>
                <w:jc w:val="center"/>
              </w:trPr>
              <w:tc>
                <w:tcPr>
                  <w:tcW w:w="1150" w:type="pct"/>
                  <w:tcBorders>
                    <w:top w:val="outset" w:sz="6" w:space="0" w:color="414142"/>
                    <w:left w:val="outset" w:sz="6" w:space="0" w:color="414142"/>
                    <w:bottom w:val="single" w:sz="4" w:space="0" w:color="auto"/>
                    <w:right w:val="outset" w:sz="6" w:space="0" w:color="414142"/>
                  </w:tcBorders>
                </w:tcPr>
                <w:p w14:paraId="50326043" w14:textId="152A0D06" w:rsidR="00452F6B" w:rsidRPr="00C27C45" w:rsidRDefault="00452F6B" w:rsidP="00DF3D0C">
                  <w:pPr>
                    <w:spacing w:after="0" w:line="240" w:lineRule="auto"/>
                    <w:rPr>
                      <w:rFonts w:ascii="Times New Roman" w:hAnsi="Times New Roman" w:cs="Times New Roman"/>
                      <w:sz w:val="24"/>
                      <w:szCs w:val="24"/>
                      <w:lang w:val="lv-LV"/>
                    </w:rPr>
                  </w:pPr>
                  <w:r w:rsidRPr="00C27C45">
                    <w:rPr>
                      <w:rFonts w:ascii="Times New Roman" w:hAnsi="Times New Roman" w:cs="Times New Roman"/>
                      <w:sz w:val="24"/>
                      <w:szCs w:val="24"/>
                      <w:lang w:val="lv-LV"/>
                    </w:rPr>
                    <w:t>Regulas Nr. 909/2014</w:t>
                  </w:r>
                  <w:r>
                    <w:rPr>
                      <w:rFonts w:ascii="Times New Roman" w:hAnsi="Times New Roman" w:cs="Times New Roman"/>
                      <w:sz w:val="24"/>
                      <w:szCs w:val="24"/>
                      <w:lang w:val="lv-LV"/>
                    </w:rPr>
                    <w:t xml:space="preserve"> </w:t>
                  </w:r>
                  <w:r w:rsidR="00DF3D0C">
                    <w:rPr>
                      <w:rFonts w:ascii="Times New Roman" w:hAnsi="Times New Roman" w:cs="Times New Roman"/>
                      <w:sz w:val="24"/>
                      <w:szCs w:val="24"/>
                      <w:lang w:val="lv-LV"/>
                    </w:rPr>
                    <w:t>63</w:t>
                  </w:r>
                  <w:r>
                    <w:rPr>
                      <w:rFonts w:ascii="Times New Roman" w:hAnsi="Times New Roman" w:cs="Times New Roman"/>
                      <w:sz w:val="24"/>
                      <w:szCs w:val="24"/>
                      <w:lang w:val="lv-LV"/>
                    </w:rPr>
                    <w:t>. </w:t>
                  </w:r>
                  <w:r w:rsidR="00DF3D0C">
                    <w:rPr>
                      <w:rFonts w:ascii="Times New Roman" w:hAnsi="Times New Roman" w:cs="Times New Roman"/>
                      <w:sz w:val="24"/>
                      <w:szCs w:val="24"/>
                      <w:lang w:val="lv-LV"/>
                    </w:rPr>
                    <w:t>p</w:t>
                  </w:r>
                  <w:r>
                    <w:rPr>
                      <w:rFonts w:ascii="Times New Roman" w:hAnsi="Times New Roman" w:cs="Times New Roman"/>
                      <w:sz w:val="24"/>
                      <w:szCs w:val="24"/>
                      <w:lang w:val="lv-LV"/>
                    </w:rPr>
                    <w:t>ant</w:t>
                  </w:r>
                  <w:r w:rsidR="00DF3D0C">
                    <w:rPr>
                      <w:rFonts w:ascii="Times New Roman" w:hAnsi="Times New Roman" w:cs="Times New Roman"/>
                      <w:sz w:val="24"/>
                      <w:szCs w:val="24"/>
                      <w:lang w:val="lv-LV"/>
                    </w:rPr>
                    <w:t>a 2.punkta b) apakšpunkts</w:t>
                  </w:r>
                </w:p>
              </w:tc>
              <w:tc>
                <w:tcPr>
                  <w:tcW w:w="1100" w:type="pct"/>
                  <w:tcBorders>
                    <w:top w:val="outset" w:sz="6" w:space="0" w:color="414142"/>
                    <w:left w:val="outset" w:sz="6" w:space="0" w:color="414142"/>
                    <w:bottom w:val="single" w:sz="4" w:space="0" w:color="auto"/>
                    <w:right w:val="outset" w:sz="6" w:space="0" w:color="414142"/>
                  </w:tcBorders>
                  <w:shd w:val="clear" w:color="auto" w:fill="auto"/>
                </w:tcPr>
                <w:p w14:paraId="37A3CBE6" w14:textId="4022B270" w:rsidR="00452F6B" w:rsidRDefault="00452F6B" w:rsidP="00452F6B">
                  <w:pPr>
                    <w:spacing w:after="0" w:line="240" w:lineRule="auto"/>
                    <w:rPr>
                      <w:rFonts w:ascii="Times New Roman" w:hAnsi="Times New Roman" w:cs="Times New Roman"/>
                      <w:color w:val="000000" w:themeColor="text1"/>
                      <w:spacing w:val="-2"/>
                      <w:sz w:val="24"/>
                      <w:szCs w:val="24"/>
                      <w:lang w:val="lv-LV"/>
                    </w:rPr>
                  </w:pPr>
                  <w:r>
                    <w:rPr>
                      <w:rFonts w:ascii="Times New Roman" w:hAnsi="Times New Roman" w:cs="Times New Roman"/>
                      <w:color w:val="000000" w:themeColor="text1"/>
                      <w:spacing w:val="-2"/>
                      <w:sz w:val="24"/>
                      <w:szCs w:val="24"/>
                      <w:lang w:val="lv-LV"/>
                    </w:rPr>
                    <w:t>Likumprojekta 6.pants</w:t>
                  </w:r>
                </w:p>
              </w:tc>
              <w:tc>
                <w:tcPr>
                  <w:tcW w:w="1400" w:type="pct"/>
                  <w:tcBorders>
                    <w:top w:val="outset" w:sz="6" w:space="0" w:color="414142"/>
                    <w:left w:val="outset" w:sz="6" w:space="0" w:color="414142"/>
                    <w:bottom w:val="single" w:sz="4" w:space="0" w:color="auto"/>
                    <w:right w:val="outset" w:sz="6" w:space="0" w:color="414142"/>
                  </w:tcBorders>
                </w:tcPr>
                <w:p w14:paraId="4375E0A6" w14:textId="77777777" w:rsidR="00452F6B" w:rsidRPr="00355B11" w:rsidRDefault="00452F6B" w:rsidP="00452F6B">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p w14:paraId="21D1FD10" w14:textId="77777777" w:rsidR="00452F6B" w:rsidRPr="00355B11" w:rsidRDefault="00452F6B" w:rsidP="00686071">
                  <w:pPr>
                    <w:spacing w:after="0" w:line="240" w:lineRule="auto"/>
                    <w:rPr>
                      <w:rFonts w:ascii="Times New Roman" w:eastAsia="Times New Roman" w:hAnsi="Times New Roman" w:cs="Times New Roman"/>
                      <w:color w:val="000000" w:themeColor="text1"/>
                      <w:sz w:val="24"/>
                      <w:szCs w:val="24"/>
                      <w:lang w:val="lv-LV" w:eastAsia="lv-LV"/>
                    </w:rPr>
                  </w:pPr>
                </w:p>
              </w:tc>
              <w:tc>
                <w:tcPr>
                  <w:tcW w:w="1350" w:type="pct"/>
                  <w:tcBorders>
                    <w:top w:val="outset" w:sz="6" w:space="0" w:color="414142"/>
                    <w:left w:val="outset" w:sz="6" w:space="0" w:color="414142"/>
                    <w:bottom w:val="single" w:sz="4" w:space="0" w:color="auto"/>
                    <w:right w:val="outset" w:sz="6" w:space="0" w:color="414142"/>
                  </w:tcBorders>
                </w:tcPr>
                <w:p w14:paraId="512089BE" w14:textId="77777777" w:rsidR="00452F6B" w:rsidRDefault="00452F6B" w:rsidP="00452F6B">
                  <w:pPr>
                    <w:spacing w:after="0" w:line="240" w:lineRule="auto"/>
                    <w:rPr>
                      <w:rFonts w:ascii="Times New Roman" w:hAnsi="Times New Roman" w:cs="Times New Roman"/>
                      <w:color w:val="000000" w:themeColor="text1"/>
                      <w:spacing w:val="-2"/>
                      <w:sz w:val="24"/>
                      <w:szCs w:val="24"/>
                      <w:lang w:val="lv-LV"/>
                    </w:rPr>
                  </w:pPr>
                  <w:r w:rsidRPr="00355B11">
                    <w:rPr>
                      <w:rFonts w:ascii="Times New Roman" w:hAnsi="Times New Roman" w:cs="Times New Roman"/>
                      <w:color w:val="000000" w:themeColor="text1"/>
                      <w:spacing w:val="-2"/>
                      <w:sz w:val="24"/>
                      <w:szCs w:val="24"/>
                      <w:lang w:val="lv-LV"/>
                    </w:rPr>
                    <w:t>Likumprojekts stingrākas prasības neparedz</w:t>
                  </w:r>
                </w:p>
                <w:p w14:paraId="0FE625BC" w14:textId="77777777" w:rsidR="00452F6B" w:rsidRPr="00355B11" w:rsidRDefault="00452F6B" w:rsidP="00686071">
                  <w:pPr>
                    <w:spacing w:after="0" w:line="240" w:lineRule="auto"/>
                    <w:rPr>
                      <w:rFonts w:ascii="Times New Roman" w:hAnsi="Times New Roman" w:cs="Times New Roman"/>
                      <w:color w:val="000000" w:themeColor="text1"/>
                      <w:spacing w:val="-2"/>
                      <w:sz w:val="24"/>
                      <w:szCs w:val="24"/>
                      <w:lang w:val="lv-LV"/>
                    </w:rPr>
                  </w:pPr>
                </w:p>
              </w:tc>
            </w:tr>
            <w:tr w:rsidR="006F4F07" w:rsidRPr="006F4F07" w14:paraId="1A442D6F" w14:textId="77777777" w:rsidTr="00F34A72">
              <w:trPr>
                <w:trHeight w:val="1020"/>
                <w:jc w:val="center"/>
              </w:trPr>
              <w:tc>
                <w:tcPr>
                  <w:tcW w:w="1150" w:type="pct"/>
                  <w:tcBorders>
                    <w:top w:val="outset" w:sz="6" w:space="0" w:color="414142"/>
                    <w:left w:val="outset" w:sz="6" w:space="0" w:color="414142"/>
                    <w:bottom w:val="single" w:sz="4" w:space="0" w:color="auto"/>
                    <w:right w:val="outset" w:sz="6" w:space="0" w:color="414142"/>
                  </w:tcBorders>
                </w:tcPr>
                <w:p w14:paraId="068BD5E1" w14:textId="2C39E859" w:rsidR="006F4F07" w:rsidRPr="00C27C45" w:rsidRDefault="006F4F07" w:rsidP="006F4F07">
                  <w:pPr>
                    <w:spacing w:after="0" w:line="240" w:lineRule="auto"/>
                    <w:rPr>
                      <w:rFonts w:ascii="Times New Roman" w:hAnsi="Times New Roman" w:cs="Times New Roman"/>
                      <w:sz w:val="24"/>
                      <w:szCs w:val="24"/>
                      <w:lang w:val="lv-LV"/>
                    </w:rPr>
                  </w:pPr>
                  <w:r w:rsidRPr="00C27C45">
                    <w:rPr>
                      <w:rFonts w:ascii="Times New Roman" w:hAnsi="Times New Roman" w:cs="Times New Roman"/>
                      <w:sz w:val="24"/>
                      <w:szCs w:val="24"/>
                      <w:lang w:val="lv-LV"/>
                    </w:rPr>
                    <w:t>Regulas Nr. 909/2014</w:t>
                  </w:r>
                  <w:r>
                    <w:rPr>
                      <w:rFonts w:ascii="Times New Roman" w:hAnsi="Times New Roman" w:cs="Times New Roman"/>
                      <w:sz w:val="24"/>
                      <w:szCs w:val="24"/>
                      <w:lang w:val="lv-LV"/>
                    </w:rPr>
                    <w:t xml:space="preserve"> 1. panta 1.punkts</w:t>
                  </w:r>
                </w:p>
              </w:tc>
              <w:tc>
                <w:tcPr>
                  <w:tcW w:w="1100" w:type="pct"/>
                  <w:tcBorders>
                    <w:top w:val="outset" w:sz="6" w:space="0" w:color="414142"/>
                    <w:left w:val="outset" w:sz="6" w:space="0" w:color="414142"/>
                    <w:bottom w:val="single" w:sz="4" w:space="0" w:color="auto"/>
                    <w:right w:val="outset" w:sz="6" w:space="0" w:color="414142"/>
                  </w:tcBorders>
                  <w:shd w:val="clear" w:color="auto" w:fill="auto"/>
                </w:tcPr>
                <w:p w14:paraId="3D98CB04" w14:textId="448FB2B2" w:rsidR="006F4F07" w:rsidRDefault="006F4F07" w:rsidP="00452F6B">
                  <w:pPr>
                    <w:spacing w:after="0" w:line="240" w:lineRule="auto"/>
                    <w:rPr>
                      <w:rFonts w:ascii="Times New Roman" w:hAnsi="Times New Roman" w:cs="Times New Roman"/>
                      <w:color w:val="000000" w:themeColor="text1"/>
                      <w:spacing w:val="-2"/>
                      <w:sz w:val="24"/>
                      <w:szCs w:val="24"/>
                      <w:lang w:val="lv-LV"/>
                    </w:rPr>
                  </w:pPr>
                  <w:r>
                    <w:rPr>
                      <w:rFonts w:ascii="Times New Roman" w:hAnsi="Times New Roman" w:cs="Times New Roman"/>
                      <w:color w:val="000000" w:themeColor="text1"/>
                      <w:spacing w:val="-2"/>
                      <w:sz w:val="24"/>
                      <w:szCs w:val="24"/>
                      <w:lang w:val="lv-LV"/>
                    </w:rPr>
                    <w:t>Likumprojekta 20.pants</w:t>
                  </w:r>
                </w:p>
              </w:tc>
              <w:tc>
                <w:tcPr>
                  <w:tcW w:w="1400" w:type="pct"/>
                  <w:tcBorders>
                    <w:top w:val="outset" w:sz="6" w:space="0" w:color="414142"/>
                    <w:left w:val="outset" w:sz="6" w:space="0" w:color="414142"/>
                    <w:bottom w:val="single" w:sz="4" w:space="0" w:color="auto"/>
                    <w:right w:val="outset" w:sz="6" w:space="0" w:color="414142"/>
                  </w:tcBorders>
                </w:tcPr>
                <w:p w14:paraId="48031826" w14:textId="77777777" w:rsidR="006F4F07" w:rsidRPr="00355B11" w:rsidRDefault="006F4F07" w:rsidP="006F4F07">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 xml:space="preserve">ES tiesību akta vienība </w:t>
                  </w:r>
                  <w:r>
                    <w:rPr>
                      <w:rFonts w:ascii="Times New Roman" w:eastAsia="Times New Roman" w:hAnsi="Times New Roman" w:cs="Times New Roman"/>
                      <w:color w:val="000000" w:themeColor="text1"/>
                      <w:sz w:val="24"/>
                      <w:szCs w:val="24"/>
                      <w:lang w:val="lv-LV" w:eastAsia="lv-LV"/>
                    </w:rPr>
                    <w:t>tiek pārņemta/ ieviesta pilnībā</w:t>
                  </w:r>
                </w:p>
                <w:p w14:paraId="29B12DB9" w14:textId="77777777" w:rsidR="006F4F07" w:rsidRPr="00355B11" w:rsidRDefault="006F4F07" w:rsidP="00452F6B">
                  <w:pPr>
                    <w:spacing w:after="0" w:line="240" w:lineRule="auto"/>
                    <w:rPr>
                      <w:rFonts w:ascii="Times New Roman" w:eastAsia="Times New Roman" w:hAnsi="Times New Roman" w:cs="Times New Roman"/>
                      <w:color w:val="000000" w:themeColor="text1"/>
                      <w:sz w:val="24"/>
                      <w:szCs w:val="24"/>
                      <w:lang w:val="lv-LV" w:eastAsia="lv-LV"/>
                    </w:rPr>
                  </w:pPr>
                </w:p>
              </w:tc>
              <w:tc>
                <w:tcPr>
                  <w:tcW w:w="1350" w:type="pct"/>
                  <w:tcBorders>
                    <w:top w:val="outset" w:sz="6" w:space="0" w:color="414142"/>
                    <w:left w:val="outset" w:sz="6" w:space="0" w:color="414142"/>
                    <w:bottom w:val="single" w:sz="4" w:space="0" w:color="auto"/>
                    <w:right w:val="outset" w:sz="6" w:space="0" w:color="414142"/>
                  </w:tcBorders>
                </w:tcPr>
                <w:p w14:paraId="6BDAEBEC" w14:textId="77777777" w:rsidR="006F4F07" w:rsidRPr="00355B11" w:rsidRDefault="006F4F07" w:rsidP="006F4F07">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hAnsi="Times New Roman" w:cs="Times New Roman"/>
                      <w:color w:val="000000" w:themeColor="text1"/>
                      <w:spacing w:val="-2"/>
                      <w:sz w:val="24"/>
                      <w:szCs w:val="24"/>
                      <w:lang w:val="lv-LV"/>
                    </w:rPr>
                    <w:t>Likumprojekts stingrākas prasības neparedz</w:t>
                  </w:r>
                </w:p>
                <w:p w14:paraId="0D33E0CF" w14:textId="77777777" w:rsidR="006F4F07" w:rsidRPr="00355B11" w:rsidRDefault="006F4F07" w:rsidP="00452F6B">
                  <w:pPr>
                    <w:spacing w:after="0" w:line="240" w:lineRule="auto"/>
                    <w:rPr>
                      <w:rFonts w:ascii="Times New Roman" w:hAnsi="Times New Roman" w:cs="Times New Roman"/>
                      <w:color w:val="000000" w:themeColor="text1"/>
                      <w:spacing w:val="-2"/>
                      <w:sz w:val="24"/>
                      <w:szCs w:val="24"/>
                      <w:lang w:val="lv-LV"/>
                    </w:rPr>
                  </w:pPr>
                </w:p>
              </w:tc>
            </w:tr>
            <w:tr w:rsidR="000F37B8" w:rsidRPr="00355B11" w14:paraId="2AB23082" w14:textId="77777777" w:rsidTr="00F34A72">
              <w:trPr>
                <w:trHeight w:val="210"/>
                <w:jc w:val="center"/>
              </w:trPr>
              <w:tc>
                <w:tcPr>
                  <w:tcW w:w="1150" w:type="pct"/>
                  <w:tcBorders>
                    <w:top w:val="single" w:sz="4" w:space="0" w:color="auto"/>
                    <w:left w:val="outset" w:sz="6" w:space="0" w:color="414142"/>
                    <w:bottom w:val="outset" w:sz="6" w:space="0" w:color="414142"/>
                    <w:right w:val="outset" w:sz="6" w:space="0" w:color="414142"/>
                  </w:tcBorders>
                </w:tcPr>
                <w:p w14:paraId="56A638B3" w14:textId="3CF84CB7" w:rsidR="000F37B8" w:rsidRPr="00C27C45" w:rsidRDefault="000F37B8" w:rsidP="00DF3D0C">
                  <w:pPr>
                    <w:spacing w:after="0" w:line="240" w:lineRule="auto"/>
                    <w:rPr>
                      <w:rFonts w:ascii="Times New Roman" w:hAnsi="Times New Roman" w:cs="Times New Roman"/>
                      <w:sz w:val="24"/>
                      <w:szCs w:val="24"/>
                      <w:lang w:val="lv-LV"/>
                    </w:rPr>
                  </w:pPr>
                  <w:r w:rsidRPr="00C27C45">
                    <w:rPr>
                      <w:rFonts w:ascii="Times New Roman" w:hAnsi="Times New Roman" w:cs="Times New Roman"/>
                      <w:sz w:val="24"/>
                      <w:szCs w:val="24"/>
                      <w:lang w:val="lv-LV"/>
                    </w:rPr>
                    <w:t>Regulas Nr. 909/2014</w:t>
                  </w:r>
                  <w:r>
                    <w:rPr>
                      <w:rFonts w:ascii="Times New Roman" w:hAnsi="Times New Roman" w:cs="Times New Roman"/>
                      <w:sz w:val="24"/>
                      <w:szCs w:val="24"/>
                      <w:lang w:val="lv-LV"/>
                    </w:rPr>
                    <w:t xml:space="preserve"> </w:t>
                  </w:r>
                  <w:r w:rsidR="00DF3D0C">
                    <w:rPr>
                      <w:rFonts w:ascii="Times New Roman" w:hAnsi="Times New Roman" w:cs="Times New Roman"/>
                      <w:sz w:val="24"/>
                      <w:szCs w:val="24"/>
                      <w:lang w:val="lv-LV"/>
                    </w:rPr>
                    <w:t>45. panta 3.</w:t>
                  </w:r>
                  <w:r w:rsidR="00DF3D0C" w:rsidRPr="00BF5896">
                    <w:rPr>
                      <w:rFonts w:ascii="Times New Roman" w:hAnsi="Times New Roman" w:cs="Times New Roman"/>
                      <w:sz w:val="24"/>
                      <w:szCs w:val="24"/>
                      <w:lang w:val="lv-LV"/>
                    </w:rPr>
                    <w:t>punkts</w:t>
                  </w:r>
                  <w:r w:rsidR="005E33D2" w:rsidRPr="00BF5896">
                    <w:rPr>
                      <w:rFonts w:ascii="Times New Roman" w:hAnsi="Times New Roman" w:cs="Times New Roman"/>
                      <w:sz w:val="24"/>
                      <w:szCs w:val="24"/>
                      <w:lang w:val="lv-LV"/>
                    </w:rPr>
                    <w:t xml:space="preserve"> un 22. panta 2. punkts</w:t>
                  </w:r>
                </w:p>
              </w:tc>
              <w:tc>
                <w:tcPr>
                  <w:tcW w:w="1100" w:type="pct"/>
                  <w:tcBorders>
                    <w:top w:val="single" w:sz="4" w:space="0" w:color="auto"/>
                    <w:left w:val="outset" w:sz="6" w:space="0" w:color="414142"/>
                    <w:bottom w:val="outset" w:sz="6" w:space="0" w:color="414142"/>
                    <w:right w:val="outset" w:sz="6" w:space="0" w:color="414142"/>
                  </w:tcBorders>
                  <w:shd w:val="clear" w:color="auto" w:fill="auto"/>
                </w:tcPr>
                <w:p w14:paraId="41DA0983" w14:textId="65ED9245" w:rsidR="000F37B8" w:rsidRDefault="000F37B8" w:rsidP="00686071">
                  <w:pPr>
                    <w:spacing w:after="0" w:line="240" w:lineRule="auto"/>
                    <w:rPr>
                      <w:rFonts w:ascii="Times New Roman" w:hAnsi="Times New Roman" w:cs="Times New Roman"/>
                      <w:color w:val="000000" w:themeColor="text1"/>
                      <w:spacing w:val="-2"/>
                      <w:sz w:val="24"/>
                      <w:szCs w:val="24"/>
                      <w:lang w:val="lv-LV"/>
                    </w:rPr>
                  </w:pPr>
                  <w:r>
                    <w:rPr>
                      <w:rFonts w:ascii="Times New Roman" w:hAnsi="Times New Roman" w:cs="Times New Roman"/>
                      <w:color w:val="000000" w:themeColor="text1"/>
                      <w:spacing w:val="-2"/>
                      <w:sz w:val="24"/>
                      <w:szCs w:val="24"/>
                      <w:lang w:val="lv-LV"/>
                    </w:rPr>
                    <w:t>Likumprojekta 21.pants</w:t>
                  </w:r>
                </w:p>
              </w:tc>
              <w:tc>
                <w:tcPr>
                  <w:tcW w:w="1400" w:type="pct"/>
                  <w:tcBorders>
                    <w:top w:val="single" w:sz="4" w:space="0" w:color="auto"/>
                    <w:left w:val="outset" w:sz="6" w:space="0" w:color="414142"/>
                    <w:bottom w:val="outset" w:sz="6" w:space="0" w:color="414142"/>
                    <w:right w:val="outset" w:sz="6" w:space="0" w:color="414142"/>
                  </w:tcBorders>
                </w:tcPr>
                <w:p w14:paraId="45F0CB82" w14:textId="77777777" w:rsidR="000F37B8" w:rsidRPr="00355B11" w:rsidRDefault="000F37B8" w:rsidP="000F37B8">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p w14:paraId="64ABC24D" w14:textId="77777777" w:rsidR="000F37B8" w:rsidRPr="00355B11" w:rsidRDefault="000F37B8" w:rsidP="00686071">
                  <w:pPr>
                    <w:spacing w:after="0" w:line="240" w:lineRule="auto"/>
                    <w:rPr>
                      <w:rFonts w:ascii="Times New Roman" w:eastAsia="Times New Roman" w:hAnsi="Times New Roman" w:cs="Times New Roman"/>
                      <w:color w:val="000000" w:themeColor="text1"/>
                      <w:sz w:val="24"/>
                      <w:szCs w:val="24"/>
                      <w:lang w:val="lv-LV" w:eastAsia="lv-LV"/>
                    </w:rPr>
                  </w:pPr>
                </w:p>
              </w:tc>
              <w:tc>
                <w:tcPr>
                  <w:tcW w:w="1350" w:type="pct"/>
                  <w:tcBorders>
                    <w:top w:val="single" w:sz="4" w:space="0" w:color="auto"/>
                    <w:left w:val="outset" w:sz="6" w:space="0" w:color="414142"/>
                    <w:bottom w:val="outset" w:sz="6" w:space="0" w:color="414142"/>
                    <w:right w:val="outset" w:sz="6" w:space="0" w:color="414142"/>
                  </w:tcBorders>
                </w:tcPr>
                <w:p w14:paraId="7C6E6B80" w14:textId="77777777" w:rsidR="000F37B8" w:rsidRDefault="000F37B8" w:rsidP="000F37B8">
                  <w:pPr>
                    <w:spacing w:after="0" w:line="240" w:lineRule="auto"/>
                    <w:rPr>
                      <w:rFonts w:ascii="Times New Roman" w:hAnsi="Times New Roman" w:cs="Times New Roman"/>
                      <w:color w:val="000000" w:themeColor="text1"/>
                      <w:spacing w:val="-2"/>
                      <w:sz w:val="24"/>
                      <w:szCs w:val="24"/>
                      <w:lang w:val="lv-LV"/>
                    </w:rPr>
                  </w:pPr>
                  <w:r w:rsidRPr="00355B11">
                    <w:rPr>
                      <w:rFonts w:ascii="Times New Roman" w:hAnsi="Times New Roman" w:cs="Times New Roman"/>
                      <w:color w:val="000000" w:themeColor="text1"/>
                      <w:spacing w:val="-2"/>
                      <w:sz w:val="24"/>
                      <w:szCs w:val="24"/>
                      <w:lang w:val="lv-LV"/>
                    </w:rPr>
                    <w:t>Likumprojekts stingrākas prasības neparedz</w:t>
                  </w:r>
                </w:p>
                <w:p w14:paraId="2C49EA67" w14:textId="77777777" w:rsidR="000F37B8" w:rsidRPr="00355B11" w:rsidRDefault="000F37B8" w:rsidP="00686071">
                  <w:pPr>
                    <w:spacing w:after="0" w:line="240" w:lineRule="auto"/>
                    <w:rPr>
                      <w:rFonts w:ascii="Times New Roman" w:hAnsi="Times New Roman" w:cs="Times New Roman"/>
                      <w:color w:val="000000" w:themeColor="text1"/>
                      <w:spacing w:val="-2"/>
                      <w:sz w:val="24"/>
                      <w:szCs w:val="24"/>
                      <w:lang w:val="lv-LV"/>
                    </w:rPr>
                  </w:pPr>
                </w:p>
              </w:tc>
            </w:tr>
            <w:tr w:rsidR="00686071" w:rsidRPr="00355B11" w14:paraId="521C71E3" w14:textId="77777777" w:rsidTr="00F34A72">
              <w:trPr>
                <w:trHeight w:val="2040"/>
                <w:jc w:val="center"/>
              </w:trPr>
              <w:tc>
                <w:tcPr>
                  <w:tcW w:w="1150" w:type="pct"/>
                  <w:tcBorders>
                    <w:top w:val="single" w:sz="4" w:space="0" w:color="auto"/>
                    <w:left w:val="outset" w:sz="6" w:space="0" w:color="414142"/>
                    <w:bottom w:val="single" w:sz="4" w:space="0" w:color="auto"/>
                    <w:right w:val="outset" w:sz="6" w:space="0" w:color="414142"/>
                  </w:tcBorders>
                </w:tcPr>
                <w:p w14:paraId="49A93769" w14:textId="5191F593" w:rsidR="00686071" w:rsidRPr="00355B11" w:rsidRDefault="00686071" w:rsidP="001B7D41">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sidRPr="00C27C45">
                    <w:rPr>
                      <w:rFonts w:ascii="Times New Roman" w:hAnsi="Times New Roman" w:cs="Times New Roman"/>
                      <w:sz w:val="24"/>
                      <w:szCs w:val="24"/>
                      <w:lang w:val="lv-LV"/>
                    </w:rPr>
                    <w:t>Regulas Nr. 909/2014</w:t>
                  </w:r>
                  <w:r>
                    <w:rPr>
                      <w:rFonts w:ascii="Times New Roman" w:hAnsi="Times New Roman" w:cs="Times New Roman"/>
                      <w:sz w:val="24"/>
                      <w:szCs w:val="24"/>
                      <w:lang w:val="lv-LV"/>
                    </w:rPr>
                    <w:t xml:space="preserve"> </w:t>
                  </w:r>
                  <w:r w:rsidR="00267ED8">
                    <w:rPr>
                      <w:rFonts w:ascii="Times New Roman" w:hAnsi="Times New Roman" w:cs="Times New Roman"/>
                      <w:sz w:val="24"/>
                      <w:szCs w:val="24"/>
                      <w:lang w:val="lv-LV"/>
                    </w:rPr>
                    <w:t>16</w:t>
                  </w:r>
                  <w:r>
                    <w:rPr>
                      <w:rFonts w:ascii="Times New Roman" w:hAnsi="Times New Roman" w:cs="Times New Roman"/>
                      <w:sz w:val="24"/>
                      <w:szCs w:val="24"/>
                      <w:lang w:val="lv-LV"/>
                    </w:rPr>
                    <w:t xml:space="preserve">.panta </w:t>
                  </w:r>
                  <w:r w:rsidR="00267ED8">
                    <w:rPr>
                      <w:rFonts w:ascii="Times New Roman" w:hAnsi="Times New Roman" w:cs="Times New Roman"/>
                      <w:sz w:val="24"/>
                      <w:szCs w:val="24"/>
                      <w:lang w:val="lv-LV"/>
                    </w:rPr>
                    <w:t>4</w:t>
                  </w:r>
                  <w:r>
                    <w:rPr>
                      <w:rFonts w:ascii="Times New Roman" w:hAnsi="Times New Roman" w:cs="Times New Roman"/>
                      <w:sz w:val="24"/>
                      <w:szCs w:val="24"/>
                      <w:lang w:val="lv-LV"/>
                    </w:rPr>
                    <w:t>.punkts</w:t>
                  </w:r>
                  <w:r w:rsidR="001B7D41">
                    <w:rPr>
                      <w:rFonts w:ascii="Times New Roman" w:hAnsi="Times New Roman" w:cs="Times New Roman"/>
                      <w:sz w:val="24"/>
                      <w:szCs w:val="24"/>
                      <w:lang w:val="lv-LV"/>
                    </w:rPr>
                    <w:t xml:space="preserve"> un 24.panta 4.punkts</w:t>
                  </w:r>
                  <w:r>
                    <w:rPr>
                      <w:rFonts w:ascii="Times New Roman" w:hAnsi="Times New Roman" w:cs="Times New Roman"/>
                      <w:sz w:val="24"/>
                      <w:szCs w:val="24"/>
                      <w:lang w:val="lv-LV"/>
                    </w:rPr>
                    <w:t xml:space="preserve">, </w:t>
                  </w:r>
                </w:p>
              </w:tc>
              <w:tc>
                <w:tcPr>
                  <w:tcW w:w="1100" w:type="pct"/>
                  <w:tcBorders>
                    <w:top w:val="single" w:sz="4" w:space="0" w:color="auto"/>
                    <w:left w:val="outset" w:sz="6" w:space="0" w:color="414142"/>
                    <w:bottom w:val="single" w:sz="4" w:space="0" w:color="auto"/>
                    <w:right w:val="outset" w:sz="6" w:space="0" w:color="414142"/>
                  </w:tcBorders>
                  <w:shd w:val="clear" w:color="auto" w:fill="auto"/>
                </w:tcPr>
                <w:p w14:paraId="7BBF9D91" w14:textId="77777777" w:rsidR="00686071" w:rsidRPr="00355B11" w:rsidRDefault="00686071" w:rsidP="00686071">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color w:val="000000" w:themeColor="text1"/>
                      <w:spacing w:val="-2"/>
                      <w:sz w:val="24"/>
                      <w:szCs w:val="24"/>
                      <w:lang w:val="lv-LV"/>
                    </w:rPr>
                    <w:t>Likumprojekta 25.pants</w:t>
                  </w:r>
                </w:p>
              </w:tc>
              <w:tc>
                <w:tcPr>
                  <w:tcW w:w="1400" w:type="pct"/>
                  <w:tcBorders>
                    <w:top w:val="single" w:sz="4" w:space="0" w:color="auto"/>
                    <w:left w:val="outset" w:sz="6" w:space="0" w:color="414142"/>
                    <w:bottom w:val="single" w:sz="4" w:space="0" w:color="auto"/>
                    <w:right w:val="outset" w:sz="6" w:space="0" w:color="414142"/>
                  </w:tcBorders>
                </w:tcPr>
                <w:p w14:paraId="010CCF7F"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p w14:paraId="6380EC5D"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p>
              </w:tc>
              <w:tc>
                <w:tcPr>
                  <w:tcW w:w="1350" w:type="pct"/>
                  <w:tcBorders>
                    <w:top w:val="single" w:sz="4" w:space="0" w:color="auto"/>
                    <w:left w:val="outset" w:sz="6" w:space="0" w:color="414142"/>
                    <w:bottom w:val="single" w:sz="4" w:space="0" w:color="auto"/>
                    <w:right w:val="outset" w:sz="6" w:space="0" w:color="414142"/>
                  </w:tcBorders>
                </w:tcPr>
                <w:p w14:paraId="63F89296" w14:textId="77777777" w:rsidR="00686071" w:rsidRPr="00355B11" w:rsidRDefault="00686071" w:rsidP="00686071">
                  <w:pPr>
                    <w:spacing w:after="0" w:line="240" w:lineRule="auto"/>
                    <w:rPr>
                      <w:rFonts w:ascii="Times New Roman" w:hAnsi="Times New Roman" w:cs="Times New Roman"/>
                      <w:color w:val="000000" w:themeColor="text1"/>
                      <w:spacing w:val="-2"/>
                      <w:sz w:val="24"/>
                      <w:szCs w:val="24"/>
                      <w:lang w:val="lv-LV"/>
                    </w:rPr>
                  </w:pPr>
                  <w:r w:rsidRPr="00355B11">
                    <w:rPr>
                      <w:rFonts w:ascii="Times New Roman" w:hAnsi="Times New Roman" w:cs="Times New Roman"/>
                      <w:color w:val="000000" w:themeColor="text1"/>
                      <w:spacing w:val="-2"/>
                      <w:sz w:val="24"/>
                      <w:szCs w:val="24"/>
                      <w:lang w:val="lv-LV"/>
                    </w:rPr>
                    <w:t>Likumprojekts stingrākas prasības neparedz</w:t>
                  </w:r>
                </w:p>
              </w:tc>
            </w:tr>
            <w:tr w:rsidR="00DF3D0C" w:rsidRPr="00F03E47" w14:paraId="7C247DC7" w14:textId="77777777" w:rsidTr="00F34A72">
              <w:trPr>
                <w:trHeight w:val="480"/>
                <w:jc w:val="center"/>
              </w:trPr>
              <w:tc>
                <w:tcPr>
                  <w:tcW w:w="1150" w:type="pct"/>
                  <w:tcBorders>
                    <w:top w:val="single" w:sz="4" w:space="0" w:color="auto"/>
                    <w:left w:val="outset" w:sz="6" w:space="0" w:color="414142"/>
                    <w:bottom w:val="single" w:sz="4" w:space="0" w:color="auto"/>
                    <w:right w:val="outset" w:sz="6" w:space="0" w:color="414142"/>
                  </w:tcBorders>
                </w:tcPr>
                <w:p w14:paraId="1705E62E" w14:textId="6786F353" w:rsidR="00DF3D0C" w:rsidRPr="00C27C45" w:rsidRDefault="00DF3D0C" w:rsidP="00E02A0A">
                  <w:pPr>
                    <w:pStyle w:val="CommentText"/>
                    <w:spacing w:before="100" w:beforeAutospacing="1" w:after="100" w:afterAutospacing="1"/>
                    <w:rPr>
                      <w:rFonts w:ascii="Times New Roman" w:hAnsi="Times New Roman" w:cs="Times New Roman"/>
                      <w:sz w:val="24"/>
                      <w:szCs w:val="24"/>
                      <w:lang w:val="lv-LV"/>
                    </w:rPr>
                  </w:pPr>
                  <w:r w:rsidRPr="00C27C45">
                    <w:rPr>
                      <w:rFonts w:ascii="Times New Roman" w:hAnsi="Times New Roman" w:cs="Times New Roman"/>
                      <w:sz w:val="24"/>
                      <w:szCs w:val="24"/>
                      <w:lang w:val="lv-LV"/>
                    </w:rPr>
                    <w:t>Regulas Nr. 909/2014</w:t>
                  </w:r>
                  <w:r>
                    <w:rPr>
                      <w:rFonts w:ascii="Times New Roman" w:hAnsi="Times New Roman" w:cs="Times New Roman"/>
                      <w:sz w:val="24"/>
                      <w:szCs w:val="24"/>
                      <w:lang w:val="lv-LV"/>
                    </w:rPr>
                    <w:t xml:space="preserve"> 27.</w:t>
                  </w:r>
                  <w:r w:rsidR="00F03E47">
                    <w:rPr>
                      <w:rFonts w:ascii="Times New Roman" w:hAnsi="Times New Roman" w:cs="Times New Roman"/>
                      <w:sz w:val="24"/>
                      <w:szCs w:val="24"/>
                      <w:lang w:val="lv-LV"/>
                    </w:rPr>
                    <w:t>panta 6.,7. un 8.punkts</w:t>
                  </w:r>
                </w:p>
              </w:tc>
              <w:tc>
                <w:tcPr>
                  <w:tcW w:w="1100" w:type="pct"/>
                  <w:tcBorders>
                    <w:top w:val="single" w:sz="4" w:space="0" w:color="auto"/>
                    <w:left w:val="outset" w:sz="6" w:space="0" w:color="414142"/>
                    <w:bottom w:val="single" w:sz="4" w:space="0" w:color="auto"/>
                    <w:right w:val="outset" w:sz="6" w:space="0" w:color="414142"/>
                  </w:tcBorders>
                  <w:shd w:val="clear" w:color="auto" w:fill="auto"/>
                </w:tcPr>
                <w:p w14:paraId="585C2762" w14:textId="1724F23F" w:rsidR="00DF3D0C" w:rsidRDefault="00DF3D0C" w:rsidP="00DF3D0C">
                  <w:pPr>
                    <w:spacing w:after="0" w:line="240" w:lineRule="auto"/>
                    <w:rPr>
                      <w:rFonts w:ascii="Times New Roman" w:hAnsi="Times New Roman" w:cs="Times New Roman"/>
                      <w:color w:val="000000" w:themeColor="text1"/>
                      <w:spacing w:val="-2"/>
                      <w:sz w:val="24"/>
                      <w:szCs w:val="24"/>
                      <w:lang w:val="lv-LV"/>
                    </w:rPr>
                  </w:pPr>
                  <w:r>
                    <w:rPr>
                      <w:rFonts w:ascii="Times New Roman" w:hAnsi="Times New Roman" w:cs="Times New Roman"/>
                      <w:color w:val="000000" w:themeColor="text1"/>
                      <w:spacing w:val="-2"/>
                      <w:sz w:val="24"/>
                      <w:szCs w:val="24"/>
                      <w:lang w:val="lv-LV"/>
                    </w:rPr>
                    <w:t>Likumprojekta 27.pants</w:t>
                  </w:r>
                </w:p>
              </w:tc>
              <w:tc>
                <w:tcPr>
                  <w:tcW w:w="1400" w:type="pct"/>
                  <w:tcBorders>
                    <w:top w:val="single" w:sz="4" w:space="0" w:color="auto"/>
                    <w:left w:val="outset" w:sz="6" w:space="0" w:color="414142"/>
                    <w:bottom w:val="single" w:sz="4" w:space="0" w:color="auto"/>
                    <w:right w:val="outset" w:sz="6" w:space="0" w:color="414142"/>
                  </w:tcBorders>
                </w:tcPr>
                <w:p w14:paraId="625FCF0A" w14:textId="7418A546" w:rsidR="00DF3D0C" w:rsidRPr="00355B11" w:rsidRDefault="00DF3D0C"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ES tiesību akta vienība tiek pārņemta/ ieviesta pilnībā</w:t>
                  </w:r>
                </w:p>
              </w:tc>
              <w:tc>
                <w:tcPr>
                  <w:tcW w:w="1350" w:type="pct"/>
                  <w:tcBorders>
                    <w:top w:val="single" w:sz="4" w:space="0" w:color="auto"/>
                    <w:left w:val="outset" w:sz="6" w:space="0" w:color="414142"/>
                    <w:bottom w:val="single" w:sz="4" w:space="0" w:color="auto"/>
                    <w:right w:val="outset" w:sz="6" w:space="0" w:color="414142"/>
                  </w:tcBorders>
                </w:tcPr>
                <w:p w14:paraId="109696D1" w14:textId="49A99176" w:rsidR="00DF3D0C" w:rsidRPr="00355B11" w:rsidRDefault="00DF3D0C" w:rsidP="00686071">
                  <w:pPr>
                    <w:spacing w:after="0" w:line="240" w:lineRule="auto"/>
                    <w:rPr>
                      <w:rFonts w:ascii="Times New Roman" w:hAnsi="Times New Roman" w:cs="Times New Roman"/>
                      <w:color w:val="000000" w:themeColor="text1"/>
                      <w:spacing w:val="-2"/>
                      <w:sz w:val="24"/>
                      <w:szCs w:val="24"/>
                      <w:lang w:val="lv-LV"/>
                    </w:rPr>
                  </w:pPr>
                  <w:r w:rsidRPr="00355B11">
                    <w:rPr>
                      <w:rFonts w:ascii="Times New Roman" w:hAnsi="Times New Roman" w:cs="Times New Roman"/>
                      <w:color w:val="000000" w:themeColor="text1"/>
                      <w:spacing w:val="-2"/>
                      <w:sz w:val="24"/>
                      <w:szCs w:val="24"/>
                      <w:lang w:val="lv-LV"/>
                    </w:rPr>
                    <w:t>Likumprojekts stingrākas prasības neparedz</w:t>
                  </w:r>
                </w:p>
              </w:tc>
            </w:tr>
            <w:tr w:rsidR="001B7D41" w:rsidRPr="00F03E47" w14:paraId="4AB35AB3" w14:textId="77777777" w:rsidTr="00F03E47">
              <w:trPr>
                <w:trHeight w:val="480"/>
                <w:jc w:val="center"/>
              </w:trPr>
              <w:tc>
                <w:tcPr>
                  <w:tcW w:w="1150" w:type="pct"/>
                  <w:tcBorders>
                    <w:top w:val="single" w:sz="4" w:space="0" w:color="auto"/>
                    <w:left w:val="outset" w:sz="6" w:space="0" w:color="414142"/>
                    <w:bottom w:val="single" w:sz="4" w:space="0" w:color="auto"/>
                    <w:right w:val="outset" w:sz="6" w:space="0" w:color="414142"/>
                  </w:tcBorders>
                  <w:shd w:val="clear" w:color="auto" w:fill="auto"/>
                </w:tcPr>
                <w:p w14:paraId="46DE08CA" w14:textId="121585E0" w:rsidR="001B7D41" w:rsidRPr="00C27C45" w:rsidRDefault="006F4F07" w:rsidP="00E8714B">
                  <w:pPr>
                    <w:pStyle w:val="CommentText"/>
                    <w:spacing w:before="100" w:beforeAutospacing="1" w:after="100" w:afterAutospacing="1"/>
                    <w:rPr>
                      <w:rFonts w:ascii="Times New Roman" w:hAnsi="Times New Roman" w:cs="Times New Roman"/>
                      <w:sz w:val="24"/>
                      <w:szCs w:val="24"/>
                      <w:lang w:val="lv-LV"/>
                    </w:rPr>
                  </w:pPr>
                  <w:r w:rsidRPr="00C27C45">
                    <w:rPr>
                      <w:rFonts w:ascii="Times New Roman" w:hAnsi="Times New Roman" w:cs="Times New Roman"/>
                      <w:sz w:val="24"/>
                      <w:szCs w:val="24"/>
                      <w:lang w:val="lv-LV"/>
                    </w:rPr>
                    <w:t xml:space="preserve"> </w:t>
                  </w:r>
                </w:p>
              </w:tc>
              <w:tc>
                <w:tcPr>
                  <w:tcW w:w="1100" w:type="pct"/>
                  <w:tcBorders>
                    <w:top w:val="single" w:sz="4" w:space="0" w:color="auto"/>
                    <w:left w:val="outset" w:sz="6" w:space="0" w:color="414142"/>
                    <w:bottom w:val="single" w:sz="4" w:space="0" w:color="auto"/>
                    <w:right w:val="outset" w:sz="6" w:space="0" w:color="414142"/>
                  </w:tcBorders>
                  <w:shd w:val="clear" w:color="auto" w:fill="auto"/>
                </w:tcPr>
                <w:p w14:paraId="4F03F696" w14:textId="5EBD9C71" w:rsidR="001B7D41" w:rsidRDefault="001B7D41" w:rsidP="001B7D41">
                  <w:pPr>
                    <w:spacing w:after="0" w:line="240" w:lineRule="auto"/>
                    <w:rPr>
                      <w:rFonts w:ascii="Times New Roman" w:hAnsi="Times New Roman" w:cs="Times New Roman"/>
                      <w:color w:val="000000" w:themeColor="text1"/>
                      <w:spacing w:val="-2"/>
                      <w:sz w:val="24"/>
                      <w:szCs w:val="24"/>
                      <w:lang w:val="lv-LV"/>
                    </w:rPr>
                  </w:pPr>
                </w:p>
              </w:tc>
              <w:tc>
                <w:tcPr>
                  <w:tcW w:w="1400" w:type="pct"/>
                  <w:tcBorders>
                    <w:top w:val="single" w:sz="4" w:space="0" w:color="auto"/>
                    <w:left w:val="outset" w:sz="6" w:space="0" w:color="414142"/>
                    <w:bottom w:val="single" w:sz="4" w:space="0" w:color="auto"/>
                    <w:right w:val="outset" w:sz="6" w:space="0" w:color="414142"/>
                  </w:tcBorders>
                  <w:shd w:val="clear" w:color="auto" w:fill="auto"/>
                </w:tcPr>
                <w:p w14:paraId="6617C416" w14:textId="2B27927D" w:rsidR="001B7D41" w:rsidRPr="00355B11" w:rsidRDefault="001B7D41" w:rsidP="00686071">
                  <w:pPr>
                    <w:spacing w:after="0" w:line="240" w:lineRule="auto"/>
                    <w:rPr>
                      <w:rFonts w:ascii="Times New Roman" w:eastAsia="Times New Roman" w:hAnsi="Times New Roman" w:cs="Times New Roman"/>
                      <w:color w:val="000000" w:themeColor="text1"/>
                      <w:sz w:val="24"/>
                      <w:szCs w:val="24"/>
                      <w:lang w:val="lv-LV" w:eastAsia="lv-LV"/>
                    </w:rPr>
                  </w:pPr>
                </w:p>
              </w:tc>
              <w:tc>
                <w:tcPr>
                  <w:tcW w:w="1350" w:type="pct"/>
                  <w:tcBorders>
                    <w:top w:val="single" w:sz="4" w:space="0" w:color="auto"/>
                    <w:left w:val="outset" w:sz="6" w:space="0" w:color="414142"/>
                    <w:bottom w:val="single" w:sz="4" w:space="0" w:color="auto"/>
                    <w:right w:val="outset" w:sz="6" w:space="0" w:color="414142"/>
                  </w:tcBorders>
                  <w:shd w:val="clear" w:color="auto" w:fill="auto"/>
                </w:tcPr>
                <w:p w14:paraId="38CA79E7" w14:textId="282B8D6B" w:rsidR="001B7D41" w:rsidRPr="00355B11" w:rsidRDefault="001B7D41" w:rsidP="00686071">
                  <w:pPr>
                    <w:spacing w:after="0" w:line="240" w:lineRule="auto"/>
                    <w:rPr>
                      <w:rFonts w:ascii="Times New Roman" w:hAnsi="Times New Roman" w:cs="Times New Roman"/>
                      <w:color w:val="000000" w:themeColor="text1"/>
                      <w:spacing w:val="-2"/>
                      <w:sz w:val="24"/>
                      <w:szCs w:val="24"/>
                      <w:lang w:val="lv-LV"/>
                    </w:rPr>
                  </w:pPr>
                </w:p>
              </w:tc>
            </w:tr>
            <w:tr w:rsidR="001B7D41" w:rsidRPr="00D170AD" w14:paraId="39EDEC47" w14:textId="77777777" w:rsidTr="00F34A72">
              <w:trPr>
                <w:trHeight w:val="480"/>
                <w:jc w:val="center"/>
              </w:trPr>
              <w:tc>
                <w:tcPr>
                  <w:tcW w:w="1150" w:type="pct"/>
                  <w:tcBorders>
                    <w:top w:val="single" w:sz="4" w:space="0" w:color="auto"/>
                    <w:left w:val="outset" w:sz="6" w:space="0" w:color="414142"/>
                    <w:bottom w:val="single" w:sz="4" w:space="0" w:color="auto"/>
                    <w:right w:val="outset" w:sz="6" w:space="0" w:color="414142"/>
                  </w:tcBorders>
                </w:tcPr>
                <w:p w14:paraId="2849F2CC" w14:textId="3F3198B6" w:rsidR="001B7D41" w:rsidRPr="00C27C45" w:rsidRDefault="001B7D41" w:rsidP="00D170AD">
                  <w:pPr>
                    <w:pStyle w:val="CommentText"/>
                    <w:spacing w:before="100" w:beforeAutospacing="1" w:after="100" w:afterAutospacing="1"/>
                    <w:rPr>
                      <w:rFonts w:ascii="Times New Roman" w:hAnsi="Times New Roman" w:cs="Times New Roman"/>
                      <w:sz w:val="24"/>
                      <w:szCs w:val="24"/>
                      <w:lang w:val="lv-LV"/>
                    </w:rPr>
                  </w:pPr>
                  <w:r w:rsidRPr="00C27C45">
                    <w:rPr>
                      <w:rFonts w:ascii="Times New Roman" w:hAnsi="Times New Roman" w:cs="Times New Roman"/>
                      <w:sz w:val="24"/>
                      <w:szCs w:val="24"/>
                      <w:lang w:val="lv-LV"/>
                    </w:rPr>
                    <w:t>Regulas Nr. 909/2014</w:t>
                  </w:r>
                  <w:r>
                    <w:rPr>
                      <w:rFonts w:ascii="Times New Roman" w:hAnsi="Times New Roman" w:cs="Times New Roman"/>
                      <w:sz w:val="24"/>
                      <w:szCs w:val="24"/>
                      <w:lang w:val="lv-LV"/>
                    </w:rPr>
                    <w:t xml:space="preserve"> </w:t>
                  </w:r>
                  <w:r w:rsidR="00D170AD">
                    <w:rPr>
                      <w:rFonts w:ascii="Times New Roman" w:hAnsi="Times New Roman" w:cs="Times New Roman"/>
                      <w:sz w:val="24"/>
                      <w:szCs w:val="24"/>
                      <w:lang w:val="lv-LV"/>
                    </w:rPr>
                    <w:t>27. pants</w:t>
                  </w:r>
                </w:p>
              </w:tc>
              <w:tc>
                <w:tcPr>
                  <w:tcW w:w="1100" w:type="pct"/>
                  <w:tcBorders>
                    <w:top w:val="single" w:sz="4" w:space="0" w:color="auto"/>
                    <w:left w:val="outset" w:sz="6" w:space="0" w:color="414142"/>
                    <w:bottom w:val="single" w:sz="4" w:space="0" w:color="auto"/>
                    <w:right w:val="outset" w:sz="6" w:space="0" w:color="414142"/>
                  </w:tcBorders>
                  <w:shd w:val="clear" w:color="auto" w:fill="auto"/>
                </w:tcPr>
                <w:p w14:paraId="37F45413" w14:textId="77777777" w:rsidR="001B7D41" w:rsidRPr="00355B11" w:rsidRDefault="001B7D41" w:rsidP="00686071">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color w:val="000000" w:themeColor="text1"/>
                      <w:spacing w:val="-2"/>
                      <w:sz w:val="24"/>
                      <w:szCs w:val="24"/>
                      <w:lang w:val="lv-LV"/>
                    </w:rPr>
                    <w:t>Likumprojekta 29.pants</w:t>
                  </w:r>
                </w:p>
              </w:tc>
              <w:tc>
                <w:tcPr>
                  <w:tcW w:w="1400" w:type="pct"/>
                  <w:tcBorders>
                    <w:top w:val="single" w:sz="4" w:space="0" w:color="auto"/>
                    <w:left w:val="outset" w:sz="6" w:space="0" w:color="414142"/>
                    <w:bottom w:val="single" w:sz="4" w:space="0" w:color="auto"/>
                    <w:right w:val="outset" w:sz="6" w:space="0" w:color="414142"/>
                  </w:tcBorders>
                </w:tcPr>
                <w:p w14:paraId="334A402F" w14:textId="77777777" w:rsidR="001B7D41" w:rsidRPr="00355B11" w:rsidRDefault="001B7D4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single" w:sz="4" w:space="0" w:color="auto"/>
                    <w:left w:val="outset" w:sz="6" w:space="0" w:color="414142"/>
                    <w:bottom w:val="single" w:sz="4" w:space="0" w:color="auto"/>
                    <w:right w:val="outset" w:sz="6" w:space="0" w:color="414142"/>
                  </w:tcBorders>
                </w:tcPr>
                <w:p w14:paraId="428D1866" w14:textId="77777777" w:rsidR="001B7D41" w:rsidRPr="00355B11" w:rsidRDefault="001B7D41" w:rsidP="00686071">
                  <w:pPr>
                    <w:spacing w:after="0" w:line="240" w:lineRule="auto"/>
                    <w:rPr>
                      <w:rFonts w:ascii="Times New Roman" w:hAnsi="Times New Roman" w:cs="Times New Roman"/>
                      <w:color w:val="000000" w:themeColor="text1"/>
                      <w:spacing w:val="-2"/>
                      <w:sz w:val="24"/>
                      <w:szCs w:val="24"/>
                      <w:lang w:val="lv-LV"/>
                    </w:rPr>
                  </w:pPr>
                  <w:r w:rsidRPr="00355B11">
                    <w:rPr>
                      <w:rFonts w:ascii="Times New Roman" w:hAnsi="Times New Roman" w:cs="Times New Roman"/>
                      <w:color w:val="000000" w:themeColor="text1"/>
                      <w:spacing w:val="-2"/>
                      <w:sz w:val="24"/>
                      <w:szCs w:val="24"/>
                      <w:lang w:val="lv-LV"/>
                    </w:rPr>
                    <w:t>Likumprojekts stingrākas prasības neparedz</w:t>
                  </w:r>
                </w:p>
              </w:tc>
            </w:tr>
            <w:tr w:rsidR="001B7D41" w:rsidRPr="005646F6" w14:paraId="619A1E31" w14:textId="77777777" w:rsidTr="00F34A72">
              <w:trPr>
                <w:trHeight w:val="195"/>
                <w:jc w:val="center"/>
              </w:trPr>
              <w:tc>
                <w:tcPr>
                  <w:tcW w:w="1150" w:type="pct"/>
                  <w:tcBorders>
                    <w:top w:val="single" w:sz="4" w:space="0" w:color="auto"/>
                    <w:left w:val="outset" w:sz="6" w:space="0" w:color="414142"/>
                    <w:bottom w:val="single" w:sz="4" w:space="0" w:color="auto"/>
                    <w:right w:val="outset" w:sz="6" w:space="0" w:color="414142"/>
                  </w:tcBorders>
                </w:tcPr>
                <w:p w14:paraId="02283F12" w14:textId="4D93F4EA" w:rsidR="001B7D41" w:rsidRPr="00C27C45" w:rsidRDefault="001B7D41" w:rsidP="00D170AD">
                  <w:pPr>
                    <w:pStyle w:val="CommentText"/>
                    <w:spacing w:before="100" w:beforeAutospacing="1" w:after="100" w:afterAutospacing="1"/>
                    <w:rPr>
                      <w:rFonts w:ascii="Times New Roman" w:hAnsi="Times New Roman" w:cs="Times New Roman"/>
                      <w:sz w:val="24"/>
                      <w:szCs w:val="24"/>
                      <w:lang w:val="lv-LV"/>
                    </w:rPr>
                  </w:pPr>
                  <w:r w:rsidRPr="00C27C45">
                    <w:rPr>
                      <w:rFonts w:ascii="Times New Roman" w:hAnsi="Times New Roman" w:cs="Times New Roman"/>
                      <w:sz w:val="24"/>
                      <w:szCs w:val="24"/>
                      <w:lang w:val="lv-LV"/>
                    </w:rPr>
                    <w:t xml:space="preserve"> Regulas Nr. 909/2014</w:t>
                  </w:r>
                  <w:r>
                    <w:rPr>
                      <w:rFonts w:ascii="Times New Roman" w:hAnsi="Times New Roman" w:cs="Times New Roman"/>
                      <w:sz w:val="24"/>
                      <w:szCs w:val="24"/>
                      <w:lang w:val="lv-LV"/>
                    </w:rPr>
                    <w:t xml:space="preserve"> </w:t>
                  </w:r>
                  <w:r w:rsidRPr="00BF5896">
                    <w:rPr>
                      <w:rFonts w:ascii="Times New Roman" w:hAnsi="Times New Roman" w:cs="Times New Roman"/>
                      <w:sz w:val="24"/>
                      <w:szCs w:val="24"/>
                      <w:lang w:val="lv-LV"/>
                    </w:rPr>
                    <w:t xml:space="preserve">40.panta 1. </w:t>
                  </w:r>
                  <w:r w:rsidRPr="00BF5896">
                    <w:rPr>
                      <w:rFonts w:ascii="Times New Roman" w:hAnsi="Times New Roman" w:cs="Times New Roman"/>
                      <w:sz w:val="24"/>
                      <w:szCs w:val="24"/>
                      <w:lang w:val="lv-LV"/>
                    </w:rPr>
                    <w:lastRenderedPageBreak/>
                    <w:t xml:space="preserve">un 2. </w:t>
                  </w:r>
                  <w:r w:rsidR="00D170AD">
                    <w:rPr>
                      <w:rFonts w:ascii="Times New Roman" w:hAnsi="Times New Roman" w:cs="Times New Roman"/>
                      <w:sz w:val="24"/>
                      <w:szCs w:val="24"/>
                      <w:lang w:val="lv-LV"/>
                    </w:rPr>
                    <w:t>p</w:t>
                  </w:r>
                  <w:r w:rsidR="00D170AD" w:rsidRPr="00BF5896">
                    <w:rPr>
                      <w:rFonts w:ascii="Times New Roman" w:hAnsi="Times New Roman" w:cs="Times New Roman"/>
                      <w:sz w:val="24"/>
                      <w:szCs w:val="24"/>
                      <w:lang w:val="lv-LV"/>
                    </w:rPr>
                    <w:t>unkts</w:t>
                  </w:r>
                </w:p>
              </w:tc>
              <w:tc>
                <w:tcPr>
                  <w:tcW w:w="1100" w:type="pct"/>
                  <w:tcBorders>
                    <w:top w:val="single" w:sz="4" w:space="0" w:color="auto"/>
                    <w:left w:val="outset" w:sz="6" w:space="0" w:color="414142"/>
                    <w:bottom w:val="single" w:sz="4" w:space="0" w:color="auto"/>
                    <w:right w:val="outset" w:sz="6" w:space="0" w:color="414142"/>
                  </w:tcBorders>
                  <w:shd w:val="clear" w:color="auto" w:fill="auto"/>
                </w:tcPr>
                <w:p w14:paraId="5D0859B9" w14:textId="02A7C4E0" w:rsidR="001B7D41" w:rsidRDefault="001B7D41" w:rsidP="00686071">
                  <w:pPr>
                    <w:spacing w:after="0" w:line="240" w:lineRule="auto"/>
                    <w:rPr>
                      <w:rFonts w:ascii="Times New Roman" w:hAnsi="Times New Roman" w:cs="Times New Roman"/>
                      <w:color w:val="000000" w:themeColor="text1"/>
                      <w:spacing w:val="-2"/>
                      <w:sz w:val="24"/>
                      <w:szCs w:val="24"/>
                      <w:lang w:val="lv-LV"/>
                    </w:rPr>
                  </w:pPr>
                  <w:r>
                    <w:rPr>
                      <w:rFonts w:ascii="Times New Roman" w:hAnsi="Times New Roman" w:cs="Times New Roman"/>
                      <w:color w:val="000000" w:themeColor="text1"/>
                      <w:spacing w:val="-2"/>
                      <w:sz w:val="24"/>
                      <w:szCs w:val="24"/>
                      <w:lang w:val="lv-LV"/>
                    </w:rPr>
                    <w:lastRenderedPageBreak/>
                    <w:t>Likumprojekta 30.pants</w:t>
                  </w:r>
                </w:p>
              </w:tc>
              <w:tc>
                <w:tcPr>
                  <w:tcW w:w="1400" w:type="pct"/>
                  <w:tcBorders>
                    <w:top w:val="single" w:sz="4" w:space="0" w:color="auto"/>
                    <w:left w:val="outset" w:sz="6" w:space="0" w:color="414142"/>
                    <w:bottom w:val="single" w:sz="4" w:space="0" w:color="auto"/>
                    <w:right w:val="outset" w:sz="6" w:space="0" w:color="414142"/>
                  </w:tcBorders>
                </w:tcPr>
                <w:p w14:paraId="2466F34A" w14:textId="0A63FAC5" w:rsidR="001B7D41" w:rsidRPr="00355B11" w:rsidRDefault="001B7D41" w:rsidP="004D5EEE">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 xml:space="preserve">ES tiesību akta vienība tiek pārņemta/ ieviesta </w:t>
                  </w:r>
                  <w:r w:rsidRPr="00355B11">
                    <w:rPr>
                      <w:rFonts w:ascii="Times New Roman" w:eastAsia="Times New Roman" w:hAnsi="Times New Roman" w:cs="Times New Roman"/>
                      <w:color w:val="000000" w:themeColor="text1"/>
                      <w:sz w:val="24"/>
                      <w:szCs w:val="24"/>
                      <w:lang w:val="lv-LV" w:eastAsia="lv-LV"/>
                    </w:rPr>
                    <w:lastRenderedPageBreak/>
                    <w:t xml:space="preserve">pilnībā </w:t>
                  </w:r>
                </w:p>
              </w:tc>
              <w:tc>
                <w:tcPr>
                  <w:tcW w:w="1350" w:type="pct"/>
                  <w:tcBorders>
                    <w:top w:val="single" w:sz="4" w:space="0" w:color="auto"/>
                    <w:left w:val="outset" w:sz="6" w:space="0" w:color="414142"/>
                    <w:bottom w:val="single" w:sz="4" w:space="0" w:color="auto"/>
                    <w:right w:val="outset" w:sz="6" w:space="0" w:color="414142"/>
                  </w:tcBorders>
                </w:tcPr>
                <w:p w14:paraId="1C9029A3" w14:textId="6E31A2DE" w:rsidR="001B7D41" w:rsidRPr="00355B11" w:rsidRDefault="001B7D41" w:rsidP="00686071">
                  <w:pPr>
                    <w:spacing w:after="0" w:line="240" w:lineRule="auto"/>
                    <w:rPr>
                      <w:rFonts w:ascii="Times New Roman" w:hAnsi="Times New Roman" w:cs="Times New Roman"/>
                      <w:color w:val="000000" w:themeColor="text1"/>
                      <w:spacing w:val="-2"/>
                      <w:sz w:val="24"/>
                      <w:szCs w:val="24"/>
                      <w:lang w:val="lv-LV"/>
                    </w:rPr>
                  </w:pPr>
                  <w:r w:rsidRPr="00355B11">
                    <w:rPr>
                      <w:rFonts w:ascii="Times New Roman" w:hAnsi="Times New Roman" w:cs="Times New Roman"/>
                      <w:color w:val="000000" w:themeColor="text1"/>
                      <w:spacing w:val="-2"/>
                      <w:sz w:val="24"/>
                      <w:szCs w:val="24"/>
                      <w:lang w:val="lv-LV"/>
                    </w:rPr>
                    <w:lastRenderedPageBreak/>
                    <w:t>Likumprojekts stingrākas prasības neparedz</w:t>
                  </w:r>
                </w:p>
              </w:tc>
            </w:tr>
            <w:tr w:rsidR="00E8714B" w:rsidRPr="00E8714B" w14:paraId="4ECE6204" w14:textId="77777777" w:rsidTr="00F34A72">
              <w:trPr>
                <w:trHeight w:val="195"/>
                <w:jc w:val="center"/>
              </w:trPr>
              <w:tc>
                <w:tcPr>
                  <w:tcW w:w="1150" w:type="pct"/>
                  <w:tcBorders>
                    <w:top w:val="single" w:sz="4" w:space="0" w:color="auto"/>
                    <w:left w:val="outset" w:sz="6" w:space="0" w:color="414142"/>
                    <w:bottom w:val="single" w:sz="4" w:space="0" w:color="auto"/>
                    <w:right w:val="outset" w:sz="6" w:space="0" w:color="414142"/>
                  </w:tcBorders>
                </w:tcPr>
                <w:p w14:paraId="022401A5" w14:textId="257F1AFF" w:rsidR="00E8714B" w:rsidRPr="00C27C45" w:rsidRDefault="00E8714B" w:rsidP="00E8714B">
                  <w:pPr>
                    <w:pStyle w:val="CommentText"/>
                    <w:spacing w:before="100" w:beforeAutospacing="1" w:after="100" w:afterAutospacing="1"/>
                    <w:rPr>
                      <w:rFonts w:ascii="Times New Roman" w:hAnsi="Times New Roman" w:cs="Times New Roman"/>
                      <w:sz w:val="24"/>
                      <w:szCs w:val="24"/>
                      <w:lang w:val="lv-LV"/>
                    </w:rPr>
                  </w:pPr>
                  <w:r w:rsidRPr="00C27C45">
                    <w:rPr>
                      <w:rFonts w:ascii="Times New Roman" w:hAnsi="Times New Roman" w:cs="Times New Roman"/>
                      <w:sz w:val="24"/>
                      <w:szCs w:val="24"/>
                      <w:lang w:val="lv-LV"/>
                    </w:rPr>
                    <w:lastRenderedPageBreak/>
                    <w:t>Regulas Nr. 909/2014</w:t>
                  </w:r>
                  <w:r>
                    <w:rPr>
                      <w:rFonts w:ascii="Times New Roman" w:hAnsi="Times New Roman" w:cs="Times New Roman"/>
                      <w:sz w:val="24"/>
                      <w:szCs w:val="24"/>
                      <w:lang w:val="lv-LV"/>
                    </w:rPr>
                    <w:t xml:space="preserve"> </w:t>
                  </w:r>
                  <w:r w:rsidRPr="00E8714B">
                    <w:rPr>
                      <w:rFonts w:ascii="Times New Roman" w:hAnsi="Times New Roman" w:cs="Times New Roman"/>
                      <w:sz w:val="24"/>
                      <w:szCs w:val="24"/>
                      <w:lang w:val="lv-LV"/>
                    </w:rPr>
                    <w:t>46.panta 3. un 6.punkt</w:t>
                  </w:r>
                  <w:r>
                    <w:rPr>
                      <w:rFonts w:ascii="Times New Roman" w:hAnsi="Times New Roman" w:cs="Times New Roman"/>
                      <w:sz w:val="24"/>
                      <w:szCs w:val="24"/>
                      <w:lang w:val="lv-LV"/>
                    </w:rPr>
                    <w:t>s</w:t>
                  </w:r>
                </w:p>
              </w:tc>
              <w:tc>
                <w:tcPr>
                  <w:tcW w:w="1100" w:type="pct"/>
                  <w:tcBorders>
                    <w:top w:val="single" w:sz="4" w:space="0" w:color="auto"/>
                    <w:left w:val="outset" w:sz="6" w:space="0" w:color="414142"/>
                    <w:bottom w:val="single" w:sz="4" w:space="0" w:color="auto"/>
                    <w:right w:val="outset" w:sz="6" w:space="0" w:color="414142"/>
                  </w:tcBorders>
                  <w:shd w:val="clear" w:color="auto" w:fill="auto"/>
                </w:tcPr>
                <w:p w14:paraId="3A5FCB2B" w14:textId="58C9C31D" w:rsidR="00E8714B" w:rsidRDefault="00E8714B" w:rsidP="00E8714B">
                  <w:pPr>
                    <w:spacing w:after="0" w:line="240" w:lineRule="auto"/>
                    <w:rPr>
                      <w:rFonts w:ascii="Times New Roman" w:hAnsi="Times New Roman" w:cs="Times New Roman"/>
                      <w:color w:val="000000" w:themeColor="text1"/>
                      <w:spacing w:val="-2"/>
                      <w:sz w:val="24"/>
                      <w:szCs w:val="24"/>
                      <w:lang w:val="lv-LV"/>
                    </w:rPr>
                  </w:pPr>
                  <w:r>
                    <w:rPr>
                      <w:rFonts w:ascii="Times New Roman" w:hAnsi="Times New Roman" w:cs="Times New Roman"/>
                      <w:color w:val="000000" w:themeColor="text1"/>
                      <w:spacing w:val="-2"/>
                      <w:sz w:val="24"/>
                      <w:szCs w:val="24"/>
                      <w:lang w:val="lv-LV"/>
                    </w:rPr>
                    <w:t>Likumprojekta 31.pants</w:t>
                  </w:r>
                </w:p>
              </w:tc>
              <w:tc>
                <w:tcPr>
                  <w:tcW w:w="1400" w:type="pct"/>
                  <w:tcBorders>
                    <w:top w:val="single" w:sz="4" w:space="0" w:color="auto"/>
                    <w:left w:val="outset" w:sz="6" w:space="0" w:color="414142"/>
                    <w:bottom w:val="single" w:sz="4" w:space="0" w:color="auto"/>
                    <w:right w:val="outset" w:sz="6" w:space="0" w:color="414142"/>
                  </w:tcBorders>
                </w:tcPr>
                <w:p w14:paraId="0801FB41" w14:textId="105638F1" w:rsidR="00E8714B" w:rsidRPr="00355B11" w:rsidRDefault="00E8714B" w:rsidP="004D5EEE">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ES tiesību akta vienība tiek pārņemta/ ieviesta pilnībā</w:t>
                  </w:r>
                </w:p>
              </w:tc>
              <w:tc>
                <w:tcPr>
                  <w:tcW w:w="1350" w:type="pct"/>
                  <w:tcBorders>
                    <w:top w:val="single" w:sz="4" w:space="0" w:color="auto"/>
                    <w:left w:val="outset" w:sz="6" w:space="0" w:color="414142"/>
                    <w:bottom w:val="single" w:sz="4" w:space="0" w:color="auto"/>
                    <w:right w:val="outset" w:sz="6" w:space="0" w:color="414142"/>
                  </w:tcBorders>
                </w:tcPr>
                <w:p w14:paraId="4F10B3CB" w14:textId="1205FFC6" w:rsidR="00E8714B" w:rsidRPr="00355B11" w:rsidRDefault="00E8714B" w:rsidP="00686071">
                  <w:pPr>
                    <w:spacing w:after="0" w:line="240" w:lineRule="auto"/>
                    <w:rPr>
                      <w:rFonts w:ascii="Times New Roman" w:hAnsi="Times New Roman" w:cs="Times New Roman"/>
                      <w:color w:val="000000" w:themeColor="text1"/>
                      <w:spacing w:val="-2"/>
                      <w:sz w:val="24"/>
                      <w:szCs w:val="24"/>
                      <w:lang w:val="lv-LV"/>
                    </w:rPr>
                  </w:pPr>
                  <w:r w:rsidRPr="00355B11">
                    <w:rPr>
                      <w:rFonts w:ascii="Times New Roman" w:hAnsi="Times New Roman" w:cs="Times New Roman"/>
                      <w:color w:val="000000" w:themeColor="text1"/>
                      <w:spacing w:val="-2"/>
                      <w:sz w:val="24"/>
                      <w:szCs w:val="24"/>
                      <w:lang w:val="lv-LV"/>
                    </w:rPr>
                    <w:t>Likumprojekts stingrākas prasības neparedz</w:t>
                  </w:r>
                </w:p>
              </w:tc>
            </w:tr>
            <w:tr w:rsidR="00D170AD" w:rsidRPr="005646F6" w14:paraId="3B9B0DA8" w14:textId="77777777" w:rsidTr="00F34A72">
              <w:trPr>
                <w:trHeight w:val="195"/>
                <w:jc w:val="center"/>
              </w:trPr>
              <w:tc>
                <w:tcPr>
                  <w:tcW w:w="1150" w:type="pct"/>
                  <w:tcBorders>
                    <w:top w:val="single" w:sz="4" w:space="0" w:color="auto"/>
                    <w:left w:val="outset" w:sz="6" w:space="0" w:color="414142"/>
                    <w:bottom w:val="single" w:sz="4" w:space="0" w:color="auto"/>
                    <w:right w:val="outset" w:sz="6" w:space="0" w:color="414142"/>
                  </w:tcBorders>
                </w:tcPr>
                <w:p w14:paraId="71B33B7F" w14:textId="79B4201B" w:rsidR="00D170AD" w:rsidRPr="00C27C45" w:rsidRDefault="00D170AD" w:rsidP="00D170AD">
                  <w:pPr>
                    <w:pStyle w:val="CommentText"/>
                    <w:spacing w:before="100" w:beforeAutospacing="1" w:after="100" w:afterAutospacing="1"/>
                    <w:rPr>
                      <w:rFonts w:ascii="Times New Roman" w:hAnsi="Times New Roman" w:cs="Times New Roman"/>
                      <w:sz w:val="24"/>
                      <w:szCs w:val="24"/>
                      <w:lang w:val="lv-LV"/>
                    </w:rPr>
                  </w:pPr>
                  <w:r w:rsidRPr="00C27C45">
                    <w:rPr>
                      <w:rFonts w:ascii="Times New Roman" w:hAnsi="Times New Roman" w:cs="Times New Roman"/>
                      <w:sz w:val="24"/>
                      <w:szCs w:val="24"/>
                      <w:lang w:val="lv-LV"/>
                    </w:rPr>
                    <w:t>Regulas Nr. 909/2014</w:t>
                  </w:r>
                  <w:r>
                    <w:rPr>
                      <w:rFonts w:ascii="Times New Roman" w:hAnsi="Times New Roman" w:cs="Times New Roman"/>
                      <w:sz w:val="24"/>
                      <w:szCs w:val="24"/>
                      <w:lang w:val="lv-LV"/>
                    </w:rPr>
                    <w:t xml:space="preserve"> 65.pants</w:t>
                  </w:r>
                </w:p>
              </w:tc>
              <w:tc>
                <w:tcPr>
                  <w:tcW w:w="1100" w:type="pct"/>
                  <w:tcBorders>
                    <w:top w:val="single" w:sz="4" w:space="0" w:color="auto"/>
                    <w:left w:val="outset" w:sz="6" w:space="0" w:color="414142"/>
                    <w:bottom w:val="single" w:sz="4" w:space="0" w:color="auto"/>
                    <w:right w:val="outset" w:sz="6" w:space="0" w:color="414142"/>
                  </w:tcBorders>
                  <w:shd w:val="clear" w:color="auto" w:fill="auto"/>
                </w:tcPr>
                <w:p w14:paraId="03FE5E04" w14:textId="047BEA19" w:rsidR="00D170AD" w:rsidRDefault="00D170AD" w:rsidP="00D170AD">
                  <w:pPr>
                    <w:spacing w:after="0" w:line="240" w:lineRule="auto"/>
                    <w:rPr>
                      <w:rFonts w:ascii="Times New Roman" w:hAnsi="Times New Roman" w:cs="Times New Roman"/>
                      <w:color w:val="000000" w:themeColor="text1"/>
                      <w:spacing w:val="-2"/>
                      <w:sz w:val="24"/>
                      <w:szCs w:val="24"/>
                      <w:lang w:val="lv-LV"/>
                    </w:rPr>
                  </w:pPr>
                  <w:r>
                    <w:rPr>
                      <w:rFonts w:ascii="Times New Roman" w:hAnsi="Times New Roman" w:cs="Times New Roman"/>
                      <w:color w:val="000000" w:themeColor="text1"/>
                      <w:spacing w:val="-2"/>
                      <w:sz w:val="24"/>
                      <w:szCs w:val="24"/>
                      <w:lang w:val="lv-LV"/>
                    </w:rPr>
                    <w:t>Likumprojekta 32.pants</w:t>
                  </w:r>
                </w:p>
              </w:tc>
              <w:tc>
                <w:tcPr>
                  <w:tcW w:w="1400" w:type="pct"/>
                  <w:tcBorders>
                    <w:top w:val="single" w:sz="4" w:space="0" w:color="auto"/>
                    <w:left w:val="outset" w:sz="6" w:space="0" w:color="414142"/>
                    <w:bottom w:val="single" w:sz="4" w:space="0" w:color="auto"/>
                    <w:right w:val="outset" w:sz="6" w:space="0" w:color="414142"/>
                  </w:tcBorders>
                </w:tcPr>
                <w:p w14:paraId="50698210" w14:textId="0D73F089" w:rsidR="00D170AD" w:rsidRPr="00355B11" w:rsidRDefault="00D170AD" w:rsidP="004D5EEE">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single" w:sz="4" w:space="0" w:color="auto"/>
                    <w:left w:val="outset" w:sz="6" w:space="0" w:color="414142"/>
                    <w:bottom w:val="single" w:sz="4" w:space="0" w:color="auto"/>
                    <w:right w:val="outset" w:sz="6" w:space="0" w:color="414142"/>
                  </w:tcBorders>
                </w:tcPr>
                <w:p w14:paraId="7AAF8C01" w14:textId="33DF8193" w:rsidR="00D170AD" w:rsidRPr="00355B11" w:rsidRDefault="00D170AD" w:rsidP="00686071">
                  <w:pPr>
                    <w:spacing w:after="0" w:line="240" w:lineRule="auto"/>
                    <w:rPr>
                      <w:rFonts w:ascii="Times New Roman" w:hAnsi="Times New Roman" w:cs="Times New Roman"/>
                      <w:color w:val="000000" w:themeColor="text1"/>
                      <w:spacing w:val="-2"/>
                      <w:sz w:val="24"/>
                      <w:szCs w:val="24"/>
                      <w:lang w:val="lv-LV"/>
                    </w:rPr>
                  </w:pPr>
                  <w:r w:rsidRPr="00355B11">
                    <w:rPr>
                      <w:rFonts w:ascii="Times New Roman" w:hAnsi="Times New Roman" w:cs="Times New Roman"/>
                      <w:color w:val="000000" w:themeColor="text1"/>
                      <w:spacing w:val="-2"/>
                      <w:sz w:val="24"/>
                      <w:szCs w:val="24"/>
                      <w:lang w:val="lv-LV"/>
                    </w:rPr>
                    <w:t>Likumprojekts stingrākas prasības neparedz</w:t>
                  </w:r>
                </w:p>
              </w:tc>
            </w:tr>
            <w:tr w:rsidR="00D170AD" w:rsidRPr="00355B11" w14:paraId="6289C81C" w14:textId="77777777" w:rsidTr="00F34A72">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2D555AB9" w14:textId="77777777" w:rsidR="00D170AD" w:rsidRPr="00355B11" w:rsidRDefault="00D170AD"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Kā ir izmantota ES tiesību aktā paredzētā rīcības brīvība dalībvalstij pārņemt vai ieviest noteiktas ES tiesību akta normas?</w:t>
                  </w:r>
                  <w:r w:rsidRPr="00355B11">
                    <w:rPr>
                      <w:rFonts w:ascii="Times New Roman" w:eastAsia="Times New Roman" w:hAnsi="Times New Roman" w:cs="Times New Roman"/>
                      <w:color w:val="000000" w:themeColor="text1"/>
                      <w:sz w:val="24"/>
                      <w:szCs w:val="24"/>
                      <w:lang w:val="lv-LV"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3E862A72" w14:textId="77777777" w:rsidR="00D170AD" w:rsidRPr="00CA0F5E" w:rsidRDefault="00D170AD" w:rsidP="00686071">
                  <w:pPr>
                    <w:spacing w:after="0" w:line="240" w:lineRule="auto"/>
                    <w:rPr>
                      <w:rFonts w:ascii="Times New Roman" w:eastAsia="Times New Roman" w:hAnsi="Times New Roman" w:cs="Times New Roman"/>
                      <w:bCs/>
                      <w:i/>
                      <w:color w:val="000000" w:themeColor="text1"/>
                      <w:sz w:val="24"/>
                      <w:szCs w:val="24"/>
                      <w:lang w:val="lv-LV" w:eastAsia="lv-LV"/>
                    </w:rPr>
                  </w:pPr>
                  <w:r w:rsidRPr="00CA0F5E">
                    <w:rPr>
                      <w:rFonts w:ascii="Times New Roman" w:eastAsia="Times New Roman" w:hAnsi="Times New Roman" w:cs="Times New Roman"/>
                      <w:bCs/>
                      <w:i/>
                      <w:color w:val="000000" w:themeColor="text1"/>
                      <w:sz w:val="24"/>
                      <w:szCs w:val="24"/>
                      <w:lang w:val="lv-LV" w:eastAsia="lv-LV"/>
                    </w:rPr>
                    <w:t>Projekts šo jomu neskar.</w:t>
                  </w:r>
                </w:p>
                <w:p w14:paraId="3C173CF1" w14:textId="77777777" w:rsidR="00D170AD" w:rsidRPr="00FB0042" w:rsidRDefault="00D170AD" w:rsidP="00686071">
                  <w:pPr>
                    <w:spacing w:after="0" w:line="240" w:lineRule="auto"/>
                    <w:rPr>
                      <w:rFonts w:ascii="Times New Roman" w:eastAsia="Times New Roman" w:hAnsi="Times New Roman" w:cs="Times New Roman"/>
                      <w:color w:val="000000" w:themeColor="text1"/>
                      <w:sz w:val="24"/>
                      <w:szCs w:val="24"/>
                      <w:lang w:val="lv-LV" w:eastAsia="lv-LV"/>
                    </w:rPr>
                  </w:pPr>
                </w:p>
              </w:tc>
            </w:tr>
            <w:tr w:rsidR="00D170AD" w:rsidRPr="00355B11" w14:paraId="207F0F96" w14:textId="77777777" w:rsidTr="00F34A72">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5ACEBCDA" w14:textId="77777777" w:rsidR="00D170AD" w:rsidRPr="00355B11" w:rsidRDefault="00D170AD"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482FD980" w14:textId="77777777" w:rsidR="00D170AD" w:rsidRPr="00CA0F5E" w:rsidRDefault="00D170AD" w:rsidP="00686071">
                  <w:pPr>
                    <w:spacing w:after="0" w:line="240" w:lineRule="auto"/>
                    <w:rPr>
                      <w:rFonts w:ascii="Times New Roman" w:eastAsia="Times New Roman" w:hAnsi="Times New Roman" w:cs="Times New Roman"/>
                      <w:bCs/>
                      <w:i/>
                      <w:color w:val="000000" w:themeColor="text1"/>
                      <w:sz w:val="24"/>
                      <w:szCs w:val="24"/>
                      <w:lang w:val="lv-LV" w:eastAsia="lv-LV"/>
                    </w:rPr>
                  </w:pPr>
                  <w:r w:rsidRPr="00CA0F5E">
                    <w:rPr>
                      <w:rFonts w:ascii="Times New Roman" w:eastAsia="Times New Roman" w:hAnsi="Times New Roman" w:cs="Times New Roman"/>
                      <w:bCs/>
                      <w:i/>
                      <w:color w:val="000000" w:themeColor="text1"/>
                      <w:sz w:val="24"/>
                      <w:szCs w:val="24"/>
                      <w:lang w:val="lv-LV" w:eastAsia="lv-LV"/>
                    </w:rPr>
                    <w:t>Projekts šo jomu neskar.</w:t>
                  </w:r>
                </w:p>
                <w:p w14:paraId="6EB7E953" w14:textId="77777777" w:rsidR="00D170AD" w:rsidRPr="00FB0042" w:rsidRDefault="00D170AD" w:rsidP="00686071">
                  <w:pPr>
                    <w:spacing w:after="0" w:line="240" w:lineRule="auto"/>
                    <w:rPr>
                      <w:rFonts w:ascii="Times New Roman" w:eastAsia="Times New Roman" w:hAnsi="Times New Roman" w:cs="Times New Roman"/>
                      <w:color w:val="000000" w:themeColor="text1"/>
                      <w:sz w:val="24"/>
                      <w:szCs w:val="24"/>
                      <w:lang w:val="lv-LV" w:eastAsia="lv-LV"/>
                    </w:rPr>
                  </w:pPr>
                </w:p>
              </w:tc>
            </w:tr>
            <w:tr w:rsidR="00D170AD" w:rsidRPr="00355B11" w14:paraId="21649EC4" w14:textId="77777777" w:rsidTr="00F34A72">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4585BFB0" w14:textId="77777777" w:rsidR="00D170AD" w:rsidRPr="00355B11" w:rsidRDefault="00D170AD"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3717A6BE" w14:textId="77777777" w:rsidR="00D170AD" w:rsidRPr="00CA0F5E" w:rsidRDefault="00D170AD" w:rsidP="00686071">
                  <w:pPr>
                    <w:spacing w:after="0" w:line="240" w:lineRule="auto"/>
                    <w:rPr>
                      <w:rFonts w:ascii="Times New Roman" w:eastAsia="Times New Roman" w:hAnsi="Times New Roman" w:cs="Times New Roman"/>
                      <w:i/>
                      <w:color w:val="000000" w:themeColor="text1"/>
                      <w:sz w:val="24"/>
                      <w:szCs w:val="24"/>
                      <w:lang w:val="lv-LV" w:eastAsia="lv-LV"/>
                    </w:rPr>
                  </w:pPr>
                  <w:r w:rsidRPr="00CA0F5E">
                    <w:rPr>
                      <w:rFonts w:ascii="Times New Roman" w:eastAsia="Times New Roman" w:hAnsi="Times New Roman" w:cs="Times New Roman"/>
                      <w:i/>
                      <w:color w:val="000000" w:themeColor="text1"/>
                      <w:sz w:val="24"/>
                      <w:szCs w:val="24"/>
                      <w:lang w:val="lv-LV" w:eastAsia="lv-LV"/>
                    </w:rPr>
                    <w:t>Nav.</w:t>
                  </w:r>
                </w:p>
              </w:tc>
            </w:tr>
            <w:tr w:rsidR="00D170AD" w:rsidRPr="00355B11" w14:paraId="309F423E" w14:textId="77777777" w:rsidTr="00F34A72">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EC96E75" w14:textId="77777777" w:rsidR="00D170AD" w:rsidRPr="00355B11" w:rsidRDefault="00D170AD" w:rsidP="00686071">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lv-LV" w:eastAsia="lv-LV"/>
                    </w:rPr>
                  </w:pPr>
                  <w:r w:rsidRPr="00355B11">
                    <w:rPr>
                      <w:rFonts w:ascii="Times New Roman" w:eastAsia="Times New Roman" w:hAnsi="Times New Roman" w:cs="Times New Roman"/>
                      <w:b/>
                      <w:bCs/>
                      <w:color w:val="000000" w:themeColor="text1"/>
                      <w:sz w:val="24"/>
                      <w:szCs w:val="24"/>
                      <w:lang w:val="lv-LV" w:eastAsia="lv-LV"/>
                    </w:rPr>
                    <w:t xml:space="preserve">2.tabula </w:t>
                  </w:r>
                  <w:r w:rsidRPr="00355B11">
                    <w:rPr>
                      <w:rFonts w:ascii="Times New Roman" w:eastAsia="Times New Roman" w:hAnsi="Times New Roman" w:cs="Times New Roman"/>
                      <w:b/>
                      <w:bCs/>
                      <w:color w:val="000000" w:themeColor="text1"/>
                      <w:sz w:val="24"/>
                      <w:szCs w:val="24"/>
                      <w:lang w:val="lv-LV" w:eastAsia="lv-LV"/>
                    </w:rPr>
                    <w:br/>
                    <w:t>Ar tiesību akta projektu izpildītās vai uzņemtās saistības, kas izriet no starptautiskajiem tiesību aktiem vai starptautiskas institūcijas vai organizācijas dokumentiem.</w:t>
                  </w:r>
                  <w:r w:rsidRPr="00355B11">
                    <w:rPr>
                      <w:rFonts w:ascii="Times New Roman" w:eastAsia="Times New Roman" w:hAnsi="Times New Roman" w:cs="Times New Roman"/>
                      <w:b/>
                      <w:bCs/>
                      <w:color w:val="000000" w:themeColor="text1"/>
                      <w:sz w:val="24"/>
                      <w:szCs w:val="24"/>
                      <w:lang w:val="lv-LV" w:eastAsia="lv-LV"/>
                    </w:rPr>
                    <w:br/>
                    <w:t>Pasākumi šo saistību izpildei</w:t>
                  </w:r>
                </w:p>
              </w:tc>
            </w:tr>
            <w:tr w:rsidR="00D170AD" w:rsidRPr="00355B11" w14:paraId="35ADDC39" w14:textId="77777777" w:rsidTr="00F34A72">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68BCFFCA" w14:textId="0224026D" w:rsidR="00D170AD" w:rsidRPr="00355B11" w:rsidRDefault="00D170AD" w:rsidP="00686071">
                  <w:pPr>
                    <w:spacing w:line="240" w:lineRule="auto"/>
                    <w:jc w:val="center"/>
                    <w:rPr>
                      <w:color w:val="000000" w:themeColor="text1"/>
                      <w:sz w:val="24"/>
                      <w:szCs w:val="24"/>
                      <w:lang w:val="lv-LV"/>
                    </w:rPr>
                  </w:pPr>
                  <w:r w:rsidRPr="00355B11">
                    <w:rPr>
                      <w:rFonts w:ascii="Times New Roman" w:eastAsia="Times New Roman" w:hAnsi="Times New Roman" w:cs="Times New Roman"/>
                      <w:i/>
                      <w:color w:val="000000" w:themeColor="text1"/>
                      <w:sz w:val="24"/>
                      <w:szCs w:val="24"/>
                      <w:lang w:val="lv-LV" w:eastAsia="lv-LV"/>
                    </w:rPr>
                    <w:t>Projekts šo jomu neskar</w:t>
                  </w:r>
                  <w:r w:rsidR="00CA0F5E">
                    <w:rPr>
                      <w:rFonts w:ascii="Times New Roman" w:eastAsia="Times New Roman" w:hAnsi="Times New Roman" w:cs="Times New Roman"/>
                      <w:i/>
                      <w:color w:val="000000" w:themeColor="text1"/>
                      <w:sz w:val="24"/>
                      <w:szCs w:val="24"/>
                      <w:lang w:val="lv-LV" w:eastAsia="lv-LV"/>
                    </w:rPr>
                    <w:t>.</w:t>
                  </w:r>
                </w:p>
              </w:tc>
            </w:tr>
          </w:tbl>
          <w:tbl>
            <w:tblPr>
              <w:tblpPr w:leftFromText="180" w:rightFromText="180" w:vertAnchor="text" w:horzAnchor="margin" w:tblpY="12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760"/>
              <w:gridCol w:w="5979"/>
            </w:tblGrid>
            <w:tr w:rsidR="00686071" w:rsidRPr="00355B11" w14:paraId="429EA8B0" w14:textId="77777777" w:rsidTr="00F34A72">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E64980" w14:textId="77777777" w:rsidR="00686071" w:rsidRPr="00355B11" w:rsidRDefault="00686071" w:rsidP="00686071">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lv-LV" w:eastAsia="lv-LV"/>
                    </w:rPr>
                  </w:pPr>
                  <w:r w:rsidRPr="00355B11">
                    <w:rPr>
                      <w:rFonts w:ascii="Times New Roman" w:eastAsia="Times New Roman" w:hAnsi="Times New Roman" w:cs="Times New Roman"/>
                      <w:b/>
                      <w:bCs/>
                      <w:color w:val="000000" w:themeColor="text1"/>
                      <w:sz w:val="24"/>
                      <w:szCs w:val="24"/>
                      <w:lang w:val="lv-LV" w:eastAsia="lv-LV"/>
                    </w:rPr>
                    <w:t>VI. Sabiedrības līdzdalība un komunikācijas aktivitātes</w:t>
                  </w:r>
                </w:p>
              </w:tc>
            </w:tr>
            <w:tr w:rsidR="00686071" w:rsidRPr="00B2525F" w14:paraId="4056C569" w14:textId="77777777" w:rsidTr="00F34A7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BBA4512"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3F8BB47"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4835504F" w14:textId="019573B3" w:rsidR="00686071" w:rsidRPr="00D77533" w:rsidRDefault="00686071" w:rsidP="00686071">
                  <w:pPr>
                    <w:spacing w:after="0" w:line="240" w:lineRule="auto"/>
                    <w:jc w:val="both"/>
                    <w:rPr>
                      <w:rFonts w:ascii="Times New Roman" w:eastAsia="Times New Roman" w:hAnsi="Times New Roman" w:cs="Times New Roman"/>
                      <w:color w:val="FF0000"/>
                      <w:sz w:val="24"/>
                      <w:szCs w:val="24"/>
                      <w:highlight w:val="yellow"/>
                      <w:lang w:val="lv-LV" w:eastAsia="lv-LV"/>
                    </w:rPr>
                  </w:pPr>
                  <w:r w:rsidRPr="00C61019">
                    <w:rPr>
                      <w:rFonts w:ascii="Times New Roman" w:hAnsi="Times New Roman" w:cs="Times New Roman"/>
                      <w:lang w:val="lv-LV"/>
                    </w:rPr>
                    <w:t xml:space="preserve">Likumprojekta izstrādes laikā notika sadarbība </w:t>
                  </w:r>
                  <w:r>
                    <w:rPr>
                      <w:rFonts w:ascii="Times New Roman" w:hAnsi="Times New Roman" w:cs="Times New Roman"/>
                      <w:lang w:val="lv-LV"/>
                    </w:rPr>
                    <w:t xml:space="preserve">un komunikācija </w:t>
                  </w:r>
                  <w:r w:rsidRPr="00C61019">
                    <w:rPr>
                      <w:rFonts w:ascii="Times New Roman" w:hAnsi="Times New Roman" w:cs="Times New Roman"/>
                      <w:lang w:val="lv-LV"/>
                    </w:rPr>
                    <w:t xml:space="preserve">ar Latvijas Banku, </w:t>
                  </w:r>
                  <w:r>
                    <w:rPr>
                      <w:rFonts w:ascii="Times New Roman" w:hAnsi="Times New Roman" w:cs="Times New Roman"/>
                      <w:lang w:val="lv-LV"/>
                    </w:rPr>
                    <w:t>Latvijas Centrālo</w:t>
                  </w:r>
                  <w:r w:rsidRPr="00C61019">
                    <w:rPr>
                      <w:rFonts w:ascii="Times New Roman" w:hAnsi="Times New Roman" w:cs="Times New Roman"/>
                      <w:lang w:val="lv-LV"/>
                    </w:rPr>
                    <w:t xml:space="preserve"> depozitārij</w:t>
                  </w:r>
                  <w:r>
                    <w:rPr>
                      <w:rFonts w:ascii="Times New Roman" w:hAnsi="Times New Roman" w:cs="Times New Roman"/>
                      <w:lang w:val="lv-LV"/>
                    </w:rPr>
                    <w:t>u, Tieslietu ministriju, zvērinātu advokātu biroju SORAINEN un Latvijas Komercbanku asociāciju.</w:t>
                  </w:r>
                  <w:r w:rsidR="00843E5A">
                    <w:rPr>
                      <w:rFonts w:ascii="Times New Roman" w:hAnsi="Times New Roman" w:cs="Times New Roman"/>
                      <w:lang w:val="lv-LV"/>
                    </w:rPr>
                    <w:t xml:space="preserve"> </w:t>
                  </w:r>
                  <w:r w:rsidR="00843E5A">
                    <w:rPr>
                      <w:rFonts w:ascii="Times New Roman" w:hAnsi="Times New Roman" w:cs="Times New Roman"/>
                      <w:color w:val="000000" w:themeColor="text1"/>
                      <w:sz w:val="24"/>
                      <w:szCs w:val="24"/>
                      <w:lang w:val="lv-LV"/>
                    </w:rPr>
                    <w:t xml:space="preserve">Kā </w:t>
                  </w:r>
                  <w:r w:rsidR="006601D8">
                    <w:rPr>
                      <w:rFonts w:ascii="Times New Roman" w:hAnsi="Times New Roman" w:cs="Times New Roman"/>
                      <w:color w:val="000000" w:themeColor="text1"/>
                      <w:sz w:val="24"/>
                      <w:szCs w:val="24"/>
                      <w:lang w:val="lv-LV"/>
                    </w:rPr>
                    <w:t>arī informācija par likumprojektu</w:t>
                  </w:r>
                  <w:r w:rsidR="00843E5A">
                    <w:rPr>
                      <w:rFonts w:ascii="Times New Roman" w:hAnsi="Times New Roman" w:cs="Times New Roman"/>
                      <w:color w:val="000000" w:themeColor="text1"/>
                      <w:sz w:val="24"/>
                      <w:szCs w:val="24"/>
                      <w:lang w:val="lv-LV"/>
                    </w:rPr>
                    <w:t xml:space="preserve"> </w:t>
                  </w:r>
                  <w:r w:rsidR="00843E5A" w:rsidRPr="0011526C">
                    <w:rPr>
                      <w:rFonts w:ascii="Times New Roman" w:hAnsi="Times New Roman" w:cs="Times New Roman"/>
                      <w:color w:val="000000" w:themeColor="text1"/>
                      <w:sz w:val="24"/>
                      <w:szCs w:val="24"/>
                      <w:lang w:val="lv-LV"/>
                    </w:rPr>
                    <w:t>tika ievietot</w:t>
                  </w:r>
                  <w:r w:rsidR="00843E5A">
                    <w:rPr>
                      <w:rFonts w:ascii="Times New Roman" w:hAnsi="Times New Roman" w:cs="Times New Roman"/>
                      <w:color w:val="000000" w:themeColor="text1"/>
                      <w:sz w:val="24"/>
                      <w:szCs w:val="24"/>
                      <w:lang w:val="lv-LV"/>
                    </w:rPr>
                    <w:t>a  2017.gada 7.februārī</w:t>
                  </w:r>
                  <w:r w:rsidR="00843E5A" w:rsidRPr="0011526C">
                    <w:rPr>
                      <w:rFonts w:ascii="Times New Roman" w:hAnsi="Times New Roman" w:cs="Times New Roman"/>
                      <w:color w:val="000000" w:themeColor="text1"/>
                      <w:sz w:val="24"/>
                      <w:szCs w:val="24"/>
                      <w:lang w:val="lv-LV"/>
                    </w:rPr>
                    <w:t xml:space="preserve"> Finanšu ministrijas mājaslapas sadaļā "Sabiedrības līdzdalība".</w:t>
                  </w:r>
                </w:p>
              </w:tc>
            </w:tr>
            <w:tr w:rsidR="00686071" w:rsidRPr="00AB5936" w14:paraId="03B5B45A" w14:textId="77777777" w:rsidTr="00F34A7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5BE01766"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EEE7E1E"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 xml:space="preserve">Sabiedrības līdzdalība </w:t>
                  </w:r>
                  <w:r w:rsidRPr="00355B11">
                    <w:rPr>
                      <w:rFonts w:ascii="Times New Roman" w:eastAsia="Times New Roman" w:hAnsi="Times New Roman" w:cs="Times New Roman"/>
                      <w:color w:val="000000" w:themeColor="text1"/>
                      <w:sz w:val="24"/>
                      <w:szCs w:val="24"/>
                      <w:lang w:val="lv-LV" w:eastAsia="lv-LV"/>
                    </w:rPr>
                    <w:lastRenderedPageBreak/>
                    <w:t>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E692B79" w14:textId="77777777" w:rsidR="00686071" w:rsidRPr="00C61019" w:rsidRDefault="00686071" w:rsidP="00686071">
                  <w:pPr>
                    <w:spacing w:after="0" w:line="240" w:lineRule="auto"/>
                    <w:jc w:val="both"/>
                    <w:rPr>
                      <w:rFonts w:ascii="Times New Roman" w:eastAsia="Times New Roman" w:hAnsi="Times New Roman" w:cs="Times New Roman"/>
                      <w:color w:val="FF0000"/>
                      <w:sz w:val="24"/>
                      <w:szCs w:val="24"/>
                      <w:highlight w:val="yellow"/>
                      <w:lang w:val="lv-LV" w:eastAsia="lv-LV"/>
                    </w:rPr>
                  </w:pPr>
                  <w:r w:rsidRPr="00285080">
                    <w:rPr>
                      <w:rFonts w:ascii="Times New Roman" w:eastAsia="Times New Roman" w:hAnsi="Times New Roman" w:cs="Times New Roman"/>
                      <w:sz w:val="24"/>
                      <w:szCs w:val="24"/>
                      <w:lang w:val="lv-LV" w:eastAsia="lv-LV"/>
                    </w:rPr>
                    <w:lastRenderedPageBreak/>
                    <w:t xml:space="preserve">Likumprojekts </w:t>
                  </w:r>
                  <w:r>
                    <w:rPr>
                      <w:rFonts w:ascii="Times New Roman" w:eastAsia="Times New Roman" w:hAnsi="Times New Roman" w:cs="Times New Roman"/>
                      <w:sz w:val="24"/>
                      <w:szCs w:val="24"/>
                      <w:lang w:val="lv-LV" w:eastAsia="lv-LV"/>
                    </w:rPr>
                    <w:t>tika sūtīts viedokļa sniegšanai</w:t>
                  </w:r>
                  <w:r w:rsidRPr="00285080">
                    <w:rPr>
                      <w:rFonts w:ascii="Times New Roman" w:eastAsia="Times New Roman" w:hAnsi="Times New Roman" w:cs="Times New Roman"/>
                      <w:sz w:val="24"/>
                      <w:szCs w:val="24"/>
                      <w:lang w:val="lv-LV" w:eastAsia="lv-LV"/>
                    </w:rPr>
                    <w:t xml:space="preserve"> </w:t>
                  </w:r>
                  <w:r>
                    <w:rPr>
                      <w:rFonts w:ascii="Times New Roman" w:hAnsi="Times New Roman" w:cs="Times New Roman"/>
                      <w:lang w:val="lv-LV"/>
                    </w:rPr>
                    <w:t xml:space="preserve">Latvijas </w:t>
                  </w:r>
                  <w:r>
                    <w:rPr>
                      <w:rFonts w:ascii="Times New Roman" w:hAnsi="Times New Roman" w:cs="Times New Roman"/>
                      <w:lang w:val="lv-LV"/>
                    </w:rPr>
                    <w:lastRenderedPageBreak/>
                    <w:t>Centrālajam depozitārijam,</w:t>
                  </w:r>
                  <w:r w:rsidRPr="00C61019">
                    <w:rPr>
                      <w:rFonts w:ascii="Times New Roman" w:hAnsi="Times New Roman" w:cs="Times New Roman"/>
                      <w:lang w:val="lv-LV"/>
                    </w:rPr>
                    <w:t xml:space="preserve"> </w:t>
                  </w:r>
                  <w:r w:rsidRPr="00C61019">
                    <w:rPr>
                      <w:rFonts w:ascii="Times New Roman" w:hAnsi="Times New Roman" w:cs="Times New Roman"/>
                      <w:bCs/>
                      <w:lang w:val="lv-LV"/>
                    </w:rPr>
                    <w:t>L</w:t>
                  </w:r>
                  <w:r>
                    <w:rPr>
                      <w:rFonts w:ascii="Times New Roman" w:hAnsi="Times New Roman" w:cs="Times New Roman"/>
                      <w:bCs/>
                      <w:lang w:val="lv-LV"/>
                    </w:rPr>
                    <w:t>atvijas Komercbanku asociācijai un Latvijas Bankai, kuru viedoklis ir ņemts vērā likumprojekta izstrādē.</w:t>
                  </w:r>
                </w:p>
              </w:tc>
            </w:tr>
            <w:tr w:rsidR="00686071" w:rsidRPr="00AB5936" w14:paraId="6C9EA412" w14:textId="77777777" w:rsidTr="00F34A7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D489AE"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30B2BFC3"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47376BA" w14:textId="77777777" w:rsidR="00686071" w:rsidRPr="00D77533" w:rsidRDefault="00686071" w:rsidP="00686071">
                  <w:pPr>
                    <w:spacing w:after="0" w:line="240" w:lineRule="auto"/>
                    <w:jc w:val="both"/>
                    <w:rPr>
                      <w:rFonts w:ascii="Times New Roman" w:eastAsia="Times New Roman" w:hAnsi="Times New Roman" w:cs="Times New Roman"/>
                      <w:color w:val="000000" w:themeColor="text1"/>
                      <w:sz w:val="24"/>
                      <w:szCs w:val="24"/>
                      <w:highlight w:val="yellow"/>
                      <w:lang w:val="lv-LV" w:eastAsia="lv-LV"/>
                    </w:rPr>
                  </w:pPr>
                  <w:r w:rsidRPr="00B23504">
                    <w:rPr>
                      <w:rFonts w:ascii="Times New Roman" w:eastAsia="Times New Roman" w:hAnsi="Times New Roman" w:cs="Times New Roman"/>
                      <w:color w:val="000000" w:themeColor="text1"/>
                      <w:sz w:val="24"/>
                      <w:szCs w:val="24"/>
                      <w:lang w:val="lv-LV" w:eastAsia="lv-LV"/>
                    </w:rPr>
                    <w:t xml:space="preserve">Latvijas Komercbanku asociācijas, </w:t>
                  </w:r>
                  <w:r>
                    <w:rPr>
                      <w:rFonts w:ascii="Times New Roman" w:eastAsia="Times New Roman" w:hAnsi="Times New Roman" w:cs="Times New Roman"/>
                      <w:color w:val="000000" w:themeColor="text1"/>
                      <w:sz w:val="24"/>
                      <w:szCs w:val="24"/>
                      <w:lang w:val="lv-LV" w:eastAsia="lv-LV"/>
                    </w:rPr>
                    <w:t>Latvijas Centrālā depozitārija un Latvijas Bankas</w:t>
                  </w:r>
                  <w:r w:rsidRPr="00B23504">
                    <w:rPr>
                      <w:rFonts w:ascii="Times New Roman" w:eastAsia="Times New Roman" w:hAnsi="Times New Roman" w:cs="Times New Roman"/>
                      <w:color w:val="000000" w:themeColor="text1"/>
                      <w:sz w:val="24"/>
                      <w:szCs w:val="24"/>
                      <w:lang w:val="lv-LV" w:eastAsia="lv-LV"/>
                    </w:rPr>
                    <w:t xml:space="preserve"> iebildumi un priekšlikumi ņemti vērā daļēji – likumprojekts precizēts attiecībā uz daļu no saņemtajiem iebildumiem</w:t>
                  </w:r>
                  <w:r>
                    <w:rPr>
                      <w:rFonts w:ascii="Times New Roman" w:eastAsia="Times New Roman" w:hAnsi="Times New Roman" w:cs="Times New Roman"/>
                      <w:color w:val="000000" w:themeColor="text1"/>
                      <w:sz w:val="24"/>
                      <w:szCs w:val="24"/>
                      <w:lang w:val="lv-LV" w:eastAsia="lv-LV"/>
                    </w:rPr>
                    <w:t xml:space="preserve">. Skaidrojums par tirgus dalībnieku </w:t>
                  </w:r>
                  <w:r w:rsidRPr="00B23504">
                    <w:rPr>
                      <w:rFonts w:ascii="Times New Roman" w:eastAsia="Times New Roman" w:hAnsi="Times New Roman" w:cs="Times New Roman"/>
                      <w:color w:val="000000" w:themeColor="text1"/>
                      <w:sz w:val="24"/>
                      <w:szCs w:val="24"/>
                      <w:lang w:val="lv-LV" w:eastAsia="lv-LV"/>
                    </w:rPr>
                    <w:t>priekšlikumiem</w:t>
                  </w:r>
                  <w:r>
                    <w:rPr>
                      <w:rFonts w:ascii="Times New Roman" w:eastAsia="Times New Roman" w:hAnsi="Times New Roman" w:cs="Times New Roman"/>
                      <w:color w:val="000000" w:themeColor="text1"/>
                      <w:sz w:val="24"/>
                      <w:szCs w:val="24"/>
                      <w:lang w:val="lv-LV" w:eastAsia="lv-LV"/>
                    </w:rPr>
                    <w:t>, kuri nav ņemti vērā, ir atspoguļoti anotācijā</w:t>
                  </w:r>
                  <w:r w:rsidRPr="00B23504">
                    <w:rPr>
                      <w:rFonts w:ascii="Times New Roman" w:eastAsia="Times New Roman" w:hAnsi="Times New Roman" w:cs="Times New Roman"/>
                      <w:color w:val="000000" w:themeColor="text1"/>
                      <w:sz w:val="24"/>
                      <w:szCs w:val="24"/>
                      <w:lang w:val="lv-LV" w:eastAsia="lv-LV"/>
                    </w:rPr>
                    <w:t>.</w:t>
                  </w:r>
                </w:p>
              </w:tc>
            </w:tr>
            <w:tr w:rsidR="00686071" w:rsidRPr="00285080" w14:paraId="448BB89A" w14:textId="77777777" w:rsidTr="00F34A7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D0932F6"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4F4DAEB"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07F0ACA" w14:textId="50BC9596" w:rsidR="00686071" w:rsidRPr="00F10F8F" w:rsidRDefault="00686071" w:rsidP="00765C53">
                  <w:pPr>
                    <w:spacing w:after="0" w:line="240" w:lineRule="auto"/>
                    <w:jc w:val="both"/>
                    <w:rPr>
                      <w:rFonts w:ascii="Times New Roman" w:eastAsia="Times New Roman" w:hAnsi="Times New Roman" w:cs="Times New Roman"/>
                      <w:color w:val="000000" w:themeColor="text1"/>
                      <w:sz w:val="24"/>
                      <w:szCs w:val="24"/>
                      <w:lang w:val="lv-LV" w:eastAsia="lv-LV"/>
                    </w:rPr>
                  </w:pPr>
                  <w:r w:rsidRPr="00F10F8F">
                    <w:rPr>
                      <w:rFonts w:ascii="Times New Roman" w:eastAsia="Times New Roman" w:hAnsi="Times New Roman" w:cs="Times New Roman"/>
                      <w:color w:val="000000" w:themeColor="text1"/>
                      <w:sz w:val="24"/>
                      <w:szCs w:val="24"/>
                      <w:lang w:val="lv-LV" w:eastAsia="lv-LV"/>
                    </w:rPr>
                    <w:t xml:space="preserve">Sabiedrība pēc normatīvā akta pieņemšanas tiks informēta ar publikāciju </w:t>
                  </w:r>
                  <w:r>
                    <w:rPr>
                      <w:rFonts w:ascii="Times New Roman" w:eastAsia="Times New Roman" w:hAnsi="Times New Roman" w:cs="Times New Roman"/>
                      <w:color w:val="000000" w:themeColor="text1"/>
                      <w:sz w:val="24"/>
                      <w:szCs w:val="24"/>
                      <w:lang w:val="lv-LV" w:eastAsia="lv-LV"/>
                    </w:rPr>
                    <w:t>oficiālajā izdevumā</w:t>
                  </w:r>
                  <w:r w:rsidRPr="00F10F8F">
                    <w:rPr>
                      <w:rFonts w:ascii="Times New Roman" w:eastAsia="Times New Roman" w:hAnsi="Times New Roman" w:cs="Times New Roman"/>
                      <w:color w:val="000000" w:themeColor="text1"/>
                      <w:sz w:val="24"/>
                      <w:szCs w:val="24"/>
                      <w:lang w:val="lv-LV" w:eastAsia="lv-LV"/>
                    </w:rPr>
                    <w:t xml:space="preserve"> "Latvijas Vēstnesis", kā arī ievietojot to bezmaksas normatīvo aktu datu bāzē www.likumi.lv.</w:t>
                  </w:r>
                </w:p>
                <w:p w14:paraId="64CDC1AB" w14:textId="77777777" w:rsidR="00686071" w:rsidRPr="00355B11" w:rsidRDefault="00686071" w:rsidP="00765C53">
                  <w:pPr>
                    <w:spacing w:after="0" w:line="240" w:lineRule="auto"/>
                    <w:jc w:val="both"/>
                    <w:rPr>
                      <w:rFonts w:ascii="Times New Roman" w:eastAsia="Times New Roman" w:hAnsi="Times New Roman" w:cs="Times New Roman"/>
                      <w:i/>
                      <w:color w:val="000000" w:themeColor="text1"/>
                      <w:sz w:val="24"/>
                      <w:szCs w:val="24"/>
                      <w:lang w:val="lv-LV" w:eastAsia="lv-LV"/>
                    </w:rPr>
                  </w:pPr>
                  <w:r w:rsidRPr="00F10F8F">
                    <w:rPr>
                      <w:rFonts w:ascii="Times New Roman" w:eastAsia="Times New Roman" w:hAnsi="Times New Roman" w:cs="Times New Roman"/>
                      <w:color w:val="000000" w:themeColor="text1"/>
                      <w:sz w:val="24"/>
                      <w:szCs w:val="24"/>
                      <w:lang w:val="lv-LV" w:eastAsia="lv-LV"/>
                    </w:rPr>
                    <w:t>Likums tiks ievietots arī FKTK mājas lapā internetā.</w:t>
                  </w:r>
                </w:p>
              </w:tc>
            </w:tr>
          </w:tbl>
          <w:tbl>
            <w:tblPr>
              <w:tblpPr w:leftFromText="180" w:rightFromText="180" w:vertAnchor="text" w:horzAnchor="margin" w:tblpY="-275"/>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3496"/>
              <w:gridCol w:w="5243"/>
            </w:tblGrid>
            <w:tr w:rsidR="00686071" w:rsidRPr="00355B11" w14:paraId="0EEB6AEF" w14:textId="77777777" w:rsidTr="00F34A72">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35D2F9" w14:textId="77777777" w:rsidR="00686071" w:rsidRPr="00355B11" w:rsidRDefault="00686071" w:rsidP="00686071">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lv-LV" w:eastAsia="lv-LV"/>
                    </w:rPr>
                  </w:pPr>
                  <w:r w:rsidRPr="00355B11">
                    <w:rPr>
                      <w:rFonts w:ascii="Times New Roman" w:eastAsia="Times New Roman" w:hAnsi="Times New Roman" w:cs="Times New Roman"/>
                      <w:b/>
                      <w:bCs/>
                      <w:color w:val="000000" w:themeColor="text1"/>
                      <w:sz w:val="24"/>
                      <w:szCs w:val="24"/>
                      <w:lang w:val="lv-LV" w:eastAsia="lv-LV"/>
                    </w:rPr>
                    <w:t>VII. Tiesību akta projekta izpildes nodrošināšana un tās ietekme uz institūcijām</w:t>
                  </w:r>
                </w:p>
              </w:tc>
            </w:tr>
            <w:tr w:rsidR="00686071" w:rsidRPr="00705817" w14:paraId="1D4FAB9F" w14:textId="77777777" w:rsidTr="00F34A7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8720972"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9E14436" w14:textId="77777777" w:rsidR="00686071" w:rsidRPr="000132F8"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0132F8">
                    <w:rPr>
                      <w:rFonts w:ascii="Times New Roman" w:eastAsia="Times New Roman" w:hAnsi="Times New Roman" w:cs="Times New Roman"/>
                      <w:color w:val="000000" w:themeColor="text1"/>
                      <w:sz w:val="24"/>
                      <w:szCs w:val="24"/>
                      <w:lang w:val="lv-LV"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202B7BD" w14:textId="7988D659" w:rsidR="00686071" w:rsidRPr="00355B11" w:rsidRDefault="00CA0F5E" w:rsidP="00686071">
                  <w:pPr>
                    <w:spacing w:after="0" w:line="240" w:lineRule="auto"/>
                    <w:rPr>
                      <w:rFonts w:ascii="Times New Roman" w:eastAsia="Times New Roman" w:hAnsi="Times New Roman" w:cs="Times New Roman"/>
                      <w:color w:val="000000" w:themeColor="text1"/>
                      <w:sz w:val="24"/>
                      <w:szCs w:val="24"/>
                      <w:lang w:val="lv-LV" w:eastAsia="lv-LV"/>
                    </w:rPr>
                  </w:pPr>
                  <w:r>
                    <w:rPr>
                      <w:rFonts w:ascii="Times New Roman" w:hAnsi="Times New Roman" w:cs="Times New Roman"/>
                      <w:color w:val="000000" w:themeColor="text1"/>
                      <w:sz w:val="24"/>
                      <w:szCs w:val="24"/>
                      <w:lang w:val="lv-LV"/>
                    </w:rPr>
                    <w:t>Finanšu un kapitāla tirgus komisija</w:t>
                  </w:r>
                  <w:r w:rsidR="00686071">
                    <w:rPr>
                      <w:rFonts w:ascii="Times New Roman" w:hAnsi="Times New Roman" w:cs="Times New Roman"/>
                      <w:color w:val="000000" w:themeColor="text1"/>
                      <w:sz w:val="24"/>
                      <w:szCs w:val="24"/>
                      <w:lang w:val="lv-LV"/>
                    </w:rPr>
                    <w:t>.</w:t>
                  </w:r>
                </w:p>
              </w:tc>
            </w:tr>
            <w:tr w:rsidR="00686071" w:rsidRPr="00AB5936" w14:paraId="368791AD" w14:textId="77777777" w:rsidTr="00F34A7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1477C410"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1A9505C"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Projekta izpildes ietekme uz pārvaldes funkcijām un institucionālo struktūru.</w:t>
                  </w:r>
                </w:p>
                <w:p w14:paraId="677CBC40" w14:textId="77777777" w:rsidR="00686071" w:rsidRPr="00355B11" w:rsidRDefault="00686071" w:rsidP="00686071">
                  <w:pPr>
                    <w:spacing w:before="100" w:beforeAutospacing="1" w:after="100" w:afterAutospacing="1"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0349F1E" w14:textId="77777777" w:rsidR="00C060E2" w:rsidRDefault="00C060E2" w:rsidP="00686071">
                  <w:pPr>
                    <w:spacing w:after="0" w:line="240" w:lineRule="auto"/>
                    <w:rPr>
                      <w:rFonts w:ascii="Times New Roman" w:eastAsia="Times New Roman" w:hAnsi="Times New Roman" w:cs="Times New Roman"/>
                      <w:sz w:val="24"/>
                      <w:szCs w:val="24"/>
                      <w:lang w:val="lv-LV"/>
                    </w:rPr>
                  </w:pPr>
                  <w:r w:rsidRPr="004719A2">
                    <w:rPr>
                      <w:rFonts w:ascii="Times New Roman" w:eastAsia="Times New Roman" w:hAnsi="Times New Roman" w:cs="Times New Roman"/>
                      <w:sz w:val="24"/>
                      <w:szCs w:val="24"/>
                      <w:lang w:val="lv-LV"/>
                    </w:rPr>
                    <w:t>Likumprojekta izpildei nav nepieciešams reorganizēt esošās institūcijas, veidot jaunas institūcijas vai likvidēt esošās institūcijas.</w:t>
                  </w:r>
                </w:p>
                <w:p w14:paraId="37A7AC3E" w14:textId="5D1AE848"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p>
              </w:tc>
            </w:tr>
            <w:tr w:rsidR="00686071" w:rsidRPr="00355B11" w14:paraId="158EC14E" w14:textId="77777777" w:rsidTr="00F34A7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09EC7ACF"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0300C53" w14:textId="77777777" w:rsidR="00686071" w:rsidRPr="00355B11" w:rsidRDefault="00686071" w:rsidP="00686071">
                  <w:pPr>
                    <w:spacing w:after="0" w:line="240" w:lineRule="auto"/>
                    <w:rPr>
                      <w:rFonts w:ascii="Times New Roman" w:eastAsia="Times New Roman" w:hAnsi="Times New Roman" w:cs="Times New Roman"/>
                      <w:color w:val="000000" w:themeColor="text1"/>
                      <w:sz w:val="24"/>
                      <w:szCs w:val="24"/>
                      <w:lang w:val="lv-LV" w:eastAsia="lv-LV"/>
                    </w:rPr>
                  </w:pPr>
                  <w:r w:rsidRPr="00355B11">
                    <w:rPr>
                      <w:rFonts w:ascii="Times New Roman" w:eastAsia="Times New Roman" w:hAnsi="Times New Roman" w:cs="Times New Roman"/>
                      <w:color w:val="000000" w:themeColor="text1"/>
                      <w:sz w:val="24"/>
                      <w:szCs w:val="24"/>
                      <w:lang w:val="lv-LV"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E559DAC" w14:textId="77777777" w:rsidR="00686071" w:rsidRPr="00CA0F5E" w:rsidRDefault="00686071" w:rsidP="00686071">
                  <w:pPr>
                    <w:spacing w:after="0" w:line="240" w:lineRule="auto"/>
                    <w:rPr>
                      <w:rFonts w:ascii="Times New Roman" w:eastAsia="Times New Roman" w:hAnsi="Times New Roman" w:cs="Times New Roman"/>
                      <w:i/>
                      <w:color w:val="000000" w:themeColor="text1"/>
                      <w:sz w:val="24"/>
                      <w:szCs w:val="24"/>
                      <w:lang w:val="lv-LV" w:eastAsia="lv-LV"/>
                    </w:rPr>
                  </w:pPr>
                  <w:r w:rsidRPr="00CA0F5E">
                    <w:rPr>
                      <w:rFonts w:ascii="Times New Roman" w:eastAsia="Times New Roman" w:hAnsi="Times New Roman" w:cs="Times New Roman"/>
                      <w:i/>
                      <w:color w:val="000000" w:themeColor="text1"/>
                      <w:sz w:val="24"/>
                      <w:szCs w:val="24"/>
                      <w:lang w:val="lv-LV" w:eastAsia="lv-LV"/>
                    </w:rPr>
                    <w:t>Nav.</w:t>
                  </w:r>
                </w:p>
              </w:tc>
            </w:tr>
          </w:tbl>
          <w:p w14:paraId="6CFD2910" w14:textId="77777777" w:rsidR="00F06048" w:rsidRPr="00355B11" w:rsidRDefault="00F06048" w:rsidP="00AE588E">
            <w:pPr>
              <w:spacing w:before="100" w:beforeAutospacing="1" w:after="100" w:afterAutospacing="1" w:line="240" w:lineRule="auto"/>
              <w:rPr>
                <w:rFonts w:ascii="Arial" w:eastAsia="Times New Roman" w:hAnsi="Arial" w:cs="Arial"/>
                <w:color w:val="000000" w:themeColor="text1"/>
                <w:sz w:val="24"/>
                <w:szCs w:val="24"/>
                <w:lang w:val="lv-LV" w:eastAsia="lv-LV"/>
              </w:rPr>
            </w:pPr>
          </w:p>
        </w:tc>
      </w:tr>
    </w:tbl>
    <w:p w14:paraId="42CD05C1" w14:textId="77777777" w:rsidR="00D846B4" w:rsidRDefault="00D846B4" w:rsidP="00D846B4">
      <w:pPr>
        <w:pStyle w:val="NormalWeb"/>
        <w:spacing w:before="0" w:beforeAutospacing="0" w:after="0" w:afterAutospacing="0"/>
        <w:rPr>
          <w:color w:val="000000" w:themeColor="text1"/>
          <w:lang w:val="lv-LV"/>
        </w:rPr>
      </w:pPr>
    </w:p>
    <w:p w14:paraId="4E62A0FE" w14:textId="77777777" w:rsidR="00F06048" w:rsidRPr="00355B11" w:rsidRDefault="00F06048" w:rsidP="00D846B4">
      <w:pPr>
        <w:pStyle w:val="NormalWeb"/>
        <w:spacing w:before="0" w:beforeAutospacing="0" w:after="0" w:afterAutospacing="0"/>
        <w:rPr>
          <w:color w:val="000000" w:themeColor="text1"/>
          <w:lang w:val="lv-LV"/>
        </w:rPr>
      </w:pPr>
      <w:r w:rsidRPr="00355B11">
        <w:rPr>
          <w:color w:val="000000" w:themeColor="text1"/>
          <w:lang w:val="lv-LV"/>
        </w:rPr>
        <w:t xml:space="preserve">Finanšu ministre </w:t>
      </w:r>
      <w:r w:rsidRPr="00355B11">
        <w:rPr>
          <w:color w:val="000000" w:themeColor="text1"/>
          <w:lang w:val="lv-LV"/>
        </w:rPr>
        <w:tab/>
      </w:r>
      <w:r w:rsidRPr="00355B11">
        <w:rPr>
          <w:color w:val="000000" w:themeColor="text1"/>
          <w:lang w:val="lv-LV"/>
        </w:rPr>
        <w:tab/>
      </w:r>
      <w:r w:rsidRPr="00355B11">
        <w:rPr>
          <w:color w:val="000000" w:themeColor="text1"/>
          <w:lang w:val="lv-LV"/>
        </w:rPr>
        <w:tab/>
      </w:r>
      <w:r w:rsidRPr="00355B11">
        <w:rPr>
          <w:color w:val="000000" w:themeColor="text1"/>
          <w:lang w:val="lv-LV"/>
        </w:rPr>
        <w:tab/>
      </w:r>
      <w:r w:rsidRPr="00355B11">
        <w:rPr>
          <w:color w:val="000000" w:themeColor="text1"/>
          <w:lang w:val="lv-LV"/>
        </w:rPr>
        <w:tab/>
        <w:t xml:space="preserve"> </w:t>
      </w:r>
      <w:r w:rsidR="00D846B4">
        <w:rPr>
          <w:color w:val="000000" w:themeColor="text1"/>
          <w:lang w:val="lv-LV"/>
        </w:rPr>
        <w:t xml:space="preserve">                      </w:t>
      </w:r>
      <w:r w:rsidRPr="00355B11">
        <w:rPr>
          <w:color w:val="000000" w:themeColor="text1"/>
          <w:lang w:val="lv-LV"/>
        </w:rPr>
        <w:t>D.Reizniece-Ozola</w:t>
      </w:r>
    </w:p>
    <w:p w14:paraId="38C70EFC" w14:textId="77777777" w:rsidR="00F06048" w:rsidRDefault="00F06048" w:rsidP="00313ABC">
      <w:pPr>
        <w:spacing w:after="0" w:line="240" w:lineRule="auto"/>
        <w:rPr>
          <w:rFonts w:ascii="Times New Roman" w:hAnsi="Times New Roman" w:cs="Times New Roman"/>
          <w:color w:val="000000" w:themeColor="text1"/>
          <w:sz w:val="24"/>
          <w:szCs w:val="24"/>
          <w:lang w:val="lv-LV"/>
        </w:rPr>
      </w:pPr>
    </w:p>
    <w:p w14:paraId="4796A3CD" w14:textId="77777777" w:rsidR="00D9680B" w:rsidRDefault="00D9680B" w:rsidP="00313ABC">
      <w:pPr>
        <w:spacing w:after="0" w:line="240" w:lineRule="auto"/>
        <w:rPr>
          <w:rFonts w:ascii="Times New Roman" w:hAnsi="Times New Roman" w:cs="Times New Roman"/>
          <w:color w:val="000000" w:themeColor="text1"/>
          <w:sz w:val="24"/>
          <w:szCs w:val="24"/>
          <w:lang w:val="lv-LV"/>
        </w:rPr>
      </w:pPr>
    </w:p>
    <w:p w14:paraId="38676D21" w14:textId="77777777" w:rsidR="00AE588E" w:rsidRPr="00355B11" w:rsidRDefault="00AE588E" w:rsidP="00313ABC">
      <w:pPr>
        <w:spacing w:after="0" w:line="240" w:lineRule="auto"/>
        <w:rPr>
          <w:rFonts w:ascii="Times New Roman" w:hAnsi="Times New Roman" w:cs="Times New Roman"/>
          <w:color w:val="000000" w:themeColor="text1"/>
          <w:sz w:val="24"/>
          <w:szCs w:val="24"/>
          <w:lang w:val="lv-LV"/>
        </w:rPr>
      </w:pPr>
    </w:p>
    <w:p w14:paraId="7916C989" w14:textId="77777777" w:rsidR="00D9680B" w:rsidRDefault="00954B55" w:rsidP="00D9680B">
      <w:pPr>
        <w:spacing w:after="0" w:line="240" w:lineRule="auto"/>
        <w:rPr>
          <w:color w:val="000000" w:themeColor="text1"/>
          <w:sz w:val="20"/>
          <w:szCs w:val="20"/>
          <w:lang w:val="lv-LV"/>
        </w:rPr>
      </w:pPr>
      <w:r>
        <w:rPr>
          <w:rFonts w:ascii="Times New Roman" w:hAnsi="Times New Roman" w:cs="Times New Roman"/>
          <w:color w:val="000000" w:themeColor="text1"/>
          <w:sz w:val="20"/>
          <w:szCs w:val="20"/>
          <w:lang w:val="lv-LV"/>
        </w:rPr>
        <w:t>Kolomijecs</w:t>
      </w:r>
      <w:r w:rsidR="00D9680B">
        <w:rPr>
          <w:rFonts w:ascii="Times New Roman" w:hAnsi="Times New Roman" w:cs="Times New Roman"/>
          <w:color w:val="000000" w:themeColor="text1"/>
          <w:sz w:val="20"/>
          <w:szCs w:val="20"/>
          <w:lang w:val="lv-LV"/>
        </w:rPr>
        <w:t xml:space="preserve">, </w:t>
      </w:r>
      <w:r w:rsidR="00D045CB">
        <w:rPr>
          <w:rFonts w:ascii="Times New Roman" w:hAnsi="Times New Roman" w:cs="Times New Roman"/>
          <w:color w:val="000000" w:themeColor="text1"/>
          <w:sz w:val="20"/>
          <w:szCs w:val="20"/>
          <w:lang w:val="lv-LV"/>
        </w:rPr>
        <w:t>6777</w:t>
      </w:r>
      <w:r w:rsidRPr="00D9680B">
        <w:rPr>
          <w:rFonts w:ascii="Times New Roman" w:hAnsi="Times New Roman" w:cs="Times New Roman"/>
          <w:color w:val="000000" w:themeColor="text1"/>
          <w:sz w:val="20"/>
          <w:szCs w:val="20"/>
          <w:lang w:val="lv-LV"/>
        </w:rPr>
        <w:t>4909</w:t>
      </w:r>
    </w:p>
    <w:p w14:paraId="7A3E7358" w14:textId="77777777" w:rsidR="00F06048" w:rsidRDefault="001D6394" w:rsidP="00D9680B">
      <w:pPr>
        <w:spacing w:after="0" w:line="240" w:lineRule="auto"/>
        <w:rPr>
          <w:rStyle w:val="Hyperlink"/>
          <w:rFonts w:ascii="Times New Roman" w:hAnsi="Times New Roman" w:cs="Times New Roman"/>
          <w:sz w:val="20"/>
          <w:szCs w:val="20"/>
          <w:lang w:val="lv-LV"/>
        </w:rPr>
      </w:pPr>
      <w:hyperlink r:id="rId8" w:history="1">
        <w:r w:rsidR="008421B1" w:rsidRPr="00D9680B">
          <w:rPr>
            <w:rStyle w:val="Hyperlink"/>
            <w:rFonts w:ascii="Times New Roman" w:hAnsi="Times New Roman" w:cs="Times New Roman"/>
            <w:sz w:val="20"/>
            <w:szCs w:val="20"/>
            <w:lang w:val="lv-LV"/>
          </w:rPr>
          <w:t>vadims.kolomijecs@fktk.lv</w:t>
        </w:r>
      </w:hyperlink>
    </w:p>
    <w:p w14:paraId="48DBEA6F" w14:textId="77777777" w:rsidR="00D9680B" w:rsidRDefault="00D9680B" w:rsidP="00D9680B">
      <w:pPr>
        <w:spacing w:after="0" w:line="240" w:lineRule="auto"/>
        <w:rPr>
          <w:rFonts w:ascii="Times New Roman" w:hAnsi="Times New Roman" w:cs="Times New Roman"/>
          <w:color w:val="000000" w:themeColor="text1"/>
          <w:sz w:val="20"/>
          <w:szCs w:val="20"/>
          <w:lang w:val="lv-LV"/>
        </w:rPr>
      </w:pPr>
      <w:r w:rsidRPr="004B378F">
        <w:rPr>
          <w:rFonts w:ascii="Times New Roman" w:hAnsi="Times New Roman" w:cs="Times New Roman"/>
          <w:color w:val="000000" w:themeColor="text1"/>
          <w:sz w:val="20"/>
          <w:szCs w:val="20"/>
        </w:rPr>
        <w:t xml:space="preserve">Hammers, </w:t>
      </w:r>
      <w:r w:rsidRPr="004B378F">
        <w:rPr>
          <w:rFonts w:ascii="Times New Roman" w:hAnsi="Times New Roman" w:cs="Times New Roman"/>
          <w:color w:val="000000" w:themeColor="text1"/>
          <w:sz w:val="20"/>
          <w:szCs w:val="20"/>
          <w:lang w:val="lv-LV"/>
        </w:rPr>
        <w:t>67095441</w:t>
      </w:r>
    </w:p>
    <w:p w14:paraId="37BD7AB8" w14:textId="77777777" w:rsidR="00D9680B" w:rsidRPr="004B378F" w:rsidRDefault="00D9680B" w:rsidP="00D9680B">
      <w:pPr>
        <w:spacing w:after="0" w:line="240" w:lineRule="auto"/>
        <w:rPr>
          <w:rStyle w:val="Hyperlink"/>
          <w:rFonts w:ascii="Times New Roman" w:hAnsi="Times New Roman" w:cs="Times New Roman"/>
          <w:sz w:val="20"/>
          <w:szCs w:val="20"/>
        </w:rPr>
      </w:pPr>
      <w:r w:rsidRPr="004B378F">
        <w:rPr>
          <w:rStyle w:val="Hyperlink"/>
          <w:rFonts w:ascii="Times New Roman" w:hAnsi="Times New Roman" w:cs="Times New Roman"/>
          <w:sz w:val="20"/>
          <w:szCs w:val="20"/>
        </w:rPr>
        <w:t>aivis.hammers@fm.gov.lv</w:t>
      </w:r>
    </w:p>
    <w:p w14:paraId="7B19A8E0" w14:textId="77777777" w:rsidR="00D9680B" w:rsidRPr="00D9680B" w:rsidRDefault="00D9680B" w:rsidP="00D9680B">
      <w:pPr>
        <w:spacing w:after="0" w:line="240" w:lineRule="auto"/>
        <w:rPr>
          <w:rStyle w:val="Hyperlink"/>
        </w:rPr>
      </w:pPr>
    </w:p>
    <w:sectPr w:rsidR="00D9680B" w:rsidRPr="00D9680B" w:rsidSect="00DF7FF9">
      <w:headerReference w:type="default" r:id="rId9"/>
      <w:footerReference w:type="default" r:id="rId10"/>
      <w:footerReference w:type="first" r:id="rId11"/>
      <w:pgSz w:w="11906" w:h="16838"/>
      <w:pgMar w:top="1276" w:right="1800"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15D46" w14:textId="77777777" w:rsidR="001D6394" w:rsidRDefault="001D6394" w:rsidP="008C3E69">
      <w:pPr>
        <w:spacing w:after="0" w:line="240" w:lineRule="auto"/>
      </w:pPr>
      <w:r>
        <w:separator/>
      </w:r>
    </w:p>
  </w:endnote>
  <w:endnote w:type="continuationSeparator" w:id="0">
    <w:p w14:paraId="433900B8" w14:textId="77777777" w:rsidR="001D6394" w:rsidRDefault="001D6394" w:rsidP="008C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08853" w14:textId="4F0F4138" w:rsidR="00F34A72" w:rsidRDefault="003F31C4" w:rsidP="00C15503">
    <w:pPr>
      <w:pStyle w:val="Footer"/>
    </w:pPr>
    <w:r>
      <w:rPr>
        <w:rFonts w:ascii="Times New Roman" w:hAnsi="Times New Roman" w:cs="Times New Roman"/>
        <w:sz w:val="18"/>
        <w:szCs w:val="18"/>
      </w:rPr>
      <w:t>FMAnot_</w:t>
    </w:r>
    <w:r w:rsidR="000A7505">
      <w:rPr>
        <w:rFonts w:ascii="Times New Roman" w:hAnsi="Times New Roman" w:cs="Times New Roman"/>
        <w:sz w:val="18"/>
        <w:szCs w:val="18"/>
      </w:rPr>
      <w:t>0805</w:t>
    </w:r>
    <w:r w:rsidR="00AB5936" w:rsidRPr="00C15503">
      <w:rPr>
        <w:rFonts w:ascii="Times New Roman" w:hAnsi="Times New Roman" w:cs="Times New Roman"/>
        <w:sz w:val="18"/>
        <w:szCs w:val="18"/>
      </w:rPr>
      <w:t>17</w:t>
    </w:r>
    <w:r w:rsidR="00C15503" w:rsidRPr="00C15503">
      <w:rPr>
        <w:rFonts w:ascii="Times New Roman" w:hAnsi="Times New Roman" w:cs="Times New Roman"/>
        <w:sz w:val="18"/>
        <w:szCs w:val="18"/>
      </w:rPr>
      <w:t>_FITL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DE66" w14:textId="5CE15380" w:rsidR="00C15503" w:rsidRPr="00C15503" w:rsidRDefault="000A7505">
    <w:pPr>
      <w:pStyle w:val="Footer"/>
      <w:rPr>
        <w:rFonts w:ascii="Times New Roman" w:hAnsi="Times New Roman" w:cs="Times New Roman"/>
        <w:sz w:val="18"/>
        <w:szCs w:val="18"/>
      </w:rPr>
    </w:pPr>
    <w:r>
      <w:rPr>
        <w:rFonts w:ascii="Times New Roman" w:hAnsi="Times New Roman" w:cs="Times New Roman"/>
        <w:sz w:val="18"/>
        <w:szCs w:val="18"/>
      </w:rPr>
      <w:t>FMAnot_0805</w:t>
    </w:r>
    <w:r w:rsidR="00C15503" w:rsidRPr="00C15503">
      <w:rPr>
        <w:rFonts w:ascii="Times New Roman" w:hAnsi="Times New Roman" w:cs="Times New Roman"/>
        <w:sz w:val="18"/>
        <w:szCs w:val="18"/>
      </w:rPr>
      <w:t>17_FITL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CF8AF" w14:textId="77777777" w:rsidR="001D6394" w:rsidRDefault="001D6394" w:rsidP="008C3E69">
      <w:pPr>
        <w:spacing w:after="0" w:line="240" w:lineRule="auto"/>
      </w:pPr>
      <w:r>
        <w:separator/>
      </w:r>
    </w:p>
  </w:footnote>
  <w:footnote w:type="continuationSeparator" w:id="0">
    <w:p w14:paraId="02F8CCA6" w14:textId="77777777" w:rsidR="001D6394" w:rsidRDefault="001D6394" w:rsidP="008C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050456"/>
      <w:docPartObj>
        <w:docPartGallery w:val="Page Numbers (Top of Page)"/>
        <w:docPartUnique/>
      </w:docPartObj>
    </w:sdtPr>
    <w:sdtEndPr>
      <w:rPr>
        <w:noProof/>
      </w:rPr>
    </w:sdtEndPr>
    <w:sdtContent>
      <w:p w14:paraId="46122790" w14:textId="1661BC71" w:rsidR="00DF7FF9" w:rsidRDefault="00DF7FF9">
        <w:pPr>
          <w:pStyle w:val="Header"/>
          <w:jc w:val="right"/>
        </w:pPr>
        <w:r>
          <w:fldChar w:fldCharType="begin"/>
        </w:r>
        <w:r>
          <w:instrText xml:space="preserve"> PAGE   \* MERGEFORMAT </w:instrText>
        </w:r>
        <w:r>
          <w:fldChar w:fldCharType="separate"/>
        </w:r>
        <w:r w:rsidR="000A7505">
          <w:rPr>
            <w:noProof/>
          </w:rPr>
          <w:t>2</w:t>
        </w:r>
        <w:r>
          <w:rPr>
            <w:noProof/>
          </w:rPr>
          <w:fldChar w:fldCharType="end"/>
        </w:r>
      </w:p>
    </w:sdtContent>
  </w:sdt>
  <w:p w14:paraId="5F7DC5FF" w14:textId="77777777" w:rsidR="00F34A72" w:rsidRDefault="00F34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07C9A"/>
    <w:multiLevelType w:val="hybridMultilevel"/>
    <w:tmpl w:val="9620EF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393675"/>
    <w:multiLevelType w:val="hybridMultilevel"/>
    <w:tmpl w:val="B2A4E3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E192C2C"/>
    <w:multiLevelType w:val="hybridMultilevel"/>
    <w:tmpl w:val="0D18C7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F7CC6BA">
      <w:start w:val="92"/>
      <w:numFmt w:val="bullet"/>
      <w:lvlText w:val="-"/>
      <w:lvlJc w:val="left"/>
      <w:pPr>
        <w:ind w:left="2340" w:hanging="360"/>
      </w:pPr>
      <w:rPr>
        <w:rFonts w:ascii="Times New Roman" w:eastAsiaTheme="minorEastAsia"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C398C"/>
    <w:multiLevelType w:val="hybridMultilevel"/>
    <w:tmpl w:val="F3CEB1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4276D7B"/>
    <w:multiLevelType w:val="hybridMultilevel"/>
    <w:tmpl w:val="ADFC078A"/>
    <w:lvl w:ilvl="0" w:tplc="BDD2D97C">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028AB"/>
    <w:multiLevelType w:val="hybridMultilevel"/>
    <w:tmpl w:val="EA14C1E8"/>
    <w:lvl w:ilvl="0" w:tplc="3782F85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E587FEC"/>
    <w:multiLevelType w:val="hybridMultilevel"/>
    <w:tmpl w:val="C55CFBB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nsid w:val="525415AE"/>
    <w:multiLevelType w:val="multilevel"/>
    <w:tmpl w:val="B9B26BFC"/>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4thlevellistnoindent"/>
      <w:lvlText w:val="(%4)"/>
      <w:lvlJc w:val="left"/>
      <w:pPr>
        <w:tabs>
          <w:tab w:val="num" w:pos="1440"/>
        </w:tabs>
        <w:ind w:left="1440" w:hanging="360"/>
      </w:pPr>
    </w:lvl>
    <w:lvl w:ilvl="4">
      <w:start w:val="1"/>
      <w:numFmt w:val="lowerLetter"/>
      <w:pStyle w:val="5thlevelheadingnoindent"/>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2CF2581"/>
    <w:multiLevelType w:val="hybridMultilevel"/>
    <w:tmpl w:val="494C5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7231492"/>
    <w:multiLevelType w:val="hybridMultilevel"/>
    <w:tmpl w:val="76447FC6"/>
    <w:lvl w:ilvl="0" w:tplc="8608760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nsid w:val="6CCE635B"/>
    <w:multiLevelType w:val="hybridMultilevel"/>
    <w:tmpl w:val="FA24BA72"/>
    <w:lvl w:ilvl="0" w:tplc="E8E653C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6"/>
  </w:num>
  <w:num w:numId="6">
    <w:abstractNumId w:val="4"/>
  </w:num>
  <w:num w:numId="7">
    <w:abstractNumId w:val="0"/>
  </w:num>
  <w:num w:numId="8">
    <w:abstractNumId w:val="9"/>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48"/>
    <w:rsid w:val="0000068B"/>
    <w:rsid w:val="0000558A"/>
    <w:rsid w:val="00005D7D"/>
    <w:rsid w:val="000132F8"/>
    <w:rsid w:val="000159A0"/>
    <w:rsid w:val="00022958"/>
    <w:rsid w:val="00024060"/>
    <w:rsid w:val="000554EF"/>
    <w:rsid w:val="000565BD"/>
    <w:rsid w:val="0006479A"/>
    <w:rsid w:val="00081CFF"/>
    <w:rsid w:val="0008225C"/>
    <w:rsid w:val="000828EE"/>
    <w:rsid w:val="000856EC"/>
    <w:rsid w:val="000862F0"/>
    <w:rsid w:val="000A12BC"/>
    <w:rsid w:val="000A2565"/>
    <w:rsid w:val="000A3504"/>
    <w:rsid w:val="000A61DD"/>
    <w:rsid w:val="000A7505"/>
    <w:rsid w:val="000B5B9A"/>
    <w:rsid w:val="000C49C1"/>
    <w:rsid w:val="000D040C"/>
    <w:rsid w:val="000E378A"/>
    <w:rsid w:val="000E5B32"/>
    <w:rsid w:val="000F37B8"/>
    <w:rsid w:val="000F3AA3"/>
    <w:rsid w:val="000F63AA"/>
    <w:rsid w:val="0010760B"/>
    <w:rsid w:val="00123C4F"/>
    <w:rsid w:val="00134680"/>
    <w:rsid w:val="0015146D"/>
    <w:rsid w:val="00151508"/>
    <w:rsid w:val="001521B4"/>
    <w:rsid w:val="001548E0"/>
    <w:rsid w:val="00154A54"/>
    <w:rsid w:val="00170735"/>
    <w:rsid w:val="0017244D"/>
    <w:rsid w:val="001730AA"/>
    <w:rsid w:val="00177C53"/>
    <w:rsid w:val="00193CBB"/>
    <w:rsid w:val="001B3499"/>
    <w:rsid w:val="001B7355"/>
    <w:rsid w:val="001B7D41"/>
    <w:rsid w:val="001D6394"/>
    <w:rsid w:val="00200B1D"/>
    <w:rsid w:val="0020114C"/>
    <w:rsid w:val="002204A5"/>
    <w:rsid w:val="00221515"/>
    <w:rsid w:val="002367DD"/>
    <w:rsid w:val="002452C7"/>
    <w:rsid w:val="00254EC0"/>
    <w:rsid w:val="00256633"/>
    <w:rsid w:val="00261D66"/>
    <w:rsid w:val="0026505B"/>
    <w:rsid w:val="00267ED8"/>
    <w:rsid w:val="0027062A"/>
    <w:rsid w:val="0027377E"/>
    <w:rsid w:val="00280871"/>
    <w:rsid w:val="00285080"/>
    <w:rsid w:val="00296000"/>
    <w:rsid w:val="002A3C7D"/>
    <w:rsid w:val="002B7197"/>
    <w:rsid w:val="002D4F08"/>
    <w:rsid w:val="002E0B6F"/>
    <w:rsid w:val="002F11F1"/>
    <w:rsid w:val="00313ABC"/>
    <w:rsid w:val="00317487"/>
    <w:rsid w:val="00344F69"/>
    <w:rsid w:val="00352A63"/>
    <w:rsid w:val="00355B11"/>
    <w:rsid w:val="00357A71"/>
    <w:rsid w:val="0036654A"/>
    <w:rsid w:val="00382A49"/>
    <w:rsid w:val="00387FD8"/>
    <w:rsid w:val="003C659A"/>
    <w:rsid w:val="003D62A0"/>
    <w:rsid w:val="003D7B5C"/>
    <w:rsid w:val="003F31C4"/>
    <w:rsid w:val="003F3E55"/>
    <w:rsid w:val="003F442C"/>
    <w:rsid w:val="00404C4B"/>
    <w:rsid w:val="00406773"/>
    <w:rsid w:val="00415F92"/>
    <w:rsid w:val="00424A24"/>
    <w:rsid w:val="0042548E"/>
    <w:rsid w:val="0044709E"/>
    <w:rsid w:val="00452F6B"/>
    <w:rsid w:val="0045383F"/>
    <w:rsid w:val="00457450"/>
    <w:rsid w:val="00464C64"/>
    <w:rsid w:val="00495379"/>
    <w:rsid w:val="004A105C"/>
    <w:rsid w:val="004C57A3"/>
    <w:rsid w:val="004D5EEE"/>
    <w:rsid w:val="004D7428"/>
    <w:rsid w:val="004E4A73"/>
    <w:rsid w:val="005007EB"/>
    <w:rsid w:val="005024CC"/>
    <w:rsid w:val="00520469"/>
    <w:rsid w:val="00522672"/>
    <w:rsid w:val="00560963"/>
    <w:rsid w:val="005646F6"/>
    <w:rsid w:val="00581083"/>
    <w:rsid w:val="005964B7"/>
    <w:rsid w:val="005A1AD9"/>
    <w:rsid w:val="005A61D7"/>
    <w:rsid w:val="005A70BF"/>
    <w:rsid w:val="005B0954"/>
    <w:rsid w:val="005E0B09"/>
    <w:rsid w:val="005E33D2"/>
    <w:rsid w:val="005E7F97"/>
    <w:rsid w:val="005F5A0F"/>
    <w:rsid w:val="00601AF4"/>
    <w:rsid w:val="0060473C"/>
    <w:rsid w:val="00611374"/>
    <w:rsid w:val="0061250B"/>
    <w:rsid w:val="00614E78"/>
    <w:rsid w:val="0063017B"/>
    <w:rsid w:val="0063776F"/>
    <w:rsid w:val="00643F5E"/>
    <w:rsid w:val="006561BC"/>
    <w:rsid w:val="006601D8"/>
    <w:rsid w:val="00663D45"/>
    <w:rsid w:val="00686071"/>
    <w:rsid w:val="00690D1D"/>
    <w:rsid w:val="00693C51"/>
    <w:rsid w:val="0069550F"/>
    <w:rsid w:val="006E04C0"/>
    <w:rsid w:val="006F4F07"/>
    <w:rsid w:val="0070126B"/>
    <w:rsid w:val="00705136"/>
    <w:rsid w:val="00705817"/>
    <w:rsid w:val="007414C3"/>
    <w:rsid w:val="0075373A"/>
    <w:rsid w:val="00765C53"/>
    <w:rsid w:val="00767450"/>
    <w:rsid w:val="00784B8A"/>
    <w:rsid w:val="00787FB2"/>
    <w:rsid w:val="00792223"/>
    <w:rsid w:val="00797063"/>
    <w:rsid w:val="007B38EB"/>
    <w:rsid w:val="007B43DA"/>
    <w:rsid w:val="007B6D24"/>
    <w:rsid w:val="007C10B7"/>
    <w:rsid w:val="007D6277"/>
    <w:rsid w:val="007E6A6F"/>
    <w:rsid w:val="007F65BD"/>
    <w:rsid w:val="008005DF"/>
    <w:rsid w:val="0080244D"/>
    <w:rsid w:val="00811BE9"/>
    <w:rsid w:val="008251B0"/>
    <w:rsid w:val="008421B1"/>
    <w:rsid w:val="00843E5A"/>
    <w:rsid w:val="00844CF3"/>
    <w:rsid w:val="00857230"/>
    <w:rsid w:val="00866D79"/>
    <w:rsid w:val="0086716D"/>
    <w:rsid w:val="00873C82"/>
    <w:rsid w:val="00891C8B"/>
    <w:rsid w:val="00891CFA"/>
    <w:rsid w:val="008B62B3"/>
    <w:rsid w:val="008C3E69"/>
    <w:rsid w:val="008C6E38"/>
    <w:rsid w:val="008F0D13"/>
    <w:rsid w:val="008F2F46"/>
    <w:rsid w:val="00904CEF"/>
    <w:rsid w:val="009222BD"/>
    <w:rsid w:val="009224BD"/>
    <w:rsid w:val="009540CB"/>
    <w:rsid w:val="00954B55"/>
    <w:rsid w:val="0098305C"/>
    <w:rsid w:val="009D6104"/>
    <w:rsid w:val="009E5F15"/>
    <w:rsid w:val="009F5C02"/>
    <w:rsid w:val="009F5DFA"/>
    <w:rsid w:val="00A00E2F"/>
    <w:rsid w:val="00A32D65"/>
    <w:rsid w:val="00A363CB"/>
    <w:rsid w:val="00A543CE"/>
    <w:rsid w:val="00A615FA"/>
    <w:rsid w:val="00A67E48"/>
    <w:rsid w:val="00A80BE5"/>
    <w:rsid w:val="00A80F53"/>
    <w:rsid w:val="00A971D7"/>
    <w:rsid w:val="00AA2DDE"/>
    <w:rsid w:val="00AA3762"/>
    <w:rsid w:val="00AB3066"/>
    <w:rsid w:val="00AB5936"/>
    <w:rsid w:val="00AC47A4"/>
    <w:rsid w:val="00AC6E9E"/>
    <w:rsid w:val="00AD2C5E"/>
    <w:rsid w:val="00AD5914"/>
    <w:rsid w:val="00AE588E"/>
    <w:rsid w:val="00B06F94"/>
    <w:rsid w:val="00B23504"/>
    <w:rsid w:val="00B243E2"/>
    <w:rsid w:val="00B2525F"/>
    <w:rsid w:val="00B320E0"/>
    <w:rsid w:val="00B5616B"/>
    <w:rsid w:val="00B56F76"/>
    <w:rsid w:val="00B82B9E"/>
    <w:rsid w:val="00BA25BC"/>
    <w:rsid w:val="00BC392F"/>
    <w:rsid w:val="00BD029D"/>
    <w:rsid w:val="00BF5896"/>
    <w:rsid w:val="00BF5B8B"/>
    <w:rsid w:val="00C060E2"/>
    <w:rsid w:val="00C063FB"/>
    <w:rsid w:val="00C15503"/>
    <w:rsid w:val="00C16207"/>
    <w:rsid w:val="00C25589"/>
    <w:rsid w:val="00C27C45"/>
    <w:rsid w:val="00C36EC1"/>
    <w:rsid w:val="00C544BA"/>
    <w:rsid w:val="00C61019"/>
    <w:rsid w:val="00C63BCC"/>
    <w:rsid w:val="00C8680F"/>
    <w:rsid w:val="00CA0F5E"/>
    <w:rsid w:val="00CA2056"/>
    <w:rsid w:val="00CA2AA1"/>
    <w:rsid w:val="00CA435C"/>
    <w:rsid w:val="00CC43E5"/>
    <w:rsid w:val="00CC7EC9"/>
    <w:rsid w:val="00CE5063"/>
    <w:rsid w:val="00D045CB"/>
    <w:rsid w:val="00D04A59"/>
    <w:rsid w:val="00D145A0"/>
    <w:rsid w:val="00D1708B"/>
    <w:rsid w:val="00D170AD"/>
    <w:rsid w:val="00D24FFE"/>
    <w:rsid w:val="00D300CB"/>
    <w:rsid w:val="00D4016F"/>
    <w:rsid w:val="00D441B4"/>
    <w:rsid w:val="00D502D0"/>
    <w:rsid w:val="00D5590F"/>
    <w:rsid w:val="00D77533"/>
    <w:rsid w:val="00D81297"/>
    <w:rsid w:val="00D846B4"/>
    <w:rsid w:val="00D9680B"/>
    <w:rsid w:val="00DA1478"/>
    <w:rsid w:val="00DB0CAC"/>
    <w:rsid w:val="00DB1035"/>
    <w:rsid w:val="00DB42A7"/>
    <w:rsid w:val="00DD293D"/>
    <w:rsid w:val="00DE3F50"/>
    <w:rsid w:val="00DF3D0C"/>
    <w:rsid w:val="00DF7FF9"/>
    <w:rsid w:val="00E0005D"/>
    <w:rsid w:val="00E02A0A"/>
    <w:rsid w:val="00E02AC4"/>
    <w:rsid w:val="00E242E7"/>
    <w:rsid w:val="00E2554F"/>
    <w:rsid w:val="00E26761"/>
    <w:rsid w:val="00E2788C"/>
    <w:rsid w:val="00E33346"/>
    <w:rsid w:val="00E504DF"/>
    <w:rsid w:val="00E56C37"/>
    <w:rsid w:val="00E62ACD"/>
    <w:rsid w:val="00E756AF"/>
    <w:rsid w:val="00E8098D"/>
    <w:rsid w:val="00E84E59"/>
    <w:rsid w:val="00E8714B"/>
    <w:rsid w:val="00E907E4"/>
    <w:rsid w:val="00EB12F6"/>
    <w:rsid w:val="00EB406C"/>
    <w:rsid w:val="00EC6F81"/>
    <w:rsid w:val="00EE0937"/>
    <w:rsid w:val="00EF0BC3"/>
    <w:rsid w:val="00EF2525"/>
    <w:rsid w:val="00F03E47"/>
    <w:rsid w:val="00F05537"/>
    <w:rsid w:val="00F06048"/>
    <w:rsid w:val="00F076F0"/>
    <w:rsid w:val="00F102B8"/>
    <w:rsid w:val="00F10F8F"/>
    <w:rsid w:val="00F207EF"/>
    <w:rsid w:val="00F26813"/>
    <w:rsid w:val="00F34A72"/>
    <w:rsid w:val="00F408BC"/>
    <w:rsid w:val="00F42580"/>
    <w:rsid w:val="00F42ABA"/>
    <w:rsid w:val="00F576D4"/>
    <w:rsid w:val="00F639A4"/>
    <w:rsid w:val="00F66D86"/>
    <w:rsid w:val="00F730ED"/>
    <w:rsid w:val="00F8504A"/>
    <w:rsid w:val="00FA39D9"/>
    <w:rsid w:val="00FA6CEA"/>
    <w:rsid w:val="00FB0042"/>
    <w:rsid w:val="00FC1F5F"/>
    <w:rsid w:val="00FC4FE2"/>
    <w:rsid w:val="00FD72CB"/>
    <w:rsid w:val="00FE16FC"/>
    <w:rsid w:val="00FE1B50"/>
    <w:rsid w:val="00FE7F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DA841"/>
  <w15:docId w15:val="{E896EBF3-CD08-4FD3-806A-AD87E7D2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60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048"/>
  </w:style>
  <w:style w:type="paragraph" w:customStyle="1" w:styleId="default">
    <w:name w:val="default"/>
    <w:basedOn w:val="Normal"/>
    <w:rsid w:val="00F060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F060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06048"/>
    <w:pPr>
      <w:ind w:left="720"/>
      <w:contextualSpacing/>
    </w:pPr>
  </w:style>
  <w:style w:type="character" w:styleId="CommentReference">
    <w:name w:val="annotation reference"/>
    <w:basedOn w:val="DefaultParagraphFont"/>
    <w:uiPriority w:val="99"/>
    <w:semiHidden/>
    <w:unhideWhenUsed/>
    <w:rsid w:val="00F06048"/>
    <w:rPr>
      <w:sz w:val="16"/>
      <w:szCs w:val="16"/>
    </w:rPr>
  </w:style>
  <w:style w:type="paragraph" w:styleId="CommentText">
    <w:name w:val="annotation text"/>
    <w:basedOn w:val="Normal"/>
    <w:link w:val="CommentTextChar"/>
    <w:uiPriority w:val="99"/>
    <w:unhideWhenUsed/>
    <w:rsid w:val="00F06048"/>
    <w:pPr>
      <w:spacing w:line="240" w:lineRule="auto"/>
    </w:pPr>
    <w:rPr>
      <w:sz w:val="20"/>
      <w:szCs w:val="20"/>
    </w:rPr>
  </w:style>
  <w:style w:type="character" w:customStyle="1" w:styleId="CommentTextChar">
    <w:name w:val="Comment Text Char"/>
    <w:basedOn w:val="DefaultParagraphFont"/>
    <w:link w:val="CommentText"/>
    <w:uiPriority w:val="99"/>
    <w:rsid w:val="00F06048"/>
    <w:rPr>
      <w:sz w:val="20"/>
      <w:szCs w:val="20"/>
    </w:rPr>
  </w:style>
  <w:style w:type="paragraph" w:customStyle="1" w:styleId="naisf">
    <w:name w:val="naisf"/>
    <w:basedOn w:val="Normal"/>
    <w:rsid w:val="00F0604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06048"/>
    <w:rPr>
      <w:color w:val="0000FF" w:themeColor="hyperlink"/>
      <w:u w:val="single"/>
    </w:rPr>
  </w:style>
  <w:style w:type="paragraph" w:styleId="Header">
    <w:name w:val="header"/>
    <w:basedOn w:val="Normal"/>
    <w:link w:val="HeaderChar"/>
    <w:uiPriority w:val="99"/>
    <w:unhideWhenUsed/>
    <w:rsid w:val="008C3E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3E69"/>
  </w:style>
  <w:style w:type="paragraph" w:styleId="BalloonText">
    <w:name w:val="Balloon Text"/>
    <w:basedOn w:val="Normal"/>
    <w:link w:val="BalloonTextChar"/>
    <w:uiPriority w:val="99"/>
    <w:semiHidden/>
    <w:unhideWhenUsed/>
    <w:rsid w:val="00355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1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828EE"/>
    <w:rPr>
      <w:b/>
      <w:bCs/>
    </w:rPr>
  </w:style>
  <w:style w:type="character" w:customStyle="1" w:styleId="CommentSubjectChar">
    <w:name w:val="Comment Subject Char"/>
    <w:basedOn w:val="CommentTextChar"/>
    <w:link w:val="CommentSubject"/>
    <w:uiPriority w:val="99"/>
    <w:semiHidden/>
    <w:rsid w:val="000828EE"/>
    <w:rPr>
      <w:b/>
      <w:bCs/>
      <w:sz w:val="20"/>
      <w:szCs w:val="20"/>
    </w:rPr>
  </w:style>
  <w:style w:type="paragraph" w:customStyle="1" w:styleId="SLONumberedList">
    <w:name w:val="SLO Numbered List"/>
    <w:uiPriority w:val="4"/>
    <w:qFormat/>
    <w:rsid w:val="00C063FB"/>
    <w:pPr>
      <w:numPr>
        <w:numId w:val="11"/>
      </w:numPr>
      <w:spacing w:before="60" w:after="60" w:line="240" w:lineRule="auto"/>
      <w:jc w:val="both"/>
    </w:pPr>
    <w:rPr>
      <w:rFonts w:ascii="Times New Roman" w:eastAsia="Times New Roman" w:hAnsi="Times New Roman" w:cs="Times New Roman"/>
      <w:kern w:val="24"/>
      <w:szCs w:val="24"/>
      <w:lang w:val="en-GB"/>
    </w:rPr>
  </w:style>
  <w:style w:type="paragraph" w:customStyle="1" w:styleId="4thlevellistnoindent">
    <w:name w:val="4th level (list) no indent"/>
    <w:basedOn w:val="Normal"/>
    <w:uiPriority w:val="6"/>
    <w:rsid w:val="00C063FB"/>
    <w:pPr>
      <w:numPr>
        <w:ilvl w:val="3"/>
        <w:numId w:val="11"/>
      </w:numPr>
      <w:tabs>
        <w:tab w:val="clear" w:pos="1440"/>
        <w:tab w:val="num" w:pos="360"/>
      </w:tabs>
      <w:spacing w:before="120" w:after="120" w:line="240" w:lineRule="auto"/>
      <w:ind w:left="851" w:firstLine="0"/>
      <w:jc w:val="both"/>
      <w:outlineLvl w:val="3"/>
    </w:pPr>
    <w:rPr>
      <w:rFonts w:ascii="Times New Roman" w:eastAsia="Times New Roman" w:hAnsi="Times New Roman" w:cs="Times New Roman"/>
      <w:kern w:val="24"/>
      <w:szCs w:val="24"/>
      <w:lang w:val="en-GB"/>
    </w:rPr>
  </w:style>
  <w:style w:type="paragraph" w:customStyle="1" w:styleId="5thlevelheadingnoindent">
    <w:name w:val="5th level (heading) no indent"/>
    <w:basedOn w:val="Normal"/>
    <w:next w:val="Normal"/>
    <w:uiPriority w:val="6"/>
    <w:rsid w:val="00C063FB"/>
    <w:pPr>
      <w:numPr>
        <w:ilvl w:val="4"/>
        <w:numId w:val="11"/>
      </w:numPr>
      <w:spacing w:before="240" w:after="120" w:line="240" w:lineRule="auto"/>
      <w:ind w:left="851"/>
      <w:jc w:val="both"/>
      <w:outlineLvl w:val="4"/>
    </w:pPr>
    <w:rPr>
      <w:rFonts w:ascii="Times New Roman" w:eastAsia="Times New Roman" w:hAnsi="Times New Roman" w:cs="Times New Roman"/>
      <w:kern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58740">
      <w:bodyDiv w:val="1"/>
      <w:marLeft w:val="0"/>
      <w:marRight w:val="0"/>
      <w:marTop w:val="0"/>
      <w:marBottom w:val="0"/>
      <w:divBdr>
        <w:top w:val="none" w:sz="0" w:space="0" w:color="auto"/>
        <w:left w:val="none" w:sz="0" w:space="0" w:color="auto"/>
        <w:bottom w:val="none" w:sz="0" w:space="0" w:color="auto"/>
        <w:right w:val="none" w:sz="0" w:space="0" w:color="auto"/>
      </w:divBdr>
    </w:div>
    <w:div w:id="1115559869">
      <w:bodyDiv w:val="1"/>
      <w:marLeft w:val="0"/>
      <w:marRight w:val="0"/>
      <w:marTop w:val="0"/>
      <w:marBottom w:val="0"/>
      <w:divBdr>
        <w:top w:val="none" w:sz="0" w:space="0" w:color="auto"/>
        <w:left w:val="none" w:sz="0" w:space="0" w:color="auto"/>
        <w:bottom w:val="none" w:sz="0" w:space="0" w:color="auto"/>
        <w:right w:val="none" w:sz="0" w:space="0" w:color="auto"/>
      </w:divBdr>
    </w:div>
    <w:div w:id="12702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ims.kolomijecs@fkt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4834-3B3A-4414-AC59-74DDDB87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22364</Words>
  <Characters>12748</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Grozījumi Finanšu instrumentu tirgus likumā</vt:lpstr>
    </vt:vector>
  </TitlesOfParts>
  <Company>Finanšu ministrija</Company>
  <LinksUpToDate>false</LinksUpToDate>
  <CharactersWithSpaces>35042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Finanšu instrumentu tirgus likumā</dc:title>
  <dc:subject>Likumprojekta sākotnējās ietekmes novērtējuma ziņojums (anotācija)</dc:subject>
  <dc:creator>Aivis Hammers</dc:creator>
  <dc:description>67095441, aivis.hammers@fm.gov.lv</dc:description>
  <cp:lastModifiedBy>Aivis Hammers</cp:lastModifiedBy>
  <cp:revision>6</cp:revision>
  <cp:lastPrinted>2017-02-07T14:14:00Z</cp:lastPrinted>
  <dcterms:created xsi:type="dcterms:W3CDTF">2017-04-25T12:45:00Z</dcterms:created>
  <dcterms:modified xsi:type="dcterms:W3CDTF">2017-05-08T14:30:00Z</dcterms:modified>
</cp:coreProperties>
</file>