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B2502" w14:textId="77777777" w:rsidR="00894C55" w:rsidRPr="00A3752A" w:rsidRDefault="00F61F4F" w:rsidP="00894C55">
      <w:pPr>
        <w:shd w:val="clear" w:color="auto" w:fill="FFFFFF"/>
        <w:spacing w:after="0" w:line="240" w:lineRule="auto"/>
        <w:jc w:val="center"/>
        <w:rPr>
          <w:rFonts w:eastAsia="Times New Roman" w:cs="Times New Roman"/>
          <w:b/>
          <w:bCs/>
          <w:sz w:val="28"/>
          <w:szCs w:val="28"/>
          <w:lang w:eastAsia="lv-LV"/>
        </w:rPr>
      </w:pPr>
      <w:bookmarkStart w:id="0" w:name="_GoBack"/>
      <w:bookmarkEnd w:id="0"/>
      <w:r w:rsidRPr="00A3752A">
        <w:rPr>
          <w:b/>
          <w:sz w:val="28"/>
          <w:szCs w:val="28"/>
        </w:rPr>
        <w:t>Ministru kabineta noteikumu “Gr</w:t>
      </w:r>
      <w:r w:rsidR="00BF3311">
        <w:rPr>
          <w:b/>
          <w:sz w:val="28"/>
          <w:szCs w:val="28"/>
        </w:rPr>
        <w:t>ozījumi Ministru kabineta 2017.</w:t>
      </w:r>
      <w:r w:rsidRPr="00A3752A">
        <w:rPr>
          <w:b/>
          <w:sz w:val="28"/>
          <w:szCs w:val="28"/>
        </w:rPr>
        <w:t xml:space="preserve">gada </w:t>
      </w:r>
      <w:r w:rsidR="00274B1F">
        <w:rPr>
          <w:b/>
          <w:sz w:val="28"/>
          <w:szCs w:val="28"/>
        </w:rPr>
        <w:t>28.februāra</w:t>
      </w:r>
      <w:r w:rsidR="00BF3311">
        <w:rPr>
          <w:b/>
          <w:sz w:val="28"/>
          <w:szCs w:val="28"/>
        </w:rPr>
        <w:t xml:space="preserve"> noteikumos Nr.</w:t>
      </w:r>
      <w:r w:rsidR="00274B1F">
        <w:rPr>
          <w:b/>
          <w:sz w:val="28"/>
          <w:szCs w:val="28"/>
        </w:rPr>
        <w:t>109</w:t>
      </w:r>
      <w:r w:rsidRPr="00A3752A">
        <w:rPr>
          <w:b/>
          <w:sz w:val="28"/>
          <w:szCs w:val="28"/>
        </w:rPr>
        <w:t xml:space="preserve"> “</w:t>
      </w:r>
      <w:r w:rsidR="00405B6A">
        <w:rPr>
          <w:b/>
          <w:sz w:val="28"/>
          <w:szCs w:val="28"/>
        </w:rPr>
        <w:t>Noteikumi par profesionālās darbības pārkāpumiem</w:t>
      </w:r>
      <w:r w:rsidRPr="00A3752A">
        <w:rPr>
          <w:b/>
          <w:sz w:val="28"/>
          <w:szCs w:val="28"/>
        </w:rPr>
        <w:t>””</w:t>
      </w:r>
      <w:r w:rsidR="00894C55" w:rsidRPr="00A3752A">
        <w:rPr>
          <w:rFonts w:eastAsia="Times New Roman" w:cs="Times New Roman"/>
          <w:b/>
          <w:bCs/>
          <w:sz w:val="28"/>
          <w:szCs w:val="28"/>
          <w:lang w:eastAsia="lv-LV"/>
        </w:rPr>
        <w:t xml:space="preserve"> projekta</w:t>
      </w:r>
      <w:r w:rsidRPr="00A3752A">
        <w:rPr>
          <w:rFonts w:eastAsia="Times New Roman" w:cs="Times New Roman"/>
          <w:b/>
          <w:bCs/>
          <w:sz w:val="28"/>
          <w:szCs w:val="28"/>
          <w:lang w:eastAsia="lv-LV"/>
        </w:rPr>
        <w:t xml:space="preserve"> </w:t>
      </w:r>
      <w:r w:rsidR="00894C55" w:rsidRPr="00A3752A">
        <w:rPr>
          <w:rFonts w:eastAsia="Times New Roman" w:cs="Times New Roman"/>
          <w:b/>
          <w:bCs/>
          <w:sz w:val="28"/>
          <w:szCs w:val="28"/>
          <w:lang w:eastAsia="lv-LV"/>
        </w:rPr>
        <w:t>sākotnējās ietekmes novērtējuma ziņojums (anotācija)</w:t>
      </w:r>
    </w:p>
    <w:p w14:paraId="3267886E" w14:textId="77777777" w:rsidR="00894C55" w:rsidRPr="00A3752A" w:rsidRDefault="00894C55" w:rsidP="00894C55">
      <w:pPr>
        <w:shd w:val="clear" w:color="auto" w:fill="FFFFFF"/>
        <w:spacing w:before="45" w:after="0" w:line="248" w:lineRule="atLeast"/>
        <w:ind w:firstLine="300"/>
        <w:jc w:val="center"/>
        <w:rPr>
          <w:rFonts w:eastAsia="Times New Roman" w:cs="Times New Roman"/>
          <w:iCs/>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494"/>
        <w:gridCol w:w="6109"/>
      </w:tblGrid>
      <w:tr w:rsidR="0037321C" w:rsidRPr="007360EC" w14:paraId="4AB00CCF"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8E9C179" w14:textId="77777777" w:rsidR="00894C55" w:rsidRPr="007360EC" w:rsidRDefault="00894C55" w:rsidP="00BC2B19">
            <w:pPr>
              <w:spacing w:after="60" w:line="240" w:lineRule="auto"/>
              <w:jc w:val="center"/>
              <w:rPr>
                <w:rFonts w:eastAsia="Times New Roman" w:cs="Times New Roman"/>
                <w:b/>
                <w:bCs/>
                <w:szCs w:val="24"/>
                <w:lang w:eastAsia="lv-LV"/>
              </w:rPr>
            </w:pPr>
            <w:r w:rsidRPr="007360EC">
              <w:rPr>
                <w:rFonts w:eastAsia="Times New Roman" w:cs="Times New Roman"/>
                <w:b/>
                <w:bCs/>
                <w:szCs w:val="24"/>
                <w:lang w:eastAsia="lv-LV"/>
              </w:rPr>
              <w:t>I.</w:t>
            </w:r>
            <w:r w:rsidR="0050178F" w:rsidRPr="007360EC">
              <w:rPr>
                <w:rFonts w:eastAsia="Times New Roman" w:cs="Times New Roman"/>
                <w:b/>
                <w:bCs/>
                <w:szCs w:val="24"/>
                <w:lang w:eastAsia="lv-LV"/>
              </w:rPr>
              <w:t> </w:t>
            </w:r>
            <w:r w:rsidRPr="007360EC">
              <w:rPr>
                <w:rFonts w:eastAsia="Times New Roman" w:cs="Times New Roman"/>
                <w:b/>
                <w:bCs/>
                <w:szCs w:val="24"/>
                <w:lang w:eastAsia="lv-LV"/>
              </w:rPr>
              <w:t>Tiesību akta projekta izstrādes nepieciešamība</w:t>
            </w:r>
          </w:p>
        </w:tc>
      </w:tr>
      <w:tr w:rsidR="0037321C" w:rsidRPr="007360EC" w14:paraId="3B56E8D6" w14:textId="77777777" w:rsidTr="0058464C">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EE83079" w14:textId="77777777" w:rsidR="00894C55" w:rsidRPr="007360EC" w:rsidRDefault="00894C55" w:rsidP="0037321C">
            <w:pPr>
              <w:spacing w:after="0" w:line="240" w:lineRule="auto"/>
              <w:jc w:val="center"/>
              <w:rPr>
                <w:rFonts w:eastAsia="Times New Roman" w:cs="Times New Roman"/>
                <w:szCs w:val="24"/>
                <w:lang w:eastAsia="lv-LV"/>
              </w:rPr>
            </w:pPr>
            <w:r w:rsidRPr="007360EC">
              <w:rPr>
                <w:rFonts w:eastAsia="Times New Roman" w:cs="Times New Roman"/>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14:paraId="0C98728B" w14:textId="77777777" w:rsidR="00894C55" w:rsidRPr="007360EC" w:rsidRDefault="00894C55" w:rsidP="0037321C">
            <w:pPr>
              <w:spacing w:after="0" w:line="240" w:lineRule="auto"/>
              <w:rPr>
                <w:rFonts w:eastAsia="Times New Roman" w:cs="Times New Roman"/>
                <w:szCs w:val="24"/>
                <w:lang w:eastAsia="lv-LV"/>
              </w:rPr>
            </w:pPr>
            <w:r w:rsidRPr="007360EC">
              <w:rPr>
                <w:rFonts w:eastAsia="Times New Roman" w:cs="Times New Roman"/>
                <w:szCs w:val="24"/>
                <w:lang w:eastAsia="lv-LV"/>
              </w:rPr>
              <w:t>Pamatojums</w:t>
            </w:r>
          </w:p>
        </w:tc>
        <w:tc>
          <w:tcPr>
            <w:tcW w:w="3373" w:type="pct"/>
            <w:tcBorders>
              <w:top w:val="outset" w:sz="6" w:space="0" w:color="414142"/>
              <w:left w:val="outset" w:sz="6" w:space="0" w:color="414142"/>
              <w:bottom w:val="outset" w:sz="6" w:space="0" w:color="414142"/>
              <w:right w:val="outset" w:sz="6" w:space="0" w:color="414142"/>
            </w:tcBorders>
            <w:hideMark/>
          </w:tcPr>
          <w:p w14:paraId="6F0C0634" w14:textId="2A76F896" w:rsidR="00740FD1" w:rsidRPr="007360EC" w:rsidRDefault="00740FD1" w:rsidP="005A12DC">
            <w:pPr>
              <w:spacing w:after="60" w:line="240" w:lineRule="auto"/>
              <w:ind w:right="57"/>
              <w:jc w:val="both"/>
              <w:rPr>
                <w:rFonts w:eastAsia="Times New Roman" w:cs="Times New Roman"/>
                <w:szCs w:val="24"/>
                <w:lang w:eastAsia="lv-LV"/>
              </w:rPr>
            </w:pPr>
            <w:r w:rsidRPr="007360EC">
              <w:rPr>
                <w:rFonts w:cs="Times New Roman"/>
                <w:szCs w:val="24"/>
              </w:rPr>
              <w:t xml:space="preserve">Publiskās un privātās partnerības likuma </w:t>
            </w:r>
            <w:r w:rsidR="00D82548">
              <w:rPr>
                <w:rFonts w:cs="Times New Roman"/>
                <w:szCs w:val="24"/>
              </w:rPr>
              <w:t>(turpmāk – Likumprojekts</w:t>
            </w:r>
            <w:r w:rsidR="001C3CCC">
              <w:rPr>
                <w:rFonts w:cs="Times New Roman"/>
                <w:szCs w:val="24"/>
              </w:rPr>
              <w:t xml:space="preserve">) </w:t>
            </w:r>
            <w:r w:rsidR="0081317C" w:rsidRPr="007360EC">
              <w:rPr>
                <w:rFonts w:eastAsia="Times New Roman"/>
                <w:szCs w:val="24"/>
                <w:lang w:eastAsia="lv-LV"/>
              </w:rPr>
              <w:t>37.panta astotā daļa</w:t>
            </w:r>
            <w:r w:rsidR="00606D94" w:rsidRPr="007360EC">
              <w:rPr>
                <w:rFonts w:eastAsia="Times New Roman"/>
                <w:szCs w:val="24"/>
                <w:lang w:eastAsia="lv-LV"/>
              </w:rPr>
              <w:t xml:space="preserve"> </w:t>
            </w:r>
            <w:r w:rsidR="00606D94" w:rsidRPr="007360EC">
              <w:rPr>
                <w:rFonts w:eastAsia="Times New Roman" w:cs="Times New Roman"/>
                <w:szCs w:val="24"/>
                <w:lang w:eastAsia="lv-LV"/>
              </w:rPr>
              <w:t xml:space="preserve">(pēc </w:t>
            </w:r>
            <w:r w:rsidR="00606D94" w:rsidRPr="007360EC">
              <w:rPr>
                <w:rFonts w:cs="Times New Roman"/>
                <w:szCs w:val="24"/>
              </w:rPr>
              <w:t>likumprojekta “Grozījumi Publiskās u</w:t>
            </w:r>
            <w:r w:rsidR="000F42F6" w:rsidRPr="007360EC">
              <w:rPr>
                <w:rFonts w:cs="Times New Roman"/>
                <w:szCs w:val="24"/>
              </w:rPr>
              <w:t xml:space="preserve">n privātās partnerības likumā” </w:t>
            </w:r>
            <w:r w:rsidR="00606D94" w:rsidRPr="007360EC">
              <w:rPr>
                <w:rFonts w:cs="Times New Roman"/>
                <w:szCs w:val="24"/>
              </w:rPr>
              <w:t>spēkā stāšanās).</w:t>
            </w:r>
          </w:p>
        </w:tc>
      </w:tr>
      <w:tr w:rsidR="0037321C" w:rsidRPr="007360EC" w14:paraId="55ABC9A5" w14:textId="77777777" w:rsidTr="0058464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02F1B9B" w14:textId="77777777" w:rsidR="00894C55" w:rsidRPr="007360EC" w:rsidRDefault="00894C55" w:rsidP="0037321C">
            <w:pPr>
              <w:spacing w:after="0" w:line="240" w:lineRule="auto"/>
              <w:jc w:val="center"/>
              <w:rPr>
                <w:rFonts w:eastAsia="Times New Roman" w:cs="Times New Roman"/>
                <w:szCs w:val="24"/>
                <w:lang w:eastAsia="lv-LV"/>
              </w:rPr>
            </w:pPr>
            <w:r w:rsidRPr="007360EC">
              <w:rPr>
                <w:rFonts w:eastAsia="Times New Roman" w:cs="Times New Roman"/>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14:paraId="7A42D62F" w14:textId="77777777" w:rsidR="00894C55" w:rsidRPr="007360EC" w:rsidRDefault="00894C55" w:rsidP="0037321C">
            <w:pPr>
              <w:spacing w:after="0" w:line="240" w:lineRule="auto"/>
              <w:rPr>
                <w:rFonts w:eastAsia="Times New Roman" w:cs="Times New Roman"/>
                <w:szCs w:val="24"/>
                <w:lang w:eastAsia="lv-LV"/>
              </w:rPr>
            </w:pPr>
            <w:r w:rsidRPr="007360EC">
              <w:rPr>
                <w:rFonts w:eastAsia="Times New Roman" w:cs="Times New Roman"/>
                <w:szCs w:val="24"/>
                <w:lang w:eastAsia="lv-LV"/>
              </w:rPr>
              <w:t>Pašreizējā situācija un problēmas, kuru risināšanai tiesību akta projekts izstrādāts, tiesiskā regulējuma mērķis un būtība</w:t>
            </w:r>
          </w:p>
        </w:tc>
        <w:tc>
          <w:tcPr>
            <w:tcW w:w="3373" w:type="pct"/>
            <w:tcBorders>
              <w:top w:val="outset" w:sz="6" w:space="0" w:color="414142"/>
              <w:left w:val="outset" w:sz="6" w:space="0" w:color="414142"/>
              <w:bottom w:val="outset" w:sz="6" w:space="0" w:color="414142"/>
              <w:right w:val="outset" w:sz="6" w:space="0" w:color="414142"/>
            </w:tcBorders>
            <w:hideMark/>
          </w:tcPr>
          <w:p w14:paraId="1E31ED2B" w14:textId="77777777" w:rsidR="00E82BC4" w:rsidRDefault="0098264A" w:rsidP="0098264A">
            <w:pPr>
              <w:spacing w:after="60" w:line="240" w:lineRule="auto"/>
              <w:ind w:right="57"/>
              <w:jc w:val="both"/>
              <w:rPr>
                <w:rFonts w:eastAsia="Times New Roman"/>
                <w:szCs w:val="24"/>
                <w:lang w:eastAsia="lv-LV"/>
              </w:rPr>
            </w:pPr>
            <w:r w:rsidRPr="007360EC">
              <w:rPr>
                <w:szCs w:val="24"/>
              </w:rPr>
              <w:t xml:space="preserve">Ministru kabineta 2017.gada </w:t>
            </w:r>
            <w:r w:rsidR="00274B1F" w:rsidRPr="007360EC">
              <w:rPr>
                <w:szCs w:val="24"/>
              </w:rPr>
              <w:t>28.februāra</w:t>
            </w:r>
            <w:r w:rsidRPr="007360EC">
              <w:rPr>
                <w:szCs w:val="24"/>
              </w:rPr>
              <w:t xml:space="preserve"> noteikumi Nr.</w:t>
            </w:r>
            <w:r w:rsidR="00274B1F" w:rsidRPr="007360EC">
              <w:rPr>
                <w:szCs w:val="24"/>
              </w:rPr>
              <w:t>109</w:t>
            </w:r>
            <w:r w:rsidRPr="007360EC">
              <w:rPr>
                <w:szCs w:val="24"/>
              </w:rPr>
              <w:t xml:space="preserve"> “</w:t>
            </w:r>
            <w:r w:rsidR="00405B6A" w:rsidRPr="007360EC">
              <w:rPr>
                <w:szCs w:val="24"/>
              </w:rPr>
              <w:t>Noteikumi par profesionālās darbības pārkāpumiem</w:t>
            </w:r>
            <w:r w:rsidRPr="007360EC">
              <w:rPr>
                <w:szCs w:val="24"/>
              </w:rPr>
              <w:t xml:space="preserve">”, </w:t>
            </w:r>
            <w:r w:rsidRPr="007360EC">
              <w:rPr>
                <w:rFonts w:eastAsia="Times New Roman"/>
                <w:szCs w:val="24"/>
                <w:lang w:eastAsia="lv-LV"/>
              </w:rPr>
              <w:t>nosaka to profesionālās darbības pārkāpumu sarakstu par kuriem paredzēta piegādātāja izslēgšana no iepirkuma procedūras.</w:t>
            </w:r>
          </w:p>
          <w:p w14:paraId="6114C845" w14:textId="2C5F008E" w:rsidR="00D82548" w:rsidRPr="007360EC" w:rsidRDefault="00D82548" w:rsidP="00D82548">
            <w:pPr>
              <w:spacing w:after="60" w:line="240" w:lineRule="auto"/>
              <w:ind w:right="57"/>
              <w:jc w:val="both"/>
              <w:rPr>
                <w:rFonts w:cs="Times New Roman"/>
                <w:szCs w:val="24"/>
                <w:shd w:val="clear" w:color="auto" w:fill="FFFFFF"/>
              </w:rPr>
            </w:pPr>
            <w:r w:rsidRPr="007360EC">
              <w:rPr>
                <w:rFonts w:cs="Times New Roman"/>
                <w:szCs w:val="24"/>
                <w:shd w:val="clear" w:color="auto" w:fill="FFFFFF"/>
              </w:rPr>
              <w:t xml:space="preserve">Likumprojekts </w:t>
            </w:r>
            <w:r w:rsidRPr="007360EC">
              <w:rPr>
                <w:rFonts w:cs="Times New Roman"/>
                <w:szCs w:val="24"/>
              </w:rPr>
              <w:t xml:space="preserve">“Grozījumi Publiskās un privātās partnerības likumā”, iesniegti Saeimā ar Valsts kancelejas 2017.gada 24.februāra pavadvēstuli Nr.90/TA-145(2017), Saeimas </w:t>
            </w:r>
            <w:proofErr w:type="spellStart"/>
            <w:r w:rsidRPr="007360EC">
              <w:rPr>
                <w:rFonts w:cs="Times New Roman"/>
                <w:szCs w:val="24"/>
              </w:rPr>
              <w:t>reģ</w:t>
            </w:r>
            <w:proofErr w:type="spellEnd"/>
            <w:r w:rsidRPr="007360EC">
              <w:rPr>
                <w:rFonts w:cs="Times New Roman"/>
                <w:szCs w:val="24"/>
              </w:rPr>
              <w:t>. Nr.</w:t>
            </w:r>
            <w:r w:rsidRPr="007360EC">
              <w:rPr>
                <w:rFonts w:cs="Times New Roman"/>
                <w:bCs/>
                <w:szCs w:val="24"/>
              </w:rPr>
              <w:t>841/Lp12</w:t>
            </w:r>
            <w:r w:rsidR="00FE5BC6">
              <w:rPr>
                <w:rFonts w:cs="Times New Roman"/>
                <w:szCs w:val="24"/>
              </w:rPr>
              <w:t xml:space="preserve"> un</w:t>
            </w:r>
            <w:r>
              <w:rPr>
                <w:rFonts w:cs="Times New Roman"/>
                <w:szCs w:val="24"/>
              </w:rPr>
              <w:t xml:space="preserve"> 2017.gada 20.aprīlī tiks skatīti Saeimā otrajā galīgajā lasījumā.</w:t>
            </w:r>
          </w:p>
          <w:p w14:paraId="711FB0D9" w14:textId="3F4BCFD1" w:rsidR="0098264A" w:rsidRPr="007360EC" w:rsidRDefault="0098264A" w:rsidP="0098264A">
            <w:pPr>
              <w:spacing w:after="60" w:line="240" w:lineRule="auto"/>
              <w:ind w:right="57"/>
              <w:jc w:val="both"/>
              <w:rPr>
                <w:rFonts w:eastAsia="Times New Roman"/>
                <w:szCs w:val="24"/>
                <w:lang w:eastAsia="lv-LV"/>
              </w:rPr>
            </w:pPr>
            <w:r w:rsidRPr="007360EC">
              <w:rPr>
                <w:rFonts w:cs="Times New Roman"/>
                <w:szCs w:val="24"/>
              </w:rPr>
              <w:t xml:space="preserve">Atbilstoši </w:t>
            </w:r>
            <w:r w:rsidR="001C3CCC">
              <w:rPr>
                <w:rFonts w:cs="Times New Roman"/>
                <w:szCs w:val="24"/>
              </w:rPr>
              <w:t>L</w:t>
            </w:r>
            <w:r w:rsidR="00D82548">
              <w:rPr>
                <w:rFonts w:cs="Times New Roman"/>
                <w:szCs w:val="24"/>
              </w:rPr>
              <w:t>ikumprojektā</w:t>
            </w:r>
            <w:r w:rsidR="00BE60D5">
              <w:rPr>
                <w:rFonts w:cs="Times New Roman"/>
                <w:szCs w:val="24"/>
              </w:rPr>
              <w:t xml:space="preserve"> </w:t>
            </w:r>
            <w:r w:rsidRPr="007360EC">
              <w:rPr>
                <w:rFonts w:cs="Times New Roman"/>
                <w:szCs w:val="24"/>
              </w:rPr>
              <w:t xml:space="preserve">paredzētajam deleģējumam </w:t>
            </w:r>
            <w:r w:rsidRPr="007360EC">
              <w:rPr>
                <w:rFonts w:cs="Times New Roman"/>
                <w:szCs w:val="24"/>
                <w:shd w:val="clear" w:color="auto" w:fill="FFFFFF"/>
              </w:rPr>
              <w:t xml:space="preserve">Ministru kabinets nosaka </w:t>
            </w:r>
            <w:r w:rsidRPr="007360EC">
              <w:rPr>
                <w:rFonts w:cs="Times New Roman"/>
                <w:szCs w:val="24"/>
                <w:lang w:eastAsia="lv-LV"/>
              </w:rPr>
              <w:t>to profesionālās darbības pārkāpumu sarakstu, par kuriem paredzēta izslēgšana no koncesijas procedūras</w:t>
            </w:r>
            <w:r w:rsidRPr="007360EC">
              <w:rPr>
                <w:rFonts w:cs="Times New Roman"/>
                <w:szCs w:val="24"/>
                <w:shd w:val="clear" w:color="auto" w:fill="FFFFFF"/>
              </w:rPr>
              <w:t>.</w:t>
            </w:r>
            <w:r w:rsidR="00997E0E" w:rsidRPr="007360EC">
              <w:rPr>
                <w:rFonts w:cs="Times New Roman"/>
                <w:szCs w:val="24"/>
                <w:shd w:val="clear" w:color="auto" w:fill="FFFFFF"/>
              </w:rPr>
              <w:t xml:space="preserve"> Ņemot vērā ka partnerības iepirkuma procedūras tiek veiktas atbilstoši Publisko iepirkumu likumam un Sabiedrisko pakalpojumu sniedzēju iepirkuma likumam, </w:t>
            </w:r>
            <w:r w:rsidR="001F6977" w:rsidRPr="007360EC">
              <w:rPr>
                <w:rFonts w:cs="Times New Roman"/>
                <w:szCs w:val="24"/>
                <w:shd w:val="clear" w:color="auto" w:fill="FFFFFF"/>
              </w:rPr>
              <w:t>tajās</w:t>
            </w:r>
            <w:r w:rsidR="00997E0E" w:rsidRPr="007360EC">
              <w:rPr>
                <w:rFonts w:cs="Times New Roman"/>
                <w:szCs w:val="24"/>
                <w:shd w:val="clear" w:color="auto" w:fill="FFFFFF"/>
              </w:rPr>
              <w:t xml:space="preserve"> tiek piemērota </w:t>
            </w:r>
            <w:r w:rsidR="00997E0E" w:rsidRPr="007360EC">
              <w:rPr>
                <w:rFonts w:eastAsia="Times New Roman"/>
                <w:szCs w:val="24"/>
                <w:lang w:eastAsia="lv-LV"/>
              </w:rPr>
              <w:t>piegādātāja izslēgšana no iepirkuma procedūras par profesionālās darbība pārkāpumiem</w:t>
            </w:r>
            <w:r w:rsidR="001F6977" w:rsidRPr="007360EC">
              <w:rPr>
                <w:rFonts w:eastAsia="Times New Roman"/>
                <w:szCs w:val="24"/>
                <w:lang w:eastAsia="lv-LV"/>
              </w:rPr>
              <w:t xml:space="preserve">. Projekts paredz ar šo noteikumu grozījumiem </w:t>
            </w:r>
            <w:r w:rsidR="001F6977" w:rsidRPr="007360EC">
              <w:rPr>
                <w:rFonts w:eastAsia="Times New Roman" w:cs="Times New Roman"/>
                <w:szCs w:val="24"/>
                <w:lang w:eastAsia="lv-LV"/>
              </w:rPr>
              <w:t xml:space="preserve">profesionālās darbības pārkāpumu sarakstu </w:t>
            </w:r>
            <w:r w:rsidR="007360EC" w:rsidRPr="007360EC">
              <w:rPr>
                <w:rFonts w:eastAsia="Times New Roman"/>
                <w:szCs w:val="24"/>
                <w:lang w:eastAsia="lv-LV"/>
              </w:rPr>
              <w:t>attiecināt</w:t>
            </w:r>
            <w:r w:rsidR="007360EC" w:rsidRPr="007360EC">
              <w:rPr>
                <w:rFonts w:eastAsia="Times New Roman" w:cs="Times New Roman"/>
                <w:szCs w:val="24"/>
                <w:lang w:eastAsia="lv-LV"/>
              </w:rPr>
              <w:t xml:space="preserve"> </w:t>
            </w:r>
            <w:r w:rsidR="001F6977" w:rsidRPr="007360EC">
              <w:rPr>
                <w:rFonts w:eastAsia="Times New Roman" w:cs="Times New Roman"/>
                <w:szCs w:val="24"/>
                <w:lang w:eastAsia="lv-LV"/>
              </w:rPr>
              <w:t xml:space="preserve">arī uz </w:t>
            </w:r>
            <w:r w:rsidR="00C75EF4" w:rsidRPr="007360EC">
              <w:rPr>
                <w:rFonts w:eastAsia="Times New Roman"/>
                <w:szCs w:val="24"/>
                <w:lang w:eastAsia="lv-LV"/>
              </w:rPr>
              <w:t>koncesiju procedūrām.</w:t>
            </w:r>
          </w:p>
          <w:p w14:paraId="67D064B3" w14:textId="68F62AEB" w:rsidR="00BC2B19" w:rsidRDefault="009B3E10" w:rsidP="00EF097B">
            <w:pPr>
              <w:spacing w:after="60" w:line="240" w:lineRule="auto"/>
              <w:ind w:right="57"/>
              <w:jc w:val="both"/>
              <w:rPr>
                <w:rFonts w:eastAsia="Times New Roman" w:cs="Times New Roman"/>
                <w:szCs w:val="24"/>
                <w:lang w:eastAsia="lv-LV"/>
              </w:rPr>
            </w:pPr>
            <w:r w:rsidRPr="007360EC">
              <w:rPr>
                <w:rFonts w:eastAsia="Times New Roman" w:cs="Times New Roman"/>
                <w:szCs w:val="24"/>
                <w:lang w:eastAsia="lv-LV"/>
              </w:rPr>
              <w:t xml:space="preserve">Direktīvas 2014/23/ES </w:t>
            </w:r>
            <w:r w:rsidR="005A50AE" w:rsidRPr="007360EC">
              <w:rPr>
                <w:rFonts w:eastAsia="Times New Roman" w:cs="Times New Roman"/>
                <w:szCs w:val="24"/>
                <w:lang w:eastAsia="lv-LV"/>
              </w:rPr>
              <w:t>38.panta septītā punkta “c” apakšpunkts, nosaka, ja līgumslēdzēja iestāde ar atbilstošiem līdzekļiem var pierādīt, ka ekonomikas dalībnieks ir vainīgs kādā ar profesionālo darbību saistītā smagā pārkāpumā, kas liek apšaubīt šā ekonomikas dalībnieka godprātību.</w:t>
            </w:r>
            <w:r w:rsidR="00E4487B">
              <w:rPr>
                <w:rFonts w:eastAsia="Times New Roman" w:cs="Times New Roman"/>
                <w:szCs w:val="24"/>
                <w:lang w:eastAsia="lv-LV"/>
              </w:rPr>
              <w:t xml:space="preserve"> </w:t>
            </w:r>
            <w:r w:rsidR="00E4487B" w:rsidRPr="007360EC">
              <w:rPr>
                <w:rFonts w:cs="Times New Roman"/>
                <w:szCs w:val="24"/>
              </w:rPr>
              <w:t xml:space="preserve">Līdz ar to projektā ir </w:t>
            </w:r>
            <w:r w:rsidR="00E4487B" w:rsidRPr="007360EC">
              <w:rPr>
                <w:rFonts w:eastAsia="Times New Roman" w:cs="Times New Roman"/>
                <w:szCs w:val="24"/>
                <w:lang w:eastAsia="lv-LV"/>
              </w:rPr>
              <w:t>noteikts profesionālās darbības pārkāpumu saraksts par kuriem paredzēta izslēgšana no koncesijas procedūras.</w:t>
            </w:r>
          </w:p>
          <w:p w14:paraId="40B40836" w14:textId="07C0BDBB" w:rsidR="004C7A0B" w:rsidRPr="007360EC" w:rsidRDefault="000073F4" w:rsidP="00E4487B">
            <w:pPr>
              <w:spacing w:after="60" w:line="240" w:lineRule="auto"/>
              <w:ind w:right="57"/>
              <w:jc w:val="both"/>
              <w:rPr>
                <w:rFonts w:eastAsia="Times New Roman" w:cs="Times New Roman"/>
                <w:szCs w:val="24"/>
                <w:lang w:eastAsia="lv-LV"/>
              </w:rPr>
            </w:pPr>
            <w:r w:rsidRPr="008E1901">
              <w:t>Direktīvas 2014/23/ES 38. panta septītā punkta “c” apakšpunkts ir pārņemts likumprojekta 35. pantā izteiktajā 37. panta otrās daļas 2. punktā un 37. panta astotajā daļā atbilstoši likumprojekta anotācijas V sadaļā norādītajam.</w:t>
            </w:r>
          </w:p>
        </w:tc>
      </w:tr>
      <w:tr w:rsidR="0037321C" w:rsidRPr="007360EC" w14:paraId="20AD675D" w14:textId="77777777" w:rsidTr="0058464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63AA77" w14:textId="77777777" w:rsidR="00894C55" w:rsidRPr="007360EC" w:rsidRDefault="00894C55" w:rsidP="00BC2B19">
            <w:pPr>
              <w:spacing w:after="60" w:line="240" w:lineRule="auto"/>
              <w:jc w:val="center"/>
              <w:rPr>
                <w:rFonts w:eastAsia="Times New Roman" w:cs="Times New Roman"/>
                <w:szCs w:val="24"/>
                <w:lang w:eastAsia="lv-LV"/>
              </w:rPr>
            </w:pPr>
            <w:r w:rsidRPr="007360EC">
              <w:rPr>
                <w:rFonts w:eastAsia="Times New Roman" w:cs="Times New Roman"/>
                <w:szCs w:val="24"/>
                <w:lang w:eastAsia="lv-LV"/>
              </w:rPr>
              <w:t>3.</w:t>
            </w:r>
          </w:p>
        </w:tc>
        <w:tc>
          <w:tcPr>
            <w:tcW w:w="1377" w:type="pct"/>
            <w:tcBorders>
              <w:top w:val="outset" w:sz="6" w:space="0" w:color="414142"/>
              <w:left w:val="outset" w:sz="6" w:space="0" w:color="414142"/>
              <w:bottom w:val="outset" w:sz="6" w:space="0" w:color="414142"/>
              <w:right w:val="outset" w:sz="6" w:space="0" w:color="414142"/>
            </w:tcBorders>
            <w:hideMark/>
          </w:tcPr>
          <w:p w14:paraId="1C8F63CF" w14:textId="77777777" w:rsidR="00894C55" w:rsidRPr="007360EC" w:rsidRDefault="00894C55" w:rsidP="00BC2B19">
            <w:pPr>
              <w:spacing w:after="60" w:line="240" w:lineRule="auto"/>
              <w:rPr>
                <w:rFonts w:eastAsia="Times New Roman" w:cs="Times New Roman"/>
                <w:szCs w:val="24"/>
                <w:lang w:eastAsia="lv-LV"/>
              </w:rPr>
            </w:pPr>
            <w:r w:rsidRPr="007360EC">
              <w:rPr>
                <w:rFonts w:eastAsia="Times New Roman" w:cs="Times New Roman"/>
                <w:szCs w:val="24"/>
                <w:lang w:eastAsia="lv-LV"/>
              </w:rPr>
              <w:t>Projekta izstrādē iesaistītās institūcijas</w:t>
            </w:r>
          </w:p>
        </w:tc>
        <w:tc>
          <w:tcPr>
            <w:tcW w:w="3373" w:type="pct"/>
            <w:tcBorders>
              <w:top w:val="outset" w:sz="6" w:space="0" w:color="414142"/>
              <w:left w:val="outset" w:sz="6" w:space="0" w:color="414142"/>
              <w:bottom w:val="outset" w:sz="6" w:space="0" w:color="414142"/>
              <w:right w:val="outset" w:sz="6" w:space="0" w:color="414142"/>
            </w:tcBorders>
            <w:hideMark/>
          </w:tcPr>
          <w:p w14:paraId="43F4C81A" w14:textId="77777777" w:rsidR="00894C55" w:rsidRPr="007360EC" w:rsidRDefault="00BC2B19" w:rsidP="00166980">
            <w:pPr>
              <w:spacing w:after="60" w:line="240" w:lineRule="auto"/>
              <w:rPr>
                <w:rFonts w:eastAsia="Times New Roman" w:cs="Times New Roman"/>
                <w:szCs w:val="24"/>
                <w:lang w:eastAsia="lv-LV"/>
              </w:rPr>
            </w:pPr>
            <w:r w:rsidRPr="007360EC">
              <w:rPr>
                <w:rFonts w:eastAsia="Times New Roman" w:cs="Times New Roman"/>
                <w:szCs w:val="24"/>
                <w:lang w:eastAsia="lv-LV"/>
              </w:rPr>
              <w:t>Finanšu ministrija.</w:t>
            </w:r>
          </w:p>
        </w:tc>
      </w:tr>
      <w:tr w:rsidR="0037321C" w:rsidRPr="007360EC" w14:paraId="7EB4D7BC" w14:textId="77777777" w:rsidTr="0058464C">
        <w:tc>
          <w:tcPr>
            <w:tcW w:w="250" w:type="pct"/>
            <w:tcBorders>
              <w:top w:val="outset" w:sz="6" w:space="0" w:color="414142"/>
              <w:left w:val="outset" w:sz="6" w:space="0" w:color="414142"/>
              <w:bottom w:val="outset" w:sz="6" w:space="0" w:color="414142"/>
              <w:right w:val="outset" w:sz="6" w:space="0" w:color="414142"/>
            </w:tcBorders>
            <w:hideMark/>
          </w:tcPr>
          <w:p w14:paraId="37630D10" w14:textId="77777777" w:rsidR="00894C55" w:rsidRPr="007360EC" w:rsidRDefault="00894C55" w:rsidP="00BC2B19">
            <w:pPr>
              <w:spacing w:after="60" w:line="240" w:lineRule="auto"/>
              <w:jc w:val="center"/>
              <w:rPr>
                <w:rFonts w:eastAsia="Times New Roman" w:cs="Times New Roman"/>
                <w:szCs w:val="24"/>
                <w:lang w:eastAsia="lv-LV"/>
              </w:rPr>
            </w:pPr>
            <w:r w:rsidRPr="007360EC">
              <w:rPr>
                <w:rFonts w:eastAsia="Times New Roman" w:cs="Times New Roman"/>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hideMark/>
          </w:tcPr>
          <w:p w14:paraId="6DF8F414" w14:textId="77777777" w:rsidR="00894C55" w:rsidRPr="007360EC" w:rsidRDefault="00894C55" w:rsidP="00BC2B19">
            <w:pPr>
              <w:spacing w:after="60" w:line="240" w:lineRule="auto"/>
              <w:rPr>
                <w:rFonts w:eastAsia="Times New Roman" w:cs="Times New Roman"/>
                <w:szCs w:val="24"/>
                <w:lang w:eastAsia="lv-LV"/>
              </w:rPr>
            </w:pPr>
            <w:r w:rsidRPr="007360EC">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14:paraId="02B8983C" w14:textId="77777777" w:rsidR="00894C55" w:rsidRPr="007360EC" w:rsidRDefault="00BC2B19" w:rsidP="00BC2B19">
            <w:pPr>
              <w:spacing w:after="60" w:line="240" w:lineRule="auto"/>
              <w:rPr>
                <w:rFonts w:eastAsia="Times New Roman" w:cs="Times New Roman"/>
                <w:szCs w:val="24"/>
                <w:lang w:eastAsia="lv-LV"/>
              </w:rPr>
            </w:pPr>
            <w:r w:rsidRPr="007360EC">
              <w:rPr>
                <w:rFonts w:eastAsia="Times New Roman" w:cs="Times New Roman"/>
                <w:szCs w:val="24"/>
                <w:lang w:eastAsia="lv-LV"/>
              </w:rPr>
              <w:t>Nav.</w:t>
            </w:r>
          </w:p>
        </w:tc>
      </w:tr>
    </w:tbl>
    <w:p w14:paraId="7AC5525D" w14:textId="77777777" w:rsidR="00894C55" w:rsidRPr="00A3752A" w:rsidRDefault="00894C55" w:rsidP="00894C55">
      <w:pPr>
        <w:shd w:val="clear" w:color="auto" w:fill="FFFFFF"/>
        <w:spacing w:after="0" w:line="240" w:lineRule="auto"/>
        <w:ind w:firstLine="301"/>
        <w:rPr>
          <w:rFonts w:eastAsia="Times New Roman" w:cs="Times New Roman"/>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494"/>
        <w:gridCol w:w="6109"/>
      </w:tblGrid>
      <w:tr w:rsidR="0037321C" w:rsidRPr="00A3752A" w14:paraId="555754C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25A82C4" w14:textId="77777777" w:rsidR="00894C55" w:rsidRPr="00A3752A" w:rsidRDefault="00894C55" w:rsidP="00BC2B19">
            <w:pPr>
              <w:spacing w:after="0" w:line="240" w:lineRule="auto"/>
              <w:jc w:val="center"/>
              <w:rPr>
                <w:rFonts w:eastAsia="Times New Roman" w:cs="Times New Roman"/>
                <w:b/>
                <w:bCs/>
                <w:szCs w:val="24"/>
                <w:lang w:eastAsia="lv-LV"/>
              </w:rPr>
            </w:pPr>
            <w:r w:rsidRPr="00A3752A">
              <w:rPr>
                <w:rFonts w:eastAsia="Times New Roman" w:cs="Times New Roman"/>
                <w:b/>
                <w:bCs/>
                <w:szCs w:val="24"/>
                <w:lang w:eastAsia="lv-LV"/>
              </w:rPr>
              <w:t>II.</w:t>
            </w:r>
            <w:r w:rsidR="0050178F" w:rsidRPr="00A3752A">
              <w:rPr>
                <w:rFonts w:eastAsia="Times New Roman" w:cs="Times New Roman"/>
                <w:b/>
                <w:bCs/>
                <w:szCs w:val="24"/>
                <w:lang w:eastAsia="lv-LV"/>
              </w:rPr>
              <w:t> </w:t>
            </w:r>
            <w:r w:rsidRPr="00A3752A">
              <w:rPr>
                <w:rFonts w:eastAsia="Times New Roman" w:cs="Times New Roman"/>
                <w:b/>
                <w:bCs/>
                <w:szCs w:val="24"/>
                <w:lang w:eastAsia="lv-LV"/>
              </w:rPr>
              <w:t>Tiesību akta projekta ietekme uz sabiedrību, tautsaimniecības attīstību un administratīvo slogu</w:t>
            </w:r>
          </w:p>
        </w:tc>
      </w:tr>
      <w:tr w:rsidR="0037321C" w:rsidRPr="00A3752A" w14:paraId="52E5F40F" w14:textId="77777777" w:rsidTr="0058464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25BF2EB" w14:textId="77777777" w:rsidR="00894C55" w:rsidRPr="00A3752A" w:rsidRDefault="00894C55" w:rsidP="00BC2B19">
            <w:pPr>
              <w:spacing w:after="0" w:line="240" w:lineRule="auto"/>
              <w:jc w:val="center"/>
              <w:rPr>
                <w:rFonts w:eastAsia="Times New Roman" w:cs="Times New Roman"/>
                <w:szCs w:val="24"/>
                <w:lang w:eastAsia="lv-LV"/>
              </w:rPr>
            </w:pPr>
            <w:r w:rsidRPr="00A3752A">
              <w:rPr>
                <w:rFonts w:eastAsia="Times New Roman" w:cs="Times New Roman"/>
                <w:szCs w:val="24"/>
                <w:lang w:eastAsia="lv-LV"/>
              </w:rPr>
              <w:lastRenderedPageBreak/>
              <w:t>1.</w:t>
            </w:r>
          </w:p>
        </w:tc>
        <w:tc>
          <w:tcPr>
            <w:tcW w:w="1377" w:type="pct"/>
            <w:tcBorders>
              <w:top w:val="outset" w:sz="6" w:space="0" w:color="414142"/>
              <w:left w:val="outset" w:sz="6" w:space="0" w:color="414142"/>
              <w:bottom w:val="outset" w:sz="6" w:space="0" w:color="414142"/>
              <w:right w:val="outset" w:sz="6" w:space="0" w:color="414142"/>
            </w:tcBorders>
            <w:hideMark/>
          </w:tcPr>
          <w:p w14:paraId="6C82E3AE" w14:textId="77777777" w:rsidR="00894C55" w:rsidRPr="00A3752A" w:rsidRDefault="00894C55" w:rsidP="00BC2B19">
            <w:pPr>
              <w:spacing w:after="0" w:line="240" w:lineRule="auto"/>
              <w:rPr>
                <w:rFonts w:eastAsia="Times New Roman" w:cs="Times New Roman"/>
                <w:szCs w:val="24"/>
                <w:lang w:eastAsia="lv-LV"/>
              </w:rPr>
            </w:pPr>
            <w:r w:rsidRPr="00A3752A">
              <w:rPr>
                <w:rFonts w:eastAsia="Times New Roman" w:cs="Times New Roman"/>
                <w:szCs w:val="24"/>
                <w:lang w:eastAsia="lv-LV"/>
              </w:rPr>
              <w:t xml:space="preserve">Sabiedrības </w:t>
            </w:r>
            <w:proofErr w:type="spellStart"/>
            <w:r w:rsidRPr="00A3752A">
              <w:rPr>
                <w:rFonts w:eastAsia="Times New Roman" w:cs="Times New Roman"/>
                <w:szCs w:val="24"/>
                <w:lang w:eastAsia="lv-LV"/>
              </w:rPr>
              <w:t>mērķgrupas</w:t>
            </w:r>
            <w:proofErr w:type="spellEnd"/>
            <w:r w:rsidRPr="00A3752A">
              <w:rPr>
                <w:rFonts w:eastAsia="Times New Roman" w:cs="Times New Roman"/>
                <w:szCs w:val="24"/>
                <w:lang w:eastAsia="lv-LV"/>
              </w:rPr>
              <w:t>, kuras tiesiskais regulējums ietekmē vai varētu ietekmēt</w:t>
            </w:r>
          </w:p>
        </w:tc>
        <w:tc>
          <w:tcPr>
            <w:tcW w:w="3373" w:type="pct"/>
            <w:tcBorders>
              <w:top w:val="outset" w:sz="6" w:space="0" w:color="414142"/>
              <w:left w:val="outset" w:sz="6" w:space="0" w:color="414142"/>
              <w:bottom w:val="outset" w:sz="6" w:space="0" w:color="414142"/>
              <w:right w:val="outset" w:sz="6" w:space="0" w:color="414142"/>
            </w:tcBorders>
            <w:hideMark/>
          </w:tcPr>
          <w:p w14:paraId="746580E5" w14:textId="1C443E6B" w:rsidR="002C1332" w:rsidRPr="00A3752A" w:rsidRDefault="002C1332" w:rsidP="002C1332">
            <w:pPr>
              <w:pStyle w:val="naiskr"/>
              <w:spacing w:before="0" w:after="60"/>
              <w:ind w:right="57"/>
              <w:jc w:val="both"/>
              <w:rPr>
                <w:rFonts w:eastAsia="EUAlbertina_Bold"/>
              </w:rPr>
            </w:pPr>
            <w:r w:rsidRPr="00A3752A">
              <w:rPr>
                <w:iCs/>
              </w:rPr>
              <w:t>Publiskie partneri P</w:t>
            </w:r>
            <w:r w:rsidRPr="00A3752A">
              <w:t xml:space="preserve">ubliskās un privātās partnerības likuma izpratnē un to noteiktās koncesijas procedūras komisijas. </w:t>
            </w:r>
            <w:r w:rsidRPr="00A3752A">
              <w:rPr>
                <w:iCs/>
              </w:rPr>
              <w:t xml:space="preserve">Publisko partneru </w:t>
            </w:r>
            <w:r w:rsidRPr="00A3752A">
              <w:rPr>
                <w:rFonts w:eastAsia="EUAlbertina_Bold"/>
              </w:rPr>
              <w:t xml:space="preserve">aptuvenais skaits nav zināms (atbilstoši </w:t>
            </w:r>
            <w:r w:rsidRPr="00A3752A">
              <w:t xml:space="preserve">Iepirkumu uzraudzības biroja uzturētās publikāciju vadības sistēmas datiem līdz </w:t>
            </w:r>
            <w:r w:rsidR="00AC3788" w:rsidRPr="00A3752A">
              <w:t xml:space="preserve">2016.gada </w:t>
            </w:r>
            <w:r w:rsidR="001F6977">
              <w:t>31.decembrim</w:t>
            </w:r>
            <w:r w:rsidR="00AC3788" w:rsidRPr="00A3752A">
              <w:t xml:space="preserve"> </w:t>
            </w:r>
            <w:r w:rsidR="001A75F5" w:rsidRPr="008D1974">
              <w:rPr>
                <w:rFonts w:eastAsia="EUAlbertina_Bold"/>
                <w:kern w:val="2"/>
              </w:rPr>
              <w:t xml:space="preserve">ir </w:t>
            </w:r>
            <w:r w:rsidR="001A75F5" w:rsidRPr="008D1974" w:rsidDel="000D7605">
              <w:rPr>
                <w:rFonts w:eastAsia="EUAlbertina_Bold"/>
                <w:kern w:val="2"/>
              </w:rPr>
              <w:t>reģistrē</w:t>
            </w:r>
            <w:r w:rsidR="001A75F5" w:rsidRPr="008D1974">
              <w:rPr>
                <w:rFonts w:eastAsia="EUAlbertina_Bold"/>
                <w:kern w:val="2"/>
              </w:rPr>
              <w:t>ti</w:t>
            </w:r>
            <w:r w:rsidR="001A75F5" w:rsidRPr="008D1974" w:rsidDel="000D7605">
              <w:rPr>
                <w:rFonts w:eastAsia="EUAlbertina_Bold"/>
                <w:kern w:val="2"/>
              </w:rPr>
              <w:t xml:space="preserve"> </w:t>
            </w:r>
            <w:r w:rsidR="00F8665F">
              <w:rPr>
                <w:rFonts w:eastAsia="EUAlbertina_Bold"/>
                <w:kern w:val="2"/>
              </w:rPr>
              <w:t xml:space="preserve">1481 </w:t>
            </w:r>
            <w:r w:rsidR="001A75F5" w:rsidRPr="008D1974">
              <w:rPr>
                <w:rFonts w:eastAsia="EUAlbertina_Bold"/>
                <w:kern w:val="2"/>
              </w:rPr>
              <w:t>pasūtītāji</w:t>
            </w:r>
            <w:r w:rsidR="001A75F5" w:rsidRPr="008D1974">
              <w:rPr>
                <w:rFonts w:eastAsia="EUAlbertina_Bold"/>
              </w:rPr>
              <w:t xml:space="preserve"> un </w:t>
            </w:r>
            <w:r w:rsidR="001C3CCC" w:rsidRPr="008D1974">
              <w:rPr>
                <w:rFonts w:eastAsia="EUAlbertina_Bold"/>
              </w:rPr>
              <w:t>2</w:t>
            </w:r>
            <w:r w:rsidR="001C3CCC">
              <w:rPr>
                <w:rFonts w:eastAsia="EUAlbertina_Bold"/>
              </w:rPr>
              <w:t>35</w:t>
            </w:r>
            <w:r w:rsidR="001C3CCC" w:rsidRPr="008D1974">
              <w:rPr>
                <w:rFonts w:eastAsia="EUAlbertina_Bold"/>
              </w:rPr>
              <w:t> </w:t>
            </w:r>
            <w:r w:rsidR="001A75F5" w:rsidRPr="008D1974">
              <w:rPr>
                <w:rFonts w:eastAsia="EUAlbertina_Bold"/>
              </w:rPr>
              <w:t>sabiedrisko pakalpojumu sniedzējs</w:t>
            </w:r>
            <w:r w:rsidRPr="00A3752A">
              <w:rPr>
                <w:rFonts w:eastAsia="EUAlbertina_Bold"/>
              </w:rPr>
              <w:t>).</w:t>
            </w:r>
          </w:p>
          <w:p w14:paraId="750EC69A" w14:textId="77777777" w:rsidR="00166980" w:rsidRPr="00A3752A" w:rsidRDefault="002C1332" w:rsidP="002C1332">
            <w:pPr>
              <w:spacing w:after="60" w:line="240" w:lineRule="auto"/>
              <w:ind w:right="57"/>
              <w:jc w:val="both"/>
              <w:rPr>
                <w:rFonts w:eastAsia="Times New Roman" w:cs="Times New Roman"/>
                <w:szCs w:val="24"/>
                <w:lang w:eastAsia="lv-LV"/>
              </w:rPr>
            </w:pPr>
            <w:r w:rsidRPr="00A3752A">
              <w:rPr>
                <w:rFonts w:eastAsia="EUAlbertina_Bold"/>
                <w:szCs w:val="24"/>
              </w:rPr>
              <w:t xml:space="preserve">Pretendenti </w:t>
            </w:r>
            <w:r w:rsidRPr="00A3752A">
              <w:rPr>
                <w:iCs/>
                <w:szCs w:val="24"/>
              </w:rPr>
              <w:t>P</w:t>
            </w:r>
            <w:r w:rsidRPr="00A3752A">
              <w:rPr>
                <w:rFonts w:cs="Times New Roman"/>
                <w:szCs w:val="24"/>
              </w:rPr>
              <w:t>ubliskā</w:t>
            </w:r>
            <w:r w:rsidRPr="00A3752A">
              <w:rPr>
                <w:szCs w:val="24"/>
              </w:rPr>
              <w:t>s un privātās partnerības likuma izpratnē</w:t>
            </w:r>
            <w:r w:rsidRPr="00A3752A">
              <w:rPr>
                <w:rFonts w:eastAsia="EUAlbertina_Bold"/>
                <w:szCs w:val="24"/>
              </w:rPr>
              <w:t>, to k</w:t>
            </w:r>
            <w:r w:rsidRPr="00A3752A">
              <w:rPr>
                <w:szCs w:val="24"/>
              </w:rPr>
              <w:t xml:space="preserve">opējo skaitu noteikt nav iespējams, kā </w:t>
            </w:r>
            <w:r w:rsidRPr="00A3752A">
              <w:rPr>
                <w:rFonts w:eastAsia="EUAlbertina_Bold"/>
                <w:szCs w:val="24"/>
              </w:rPr>
              <w:t>pretendenti var būt gan fiziskas, gan juridiskas personas, tajā skaitā personas no ārvalstīm.</w:t>
            </w:r>
          </w:p>
        </w:tc>
      </w:tr>
      <w:tr w:rsidR="0037321C" w:rsidRPr="00A3752A" w14:paraId="65E7808D" w14:textId="77777777" w:rsidTr="0058464C">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5AD0D5DD" w14:textId="77777777" w:rsidR="00894C55" w:rsidRPr="00A3752A" w:rsidRDefault="00894C55" w:rsidP="002C1332">
            <w:pPr>
              <w:spacing w:after="60" w:line="240" w:lineRule="auto"/>
              <w:jc w:val="center"/>
              <w:rPr>
                <w:rFonts w:eastAsia="Times New Roman" w:cs="Times New Roman"/>
                <w:szCs w:val="24"/>
                <w:lang w:eastAsia="lv-LV"/>
              </w:rPr>
            </w:pPr>
            <w:r w:rsidRPr="00A3752A">
              <w:rPr>
                <w:rFonts w:eastAsia="Times New Roman" w:cs="Times New Roman"/>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14:paraId="18A96723" w14:textId="77777777" w:rsidR="00894C55" w:rsidRPr="00A3752A" w:rsidRDefault="00894C55" w:rsidP="002C1332">
            <w:pPr>
              <w:spacing w:after="60" w:line="240" w:lineRule="auto"/>
              <w:rPr>
                <w:rFonts w:eastAsia="Times New Roman" w:cs="Times New Roman"/>
                <w:szCs w:val="24"/>
                <w:lang w:eastAsia="lv-LV"/>
              </w:rPr>
            </w:pPr>
            <w:r w:rsidRPr="00A3752A">
              <w:rPr>
                <w:rFonts w:eastAsia="Times New Roman" w:cs="Times New Roman"/>
                <w:szCs w:val="24"/>
                <w:lang w:eastAsia="lv-LV"/>
              </w:rPr>
              <w:t>Tiesiskā regulējuma ietekme uz tautsaimniecību un administratīvo slogu</w:t>
            </w:r>
          </w:p>
        </w:tc>
        <w:tc>
          <w:tcPr>
            <w:tcW w:w="3373" w:type="pct"/>
            <w:tcBorders>
              <w:top w:val="outset" w:sz="6" w:space="0" w:color="414142"/>
              <w:left w:val="outset" w:sz="6" w:space="0" w:color="414142"/>
              <w:bottom w:val="outset" w:sz="6" w:space="0" w:color="414142"/>
              <w:right w:val="outset" w:sz="6" w:space="0" w:color="414142"/>
            </w:tcBorders>
            <w:hideMark/>
          </w:tcPr>
          <w:p w14:paraId="35E67A1D" w14:textId="77777777" w:rsidR="00894C55" w:rsidRPr="00A3752A" w:rsidRDefault="00B62D4D" w:rsidP="00B62D4D">
            <w:pPr>
              <w:spacing w:after="60" w:line="240" w:lineRule="auto"/>
              <w:ind w:right="57"/>
              <w:jc w:val="both"/>
              <w:rPr>
                <w:rFonts w:eastAsia="Times New Roman" w:cs="Times New Roman"/>
                <w:szCs w:val="24"/>
                <w:lang w:eastAsia="lv-LV"/>
              </w:rPr>
            </w:pPr>
            <w:r w:rsidRPr="00A3752A">
              <w:rPr>
                <w:szCs w:val="24"/>
                <w:shd w:val="clear" w:color="auto" w:fill="FFFFFF"/>
              </w:rPr>
              <w:t>Sabiedrības grupām un institūcijām projekta tiesiskais regulējums nemaina tiesības un pienākumus, kā arī veicamās darbības.</w:t>
            </w:r>
          </w:p>
        </w:tc>
      </w:tr>
      <w:tr w:rsidR="0037321C" w:rsidRPr="00A3752A" w14:paraId="6294D912" w14:textId="77777777" w:rsidTr="0058464C">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D3B8F24" w14:textId="77777777" w:rsidR="00894C55" w:rsidRPr="00A3752A" w:rsidRDefault="00894C55" w:rsidP="002C1332">
            <w:pPr>
              <w:spacing w:after="60" w:line="240" w:lineRule="auto"/>
              <w:jc w:val="center"/>
              <w:rPr>
                <w:rFonts w:eastAsia="Times New Roman" w:cs="Times New Roman"/>
                <w:szCs w:val="24"/>
                <w:lang w:eastAsia="lv-LV"/>
              </w:rPr>
            </w:pPr>
            <w:r w:rsidRPr="00A3752A">
              <w:rPr>
                <w:rFonts w:eastAsia="Times New Roman" w:cs="Times New Roman"/>
                <w:szCs w:val="24"/>
                <w:lang w:eastAsia="lv-LV"/>
              </w:rPr>
              <w:t>3.</w:t>
            </w:r>
          </w:p>
        </w:tc>
        <w:tc>
          <w:tcPr>
            <w:tcW w:w="1377" w:type="pct"/>
            <w:tcBorders>
              <w:top w:val="outset" w:sz="6" w:space="0" w:color="414142"/>
              <w:left w:val="outset" w:sz="6" w:space="0" w:color="414142"/>
              <w:bottom w:val="outset" w:sz="6" w:space="0" w:color="414142"/>
              <w:right w:val="outset" w:sz="6" w:space="0" w:color="414142"/>
            </w:tcBorders>
            <w:hideMark/>
          </w:tcPr>
          <w:p w14:paraId="70EF43D3" w14:textId="77777777" w:rsidR="00894C55" w:rsidRPr="00A3752A" w:rsidRDefault="00894C55" w:rsidP="002C1332">
            <w:pPr>
              <w:spacing w:after="60" w:line="240" w:lineRule="auto"/>
              <w:rPr>
                <w:rFonts w:eastAsia="Times New Roman" w:cs="Times New Roman"/>
                <w:szCs w:val="24"/>
                <w:lang w:eastAsia="lv-LV"/>
              </w:rPr>
            </w:pPr>
            <w:r w:rsidRPr="00A3752A">
              <w:rPr>
                <w:rFonts w:eastAsia="Times New Roman" w:cs="Times New Roman"/>
                <w:szCs w:val="24"/>
                <w:lang w:eastAsia="lv-LV"/>
              </w:rPr>
              <w:t>Administratīvo izmaksu monetārs novērtējums</w:t>
            </w:r>
          </w:p>
        </w:tc>
        <w:tc>
          <w:tcPr>
            <w:tcW w:w="3373" w:type="pct"/>
            <w:tcBorders>
              <w:top w:val="outset" w:sz="6" w:space="0" w:color="414142"/>
              <w:left w:val="outset" w:sz="6" w:space="0" w:color="414142"/>
              <w:bottom w:val="outset" w:sz="6" w:space="0" w:color="414142"/>
              <w:right w:val="outset" w:sz="6" w:space="0" w:color="414142"/>
            </w:tcBorders>
            <w:hideMark/>
          </w:tcPr>
          <w:p w14:paraId="2609D749" w14:textId="77777777" w:rsidR="00894C55" w:rsidRPr="00A3752A" w:rsidRDefault="00B62D4D" w:rsidP="00B62D4D">
            <w:pPr>
              <w:spacing w:after="60" w:line="240" w:lineRule="auto"/>
              <w:ind w:right="57"/>
              <w:jc w:val="both"/>
              <w:rPr>
                <w:rFonts w:eastAsia="Times New Roman" w:cs="Times New Roman"/>
                <w:szCs w:val="24"/>
                <w:lang w:eastAsia="lv-LV"/>
              </w:rPr>
            </w:pPr>
            <w:r w:rsidRPr="00A3752A">
              <w:rPr>
                <w:rFonts w:eastAsia="EUAlbertina_Bold"/>
                <w:szCs w:val="24"/>
              </w:rPr>
              <w:t>Projekts šo jomu neskar.</w:t>
            </w:r>
          </w:p>
        </w:tc>
      </w:tr>
      <w:tr w:rsidR="0037321C" w:rsidRPr="00A3752A" w14:paraId="3EA19A4B" w14:textId="77777777" w:rsidTr="0058464C">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0358614F" w14:textId="77777777" w:rsidR="00894C55" w:rsidRPr="00A3752A" w:rsidRDefault="00894C55" w:rsidP="002C1332">
            <w:pPr>
              <w:spacing w:after="60" w:line="240" w:lineRule="auto"/>
              <w:jc w:val="center"/>
              <w:rPr>
                <w:rFonts w:eastAsia="Times New Roman" w:cs="Times New Roman"/>
                <w:szCs w:val="24"/>
                <w:lang w:eastAsia="lv-LV"/>
              </w:rPr>
            </w:pPr>
            <w:r w:rsidRPr="00A3752A">
              <w:rPr>
                <w:rFonts w:eastAsia="Times New Roman" w:cs="Times New Roman"/>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hideMark/>
          </w:tcPr>
          <w:p w14:paraId="7099B809" w14:textId="77777777" w:rsidR="00894C55" w:rsidRPr="00A3752A" w:rsidRDefault="00894C55" w:rsidP="002C1332">
            <w:pPr>
              <w:spacing w:after="60" w:line="240" w:lineRule="auto"/>
              <w:rPr>
                <w:rFonts w:eastAsia="Times New Roman" w:cs="Times New Roman"/>
                <w:szCs w:val="24"/>
                <w:lang w:eastAsia="lv-LV"/>
              </w:rPr>
            </w:pPr>
            <w:r w:rsidRPr="00A3752A">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14:paraId="54363524" w14:textId="77777777" w:rsidR="00894C55" w:rsidRPr="00A3752A" w:rsidRDefault="00B62D4D" w:rsidP="00B62D4D">
            <w:pPr>
              <w:spacing w:after="60" w:line="240" w:lineRule="auto"/>
              <w:ind w:right="57"/>
              <w:jc w:val="both"/>
              <w:rPr>
                <w:rFonts w:eastAsia="Times New Roman" w:cs="Times New Roman"/>
                <w:szCs w:val="24"/>
                <w:lang w:eastAsia="lv-LV"/>
              </w:rPr>
            </w:pPr>
            <w:r w:rsidRPr="00A3752A">
              <w:rPr>
                <w:rFonts w:eastAsia="Times New Roman" w:cs="Times New Roman"/>
                <w:szCs w:val="24"/>
                <w:lang w:eastAsia="lv-LV"/>
              </w:rPr>
              <w:t>Nav.</w:t>
            </w:r>
          </w:p>
        </w:tc>
      </w:tr>
    </w:tbl>
    <w:p w14:paraId="16754DE9" w14:textId="3AA7B646" w:rsidR="0037321C" w:rsidRDefault="0037321C" w:rsidP="001C3CCC">
      <w:pPr>
        <w:shd w:val="clear" w:color="auto" w:fill="FFFFFF"/>
        <w:spacing w:after="0" w:line="240" w:lineRule="auto"/>
        <w:rPr>
          <w:rFonts w:eastAsia="Times New Roman" w:cs="Times New Roman"/>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494"/>
        <w:gridCol w:w="6109"/>
      </w:tblGrid>
      <w:tr w:rsidR="0037321C" w:rsidRPr="00A3752A" w14:paraId="5B7EC0BE"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C9BAE68" w14:textId="77777777" w:rsidR="00894C55" w:rsidRPr="00A3752A" w:rsidRDefault="00894C55" w:rsidP="00816C11">
            <w:pPr>
              <w:spacing w:before="100" w:beforeAutospacing="1" w:after="100" w:afterAutospacing="1" w:line="293" w:lineRule="atLeast"/>
              <w:jc w:val="center"/>
              <w:rPr>
                <w:rFonts w:eastAsia="Times New Roman" w:cs="Times New Roman"/>
                <w:b/>
                <w:bCs/>
                <w:szCs w:val="24"/>
                <w:lang w:eastAsia="lv-LV"/>
              </w:rPr>
            </w:pPr>
            <w:r w:rsidRPr="00A3752A">
              <w:rPr>
                <w:rFonts w:eastAsia="Times New Roman" w:cs="Times New Roman"/>
                <w:b/>
                <w:bCs/>
                <w:szCs w:val="24"/>
                <w:lang w:eastAsia="lv-LV"/>
              </w:rPr>
              <w:t>VI.</w:t>
            </w:r>
            <w:r w:rsidR="00816C11" w:rsidRPr="00A3752A">
              <w:rPr>
                <w:rFonts w:eastAsia="Times New Roman" w:cs="Times New Roman"/>
                <w:b/>
                <w:bCs/>
                <w:szCs w:val="24"/>
                <w:lang w:eastAsia="lv-LV"/>
              </w:rPr>
              <w:t> </w:t>
            </w:r>
            <w:r w:rsidRPr="00A3752A">
              <w:rPr>
                <w:rFonts w:eastAsia="Times New Roman" w:cs="Times New Roman"/>
                <w:b/>
                <w:bCs/>
                <w:szCs w:val="24"/>
                <w:lang w:eastAsia="lv-LV"/>
              </w:rPr>
              <w:t>Sabiedrības līdzdalība un komunikācijas aktivitātes</w:t>
            </w:r>
          </w:p>
        </w:tc>
      </w:tr>
      <w:tr w:rsidR="0037321C" w:rsidRPr="00A3752A" w14:paraId="64E8A955" w14:textId="77777777" w:rsidTr="0058464C">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28B5279F" w14:textId="77777777" w:rsidR="00894C55" w:rsidRPr="00A3752A" w:rsidRDefault="00894C55" w:rsidP="006F1C09">
            <w:pPr>
              <w:spacing w:after="60" w:line="240" w:lineRule="auto"/>
              <w:jc w:val="center"/>
              <w:rPr>
                <w:rFonts w:eastAsia="Times New Roman" w:cs="Times New Roman"/>
                <w:szCs w:val="24"/>
                <w:lang w:eastAsia="lv-LV"/>
              </w:rPr>
            </w:pPr>
            <w:r w:rsidRPr="00A3752A">
              <w:rPr>
                <w:rFonts w:eastAsia="Times New Roman" w:cs="Times New Roman"/>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14:paraId="48BDB622" w14:textId="77777777" w:rsidR="00894C55" w:rsidRPr="00A3752A" w:rsidRDefault="00894C55" w:rsidP="006F1C09">
            <w:pPr>
              <w:spacing w:after="60" w:line="240" w:lineRule="auto"/>
              <w:rPr>
                <w:rFonts w:eastAsia="Times New Roman" w:cs="Times New Roman"/>
                <w:szCs w:val="24"/>
                <w:lang w:eastAsia="lv-LV"/>
              </w:rPr>
            </w:pPr>
            <w:r w:rsidRPr="00A3752A">
              <w:rPr>
                <w:rFonts w:eastAsia="Times New Roman" w:cs="Times New Roman"/>
                <w:szCs w:val="24"/>
                <w:lang w:eastAsia="lv-LV"/>
              </w:rPr>
              <w:t>Plānotās sabiedrības līdzdalības un komunikācijas aktivitātes saistībā ar projektu</w:t>
            </w:r>
          </w:p>
        </w:tc>
        <w:tc>
          <w:tcPr>
            <w:tcW w:w="3373" w:type="pct"/>
            <w:tcBorders>
              <w:top w:val="outset" w:sz="6" w:space="0" w:color="414142"/>
              <w:left w:val="outset" w:sz="6" w:space="0" w:color="414142"/>
              <w:bottom w:val="outset" w:sz="6" w:space="0" w:color="414142"/>
              <w:right w:val="outset" w:sz="6" w:space="0" w:color="414142"/>
            </w:tcBorders>
            <w:hideMark/>
          </w:tcPr>
          <w:p w14:paraId="3101191C" w14:textId="77777777" w:rsidR="006F1C09" w:rsidRPr="00A3752A" w:rsidRDefault="006F1C09" w:rsidP="006F1C09">
            <w:pPr>
              <w:spacing w:after="60" w:line="240" w:lineRule="auto"/>
              <w:ind w:right="57"/>
              <w:jc w:val="both"/>
              <w:rPr>
                <w:rFonts w:eastAsia="Times New Roman" w:cs="Times New Roman"/>
                <w:szCs w:val="24"/>
                <w:lang w:eastAsia="lv-LV"/>
              </w:rPr>
            </w:pPr>
            <w:r w:rsidRPr="00A3752A">
              <w:rPr>
                <w:rFonts w:eastAsia="Times New Roman" w:cs="Times New Roman"/>
                <w:szCs w:val="24"/>
                <w:lang w:eastAsia="lv-LV"/>
              </w:rPr>
              <w:t>Finanšu ministrijas tīmekļa vietnes sadaļā “Sabiedrības līdzdalība” ir ievietota uzziņa par projektu.</w:t>
            </w:r>
          </w:p>
          <w:p w14:paraId="122D0A16" w14:textId="77777777" w:rsidR="00894C55" w:rsidRPr="00A3752A" w:rsidRDefault="006F1C09" w:rsidP="00F974D7">
            <w:pPr>
              <w:spacing w:after="60" w:line="240" w:lineRule="auto"/>
              <w:ind w:right="57"/>
              <w:jc w:val="both"/>
              <w:rPr>
                <w:rFonts w:eastAsia="Times New Roman" w:cs="Times New Roman"/>
                <w:szCs w:val="24"/>
                <w:lang w:eastAsia="lv-LV"/>
              </w:rPr>
            </w:pPr>
            <w:r w:rsidRPr="00A3752A">
              <w:rPr>
                <w:rFonts w:cs="Times New Roman"/>
                <w:iCs/>
                <w:szCs w:val="24"/>
                <w:lang w:eastAsia="lv-LV"/>
              </w:rPr>
              <w:t xml:space="preserve">Projekts pēc tā izsludināšanas Valsts sekretāru sanāksmē būs publiski pieejams Ministru kabineta </w:t>
            </w:r>
            <w:r w:rsidRPr="00A3752A">
              <w:rPr>
                <w:rFonts w:eastAsia="Times New Roman" w:cs="Times New Roman"/>
                <w:szCs w:val="24"/>
                <w:lang w:eastAsia="lv-LV"/>
              </w:rPr>
              <w:t xml:space="preserve">tīmekļa vietnes </w:t>
            </w:r>
            <w:r w:rsidRPr="00A3752A">
              <w:rPr>
                <w:rFonts w:cs="Times New Roman"/>
                <w:iCs/>
                <w:szCs w:val="24"/>
                <w:lang w:eastAsia="lv-LV"/>
              </w:rPr>
              <w:t>sadaļā Tiesību aktu projekti.</w:t>
            </w:r>
          </w:p>
        </w:tc>
      </w:tr>
      <w:tr w:rsidR="0037321C" w:rsidRPr="00A3752A" w14:paraId="7E2FBF68" w14:textId="77777777" w:rsidTr="0058464C">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CB51CB0" w14:textId="77777777" w:rsidR="00894C55" w:rsidRPr="00A3752A" w:rsidRDefault="00894C55" w:rsidP="006F1C09">
            <w:pPr>
              <w:spacing w:after="60" w:line="240" w:lineRule="auto"/>
              <w:jc w:val="center"/>
              <w:rPr>
                <w:rFonts w:eastAsia="Times New Roman" w:cs="Times New Roman"/>
                <w:szCs w:val="24"/>
                <w:lang w:eastAsia="lv-LV"/>
              </w:rPr>
            </w:pPr>
            <w:r w:rsidRPr="00A3752A">
              <w:rPr>
                <w:rFonts w:eastAsia="Times New Roman" w:cs="Times New Roman"/>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14:paraId="5B1A5A9C" w14:textId="77777777" w:rsidR="00894C55" w:rsidRPr="00A3752A" w:rsidRDefault="00894C55" w:rsidP="006F1C09">
            <w:pPr>
              <w:spacing w:after="60" w:line="240" w:lineRule="auto"/>
              <w:rPr>
                <w:rFonts w:eastAsia="Times New Roman" w:cs="Times New Roman"/>
                <w:szCs w:val="24"/>
                <w:lang w:eastAsia="lv-LV"/>
              </w:rPr>
            </w:pPr>
            <w:r w:rsidRPr="00A3752A">
              <w:rPr>
                <w:rFonts w:eastAsia="Times New Roman" w:cs="Times New Roman"/>
                <w:szCs w:val="24"/>
                <w:lang w:eastAsia="lv-LV"/>
              </w:rPr>
              <w:t>Sabiedrības līdzdalība projekta izstrādē</w:t>
            </w:r>
          </w:p>
        </w:tc>
        <w:tc>
          <w:tcPr>
            <w:tcW w:w="3373" w:type="pct"/>
            <w:tcBorders>
              <w:top w:val="outset" w:sz="6" w:space="0" w:color="414142"/>
              <w:left w:val="outset" w:sz="6" w:space="0" w:color="414142"/>
              <w:bottom w:val="outset" w:sz="6" w:space="0" w:color="414142"/>
              <w:right w:val="outset" w:sz="6" w:space="0" w:color="414142"/>
            </w:tcBorders>
            <w:hideMark/>
          </w:tcPr>
          <w:p w14:paraId="1D13083D" w14:textId="77777777" w:rsidR="00894C55" w:rsidRPr="00A3752A" w:rsidRDefault="006F1C09" w:rsidP="006F1C09">
            <w:pPr>
              <w:spacing w:after="60" w:line="240" w:lineRule="auto"/>
              <w:rPr>
                <w:rFonts w:eastAsia="Times New Roman" w:cs="Times New Roman"/>
                <w:szCs w:val="24"/>
                <w:lang w:eastAsia="lv-LV"/>
              </w:rPr>
            </w:pPr>
            <w:r w:rsidRPr="00A3752A">
              <w:rPr>
                <w:rFonts w:eastAsia="Times New Roman" w:cs="Times New Roman"/>
                <w:szCs w:val="24"/>
                <w:lang w:eastAsia="lv-LV"/>
              </w:rPr>
              <w:t>Projekts šo jomu neskar.</w:t>
            </w:r>
          </w:p>
        </w:tc>
      </w:tr>
      <w:tr w:rsidR="0037321C" w:rsidRPr="00A3752A" w14:paraId="43AE3B8E" w14:textId="77777777" w:rsidTr="0058464C">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8CF0247" w14:textId="77777777" w:rsidR="00894C55" w:rsidRPr="00A3752A" w:rsidRDefault="00894C55" w:rsidP="006F1C09">
            <w:pPr>
              <w:spacing w:after="60" w:line="240" w:lineRule="auto"/>
              <w:jc w:val="center"/>
              <w:rPr>
                <w:rFonts w:eastAsia="Times New Roman" w:cs="Times New Roman"/>
                <w:szCs w:val="24"/>
                <w:lang w:eastAsia="lv-LV"/>
              </w:rPr>
            </w:pPr>
            <w:r w:rsidRPr="00A3752A">
              <w:rPr>
                <w:rFonts w:eastAsia="Times New Roman" w:cs="Times New Roman"/>
                <w:szCs w:val="24"/>
                <w:lang w:eastAsia="lv-LV"/>
              </w:rPr>
              <w:t>3.</w:t>
            </w:r>
          </w:p>
        </w:tc>
        <w:tc>
          <w:tcPr>
            <w:tcW w:w="1377" w:type="pct"/>
            <w:tcBorders>
              <w:top w:val="outset" w:sz="6" w:space="0" w:color="414142"/>
              <w:left w:val="outset" w:sz="6" w:space="0" w:color="414142"/>
              <w:bottom w:val="outset" w:sz="6" w:space="0" w:color="414142"/>
              <w:right w:val="outset" w:sz="6" w:space="0" w:color="414142"/>
            </w:tcBorders>
            <w:hideMark/>
          </w:tcPr>
          <w:p w14:paraId="08971D43" w14:textId="77777777" w:rsidR="00894C55" w:rsidRPr="00A3752A" w:rsidRDefault="00894C55" w:rsidP="006F1C09">
            <w:pPr>
              <w:spacing w:after="60" w:line="240" w:lineRule="auto"/>
              <w:rPr>
                <w:rFonts w:eastAsia="Times New Roman" w:cs="Times New Roman"/>
                <w:szCs w:val="24"/>
                <w:lang w:eastAsia="lv-LV"/>
              </w:rPr>
            </w:pPr>
            <w:r w:rsidRPr="00A3752A">
              <w:rPr>
                <w:rFonts w:eastAsia="Times New Roman" w:cs="Times New Roman"/>
                <w:szCs w:val="24"/>
                <w:lang w:eastAsia="lv-LV"/>
              </w:rPr>
              <w:t>Sabiedrības līdzdalības rezultāti</w:t>
            </w:r>
          </w:p>
        </w:tc>
        <w:tc>
          <w:tcPr>
            <w:tcW w:w="3373" w:type="pct"/>
            <w:tcBorders>
              <w:top w:val="outset" w:sz="6" w:space="0" w:color="414142"/>
              <w:left w:val="outset" w:sz="6" w:space="0" w:color="414142"/>
              <w:bottom w:val="outset" w:sz="6" w:space="0" w:color="414142"/>
              <w:right w:val="outset" w:sz="6" w:space="0" w:color="414142"/>
            </w:tcBorders>
            <w:hideMark/>
          </w:tcPr>
          <w:p w14:paraId="284A410C" w14:textId="77777777" w:rsidR="00894C55" w:rsidRPr="00A3752A" w:rsidRDefault="006F1C09" w:rsidP="006F1C09">
            <w:pPr>
              <w:spacing w:after="60" w:line="240" w:lineRule="auto"/>
              <w:rPr>
                <w:rFonts w:eastAsia="Times New Roman" w:cs="Times New Roman"/>
                <w:szCs w:val="24"/>
                <w:lang w:eastAsia="lv-LV"/>
              </w:rPr>
            </w:pPr>
            <w:r w:rsidRPr="00A3752A">
              <w:rPr>
                <w:rFonts w:eastAsia="Times New Roman" w:cs="Times New Roman"/>
                <w:szCs w:val="24"/>
                <w:lang w:eastAsia="lv-LV"/>
              </w:rPr>
              <w:t>Projekts šo jomu neskar.</w:t>
            </w:r>
          </w:p>
        </w:tc>
      </w:tr>
      <w:tr w:rsidR="0037321C" w:rsidRPr="00A3752A" w14:paraId="226CE0B3" w14:textId="77777777" w:rsidTr="0058464C">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0E2F9A65" w14:textId="77777777" w:rsidR="00894C55" w:rsidRPr="00A3752A" w:rsidRDefault="00894C55" w:rsidP="006F1C09">
            <w:pPr>
              <w:spacing w:after="60" w:line="240" w:lineRule="auto"/>
              <w:jc w:val="center"/>
              <w:rPr>
                <w:rFonts w:eastAsia="Times New Roman" w:cs="Times New Roman"/>
                <w:szCs w:val="24"/>
                <w:lang w:eastAsia="lv-LV"/>
              </w:rPr>
            </w:pPr>
            <w:r w:rsidRPr="00A3752A">
              <w:rPr>
                <w:rFonts w:eastAsia="Times New Roman" w:cs="Times New Roman"/>
                <w:szCs w:val="24"/>
                <w:lang w:eastAsia="lv-LV"/>
              </w:rPr>
              <w:t>4.</w:t>
            </w:r>
          </w:p>
        </w:tc>
        <w:tc>
          <w:tcPr>
            <w:tcW w:w="1377" w:type="pct"/>
            <w:tcBorders>
              <w:top w:val="outset" w:sz="6" w:space="0" w:color="414142"/>
              <w:left w:val="outset" w:sz="6" w:space="0" w:color="414142"/>
              <w:bottom w:val="outset" w:sz="6" w:space="0" w:color="414142"/>
              <w:right w:val="outset" w:sz="6" w:space="0" w:color="414142"/>
            </w:tcBorders>
            <w:hideMark/>
          </w:tcPr>
          <w:p w14:paraId="5342C611" w14:textId="77777777" w:rsidR="00894C55" w:rsidRPr="00A3752A" w:rsidRDefault="00894C55" w:rsidP="006F1C09">
            <w:pPr>
              <w:spacing w:after="60" w:line="240" w:lineRule="auto"/>
              <w:rPr>
                <w:rFonts w:eastAsia="Times New Roman" w:cs="Times New Roman"/>
                <w:szCs w:val="24"/>
                <w:lang w:eastAsia="lv-LV"/>
              </w:rPr>
            </w:pPr>
            <w:r w:rsidRPr="00A3752A">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14:paraId="43B56EEA" w14:textId="77777777" w:rsidR="00894C55" w:rsidRPr="00A3752A" w:rsidRDefault="006F1C09" w:rsidP="006F1C09">
            <w:pPr>
              <w:spacing w:after="60" w:line="240" w:lineRule="auto"/>
              <w:rPr>
                <w:rFonts w:eastAsia="Times New Roman" w:cs="Times New Roman"/>
                <w:szCs w:val="24"/>
                <w:lang w:eastAsia="lv-LV"/>
              </w:rPr>
            </w:pPr>
            <w:r w:rsidRPr="00A3752A">
              <w:rPr>
                <w:rFonts w:eastAsia="Times New Roman" w:cs="Times New Roman"/>
                <w:szCs w:val="24"/>
                <w:lang w:eastAsia="lv-LV"/>
              </w:rPr>
              <w:t>Nav.</w:t>
            </w:r>
          </w:p>
        </w:tc>
      </w:tr>
    </w:tbl>
    <w:p w14:paraId="45F4F6C3" w14:textId="77777777" w:rsidR="00894C55" w:rsidRPr="00A3752A" w:rsidRDefault="00894C55" w:rsidP="00894C55">
      <w:pPr>
        <w:shd w:val="clear" w:color="auto" w:fill="FFFFFF"/>
        <w:spacing w:after="0" w:line="240" w:lineRule="auto"/>
        <w:ind w:firstLine="301"/>
        <w:rPr>
          <w:rFonts w:eastAsia="Times New Roman" w:cs="Times New Roman"/>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494"/>
        <w:gridCol w:w="6109"/>
      </w:tblGrid>
      <w:tr w:rsidR="0037321C" w:rsidRPr="00A3752A" w14:paraId="5C0D801E"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0A398770" w14:textId="77777777" w:rsidR="00894C55" w:rsidRPr="00A3752A" w:rsidRDefault="00894C55" w:rsidP="00816C11">
            <w:pPr>
              <w:spacing w:before="100" w:beforeAutospacing="1" w:after="100" w:afterAutospacing="1" w:line="293" w:lineRule="atLeast"/>
              <w:jc w:val="center"/>
              <w:rPr>
                <w:rFonts w:eastAsia="Times New Roman" w:cs="Times New Roman"/>
                <w:b/>
                <w:bCs/>
                <w:szCs w:val="24"/>
                <w:lang w:eastAsia="lv-LV"/>
              </w:rPr>
            </w:pPr>
            <w:r w:rsidRPr="00A3752A">
              <w:rPr>
                <w:rFonts w:eastAsia="Times New Roman" w:cs="Times New Roman"/>
                <w:b/>
                <w:bCs/>
                <w:szCs w:val="24"/>
                <w:lang w:eastAsia="lv-LV"/>
              </w:rPr>
              <w:t>VII.</w:t>
            </w:r>
            <w:r w:rsidR="00816C11" w:rsidRPr="00A3752A">
              <w:rPr>
                <w:rFonts w:eastAsia="Times New Roman" w:cs="Times New Roman"/>
                <w:b/>
                <w:bCs/>
                <w:szCs w:val="24"/>
                <w:lang w:eastAsia="lv-LV"/>
              </w:rPr>
              <w:t> </w:t>
            </w:r>
            <w:r w:rsidRPr="00A3752A">
              <w:rPr>
                <w:rFonts w:eastAsia="Times New Roman" w:cs="Times New Roman"/>
                <w:b/>
                <w:bCs/>
                <w:szCs w:val="24"/>
                <w:lang w:eastAsia="lv-LV"/>
              </w:rPr>
              <w:t>Tiesību akta projekta izpildes nodrošināšana un tās ietekme uz institūcijām</w:t>
            </w:r>
          </w:p>
        </w:tc>
      </w:tr>
      <w:tr w:rsidR="0037321C" w:rsidRPr="00A3752A" w14:paraId="33F2794D" w14:textId="77777777" w:rsidTr="0058464C">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0CF8F417" w14:textId="77777777" w:rsidR="00894C55" w:rsidRPr="00A3752A" w:rsidRDefault="00894C55" w:rsidP="00B33170">
            <w:pPr>
              <w:spacing w:after="60" w:line="240" w:lineRule="auto"/>
              <w:jc w:val="center"/>
              <w:rPr>
                <w:rFonts w:eastAsia="Times New Roman" w:cs="Times New Roman"/>
                <w:szCs w:val="24"/>
                <w:lang w:eastAsia="lv-LV"/>
              </w:rPr>
            </w:pPr>
            <w:r w:rsidRPr="00A3752A">
              <w:rPr>
                <w:rFonts w:eastAsia="Times New Roman" w:cs="Times New Roman"/>
                <w:szCs w:val="24"/>
                <w:lang w:eastAsia="lv-LV"/>
              </w:rPr>
              <w:t>1.</w:t>
            </w:r>
          </w:p>
        </w:tc>
        <w:tc>
          <w:tcPr>
            <w:tcW w:w="1377" w:type="pct"/>
            <w:tcBorders>
              <w:top w:val="outset" w:sz="6" w:space="0" w:color="414142"/>
              <w:left w:val="outset" w:sz="6" w:space="0" w:color="414142"/>
              <w:bottom w:val="outset" w:sz="6" w:space="0" w:color="414142"/>
              <w:right w:val="outset" w:sz="6" w:space="0" w:color="414142"/>
            </w:tcBorders>
            <w:hideMark/>
          </w:tcPr>
          <w:p w14:paraId="45B8CD21" w14:textId="77777777" w:rsidR="00894C55" w:rsidRPr="00A3752A" w:rsidRDefault="00894C55" w:rsidP="00B33170">
            <w:pPr>
              <w:spacing w:after="60" w:line="240" w:lineRule="auto"/>
              <w:rPr>
                <w:rFonts w:eastAsia="Times New Roman" w:cs="Times New Roman"/>
                <w:szCs w:val="24"/>
                <w:lang w:eastAsia="lv-LV"/>
              </w:rPr>
            </w:pPr>
            <w:r w:rsidRPr="00A3752A">
              <w:rPr>
                <w:rFonts w:eastAsia="Times New Roman" w:cs="Times New Roman"/>
                <w:szCs w:val="24"/>
                <w:lang w:eastAsia="lv-LV"/>
              </w:rPr>
              <w:t>Projekta izpildē iesaistītās institūcijas</w:t>
            </w:r>
          </w:p>
        </w:tc>
        <w:tc>
          <w:tcPr>
            <w:tcW w:w="3373" w:type="pct"/>
            <w:tcBorders>
              <w:top w:val="outset" w:sz="6" w:space="0" w:color="414142"/>
              <w:left w:val="outset" w:sz="6" w:space="0" w:color="414142"/>
              <w:bottom w:val="outset" w:sz="6" w:space="0" w:color="414142"/>
              <w:right w:val="outset" w:sz="6" w:space="0" w:color="414142"/>
            </w:tcBorders>
            <w:hideMark/>
          </w:tcPr>
          <w:p w14:paraId="5DA23C5C" w14:textId="77777777" w:rsidR="00894C55" w:rsidRPr="00A3752A" w:rsidRDefault="00273D66" w:rsidP="00B33170">
            <w:pPr>
              <w:spacing w:after="60" w:line="240" w:lineRule="auto"/>
              <w:rPr>
                <w:rFonts w:eastAsia="Times New Roman" w:cs="Times New Roman"/>
                <w:szCs w:val="24"/>
                <w:lang w:eastAsia="lv-LV"/>
              </w:rPr>
            </w:pPr>
            <w:r>
              <w:rPr>
                <w:rFonts w:eastAsia="Times New Roman" w:cs="Times New Roman"/>
                <w:szCs w:val="24"/>
                <w:lang w:eastAsia="lv-LV"/>
              </w:rPr>
              <w:t>Nav.</w:t>
            </w:r>
          </w:p>
        </w:tc>
      </w:tr>
      <w:tr w:rsidR="0037321C" w:rsidRPr="00A3752A" w14:paraId="74D99962" w14:textId="77777777" w:rsidTr="0058464C">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78245DAE" w14:textId="77777777" w:rsidR="00894C55" w:rsidRPr="00A3752A" w:rsidRDefault="00894C55" w:rsidP="00B33170">
            <w:pPr>
              <w:spacing w:after="60" w:line="240" w:lineRule="auto"/>
              <w:jc w:val="center"/>
              <w:rPr>
                <w:rFonts w:eastAsia="Times New Roman" w:cs="Times New Roman"/>
                <w:szCs w:val="24"/>
                <w:lang w:eastAsia="lv-LV"/>
              </w:rPr>
            </w:pPr>
            <w:r w:rsidRPr="00A3752A">
              <w:rPr>
                <w:rFonts w:eastAsia="Times New Roman" w:cs="Times New Roman"/>
                <w:szCs w:val="24"/>
                <w:lang w:eastAsia="lv-LV"/>
              </w:rPr>
              <w:t>2.</w:t>
            </w:r>
          </w:p>
        </w:tc>
        <w:tc>
          <w:tcPr>
            <w:tcW w:w="1377" w:type="pct"/>
            <w:tcBorders>
              <w:top w:val="outset" w:sz="6" w:space="0" w:color="414142"/>
              <w:left w:val="outset" w:sz="6" w:space="0" w:color="414142"/>
              <w:bottom w:val="outset" w:sz="6" w:space="0" w:color="414142"/>
              <w:right w:val="outset" w:sz="6" w:space="0" w:color="414142"/>
            </w:tcBorders>
            <w:hideMark/>
          </w:tcPr>
          <w:p w14:paraId="262ACCD4" w14:textId="77777777" w:rsidR="00894C55" w:rsidRPr="00A3752A" w:rsidRDefault="00894C55" w:rsidP="00B33170">
            <w:pPr>
              <w:spacing w:after="60" w:line="240" w:lineRule="auto"/>
              <w:rPr>
                <w:rFonts w:eastAsia="Times New Roman" w:cs="Times New Roman"/>
                <w:szCs w:val="24"/>
                <w:lang w:eastAsia="lv-LV"/>
              </w:rPr>
            </w:pPr>
            <w:r w:rsidRPr="00A3752A">
              <w:rPr>
                <w:rFonts w:eastAsia="Times New Roman" w:cs="Times New Roman"/>
                <w:szCs w:val="24"/>
                <w:lang w:eastAsia="lv-LV"/>
              </w:rPr>
              <w:t>Projekta izpildes ietekme uz pārvaldes funkcijām un institucionālo struktūru.</w:t>
            </w:r>
          </w:p>
          <w:p w14:paraId="5300BB27" w14:textId="77777777" w:rsidR="00894C55" w:rsidRPr="00A3752A" w:rsidRDefault="00894C55" w:rsidP="006F1C09">
            <w:pPr>
              <w:spacing w:after="60" w:line="240" w:lineRule="auto"/>
              <w:rPr>
                <w:rFonts w:eastAsia="Times New Roman" w:cs="Times New Roman"/>
                <w:szCs w:val="24"/>
                <w:lang w:eastAsia="lv-LV"/>
              </w:rPr>
            </w:pPr>
            <w:r w:rsidRPr="00A3752A">
              <w:rPr>
                <w:rFonts w:eastAsia="Times New Roman" w:cs="Times New Roman"/>
                <w:szCs w:val="24"/>
                <w:lang w:eastAsia="lv-LV"/>
              </w:rPr>
              <w:t>Jaunu institūciju izveide, esošu institūciju likvidācija vai reorganizācija, to ietekme uz institūcijas cilvēkresursiem</w:t>
            </w:r>
          </w:p>
        </w:tc>
        <w:tc>
          <w:tcPr>
            <w:tcW w:w="3373" w:type="pct"/>
            <w:tcBorders>
              <w:top w:val="outset" w:sz="6" w:space="0" w:color="414142"/>
              <w:left w:val="outset" w:sz="6" w:space="0" w:color="414142"/>
              <w:bottom w:val="outset" w:sz="6" w:space="0" w:color="414142"/>
              <w:right w:val="outset" w:sz="6" w:space="0" w:color="414142"/>
            </w:tcBorders>
            <w:hideMark/>
          </w:tcPr>
          <w:p w14:paraId="5E18B4B6" w14:textId="77777777" w:rsidR="007C43FA" w:rsidRPr="00A3752A" w:rsidRDefault="007C43FA" w:rsidP="007C43FA">
            <w:pPr>
              <w:spacing w:after="60" w:line="240" w:lineRule="auto"/>
              <w:ind w:right="57"/>
              <w:jc w:val="both"/>
              <w:rPr>
                <w:rFonts w:eastAsia="Times New Roman" w:cs="Times New Roman"/>
                <w:szCs w:val="24"/>
                <w:lang w:eastAsia="lv-LV"/>
              </w:rPr>
            </w:pPr>
            <w:r w:rsidRPr="00A3752A">
              <w:t>Projekts neietekmē pārvaldes funkcijas un institucionālo struktūru, kā arī cilvēkresursu nodrošinājumu.</w:t>
            </w:r>
          </w:p>
        </w:tc>
      </w:tr>
      <w:tr w:rsidR="0037321C" w:rsidRPr="00A3752A" w14:paraId="62D13840" w14:textId="77777777" w:rsidTr="0058464C">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5ADE3AB0" w14:textId="77777777" w:rsidR="00894C55" w:rsidRPr="00A3752A" w:rsidRDefault="00894C55" w:rsidP="00B33170">
            <w:pPr>
              <w:spacing w:after="60" w:line="240" w:lineRule="auto"/>
              <w:jc w:val="center"/>
              <w:rPr>
                <w:rFonts w:eastAsia="Times New Roman" w:cs="Times New Roman"/>
                <w:szCs w:val="24"/>
                <w:lang w:eastAsia="lv-LV"/>
              </w:rPr>
            </w:pPr>
            <w:r w:rsidRPr="00A3752A">
              <w:rPr>
                <w:rFonts w:eastAsia="Times New Roman" w:cs="Times New Roman"/>
                <w:szCs w:val="24"/>
                <w:lang w:eastAsia="lv-LV"/>
              </w:rPr>
              <w:t>3.</w:t>
            </w:r>
          </w:p>
        </w:tc>
        <w:tc>
          <w:tcPr>
            <w:tcW w:w="1377" w:type="pct"/>
            <w:tcBorders>
              <w:top w:val="outset" w:sz="6" w:space="0" w:color="414142"/>
              <w:left w:val="outset" w:sz="6" w:space="0" w:color="414142"/>
              <w:bottom w:val="outset" w:sz="6" w:space="0" w:color="414142"/>
              <w:right w:val="outset" w:sz="6" w:space="0" w:color="414142"/>
            </w:tcBorders>
            <w:hideMark/>
          </w:tcPr>
          <w:p w14:paraId="1A7E55F8" w14:textId="77777777" w:rsidR="00894C55" w:rsidRPr="00A3752A" w:rsidRDefault="00894C55" w:rsidP="00B33170">
            <w:pPr>
              <w:spacing w:after="60" w:line="240" w:lineRule="auto"/>
              <w:rPr>
                <w:rFonts w:eastAsia="Times New Roman" w:cs="Times New Roman"/>
                <w:szCs w:val="24"/>
                <w:lang w:eastAsia="lv-LV"/>
              </w:rPr>
            </w:pPr>
            <w:r w:rsidRPr="00A3752A">
              <w:rPr>
                <w:rFonts w:eastAsia="Times New Roman" w:cs="Times New Roman"/>
                <w:szCs w:val="24"/>
                <w:lang w:eastAsia="lv-LV"/>
              </w:rPr>
              <w:t>Cita informācija</w:t>
            </w:r>
          </w:p>
        </w:tc>
        <w:tc>
          <w:tcPr>
            <w:tcW w:w="3373" w:type="pct"/>
            <w:tcBorders>
              <w:top w:val="outset" w:sz="6" w:space="0" w:color="414142"/>
              <w:left w:val="outset" w:sz="6" w:space="0" w:color="414142"/>
              <w:bottom w:val="outset" w:sz="6" w:space="0" w:color="414142"/>
              <w:right w:val="outset" w:sz="6" w:space="0" w:color="414142"/>
            </w:tcBorders>
            <w:hideMark/>
          </w:tcPr>
          <w:p w14:paraId="7BB4D160" w14:textId="77777777" w:rsidR="00894C55" w:rsidRPr="00A3752A" w:rsidRDefault="007C43FA" w:rsidP="00B33170">
            <w:pPr>
              <w:spacing w:after="60" w:line="240" w:lineRule="auto"/>
              <w:rPr>
                <w:rFonts w:eastAsia="Times New Roman" w:cs="Times New Roman"/>
                <w:szCs w:val="24"/>
                <w:lang w:eastAsia="lv-LV"/>
              </w:rPr>
            </w:pPr>
            <w:r w:rsidRPr="00A3752A">
              <w:rPr>
                <w:rFonts w:eastAsia="Times New Roman" w:cs="Times New Roman"/>
                <w:szCs w:val="24"/>
                <w:lang w:eastAsia="lv-LV"/>
              </w:rPr>
              <w:t>Nav.</w:t>
            </w:r>
          </w:p>
        </w:tc>
      </w:tr>
    </w:tbl>
    <w:p w14:paraId="0F67CA24" w14:textId="77777777" w:rsidR="00720585" w:rsidRPr="00A3752A" w:rsidRDefault="00720585" w:rsidP="00894C55">
      <w:pPr>
        <w:spacing w:after="0" w:line="240" w:lineRule="auto"/>
        <w:rPr>
          <w:rFonts w:cs="Times New Roman"/>
          <w:sz w:val="28"/>
          <w:szCs w:val="28"/>
        </w:rPr>
      </w:pPr>
    </w:p>
    <w:p w14:paraId="1BC28738" w14:textId="639457FC" w:rsidR="0058464C" w:rsidRDefault="004521BF" w:rsidP="0058464C">
      <w:pPr>
        <w:spacing w:after="0" w:line="240" w:lineRule="auto"/>
        <w:ind w:firstLine="709"/>
        <w:rPr>
          <w:rFonts w:cs="Times New Roman"/>
          <w:sz w:val="28"/>
          <w:szCs w:val="28"/>
        </w:rPr>
      </w:pPr>
      <w:r w:rsidRPr="00A3752A">
        <w:rPr>
          <w:rFonts w:cs="Times New Roman"/>
          <w:sz w:val="28"/>
          <w:szCs w:val="28"/>
        </w:rPr>
        <w:t xml:space="preserve">Anotācijas III, </w:t>
      </w:r>
      <w:r w:rsidR="006F2B9E">
        <w:rPr>
          <w:rFonts w:cs="Times New Roman"/>
          <w:sz w:val="28"/>
          <w:szCs w:val="28"/>
        </w:rPr>
        <w:t xml:space="preserve">V, </w:t>
      </w:r>
      <w:r w:rsidRPr="00A3752A">
        <w:rPr>
          <w:rFonts w:cs="Times New Roman"/>
          <w:sz w:val="28"/>
          <w:szCs w:val="28"/>
        </w:rPr>
        <w:t>IV</w:t>
      </w:r>
      <w:r w:rsidR="00F32503" w:rsidRPr="00A3752A">
        <w:rPr>
          <w:rFonts w:cs="Times New Roman"/>
          <w:sz w:val="28"/>
          <w:szCs w:val="28"/>
        </w:rPr>
        <w:t xml:space="preserve"> sadaļa – projekts šīs jomas neskar.</w:t>
      </w:r>
    </w:p>
    <w:p w14:paraId="77759FDD" w14:textId="77777777" w:rsidR="00214B65" w:rsidRPr="00A3752A" w:rsidRDefault="00214B65" w:rsidP="0058464C">
      <w:pPr>
        <w:spacing w:after="0" w:line="240" w:lineRule="auto"/>
        <w:ind w:firstLine="709"/>
        <w:rPr>
          <w:rFonts w:cs="Times New Roman"/>
          <w:sz w:val="28"/>
          <w:szCs w:val="28"/>
        </w:rPr>
      </w:pPr>
    </w:p>
    <w:p w14:paraId="10CA3568" w14:textId="062FEBCC" w:rsidR="0058464C" w:rsidRDefault="00214B65" w:rsidP="0037321C">
      <w:pPr>
        <w:spacing w:after="0" w:line="240" w:lineRule="auto"/>
        <w:rPr>
          <w:rFonts w:cs="Times New Roman"/>
          <w:sz w:val="28"/>
          <w:szCs w:val="28"/>
        </w:rPr>
      </w:pPr>
      <w:r>
        <w:rPr>
          <w:rFonts w:cs="Times New Roman"/>
          <w:sz w:val="28"/>
          <w:szCs w:val="28"/>
        </w:rPr>
        <w:t>Iesniedzējs:</w:t>
      </w:r>
    </w:p>
    <w:p w14:paraId="7682C84F" w14:textId="77777777" w:rsidR="00214B65" w:rsidRPr="00A3752A" w:rsidRDefault="00214B65" w:rsidP="0037321C">
      <w:pPr>
        <w:spacing w:after="0" w:line="240" w:lineRule="auto"/>
        <w:rPr>
          <w:rFonts w:cs="Times New Roman"/>
          <w:sz w:val="28"/>
          <w:szCs w:val="28"/>
        </w:rPr>
      </w:pPr>
    </w:p>
    <w:p w14:paraId="58AA9EAD" w14:textId="77777777" w:rsidR="00735C29" w:rsidRPr="00735C29" w:rsidRDefault="00735C29" w:rsidP="00735C29">
      <w:pPr>
        <w:spacing w:after="0" w:line="240" w:lineRule="auto"/>
        <w:rPr>
          <w:rFonts w:cs="Times New Roman"/>
          <w:color w:val="000000" w:themeColor="text1"/>
          <w:sz w:val="28"/>
          <w:szCs w:val="28"/>
        </w:rPr>
      </w:pPr>
      <w:r w:rsidRPr="00735C29">
        <w:rPr>
          <w:rFonts w:cs="Times New Roman"/>
          <w:color w:val="000000" w:themeColor="text1"/>
          <w:sz w:val="28"/>
          <w:szCs w:val="28"/>
        </w:rPr>
        <w:t xml:space="preserve">Finanšu ministra vietā – </w:t>
      </w:r>
    </w:p>
    <w:p w14:paraId="292382A5" w14:textId="050BB30B" w:rsidR="00894C55" w:rsidRPr="00A3752A" w:rsidRDefault="00735C29" w:rsidP="00735C29">
      <w:pPr>
        <w:spacing w:after="0" w:line="240" w:lineRule="auto"/>
        <w:rPr>
          <w:rFonts w:cs="Times New Roman"/>
          <w:sz w:val="28"/>
          <w:szCs w:val="28"/>
        </w:rPr>
      </w:pPr>
      <w:r w:rsidRPr="00735C29">
        <w:rPr>
          <w:rFonts w:cs="Times New Roman"/>
          <w:color w:val="000000" w:themeColor="text1"/>
          <w:sz w:val="28"/>
          <w:szCs w:val="28"/>
        </w:rPr>
        <w:t>Ministru prezidents</w:t>
      </w:r>
      <w:r w:rsidRPr="00735C29">
        <w:rPr>
          <w:rFonts w:cs="Times New Roman"/>
          <w:color w:val="000000" w:themeColor="text1"/>
          <w:sz w:val="28"/>
          <w:szCs w:val="28"/>
        </w:rPr>
        <w:tab/>
      </w:r>
      <w:r w:rsidRPr="00735C29">
        <w:rPr>
          <w:rFonts w:cs="Times New Roman"/>
          <w:color w:val="000000" w:themeColor="text1"/>
          <w:sz w:val="28"/>
          <w:szCs w:val="28"/>
        </w:rPr>
        <w:tab/>
      </w:r>
      <w:r>
        <w:rPr>
          <w:rFonts w:cs="Times New Roman"/>
          <w:color w:val="000000" w:themeColor="text1"/>
          <w:sz w:val="28"/>
          <w:szCs w:val="28"/>
        </w:rPr>
        <w:tab/>
      </w:r>
      <w:r>
        <w:rPr>
          <w:rFonts w:cs="Times New Roman"/>
          <w:color w:val="000000" w:themeColor="text1"/>
          <w:sz w:val="28"/>
          <w:szCs w:val="28"/>
        </w:rPr>
        <w:tab/>
      </w:r>
      <w:r>
        <w:rPr>
          <w:rFonts w:cs="Times New Roman"/>
          <w:color w:val="000000" w:themeColor="text1"/>
          <w:sz w:val="28"/>
          <w:szCs w:val="28"/>
        </w:rPr>
        <w:tab/>
      </w:r>
      <w:r>
        <w:rPr>
          <w:rFonts w:cs="Times New Roman"/>
          <w:color w:val="000000" w:themeColor="text1"/>
          <w:sz w:val="28"/>
          <w:szCs w:val="28"/>
        </w:rPr>
        <w:tab/>
      </w:r>
      <w:r>
        <w:rPr>
          <w:rFonts w:cs="Times New Roman"/>
          <w:color w:val="000000" w:themeColor="text1"/>
          <w:sz w:val="28"/>
          <w:szCs w:val="28"/>
        </w:rPr>
        <w:tab/>
      </w:r>
      <w:r w:rsidRPr="00735C29">
        <w:rPr>
          <w:rFonts w:cs="Times New Roman"/>
          <w:color w:val="000000" w:themeColor="text1"/>
          <w:sz w:val="28"/>
          <w:szCs w:val="28"/>
        </w:rPr>
        <w:t>Māris Kučinskis</w:t>
      </w:r>
    </w:p>
    <w:p w14:paraId="086DDDA8" w14:textId="77777777" w:rsidR="0037321C" w:rsidRPr="00A3752A" w:rsidRDefault="0037321C" w:rsidP="0037321C">
      <w:pPr>
        <w:tabs>
          <w:tab w:val="left" w:pos="6237"/>
        </w:tabs>
        <w:spacing w:after="0" w:line="240" w:lineRule="auto"/>
        <w:rPr>
          <w:rFonts w:cs="Times New Roman"/>
          <w:sz w:val="26"/>
          <w:szCs w:val="26"/>
        </w:rPr>
      </w:pPr>
    </w:p>
    <w:p w14:paraId="79DD3A36" w14:textId="77777777" w:rsidR="0037321C" w:rsidRPr="00A3752A" w:rsidRDefault="0037321C" w:rsidP="0037321C">
      <w:pPr>
        <w:tabs>
          <w:tab w:val="left" w:pos="6237"/>
        </w:tabs>
        <w:spacing w:after="0" w:line="240" w:lineRule="auto"/>
        <w:rPr>
          <w:rFonts w:cs="Times New Roman"/>
          <w:sz w:val="26"/>
          <w:szCs w:val="26"/>
        </w:rPr>
      </w:pPr>
    </w:p>
    <w:p w14:paraId="370F350F" w14:textId="77777777" w:rsidR="00273D66" w:rsidRPr="00E16C7B" w:rsidRDefault="00273D66" w:rsidP="00273D66">
      <w:pPr>
        <w:spacing w:after="0" w:line="240" w:lineRule="auto"/>
        <w:rPr>
          <w:rFonts w:cs="Times New Roman"/>
          <w:sz w:val="20"/>
          <w:szCs w:val="24"/>
        </w:rPr>
      </w:pPr>
      <w:r w:rsidRPr="00E16C7B">
        <w:rPr>
          <w:rFonts w:cs="Times New Roman"/>
          <w:sz w:val="20"/>
          <w:szCs w:val="24"/>
        </w:rPr>
        <w:t xml:space="preserve">Senčilo, 67083915 </w:t>
      </w:r>
    </w:p>
    <w:p w14:paraId="2D8F583A" w14:textId="1C0D1437" w:rsidR="00750DCC" w:rsidRPr="00E16C7B" w:rsidRDefault="00273D66" w:rsidP="00273D66">
      <w:pPr>
        <w:spacing w:after="0" w:line="240" w:lineRule="auto"/>
        <w:rPr>
          <w:rFonts w:cs="Times New Roman"/>
          <w:sz w:val="20"/>
          <w:szCs w:val="24"/>
        </w:rPr>
      </w:pPr>
      <w:r w:rsidRPr="00E16C7B">
        <w:rPr>
          <w:sz w:val="20"/>
        </w:rPr>
        <w:t>agnese.sencilo@fm.gov.lv</w:t>
      </w:r>
    </w:p>
    <w:sectPr w:rsidR="00750DCC" w:rsidRPr="00E16C7B" w:rsidSect="005722BE">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21814" w14:textId="77777777" w:rsidR="00680BBB" w:rsidRDefault="00680BBB" w:rsidP="00894C55">
      <w:pPr>
        <w:spacing w:after="0" w:line="240" w:lineRule="auto"/>
      </w:pPr>
      <w:r>
        <w:separator/>
      </w:r>
    </w:p>
  </w:endnote>
  <w:endnote w:type="continuationSeparator" w:id="0">
    <w:p w14:paraId="478D20C8" w14:textId="77777777" w:rsidR="00680BBB" w:rsidRDefault="00680BB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charset w:val="00"/>
    <w:family w:val="roman"/>
    <w:pitch w:val="default"/>
    <w:sig w:usb0="00000001" w:usb1="00000000" w:usb2="00000000" w:usb3="00000000" w:csb0="00000003" w:csb1="00000000"/>
  </w:font>
  <w:font w:name="Lucida Sans Unicode">
    <w:panose1 w:val="020B0602030504020204"/>
    <w:charset w:val="BA"/>
    <w:family w:val="swiss"/>
    <w:pitch w:val="variable"/>
    <w:sig w:usb0="80000AFF" w:usb1="0000396B" w:usb2="00000000" w:usb3="00000000" w:csb0="000000BF" w:csb1="00000000"/>
  </w:font>
  <w:font w:name="EUAlbertina_Bold">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21D22" w14:textId="77777777" w:rsidR="00EA0086" w:rsidRDefault="00EA00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8FB4B" w14:textId="3AF5A734" w:rsidR="00F4266A" w:rsidRPr="006905AD" w:rsidRDefault="00273D66" w:rsidP="00273D66">
    <w:pPr>
      <w:pStyle w:val="Footer"/>
      <w:rPr>
        <w:rFonts w:cs="Times New Roman"/>
        <w:sz w:val="20"/>
        <w:szCs w:val="20"/>
      </w:rPr>
    </w:pPr>
    <w:r>
      <w:rPr>
        <w:rFonts w:cs="Times New Roman"/>
        <w:sz w:val="20"/>
        <w:szCs w:val="20"/>
      </w:rPr>
      <w:t>FManot_</w:t>
    </w:r>
    <w:r w:rsidR="00E82BC4">
      <w:rPr>
        <w:rFonts w:cs="Times New Roman"/>
        <w:sz w:val="20"/>
        <w:szCs w:val="20"/>
      </w:rPr>
      <w:t>1</w:t>
    </w:r>
    <w:r w:rsidR="00EA0086">
      <w:rPr>
        <w:rFonts w:cs="Times New Roman"/>
        <w:sz w:val="20"/>
        <w:szCs w:val="20"/>
      </w:rPr>
      <w:t>8</w:t>
    </w:r>
    <w:r w:rsidR="006905AD">
      <w:rPr>
        <w:rFonts w:cs="Times New Roman"/>
        <w:sz w:val="20"/>
        <w:szCs w:val="20"/>
      </w:rPr>
      <w:t>0</w:t>
    </w:r>
    <w:r w:rsidR="006F2B9E">
      <w:rPr>
        <w:rFonts w:cs="Times New Roman"/>
        <w:sz w:val="20"/>
        <w:szCs w:val="20"/>
      </w:rPr>
      <w:t>4</w:t>
    </w:r>
    <w:r w:rsidRPr="00982DF3">
      <w:rPr>
        <w:rFonts w:cs="Times New Roman"/>
        <w:sz w:val="20"/>
        <w:szCs w:val="20"/>
      </w:rPr>
      <w:t>17_PPPL</w:t>
    </w:r>
    <w:r w:rsidR="00750DCC">
      <w:rPr>
        <w:rFonts w:cs="Times New Roman"/>
        <w:sz w:val="20"/>
        <w:szCs w:val="20"/>
      </w:rPr>
      <w:t>.</w:t>
    </w:r>
    <w:r>
      <w:rPr>
        <w:rFonts w:cs="Times New Roman"/>
        <w:sz w:val="20"/>
        <w:szCs w:val="20"/>
      </w:rPr>
      <w:t>prof</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3676DD" w14:textId="0E395864" w:rsidR="00F4266A" w:rsidRPr="00982DF3" w:rsidRDefault="00273D66" w:rsidP="00982DF3">
    <w:pPr>
      <w:pStyle w:val="Footer"/>
    </w:pPr>
    <w:r>
      <w:rPr>
        <w:rFonts w:cs="Times New Roman"/>
        <w:sz w:val="20"/>
        <w:szCs w:val="20"/>
      </w:rPr>
      <w:t>FManot_</w:t>
    </w:r>
    <w:r w:rsidR="00E82BC4">
      <w:rPr>
        <w:rFonts w:cs="Times New Roman"/>
        <w:sz w:val="20"/>
        <w:szCs w:val="20"/>
      </w:rPr>
      <w:t>1</w:t>
    </w:r>
    <w:r w:rsidR="00EA0086">
      <w:rPr>
        <w:rFonts w:cs="Times New Roman"/>
        <w:sz w:val="20"/>
        <w:szCs w:val="20"/>
      </w:rPr>
      <w:t>8</w:t>
    </w:r>
    <w:r w:rsidR="006905AD">
      <w:rPr>
        <w:rFonts w:cs="Times New Roman"/>
        <w:sz w:val="20"/>
        <w:szCs w:val="20"/>
      </w:rPr>
      <w:t>0</w:t>
    </w:r>
    <w:r w:rsidR="006F2B9E">
      <w:rPr>
        <w:rFonts w:cs="Times New Roman"/>
        <w:sz w:val="20"/>
        <w:szCs w:val="20"/>
      </w:rPr>
      <w:t>4</w:t>
    </w:r>
    <w:r w:rsidR="00F4266A" w:rsidRPr="00982DF3">
      <w:rPr>
        <w:rFonts w:cs="Times New Roman"/>
        <w:sz w:val="20"/>
        <w:szCs w:val="20"/>
      </w:rPr>
      <w:t>17_PPPL</w:t>
    </w:r>
    <w:r w:rsidR="00750DCC">
      <w:rPr>
        <w:rFonts w:cs="Times New Roman"/>
        <w:sz w:val="20"/>
        <w:szCs w:val="20"/>
      </w:rPr>
      <w:t>.</w:t>
    </w:r>
    <w:r>
      <w:rPr>
        <w:rFonts w:cs="Times New Roman"/>
        <w:sz w:val="20"/>
        <w:szCs w:val="20"/>
      </w:rPr>
      <w:t>prof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71EBCC" w14:textId="77777777" w:rsidR="00680BBB" w:rsidRDefault="00680BBB" w:rsidP="00894C55">
      <w:pPr>
        <w:spacing w:after="0" w:line="240" w:lineRule="auto"/>
      </w:pPr>
      <w:r>
        <w:separator/>
      </w:r>
    </w:p>
  </w:footnote>
  <w:footnote w:type="continuationSeparator" w:id="0">
    <w:p w14:paraId="1AE3D3CF" w14:textId="77777777" w:rsidR="00680BBB" w:rsidRDefault="00680BBB"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5CEFF" w14:textId="77777777" w:rsidR="00EA0086" w:rsidRDefault="00EA00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cs="Times New Roman"/>
        <w:noProof/>
        <w:szCs w:val="20"/>
      </w:rPr>
    </w:sdtEndPr>
    <w:sdtContent>
      <w:p w14:paraId="6A34EAE6" w14:textId="3C5033D6" w:rsidR="00F4266A" w:rsidRPr="00C25B49" w:rsidRDefault="00F4266A">
        <w:pPr>
          <w:pStyle w:val="Header"/>
          <w:jc w:val="center"/>
          <w:rPr>
            <w:rFonts w:cs="Times New Roman"/>
            <w:szCs w:val="20"/>
          </w:rPr>
        </w:pPr>
        <w:r w:rsidRPr="00C25B49">
          <w:rPr>
            <w:rFonts w:cs="Times New Roman"/>
            <w:szCs w:val="20"/>
          </w:rPr>
          <w:fldChar w:fldCharType="begin"/>
        </w:r>
        <w:r w:rsidRPr="00C25B49">
          <w:rPr>
            <w:rFonts w:cs="Times New Roman"/>
            <w:szCs w:val="20"/>
          </w:rPr>
          <w:instrText xml:space="preserve"> PAGE   \* MERGEFORMAT </w:instrText>
        </w:r>
        <w:r w:rsidRPr="00C25B49">
          <w:rPr>
            <w:rFonts w:cs="Times New Roman"/>
            <w:szCs w:val="20"/>
          </w:rPr>
          <w:fldChar w:fldCharType="separate"/>
        </w:r>
        <w:r w:rsidR="003E529D">
          <w:rPr>
            <w:rFonts w:cs="Times New Roman"/>
            <w:noProof/>
            <w:szCs w:val="20"/>
          </w:rPr>
          <w:t>3</w:t>
        </w:r>
        <w:r w:rsidRPr="00C25B49">
          <w:rPr>
            <w:rFonts w:cs="Times New Roman"/>
            <w:noProof/>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35D04" w14:textId="77777777" w:rsidR="00EA0086" w:rsidRDefault="00EA0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B63"/>
    <w:multiLevelType w:val="hybridMultilevel"/>
    <w:tmpl w:val="84CAC796"/>
    <w:lvl w:ilvl="0" w:tplc="04260017">
      <w:start w:val="1"/>
      <w:numFmt w:val="lowerLetter"/>
      <w:lvlText w:val="%1)"/>
      <w:lvlJc w:val="left"/>
      <w:pPr>
        <w:ind w:left="720" w:hanging="360"/>
      </w:pPr>
    </w:lvl>
    <w:lvl w:ilvl="1" w:tplc="7A9E6BAC">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5687495"/>
    <w:multiLevelType w:val="hybridMultilevel"/>
    <w:tmpl w:val="90EEA5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9C2DF7"/>
    <w:multiLevelType w:val="hybridMultilevel"/>
    <w:tmpl w:val="98487658"/>
    <w:lvl w:ilvl="0" w:tplc="04260017">
      <w:start w:val="1"/>
      <w:numFmt w:val="lowerLetter"/>
      <w:lvlText w:val="%1)"/>
      <w:lvlJc w:val="left"/>
      <w:pPr>
        <w:ind w:left="814" w:hanging="360"/>
      </w:pPr>
      <w:rPr>
        <w:rFonts w:hint="default"/>
        <w:b w:val="0"/>
        <w:color w:val="000000"/>
        <w:sz w:val="22"/>
      </w:rPr>
    </w:lvl>
    <w:lvl w:ilvl="1" w:tplc="04260019" w:tentative="1">
      <w:start w:val="1"/>
      <w:numFmt w:val="lowerLetter"/>
      <w:lvlText w:val="%2."/>
      <w:lvlJc w:val="left"/>
      <w:pPr>
        <w:ind w:left="1534" w:hanging="360"/>
      </w:pPr>
    </w:lvl>
    <w:lvl w:ilvl="2" w:tplc="0426001B" w:tentative="1">
      <w:start w:val="1"/>
      <w:numFmt w:val="lowerRoman"/>
      <w:lvlText w:val="%3."/>
      <w:lvlJc w:val="right"/>
      <w:pPr>
        <w:ind w:left="2254" w:hanging="180"/>
      </w:pPr>
    </w:lvl>
    <w:lvl w:ilvl="3" w:tplc="0426000F" w:tentative="1">
      <w:start w:val="1"/>
      <w:numFmt w:val="decimal"/>
      <w:lvlText w:val="%4."/>
      <w:lvlJc w:val="left"/>
      <w:pPr>
        <w:ind w:left="2974" w:hanging="360"/>
      </w:pPr>
    </w:lvl>
    <w:lvl w:ilvl="4" w:tplc="04260019" w:tentative="1">
      <w:start w:val="1"/>
      <w:numFmt w:val="lowerLetter"/>
      <w:lvlText w:val="%5."/>
      <w:lvlJc w:val="left"/>
      <w:pPr>
        <w:ind w:left="3694" w:hanging="360"/>
      </w:pPr>
    </w:lvl>
    <w:lvl w:ilvl="5" w:tplc="0426001B" w:tentative="1">
      <w:start w:val="1"/>
      <w:numFmt w:val="lowerRoman"/>
      <w:lvlText w:val="%6."/>
      <w:lvlJc w:val="right"/>
      <w:pPr>
        <w:ind w:left="4414" w:hanging="180"/>
      </w:pPr>
    </w:lvl>
    <w:lvl w:ilvl="6" w:tplc="0426000F" w:tentative="1">
      <w:start w:val="1"/>
      <w:numFmt w:val="decimal"/>
      <w:lvlText w:val="%7."/>
      <w:lvlJc w:val="left"/>
      <w:pPr>
        <w:ind w:left="5134" w:hanging="360"/>
      </w:pPr>
    </w:lvl>
    <w:lvl w:ilvl="7" w:tplc="04260019" w:tentative="1">
      <w:start w:val="1"/>
      <w:numFmt w:val="lowerLetter"/>
      <w:lvlText w:val="%8."/>
      <w:lvlJc w:val="left"/>
      <w:pPr>
        <w:ind w:left="5854" w:hanging="360"/>
      </w:pPr>
    </w:lvl>
    <w:lvl w:ilvl="8" w:tplc="0426001B" w:tentative="1">
      <w:start w:val="1"/>
      <w:numFmt w:val="lowerRoman"/>
      <w:lvlText w:val="%9."/>
      <w:lvlJc w:val="right"/>
      <w:pPr>
        <w:ind w:left="6574" w:hanging="180"/>
      </w:pPr>
    </w:lvl>
  </w:abstractNum>
  <w:abstractNum w:abstractNumId="3" w15:restartNumberingAfterBreak="0">
    <w:nsid w:val="18582A6A"/>
    <w:multiLevelType w:val="hybridMultilevel"/>
    <w:tmpl w:val="908A7956"/>
    <w:lvl w:ilvl="0" w:tplc="0426000F">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51C675B"/>
    <w:multiLevelType w:val="hybridMultilevel"/>
    <w:tmpl w:val="D9726EF2"/>
    <w:lvl w:ilvl="0" w:tplc="04260017">
      <w:start w:val="1"/>
      <w:numFmt w:val="lowerLetter"/>
      <w:lvlText w:val="%1)"/>
      <w:lvlJc w:val="left"/>
      <w:pPr>
        <w:ind w:left="436" w:hanging="360"/>
      </w:pPr>
      <w:rPr>
        <w:rFonts w:hint="default"/>
        <w:b w:val="0"/>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5" w15:restartNumberingAfterBreak="0">
    <w:nsid w:val="3B574472"/>
    <w:multiLevelType w:val="hybridMultilevel"/>
    <w:tmpl w:val="255ED83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D7680D"/>
    <w:multiLevelType w:val="hybridMultilevel"/>
    <w:tmpl w:val="8A38F6A0"/>
    <w:lvl w:ilvl="0" w:tplc="96B07E5A">
      <w:start w:val="1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CC464B1"/>
    <w:multiLevelType w:val="hybridMultilevel"/>
    <w:tmpl w:val="CB1ECD5E"/>
    <w:lvl w:ilvl="0" w:tplc="AE9659D6">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C30C25"/>
    <w:multiLevelType w:val="hybridMultilevel"/>
    <w:tmpl w:val="E2A09856"/>
    <w:lvl w:ilvl="0" w:tplc="CE7C0194">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40C0AE2"/>
    <w:multiLevelType w:val="hybridMultilevel"/>
    <w:tmpl w:val="6442AD12"/>
    <w:lvl w:ilvl="0" w:tplc="FE56EFC8">
      <w:start w:val="1"/>
      <w:numFmt w:val="decimal"/>
      <w:lvlText w:val="%1)"/>
      <w:lvlJc w:val="left"/>
      <w:pPr>
        <w:ind w:left="720" w:hanging="360"/>
      </w:pPr>
      <w:rPr>
        <w:rFonts w:hint="default"/>
        <w:color w:val="000000" w:themeColor="text1"/>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71D43DA"/>
    <w:multiLevelType w:val="hybridMultilevel"/>
    <w:tmpl w:val="54D6F244"/>
    <w:lvl w:ilvl="0" w:tplc="B02AC580">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EC21436"/>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A465E74"/>
    <w:multiLevelType w:val="hybridMultilevel"/>
    <w:tmpl w:val="ABDC92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F34732E"/>
    <w:multiLevelType w:val="hybridMultilevel"/>
    <w:tmpl w:val="020C095C"/>
    <w:lvl w:ilvl="0" w:tplc="04260017">
      <w:start w:val="1"/>
      <w:numFmt w:val="lowerLetter"/>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75186931"/>
    <w:multiLevelType w:val="hybridMultilevel"/>
    <w:tmpl w:val="935CB452"/>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52C69EB"/>
    <w:multiLevelType w:val="hybridMultilevel"/>
    <w:tmpl w:val="2B025A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BBE0671"/>
    <w:multiLevelType w:val="hybridMultilevel"/>
    <w:tmpl w:val="87DECDE0"/>
    <w:lvl w:ilvl="0" w:tplc="04260017">
      <w:start w:val="1"/>
      <w:numFmt w:val="lowerLetter"/>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D8A67AF"/>
    <w:multiLevelType w:val="hybridMultilevel"/>
    <w:tmpl w:val="D1FC505A"/>
    <w:lvl w:ilvl="0" w:tplc="96B07E5A">
      <w:start w:val="17"/>
      <w:numFmt w:val="bullet"/>
      <w:lvlText w:val="-"/>
      <w:lvlJc w:val="left"/>
      <w:pPr>
        <w:ind w:left="720" w:hanging="360"/>
      </w:pPr>
      <w:rPr>
        <w:rFonts w:ascii="Times New Roman" w:eastAsiaTheme="minorHAnsi" w:hAnsi="Times New Roman" w:cs="Times New Roman"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5"/>
  </w:num>
  <w:num w:numId="3">
    <w:abstractNumId w:val="17"/>
  </w:num>
  <w:num w:numId="4">
    <w:abstractNumId w:val="9"/>
  </w:num>
  <w:num w:numId="5">
    <w:abstractNumId w:val="7"/>
  </w:num>
  <w:num w:numId="6">
    <w:abstractNumId w:val="6"/>
  </w:num>
  <w:num w:numId="7">
    <w:abstractNumId w:val="2"/>
  </w:num>
  <w:num w:numId="8">
    <w:abstractNumId w:val="3"/>
  </w:num>
  <w:num w:numId="9">
    <w:abstractNumId w:val="1"/>
  </w:num>
  <w:num w:numId="10">
    <w:abstractNumId w:val="8"/>
  </w:num>
  <w:num w:numId="11">
    <w:abstractNumId w:val="4"/>
  </w:num>
  <w:num w:numId="12">
    <w:abstractNumId w:val="16"/>
  </w:num>
  <w:num w:numId="13">
    <w:abstractNumId w:val="14"/>
  </w:num>
  <w:num w:numId="14">
    <w:abstractNumId w:val="12"/>
  </w:num>
  <w:num w:numId="15">
    <w:abstractNumId w:val="11"/>
  </w:num>
  <w:num w:numId="16">
    <w:abstractNumId w:val="10"/>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73F4"/>
    <w:rsid w:val="000209C5"/>
    <w:rsid w:val="00023071"/>
    <w:rsid w:val="0003455C"/>
    <w:rsid w:val="0004064C"/>
    <w:rsid w:val="00073413"/>
    <w:rsid w:val="00084F98"/>
    <w:rsid w:val="00087ECD"/>
    <w:rsid w:val="00092BE5"/>
    <w:rsid w:val="000B7320"/>
    <w:rsid w:val="000C260F"/>
    <w:rsid w:val="000D19F0"/>
    <w:rsid w:val="000F42F6"/>
    <w:rsid w:val="00122E58"/>
    <w:rsid w:val="001522BA"/>
    <w:rsid w:val="00166980"/>
    <w:rsid w:val="001A75F5"/>
    <w:rsid w:val="001C3CCC"/>
    <w:rsid w:val="001E4A7B"/>
    <w:rsid w:val="001F6977"/>
    <w:rsid w:val="00214B65"/>
    <w:rsid w:val="00225644"/>
    <w:rsid w:val="00243426"/>
    <w:rsid w:val="00273D66"/>
    <w:rsid w:val="00274B1F"/>
    <w:rsid w:val="002C1332"/>
    <w:rsid w:val="002D7218"/>
    <w:rsid w:val="0030553A"/>
    <w:rsid w:val="0037321C"/>
    <w:rsid w:val="00374F52"/>
    <w:rsid w:val="003A1F77"/>
    <w:rsid w:val="003B0BF9"/>
    <w:rsid w:val="003D536A"/>
    <w:rsid w:val="003D7B12"/>
    <w:rsid w:val="003E0791"/>
    <w:rsid w:val="003E529D"/>
    <w:rsid w:val="003F28AC"/>
    <w:rsid w:val="00405B6A"/>
    <w:rsid w:val="00443A53"/>
    <w:rsid w:val="004454FE"/>
    <w:rsid w:val="004521BF"/>
    <w:rsid w:val="0046226C"/>
    <w:rsid w:val="0046758F"/>
    <w:rsid w:val="00471F27"/>
    <w:rsid w:val="00481392"/>
    <w:rsid w:val="0049616E"/>
    <w:rsid w:val="004C7A0B"/>
    <w:rsid w:val="004E0B19"/>
    <w:rsid w:val="004F32A8"/>
    <w:rsid w:val="004F47E5"/>
    <w:rsid w:val="0050178F"/>
    <w:rsid w:val="00510076"/>
    <w:rsid w:val="00555F56"/>
    <w:rsid w:val="005722BE"/>
    <w:rsid w:val="0058464C"/>
    <w:rsid w:val="00587369"/>
    <w:rsid w:val="005A12DC"/>
    <w:rsid w:val="005A50AE"/>
    <w:rsid w:val="005B1BEE"/>
    <w:rsid w:val="005B4504"/>
    <w:rsid w:val="005E55FC"/>
    <w:rsid w:val="00606D94"/>
    <w:rsid w:val="00666289"/>
    <w:rsid w:val="00680BBB"/>
    <w:rsid w:val="006905AD"/>
    <w:rsid w:val="0069163B"/>
    <w:rsid w:val="006932F1"/>
    <w:rsid w:val="006A1A24"/>
    <w:rsid w:val="006E1081"/>
    <w:rsid w:val="006F1C09"/>
    <w:rsid w:val="006F2B9E"/>
    <w:rsid w:val="00701D57"/>
    <w:rsid w:val="00720585"/>
    <w:rsid w:val="00735C29"/>
    <w:rsid w:val="007360EC"/>
    <w:rsid w:val="00740FD1"/>
    <w:rsid w:val="00750DCC"/>
    <w:rsid w:val="00756670"/>
    <w:rsid w:val="00773AF6"/>
    <w:rsid w:val="007C00B5"/>
    <w:rsid w:val="007C43FA"/>
    <w:rsid w:val="0081317C"/>
    <w:rsid w:val="00816C11"/>
    <w:rsid w:val="00841A03"/>
    <w:rsid w:val="00852BDA"/>
    <w:rsid w:val="00872684"/>
    <w:rsid w:val="00872FDD"/>
    <w:rsid w:val="00894C55"/>
    <w:rsid w:val="008B7D12"/>
    <w:rsid w:val="00904475"/>
    <w:rsid w:val="00916681"/>
    <w:rsid w:val="00947282"/>
    <w:rsid w:val="009663BF"/>
    <w:rsid w:val="00970718"/>
    <w:rsid w:val="00980F2A"/>
    <w:rsid w:val="0098264A"/>
    <w:rsid w:val="00982DF3"/>
    <w:rsid w:val="00997E0E"/>
    <w:rsid w:val="009A08D5"/>
    <w:rsid w:val="009B3E10"/>
    <w:rsid w:val="009C2FCA"/>
    <w:rsid w:val="009C6E2B"/>
    <w:rsid w:val="00A03B77"/>
    <w:rsid w:val="00A12865"/>
    <w:rsid w:val="00A12B0A"/>
    <w:rsid w:val="00A21477"/>
    <w:rsid w:val="00A3752A"/>
    <w:rsid w:val="00A445D8"/>
    <w:rsid w:val="00A47D0B"/>
    <w:rsid w:val="00A6091A"/>
    <w:rsid w:val="00A702D8"/>
    <w:rsid w:val="00A83A26"/>
    <w:rsid w:val="00AC3788"/>
    <w:rsid w:val="00AD23B1"/>
    <w:rsid w:val="00AE5567"/>
    <w:rsid w:val="00B2165C"/>
    <w:rsid w:val="00B33170"/>
    <w:rsid w:val="00B41DEB"/>
    <w:rsid w:val="00B535FD"/>
    <w:rsid w:val="00B62D4D"/>
    <w:rsid w:val="00B95803"/>
    <w:rsid w:val="00BC2B19"/>
    <w:rsid w:val="00BC2C33"/>
    <w:rsid w:val="00BD4425"/>
    <w:rsid w:val="00BE029D"/>
    <w:rsid w:val="00BE60D5"/>
    <w:rsid w:val="00BF3311"/>
    <w:rsid w:val="00C25B49"/>
    <w:rsid w:val="00C34705"/>
    <w:rsid w:val="00C65498"/>
    <w:rsid w:val="00C75EF4"/>
    <w:rsid w:val="00C80902"/>
    <w:rsid w:val="00CD1B36"/>
    <w:rsid w:val="00CD7E8F"/>
    <w:rsid w:val="00CE5657"/>
    <w:rsid w:val="00D45F12"/>
    <w:rsid w:val="00D66836"/>
    <w:rsid w:val="00D82548"/>
    <w:rsid w:val="00DC4B8A"/>
    <w:rsid w:val="00DC6075"/>
    <w:rsid w:val="00E07422"/>
    <w:rsid w:val="00E16C7B"/>
    <w:rsid w:val="00E4487B"/>
    <w:rsid w:val="00E82BC4"/>
    <w:rsid w:val="00E90C01"/>
    <w:rsid w:val="00EA0086"/>
    <w:rsid w:val="00EA1C77"/>
    <w:rsid w:val="00EA486E"/>
    <w:rsid w:val="00EA4F76"/>
    <w:rsid w:val="00EE1027"/>
    <w:rsid w:val="00EF097B"/>
    <w:rsid w:val="00F32503"/>
    <w:rsid w:val="00F4266A"/>
    <w:rsid w:val="00F57B0C"/>
    <w:rsid w:val="00F61F4F"/>
    <w:rsid w:val="00F81963"/>
    <w:rsid w:val="00F8665F"/>
    <w:rsid w:val="00F974D7"/>
    <w:rsid w:val="00FC6598"/>
    <w:rsid w:val="00FE5BC6"/>
    <w:rsid w:val="00FF14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056B4A0"/>
  <w15:docId w15:val="{A4FBEE60-7A4A-4DDF-859F-91B9EB9F1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37321C"/>
    <w:pPr>
      <w:keepNext/>
      <w:keepLines/>
      <w:widowControl w:val="0"/>
      <w:spacing w:before="40" w:after="0" w:line="276" w:lineRule="auto"/>
      <w:outlineLvl w:val="2"/>
    </w:pPr>
    <w:rPr>
      <w:rFonts w:asciiTheme="majorHAnsi" w:eastAsiaTheme="majorEastAsia" w:hAnsiTheme="majorHAnsi" w:cstheme="majorBidi"/>
      <w:color w:val="1F4D78" w:themeColor="accent1" w:themeShade="7F"/>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eastAsia="Times New Roman" w:cs="Times New Roman"/>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eastAsia="Times New Roman" w:cs="Times New Roman"/>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uiPriority w:val="9"/>
    <w:rsid w:val="0037321C"/>
    <w:rPr>
      <w:rFonts w:asciiTheme="majorHAnsi" w:eastAsiaTheme="majorEastAsia" w:hAnsiTheme="majorHAnsi" w:cstheme="majorBidi"/>
      <w:color w:val="1F4D78" w:themeColor="accent1" w:themeShade="7F"/>
      <w:sz w:val="24"/>
      <w:szCs w:val="24"/>
      <w:lang w:val="en-US"/>
    </w:rPr>
  </w:style>
  <w:style w:type="paragraph" w:styleId="ListParagraph">
    <w:name w:val="List Paragraph"/>
    <w:basedOn w:val="Normal"/>
    <w:uiPriority w:val="34"/>
    <w:qFormat/>
    <w:rsid w:val="0037321C"/>
    <w:pPr>
      <w:widowControl w:val="0"/>
      <w:spacing w:after="200" w:line="276" w:lineRule="auto"/>
      <w:ind w:left="720"/>
      <w:contextualSpacing/>
    </w:pPr>
    <w:rPr>
      <w:rFonts w:ascii="Calibri" w:eastAsia="Calibri" w:hAnsi="Calibri" w:cs="Times New Roman"/>
      <w:lang w:val="en-US"/>
    </w:rPr>
  </w:style>
  <w:style w:type="paragraph" w:customStyle="1" w:styleId="tv213">
    <w:name w:val="tv213"/>
    <w:basedOn w:val="Normal"/>
    <w:rsid w:val="0037321C"/>
    <w:pPr>
      <w:spacing w:before="100" w:beforeAutospacing="1" w:after="100" w:afterAutospacing="1" w:line="240" w:lineRule="auto"/>
    </w:pPr>
    <w:rPr>
      <w:rFonts w:eastAsia="Times New Roman" w:cs="Times New Roman"/>
      <w:szCs w:val="24"/>
      <w:lang w:val="en-US"/>
    </w:rPr>
  </w:style>
  <w:style w:type="paragraph" w:customStyle="1" w:styleId="naiskr">
    <w:name w:val="naiskr"/>
    <w:basedOn w:val="Normal"/>
    <w:rsid w:val="0037321C"/>
    <w:pPr>
      <w:spacing w:before="75" w:after="75" w:line="240" w:lineRule="auto"/>
    </w:pPr>
    <w:rPr>
      <w:rFonts w:eastAsia="Times New Roman" w:cs="Times New Roman"/>
      <w:szCs w:val="24"/>
      <w:lang w:eastAsia="lv-LV"/>
    </w:rPr>
  </w:style>
  <w:style w:type="character" w:styleId="CommentReference">
    <w:name w:val="annotation reference"/>
    <w:basedOn w:val="DefaultParagraphFont"/>
    <w:uiPriority w:val="99"/>
    <w:unhideWhenUsed/>
    <w:rsid w:val="0037321C"/>
    <w:rPr>
      <w:sz w:val="16"/>
      <w:szCs w:val="16"/>
    </w:rPr>
  </w:style>
  <w:style w:type="paragraph" w:styleId="CommentText">
    <w:name w:val="annotation text"/>
    <w:basedOn w:val="Normal"/>
    <w:link w:val="CommentTextChar"/>
    <w:uiPriority w:val="99"/>
    <w:unhideWhenUsed/>
    <w:rsid w:val="0037321C"/>
    <w:pPr>
      <w:spacing w:after="0" w:line="240" w:lineRule="auto"/>
    </w:pPr>
    <w:rPr>
      <w:sz w:val="20"/>
      <w:szCs w:val="20"/>
    </w:rPr>
  </w:style>
  <w:style w:type="character" w:customStyle="1" w:styleId="CommentTextChar">
    <w:name w:val="Comment Text Char"/>
    <w:basedOn w:val="DefaultParagraphFont"/>
    <w:link w:val="CommentText"/>
    <w:uiPriority w:val="99"/>
    <w:rsid w:val="0037321C"/>
    <w:rPr>
      <w:rFonts w:ascii="Times New Roman" w:hAnsi="Times New Roman"/>
      <w:sz w:val="20"/>
      <w:szCs w:val="20"/>
    </w:rPr>
  </w:style>
  <w:style w:type="paragraph" w:customStyle="1" w:styleId="CM11">
    <w:name w:val="CM1+1"/>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31">
    <w:name w:val="CM3+1"/>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1">
    <w:name w:val="CM1"/>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3">
    <w:name w:val="CM3"/>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CM4">
    <w:name w:val="CM4"/>
    <w:basedOn w:val="Normal"/>
    <w:next w:val="Normal"/>
    <w:uiPriority w:val="99"/>
    <w:rsid w:val="0037321C"/>
    <w:pPr>
      <w:autoSpaceDE w:val="0"/>
      <w:autoSpaceDN w:val="0"/>
      <w:adjustRightInd w:val="0"/>
      <w:spacing w:after="0" w:line="240" w:lineRule="auto"/>
    </w:pPr>
    <w:rPr>
      <w:rFonts w:ascii="EUAlbertina" w:hAnsi="EUAlbertina"/>
      <w:szCs w:val="24"/>
    </w:rPr>
  </w:style>
  <w:style w:type="paragraph" w:customStyle="1" w:styleId="naisf">
    <w:name w:val="naisf"/>
    <w:basedOn w:val="Normal"/>
    <w:rsid w:val="0037321C"/>
    <w:pPr>
      <w:spacing w:before="100" w:beforeAutospacing="1" w:after="100" w:afterAutospacing="1" w:line="240" w:lineRule="auto"/>
    </w:pPr>
    <w:rPr>
      <w:rFonts w:eastAsia="Times New Roman" w:cs="Times New Roman"/>
      <w:szCs w:val="24"/>
      <w:lang w:eastAsia="lv-LV"/>
    </w:rPr>
  </w:style>
  <w:style w:type="character" w:styleId="Emphasis">
    <w:name w:val="Emphasis"/>
    <w:basedOn w:val="DefaultParagraphFont"/>
    <w:uiPriority w:val="20"/>
    <w:qFormat/>
    <w:rsid w:val="0037321C"/>
    <w:rPr>
      <w:b/>
      <w:bCs/>
      <w:i w:val="0"/>
      <w:iCs w:val="0"/>
    </w:rPr>
  </w:style>
  <w:style w:type="character" w:customStyle="1" w:styleId="st1">
    <w:name w:val="st1"/>
    <w:basedOn w:val="DefaultParagraphFont"/>
    <w:rsid w:val="0037321C"/>
  </w:style>
  <w:style w:type="character" w:customStyle="1" w:styleId="spelle">
    <w:name w:val="spelle"/>
    <w:basedOn w:val="DefaultParagraphFont"/>
    <w:rsid w:val="0037321C"/>
  </w:style>
  <w:style w:type="paragraph" w:styleId="CommentSubject">
    <w:name w:val="annotation subject"/>
    <w:basedOn w:val="CommentText"/>
    <w:next w:val="CommentText"/>
    <w:link w:val="CommentSubjectChar"/>
    <w:uiPriority w:val="99"/>
    <w:semiHidden/>
    <w:unhideWhenUsed/>
    <w:rsid w:val="0037321C"/>
    <w:pPr>
      <w:spacing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37321C"/>
    <w:rPr>
      <w:rFonts w:ascii="Times New Roman" w:hAnsi="Times New Roman"/>
      <w:b/>
      <w:bCs/>
      <w:sz w:val="20"/>
      <w:szCs w:val="20"/>
    </w:rPr>
  </w:style>
  <w:style w:type="paragraph" w:customStyle="1" w:styleId="TableContents">
    <w:name w:val="Table Contents"/>
    <w:basedOn w:val="Normal"/>
    <w:rsid w:val="00980F2A"/>
    <w:pPr>
      <w:widowControl w:val="0"/>
      <w:suppressLineNumbers/>
      <w:suppressAutoHyphens/>
      <w:spacing w:after="0" w:line="240" w:lineRule="auto"/>
    </w:pPr>
    <w:rPr>
      <w:rFonts w:eastAsia="Lucida Sans Unicode" w:cs="Times New Roman"/>
      <w:kern w:val="1"/>
      <w:szCs w:val="24"/>
      <w:lang w:eastAsia="lv-LV"/>
    </w:rPr>
  </w:style>
  <w:style w:type="paragraph" w:styleId="Revision">
    <w:name w:val="Revision"/>
    <w:hidden/>
    <w:uiPriority w:val="99"/>
    <w:semiHidden/>
    <w:rsid w:val="00C75E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379522821">
      <w:bodyDiv w:val="1"/>
      <w:marLeft w:val="0"/>
      <w:marRight w:val="0"/>
      <w:marTop w:val="0"/>
      <w:marBottom w:val="0"/>
      <w:divBdr>
        <w:top w:val="none" w:sz="0" w:space="0" w:color="auto"/>
        <w:left w:val="none" w:sz="0" w:space="0" w:color="auto"/>
        <w:bottom w:val="none" w:sz="0" w:space="0" w:color="auto"/>
        <w:right w:val="none" w:sz="0" w:space="0" w:color="auto"/>
      </w:divBdr>
    </w:div>
    <w:div w:id="208590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545</Words>
  <Characters>4024</Characters>
  <Application>Microsoft Office Word</Application>
  <DocSecurity>0</DocSecurity>
  <Lines>146</Lines>
  <Paragraphs>63</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2017.gada 28.februāra noteikumos Nr.109 “Noteikumi par profesionālās darbības pārkāpumiem”” projekta sākotnējās ietekmes novērtējuma ziņojums (anotācija)</vt:lpstr>
    </vt:vector>
  </TitlesOfParts>
  <Company>Finanšu ministrija</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2017.gada 28.februāra noteikumos Nr.109 “Noteikumi par profesionālās darbības pārkāpumiem”” projekta sākotnējās ietekmes novērtējuma ziņojums (anotācija)</dc:title>
  <dc:subject>Anotācija</dc:subject>
  <dc:creator>Agnese Senčilo</dc:creator>
  <cp:keywords/>
  <dc:description>67083915, agnese.sencilo@fm.gov.lv</dc:description>
  <cp:lastModifiedBy>Agnese Senčilo</cp:lastModifiedBy>
  <cp:revision>20</cp:revision>
  <cp:lastPrinted>2017-03-16T06:36:00Z</cp:lastPrinted>
  <dcterms:created xsi:type="dcterms:W3CDTF">2017-03-13T11:09:00Z</dcterms:created>
  <dcterms:modified xsi:type="dcterms:W3CDTF">2017-04-20T06:18:00Z</dcterms:modified>
</cp:coreProperties>
</file>