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877" w:rsidRPr="004D4B8C" w:rsidRDefault="00194265" w:rsidP="00194265">
      <w:pPr>
        <w:tabs>
          <w:tab w:val="left" w:pos="6804"/>
        </w:tabs>
        <w:rPr>
          <w:sz w:val="28"/>
          <w:szCs w:val="28"/>
        </w:rPr>
      </w:pPr>
      <w:bookmarkStart w:id="0" w:name="_GoBack"/>
      <w:bookmarkEnd w:id="0"/>
      <w:r w:rsidRPr="004D4B8C">
        <w:rPr>
          <w:sz w:val="28"/>
          <w:szCs w:val="28"/>
        </w:rPr>
        <w:t xml:space="preserve">2017. gada            </w:t>
      </w:r>
      <w:r w:rsidRPr="004D4B8C">
        <w:rPr>
          <w:sz w:val="28"/>
          <w:szCs w:val="28"/>
        </w:rPr>
        <w:tab/>
        <w:t>Rīkojums Nr.</w:t>
      </w:r>
    </w:p>
    <w:p w:rsidR="00194265" w:rsidRPr="004D4B8C" w:rsidRDefault="00194265" w:rsidP="00194265">
      <w:pPr>
        <w:tabs>
          <w:tab w:val="left" w:pos="6804"/>
        </w:tabs>
        <w:rPr>
          <w:sz w:val="28"/>
          <w:szCs w:val="28"/>
        </w:rPr>
      </w:pPr>
      <w:r w:rsidRPr="004D4B8C">
        <w:rPr>
          <w:sz w:val="28"/>
          <w:szCs w:val="28"/>
        </w:rPr>
        <w:t>Rīgā</w:t>
      </w:r>
      <w:r w:rsidRPr="004D4B8C">
        <w:rPr>
          <w:sz w:val="28"/>
          <w:szCs w:val="28"/>
        </w:rPr>
        <w:tab/>
        <w:t>(prot. Nr.            . §)</w:t>
      </w:r>
    </w:p>
    <w:p w:rsidR="00B32877" w:rsidRDefault="00B32877" w:rsidP="00194265">
      <w:pPr>
        <w:tabs>
          <w:tab w:val="left" w:pos="6804"/>
        </w:tabs>
        <w:rPr>
          <w:sz w:val="28"/>
          <w:szCs w:val="28"/>
        </w:rPr>
      </w:pPr>
    </w:p>
    <w:p w:rsidR="00194265" w:rsidRPr="004D4B8C" w:rsidRDefault="00194265" w:rsidP="00194265">
      <w:pPr>
        <w:ind w:firstLine="720"/>
        <w:rPr>
          <w:b/>
          <w:sz w:val="28"/>
          <w:szCs w:val="28"/>
        </w:rPr>
      </w:pPr>
      <w:r w:rsidRPr="004D4B8C">
        <w:rPr>
          <w:b/>
          <w:sz w:val="28"/>
          <w:szCs w:val="28"/>
        </w:rPr>
        <w:t>Par “Valsts Nodokļu politikas pamatnostādnēm 2018.-2021.gadam”</w:t>
      </w:r>
    </w:p>
    <w:p w:rsidR="004D4B8C" w:rsidRPr="004D4B8C" w:rsidRDefault="004D4B8C" w:rsidP="00194265">
      <w:pPr>
        <w:ind w:firstLine="720"/>
        <w:rPr>
          <w:b/>
        </w:rPr>
      </w:pPr>
    </w:p>
    <w:p w:rsidR="004D4B8C" w:rsidRPr="004D4B8C" w:rsidRDefault="004D4B8C" w:rsidP="004D4B8C">
      <w:pPr>
        <w:pStyle w:val="ListParagraph"/>
        <w:tabs>
          <w:tab w:val="left" w:pos="709"/>
        </w:tabs>
        <w:ind w:left="0" w:firstLine="425"/>
        <w:jc w:val="both"/>
        <w:rPr>
          <w:sz w:val="28"/>
          <w:szCs w:val="28"/>
        </w:rPr>
      </w:pPr>
    </w:p>
    <w:p w:rsidR="003D239B" w:rsidRPr="003D239B" w:rsidRDefault="003D239B" w:rsidP="003D239B">
      <w:pPr>
        <w:tabs>
          <w:tab w:val="left" w:pos="709"/>
        </w:tabs>
        <w:ind w:firstLine="425"/>
        <w:contextualSpacing/>
        <w:jc w:val="both"/>
        <w:rPr>
          <w:sz w:val="28"/>
          <w:szCs w:val="28"/>
        </w:rPr>
      </w:pPr>
    </w:p>
    <w:p w:rsidR="003D239B" w:rsidRPr="003D239B" w:rsidRDefault="003D239B" w:rsidP="003D239B">
      <w:pPr>
        <w:numPr>
          <w:ilvl w:val="0"/>
          <w:numId w:val="3"/>
        </w:numPr>
        <w:tabs>
          <w:tab w:val="left" w:pos="709"/>
        </w:tabs>
        <w:spacing w:after="160" w:line="259" w:lineRule="auto"/>
        <w:ind w:left="0" w:firstLine="425"/>
        <w:contextualSpacing/>
        <w:jc w:val="both"/>
        <w:rPr>
          <w:sz w:val="28"/>
          <w:szCs w:val="28"/>
        </w:rPr>
      </w:pPr>
      <w:r w:rsidRPr="003D239B">
        <w:rPr>
          <w:sz w:val="28"/>
          <w:szCs w:val="28"/>
        </w:rPr>
        <w:t>Atbalstīt Valsts Nodokļu politikas pamatnostādnes 2018.-2021. gadam (turpmāk – pamatnostādnes), nodrošinot:</w:t>
      </w:r>
    </w:p>
    <w:p w:rsidR="003D239B" w:rsidRPr="003D239B" w:rsidRDefault="003D239B" w:rsidP="003D239B">
      <w:pPr>
        <w:numPr>
          <w:ilvl w:val="1"/>
          <w:numId w:val="16"/>
        </w:numPr>
        <w:tabs>
          <w:tab w:val="left" w:pos="709"/>
        </w:tabs>
        <w:spacing w:after="160" w:line="259" w:lineRule="auto"/>
        <w:contextualSpacing/>
        <w:jc w:val="both"/>
        <w:rPr>
          <w:sz w:val="28"/>
          <w:szCs w:val="28"/>
        </w:rPr>
      </w:pPr>
      <w:r w:rsidRPr="003D239B">
        <w:rPr>
          <w:sz w:val="28"/>
          <w:szCs w:val="28"/>
        </w:rPr>
        <w:t>ka tiek paredzēts risinājums veselības aprūpes ilgtermiņa finansēšanas modelim;</w:t>
      </w:r>
    </w:p>
    <w:p w:rsidR="003D239B" w:rsidRPr="003D239B" w:rsidRDefault="003D239B" w:rsidP="003D239B">
      <w:pPr>
        <w:numPr>
          <w:ilvl w:val="1"/>
          <w:numId w:val="16"/>
        </w:numPr>
        <w:tabs>
          <w:tab w:val="left" w:pos="709"/>
        </w:tabs>
        <w:spacing w:after="160" w:line="259" w:lineRule="auto"/>
        <w:contextualSpacing/>
        <w:jc w:val="both"/>
        <w:rPr>
          <w:sz w:val="28"/>
          <w:szCs w:val="28"/>
        </w:rPr>
      </w:pPr>
      <w:r w:rsidRPr="003D239B">
        <w:rPr>
          <w:sz w:val="28"/>
          <w:szCs w:val="28"/>
        </w:rPr>
        <w:t>strukturālā deficīta mērķa ievērošanu;</w:t>
      </w:r>
    </w:p>
    <w:p w:rsidR="003D239B" w:rsidRPr="003D239B" w:rsidRDefault="003D239B" w:rsidP="003D239B">
      <w:pPr>
        <w:numPr>
          <w:ilvl w:val="1"/>
          <w:numId w:val="16"/>
        </w:numPr>
        <w:tabs>
          <w:tab w:val="left" w:pos="709"/>
        </w:tabs>
        <w:spacing w:after="160" w:line="259" w:lineRule="auto"/>
        <w:contextualSpacing/>
        <w:jc w:val="both"/>
        <w:rPr>
          <w:sz w:val="28"/>
          <w:szCs w:val="28"/>
        </w:rPr>
      </w:pPr>
      <w:r w:rsidRPr="003D239B">
        <w:rPr>
          <w:sz w:val="28"/>
          <w:szCs w:val="28"/>
        </w:rPr>
        <w:t xml:space="preserve">budžeta veidošanas procesā izveidojoties papildu fiskālai telpai, finansējuma novirzīšanu prioritāriem pasākumiem, īpaši iesākto nozaru reformu turpināšanai. </w:t>
      </w:r>
    </w:p>
    <w:p w:rsidR="004D4B8C" w:rsidRPr="004D4B8C" w:rsidRDefault="004D4B8C" w:rsidP="004D4B8C">
      <w:pPr>
        <w:pStyle w:val="ListParagraph"/>
        <w:numPr>
          <w:ilvl w:val="0"/>
          <w:numId w:val="3"/>
        </w:numPr>
        <w:tabs>
          <w:tab w:val="left" w:pos="709"/>
        </w:tabs>
        <w:ind w:left="0" w:firstLine="425"/>
        <w:jc w:val="both"/>
        <w:rPr>
          <w:sz w:val="28"/>
          <w:szCs w:val="28"/>
        </w:rPr>
      </w:pPr>
      <w:r w:rsidRPr="004D4B8C">
        <w:rPr>
          <w:iCs/>
          <w:sz w:val="28"/>
          <w:szCs w:val="28"/>
        </w:rPr>
        <w:t>Pamatnostādņu īstenošanā iesaistītajām institūcijām 2017. gadā pamatnostādnēs ietverto pasākumu īstenošanu nodrošināt piešķirto valsts budžeta līdzekļu ietvaros, izņemot papildu finansējumu minimālās algas celšanai. Jautājumu par papildu valsts budžeta līdzekļu piešķiršanu 2018. un turpmākajiem gadiem saistībā ar kompensējošiem pasākumiem akcīzes nodokļa pieaugumam degvielai skatīt likumprojekta "Par valsts budžetu 2018. gadam" un likumprojekta "Par vidēja termiņa budžeta ietvaru 2018., 2019., 2020. gadam" sagatavošanas procesā, ievērojot valsts budžeta finansiālās iespējas.</w:t>
      </w:r>
    </w:p>
    <w:p w:rsidR="004D4B8C" w:rsidRPr="004D4B8C" w:rsidRDefault="004D4B8C" w:rsidP="004D4B8C">
      <w:pPr>
        <w:pStyle w:val="ListParagraph"/>
        <w:rPr>
          <w:sz w:val="28"/>
          <w:szCs w:val="28"/>
        </w:rPr>
      </w:pPr>
    </w:p>
    <w:p w:rsidR="004D4B8C" w:rsidRPr="004D4B8C" w:rsidRDefault="004D4B8C" w:rsidP="004D4B8C">
      <w:pPr>
        <w:pStyle w:val="ListParagraph"/>
        <w:numPr>
          <w:ilvl w:val="0"/>
          <w:numId w:val="3"/>
        </w:numPr>
        <w:tabs>
          <w:tab w:val="left" w:pos="709"/>
        </w:tabs>
        <w:ind w:left="0" w:firstLine="425"/>
        <w:jc w:val="both"/>
        <w:rPr>
          <w:sz w:val="28"/>
          <w:szCs w:val="28"/>
        </w:rPr>
      </w:pPr>
      <w:r w:rsidRPr="004D4B8C">
        <w:rPr>
          <w:sz w:val="28"/>
          <w:szCs w:val="28"/>
        </w:rPr>
        <w:t>Lai nodrošinātu stabilitāti un prognozējamību pašvaldību budžetu plānošanā un nepieciešamos finanšu resursus vidējā termiņā pašvaldību funkciju nodrošināšanai un uzņemto saistību izpildei,  Ministru kabinets, iesniedzot Saeimā likumprojektu "Par valsts budžetu 2018. gadam" un likumprojektu "Par vidēja termiņa budžeta ietvaru 2018., 2019., 2020. gadam", nodrošina, ka pašvaldību budžetu nodokļu ieņēmumi kopā ar speciālo dotāciju ir ne mazāk kā 19.5% no vispārējās valdības nodokļu ieņēmumiem.</w:t>
      </w:r>
    </w:p>
    <w:p w:rsidR="004D4B8C" w:rsidRPr="004D4B8C" w:rsidRDefault="004D4B8C" w:rsidP="004D4B8C">
      <w:pPr>
        <w:pStyle w:val="ListParagraph"/>
        <w:ind w:left="0" w:firstLine="425"/>
        <w:rPr>
          <w:sz w:val="28"/>
          <w:szCs w:val="28"/>
        </w:rPr>
      </w:pPr>
    </w:p>
    <w:p w:rsidR="004D4B8C" w:rsidRPr="004D4B8C" w:rsidRDefault="004D4B8C" w:rsidP="004D4B8C">
      <w:pPr>
        <w:pStyle w:val="ListParagraph"/>
        <w:numPr>
          <w:ilvl w:val="0"/>
          <w:numId w:val="3"/>
        </w:numPr>
        <w:tabs>
          <w:tab w:val="left" w:pos="709"/>
        </w:tabs>
        <w:ind w:left="0" w:firstLine="425"/>
        <w:jc w:val="both"/>
        <w:rPr>
          <w:sz w:val="28"/>
          <w:szCs w:val="28"/>
        </w:rPr>
      </w:pPr>
      <w:r w:rsidRPr="004D4B8C">
        <w:rPr>
          <w:sz w:val="28"/>
          <w:szCs w:val="28"/>
        </w:rPr>
        <w:t>Pieņemt zināšanai, ka Latvijas Stabilitātes programmā 2017.-2020.gadam ietverta atkāpe no Vidēja termiņa mērķa (VTM), tādējādi nodrošinot papildu finansējumu veselības nozarei, kas ir attiecīgi 0,1% no IKP 2017.gadā (atkāpe ir saskaņota ar Eiropas Komisiju), 0,4% no IKP 2018.gadā un 0,5% no IKP 2019.gadā.</w:t>
      </w:r>
    </w:p>
    <w:p w:rsidR="004D4B8C" w:rsidRPr="004D4B8C" w:rsidRDefault="004D4B8C" w:rsidP="004D4B8C">
      <w:pPr>
        <w:pStyle w:val="ListParagraph"/>
        <w:ind w:left="0" w:firstLine="425"/>
        <w:rPr>
          <w:sz w:val="28"/>
          <w:szCs w:val="28"/>
        </w:rPr>
      </w:pPr>
    </w:p>
    <w:p w:rsidR="004D4B8C" w:rsidRPr="004D4B8C" w:rsidRDefault="004D4B8C" w:rsidP="004D4B8C">
      <w:pPr>
        <w:pStyle w:val="ListParagraph"/>
        <w:numPr>
          <w:ilvl w:val="0"/>
          <w:numId w:val="3"/>
        </w:numPr>
        <w:tabs>
          <w:tab w:val="left" w:pos="709"/>
        </w:tabs>
        <w:ind w:left="0" w:firstLine="425"/>
        <w:jc w:val="both"/>
        <w:rPr>
          <w:sz w:val="28"/>
          <w:szCs w:val="28"/>
        </w:rPr>
      </w:pPr>
      <w:r w:rsidRPr="004D4B8C">
        <w:rPr>
          <w:sz w:val="28"/>
          <w:szCs w:val="28"/>
        </w:rPr>
        <w:t xml:space="preserve">Pieņemt zināšanai, ka 4.punktā minētās atkāpes no VTM izmantošanā 2018.gadā nodrošina finansējumu veselības nozarei līdz 110 milj. euro, kas tuvina nozares finansējuma apjomu 4% no IKP. Vienlaikus jāturpina darbs ar papildu </w:t>
      </w:r>
      <w:r w:rsidRPr="004D4B8C">
        <w:rPr>
          <w:sz w:val="28"/>
          <w:szCs w:val="28"/>
        </w:rPr>
        <w:lastRenderedPageBreak/>
        <w:t>finansējuma avotu apzināšanu šī mērķa sasniegšanai, t.sk. valsts budžeta sagatavošanas procesa ietvaros.</w:t>
      </w:r>
    </w:p>
    <w:p w:rsidR="004D4B8C" w:rsidRPr="004D4B8C" w:rsidRDefault="004D4B8C" w:rsidP="004D4B8C">
      <w:pPr>
        <w:pStyle w:val="ListParagraph"/>
        <w:ind w:left="0" w:firstLine="425"/>
        <w:rPr>
          <w:sz w:val="28"/>
          <w:szCs w:val="28"/>
        </w:rPr>
      </w:pPr>
    </w:p>
    <w:p w:rsidR="004D4B8C" w:rsidRPr="004D4B8C" w:rsidRDefault="004D4B8C" w:rsidP="004D4B8C">
      <w:pPr>
        <w:pStyle w:val="ListParagraph"/>
        <w:numPr>
          <w:ilvl w:val="0"/>
          <w:numId w:val="3"/>
        </w:numPr>
        <w:tabs>
          <w:tab w:val="left" w:pos="709"/>
        </w:tabs>
        <w:ind w:left="0" w:firstLine="425"/>
        <w:jc w:val="both"/>
        <w:rPr>
          <w:sz w:val="28"/>
          <w:szCs w:val="28"/>
        </w:rPr>
      </w:pPr>
      <w:r w:rsidRPr="004D4B8C">
        <w:rPr>
          <w:sz w:val="28"/>
          <w:szCs w:val="28"/>
        </w:rPr>
        <w:t>Ievērojot iepriekšējus Nacionālās trīspusējās sadarbības padomes lēmumus, uzdot Finanšu ministrijai un pārējām atbildīgajām ministrijām uzsākt darbu pie normatīvā regulējuma izstrādes, kas nodrošinātu nodokļu reformas ieviešanu no 2018.gada 1.janvāra, t.sk.:</w:t>
      </w:r>
    </w:p>
    <w:p w:rsidR="004D4B8C" w:rsidRPr="004D4B8C" w:rsidRDefault="004D4B8C" w:rsidP="004D4B8C">
      <w:pPr>
        <w:pStyle w:val="ListParagraph"/>
        <w:rPr>
          <w:sz w:val="28"/>
          <w:szCs w:val="28"/>
        </w:rPr>
      </w:pPr>
    </w:p>
    <w:p w:rsidR="004D4B8C" w:rsidRPr="004D4B8C" w:rsidRDefault="004D4B8C" w:rsidP="004D4B8C">
      <w:pPr>
        <w:pStyle w:val="ListParagraph"/>
        <w:numPr>
          <w:ilvl w:val="1"/>
          <w:numId w:val="14"/>
        </w:numPr>
        <w:tabs>
          <w:tab w:val="left" w:pos="709"/>
        </w:tabs>
        <w:jc w:val="both"/>
        <w:rPr>
          <w:sz w:val="28"/>
          <w:szCs w:val="28"/>
        </w:rPr>
      </w:pPr>
      <w:r w:rsidRPr="004D4B8C">
        <w:rPr>
          <w:sz w:val="28"/>
          <w:szCs w:val="28"/>
        </w:rPr>
        <w:t>Normatīva regulējuma izstrādes procesā uzdot Finanšu ministrijai turpināt diskusijas Nacionālās trīspusējās sadarbības padomes budžeta un nodokļu apakšpadomē, kā arī turpināt analizēt institūciju izteiktos iebildumus un priekšlikumus, kuri izteikti pamatnostādņu projekta saskaņošanas laikā;</w:t>
      </w:r>
    </w:p>
    <w:p w:rsidR="004D4B8C" w:rsidRPr="004D4B8C" w:rsidRDefault="004D4B8C" w:rsidP="004D4B8C">
      <w:pPr>
        <w:pStyle w:val="ListParagraph"/>
        <w:numPr>
          <w:ilvl w:val="1"/>
          <w:numId w:val="14"/>
        </w:numPr>
        <w:tabs>
          <w:tab w:val="left" w:pos="709"/>
        </w:tabs>
        <w:jc w:val="both"/>
        <w:rPr>
          <w:sz w:val="28"/>
          <w:szCs w:val="28"/>
        </w:rPr>
      </w:pPr>
      <w:r w:rsidRPr="004D4B8C">
        <w:rPr>
          <w:sz w:val="28"/>
          <w:szCs w:val="28"/>
        </w:rPr>
        <w:t>Ņemt vērā, ka nodokļu reformu tiesību aktu virzības procesā turpmāko priekšlikumu un papildinājumu analīzē ir jāievēro fiskālās disciplīnas principi;</w:t>
      </w:r>
    </w:p>
    <w:p w:rsidR="004D4B8C" w:rsidRPr="004D4B8C" w:rsidRDefault="004D4B8C" w:rsidP="004D4B8C">
      <w:pPr>
        <w:pStyle w:val="ListParagraph"/>
        <w:numPr>
          <w:ilvl w:val="1"/>
          <w:numId w:val="14"/>
        </w:numPr>
        <w:tabs>
          <w:tab w:val="left" w:pos="709"/>
        </w:tabs>
        <w:jc w:val="both"/>
        <w:rPr>
          <w:sz w:val="28"/>
          <w:szCs w:val="28"/>
        </w:rPr>
      </w:pPr>
      <w:r w:rsidRPr="004D4B8C">
        <w:rPr>
          <w:sz w:val="28"/>
          <w:szCs w:val="28"/>
        </w:rPr>
        <w:t>Attiecībā uz lauksaimniecības nozīmi konceptuāli atbalstīt principu, ka iedzīvotāju ienākuma nodokļa maksātājiem (saimnieciskās darbības veicējiem) subsīdijas nodokļa aprēķināšanas nolūkiem (80% attaisnoto izdevumu normas noteikšanai) tiek pieskatītas pie apgrozījuma;</w:t>
      </w:r>
    </w:p>
    <w:p w:rsidR="004D4B8C" w:rsidRPr="004D4B8C" w:rsidRDefault="004D4B8C" w:rsidP="004D4B8C">
      <w:pPr>
        <w:pStyle w:val="ListParagraph"/>
        <w:numPr>
          <w:ilvl w:val="1"/>
          <w:numId w:val="14"/>
        </w:numPr>
        <w:tabs>
          <w:tab w:val="left" w:pos="709"/>
        </w:tabs>
        <w:jc w:val="both"/>
        <w:rPr>
          <w:sz w:val="28"/>
          <w:szCs w:val="28"/>
        </w:rPr>
      </w:pPr>
      <w:r w:rsidRPr="004D4B8C">
        <w:rPr>
          <w:sz w:val="28"/>
          <w:szCs w:val="28"/>
        </w:rPr>
        <w:t>Finanšu ministrijai turpināt diskusijas ar meža nozares pārstāvjiem attiecībā uz piemērojamo izdevumu normu iedzīvotāja ienākuma nodokļa aprēķinam;</w:t>
      </w:r>
    </w:p>
    <w:p w:rsidR="004D4B8C" w:rsidRPr="004D4B8C" w:rsidRDefault="004D4B8C" w:rsidP="004D4B8C">
      <w:pPr>
        <w:pStyle w:val="ListParagraph"/>
        <w:numPr>
          <w:ilvl w:val="1"/>
          <w:numId w:val="14"/>
        </w:numPr>
        <w:tabs>
          <w:tab w:val="left" w:pos="709"/>
        </w:tabs>
        <w:jc w:val="both"/>
        <w:rPr>
          <w:sz w:val="28"/>
          <w:szCs w:val="28"/>
        </w:rPr>
      </w:pPr>
      <w:r w:rsidRPr="004D4B8C">
        <w:rPr>
          <w:sz w:val="28"/>
          <w:szCs w:val="28"/>
        </w:rPr>
        <w:t>Finanšu ministrijai turpināt diskusijas par pārējiem lauksaimniecības nozares identificētājiem jautājumiem, t.sk. esošo atvieglojumu termiņu iespējamu pagarināšanu.</w:t>
      </w:r>
    </w:p>
    <w:p w:rsidR="00134CBD" w:rsidRPr="004D4B8C" w:rsidRDefault="00134CBD" w:rsidP="00A9640E">
      <w:pPr>
        <w:ind w:left="426" w:hanging="426"/>
        <w:jc w:val="both"/>
        <w:rPr>
          <w:sz w:val="12"/>
          <w:szCs w:val="12"/>
        </w:rPr>
      </w:pPr>
    </w:p>
    <w:p w:rsidR="00A9640E" w:rsidRPr="004D4B8C" w:rsidRDefault="00134CBD" w:rsidP="004D4B8C">
      <w:pPr>
        <w:pStyle w:val="ListParagraph"/>
        <w:numPr>
          <w:ilvl w:val="0"/>
          <w:numId w:val="3"/>
        </w:numPr>
        <w:ind w:left="426" w:hanging="426"/>
        <w:jc w:val="both"/>
        <w:rPr>
          <w:iCs/>
          <w:sz w:val="28"/>
          <w:szCs w:val="28"/>
        </w:rPr>
      </w:pPr>
      <w:r w:rsidRPr="004D4B8C">
        <w:rPr>
          <w:sz w:val="28"/>
          <w:szCs w:val="28"/>
        </w:rPr>
        <w:t xml:space="preserve">Noteikt Finanšu ministriju par </w:t>
      </w:r>
      <w:r w:rsidRPr="004D4B8C">
        <w:rPr>
          <w:iCs/>
          <w:sz w:val="28"/>
          <w:szCs w:val="28"/>
        </w:rPr>
        <w:t>atbildīgo institūciju nodokļu pamatnostādņu īstenošanā, bet par līdzatbildīgajām institūcijām – Labklājības ministriju, Veselības ministriju, Kultūras ministriju, Ekonomikas ministriju, Vides aizsardzības un reģionālās attīstības ministriju, Satiksmes ministriju, Iekšlietu ministriju, Zemkopības ministriju, Tieslietu ministriju un Izglītības un zinātnes ministriju, Valsts ieņēmumu dienestu, Valsts kasi, Valsts sociālās apdrošināšanas aģentūru, Ģenerālprokuratūru, Korupcijas novēršanas un apkarošanas biroju un Valsts</w:t>
      </w:r>
      <w:r w:rsidR="00BD3D74" w:rsidRPr="004D4B8C">
        <w:rPr>
          <w:iCs/>
          <w:sz w:val="28"/>
          <w:szCs w:val="28"/>
        </w:rPr>
        <w:t xml:space="preserve"> reģionālās attīstības aģentūru</w:t>
      </w:r>
      <w:r w:rsidR="004D4B8C">
        <w:rPr>
          <w:iCs/>
          <w:sz w:val="28"/>
          <w:szCs w:val="28"/>
        </w:rPr>
        <w:t>.</w:t>
      </w:r>
    </w:p>
    <w:p w:rsidR="00A9640E" w:rsidRPr="004D4B8C" w:rsidRDefault="00A9640E" w:rsidP="00A9640E">
      <w:pPr>
        <w:pStyle w:val="ListParagraph"/>
        <w:rPr>
          <w:iCs/>
          <w:sz w:val="28"/>
          <w:szCs w:val="28"/>
        </w:rPr>
      </w:pPr>
    </w:p>
    <w:p w:rsidR="00A9640E" w:rsidRPr="004D4B8C" w:rsidRDefault="00BD3D74" w:rsidP="004D4B8C">
      <w:pPr>
        <w:pStyle w:val="ListParagraph"/>
        <w:numPr>
          <w:ilvl w:val="0"/>
          <w:numId w:val="3"/>
        </w:numPr>
        <w:ind w:left="426" w:hanging="426"/>
        <w:jc w:val="both"/>
        <w:rPr>
          <w:iCs/>
          <w:sz w:val="28"/>
          <w:szCs w:val="28"/>
        </w:rPr>
      </w:pPr>
      <w:r w:rsidRPr="004D4B8C">
        <w:rPr>
          <w:iCs/>
          <w:sz w:val="28"/>
          <w:szCs w:val="28"/>
        </w:rPr>
        <w:t xml:space="preserve">Attiecībā uz nodokļu pamatnostādņu rīcības virzienu </w:t>
      </w:r>
      <w:r w:rsidRPr="004D4B8C">
        <w:rPr>
          <w:b/>
          <w:iCs/>
          <w:sz w:val="28"/>
          <w:szCs w:val="28"/>
        </w:rPr>
        <w:t>1.2.2.uzdevumu</w:t>
      </w:r>
      <w:r w:rsidRPr="004D4B8C">
        <w:rPr>
          <w:iCs/>
          <w:sz w:val="28"/>
          <w:szCs w:val="28"/>
        </w:rPr>
        <w:t xml:space="preserve">: </w:t>
      </w:r>
      <w:r w:rsidRPr="004D4B8C">
        <w:rPr>
          <w:i/>
          <w:iCs/>
          <w:sz w:val="28"/>
          <w:szCs w:val="28"/>
        </w:rPr>
        <w:t>“</w:t>
      </w:r>
      <w:r w:rsidRPr="004D4B8C">
        <w:rPr>
          <w:i/>
          <w:sz w:val="28"/>
          <w:szCs w:val="28"/>
        </w:rPr>
        <w:t>Ar 2018.gada noteikt divus VSAOI griestus: līdz 55 000 euro gadā tiek veiktas VSAOI vispārējā kārtībā un tiek saņemti visi sociālās apdrošināšanas pakalpojumi; no 55 000  euro līdz 95 100  euro gadā (tautsaimniecībā nodarbinātā vidējā bruto alga x 100) tiek veiktas VSAOI vispārējā kārtībā, nodrošinot tikai pensiju apdrošināšanu 1.un 2.līmenī”</w:t>
      </w:r>
      <w:r w:rsidRPr="004D4B8C">
        <w:rPr>
          <w:sz w:val="28"/>
          <w:szCs w:val="28"/>
        </w:rPr>
        <w:t xml:space="preserve">, </w:t>
      </w:r>
      <w:r w:rsidRPr="004D4B8C">
        <w:rPr>
          <w:b/>
          <w:iCs/>
          <w:sz w:val="28"/>
          <w:szCs w:val="28"/>
        </w:rPr>
        <w:t>1.3.1.uzdevumu</w:t>
      </w:r>
      <w:r w:rsidRPr="004D4B8C">
        <w:rPr>
          <w:iCs/>
          <w:sz w:val="28"/>
          <w:szCs w:val="28"/>
        </w:rPr>
        <w:t xml:space="preserve">: </w:t>
      </w:r>
      <w:r w:rsidRPr="004D4B8C">
        <w:rPr>
          <w:i/>
          <w:iCs/>
          <w:sz w:val="28"/>
          <w:szCs w:val="28"/>
        </w:rPr>
        <w:lastRenderedPageBreak/>
        <w:t>“</w:t>
      </w:r>
      <w:r w:rsidRPr="004D4B8C">
        <w:rPr>
          <w:i/>
          <w:sz w:val="28"/>
          <w:szCs w:val="28"/>
        </w:rPr>
        <w:t>Paaugstināt minimālo mēneša darba algu līdz 430 euro (pašlaik 380 euro)”</w:t>
      </w:r>
      <w:r w:rsidRPr="004D4B8C">
        <w:rPr>
          <w:iCs/>
          <w:sz w:val="28"/>
          <w:szCs w:val="28"/>
        </w:rPr>
        <w:t>,</w:t>
      </w:r>
      <w:r w:rsidRPr="004D4B8C">
        <w:rPr>
          <w:sz w:val="28"/>
          <w:szCs w:val="28"/>
        </w:rPr>
        <w:t xml:space="preserve"> </w:t>
      </w:r>
      <w:r w:rsidRPr="004D4B8C">
        <w:rPr>
          <w:b/>
          <w:iCs/>
          <w:sz w:val="28"/>
          <w:szCs w:val="28"/>
        </w:rPr>
        <w:t>2.2.2.uzdevumu</w:t>
      </w:r>
      <w:r w:rsidRPr="004D4B8C">
        <w:rPr>
          <w:iCs/>
          <w:sz w:val="28"/>
          <w:szCs w:val="28"/>
        </w:rPr>
        <w:t xml:space="preserve">: </w:t>
      </w:r>
      <w:r w:rsidRPr="004D4B8C">
        <w:rPr>
          <w:i/>
          <w:iCs/>
          <w:sz w:val="28"/>
          <w:szCs w:val="28"/>
        </w:rPr>
        <w:t>“</w:t>
      </w:r>
      <w:r w:rsidRPr="004D4B8C">
        <w:rPr>
          <w:i/>
          <w:sz w:val="28"/>
          <w:szCs w:val="28"/>
        </w:rPr>
        <w:t xml:space="preserve">Noteikt valsts sociālās apdrošināšanas obligāto iemaksu likmi un objektu saimnieciskās darbības apliekamajam ienākumam: - ja tas pārsniedz 430 euro mēnesī – līdzšinējā kārtībā, t.i., brīvi noteikts iemaksu objekts, bet ne mazāks kā vismaz minimālās algas apmērā un likme – līdzšinējā (atkarībā no pašnodarbinātās personas statusa) bet par starpību starp brīvi izraudzīto iemaksu objektu un faktisko saimnieciskās darbības apliekamo ienākumu maksā VSAOI 5% apmērā (pensijas apdrošināšanai); -    no apliekamā ienākuma, kas nepārsniedz 430 euro mēnesī,  veic iemaksas privātajā pensiju fondā (3.pensiju līmenis) vismaz 5% apmērā” </w:t>
      </w:r>
      <w:r w:rsidRPr="004D4B8C">
        <w:rPr>
          <w:iCs/>
          <w:sz w:val="28"/>
          <w:szCs w:val="28"/>
        </w:rPr>
        <w:t xml:space="preserve">un </w:t>
      </w:r>
      <w:r w:rsidRPr="004D4B8C">
        <w:rPr>
          <w:b/>
          <w:iCs/>
          <w:sz w:val="28"/>
          <w:szCs w:val="28"/>
        </w:rPr>
        <w:t>2.3.8.uzdevumu</w:t>
      </w:r>
      <w:r w:rsidRPr="004D4B8C">
        <w:rPr>
          <w:iCs/>
          <w:sz w:val="28"/>
          <w:szCs w:val="28"/>
        </w:rPr>
        <w:t xml:space="preserve">: </w:t>
      </w:r>
      <w:r w:rsidRPr="004D4B8C">
        <w:rPr>
          <w:i/>
          <w:iCs/>
          <w:sz w:val="28"/>
          <w:szCs w:val="28"/>
        </w:rPr>
        <w:t>“</w:t>
      </w:r>
      <w:r w:rsidRPr="004D4B8C">
        <w:rPr>
          <w:i/>
          <w:sz w:val="28"/>
          <w:szCs w:val="28"/>
        </w:rPr>
        <w:t>Autoratlīdzību saņēmējiem papildus esošajam VSAOI modelim (nesamazinot esošo sociālo nodrošinājumu) noteikt autoratlīdzībām 5% VSAOI likmi  no izmaksātāja līdzekļiem (pensiju apdrošināšanai), ko ietur izmaksas brīdī. Ja autoratlīdzība pārsniedz 430 euro mēnesī, ieturētā summa tiek novirzīta uz 1.un 2. pensiju līmenim. Ja autoratlīdzība ir mazāka par 430 euro mēnesī izvērtē  iemaksas ieskaitīšanas iespēju 3.pensiju līmenī. Autortiesību mantiniekiem - saglabājas līdzšinējā kārtība, t.i., VSAOI iemaksas nav jāveic.”</w:t>
      </w:r>
      <w:r w:rsidRPr="004D4B8C">
        <w:rPr>
          <w:iCs/>
          <w:sz w:val="28"/>
          <w:szCs w:val="28"/>
        </w:rPr>
        <w:t xml:space="preserve"> atbildīgo noteikt </w:t>
      </w:r>
      <w:r w:rsidRPr="004D4B8C">
        <w:rPr>
          <w:b/>
          <w:iCs/>
          <w:sz w:val="28"/>
          <w:szCs w:val="28"/>
        </w:rPr>
        <w:t>Labklājības ministriju</w:t>
      </w:r>
      <w:r w:rsidR="004D4B8C">
        <w:rPr>
          <w:b/>
          <w:iCs/>
          <w:sz w:val="28"/>
          <w:szCs w:val="28"/>
        </w:rPr>
        <w:t>.</w:t>
      </w:r>
    </w:p>
    <w:p w:rsidR="00A9640E" w:rsidRPr="004D4B8C" w:rsidRDefault="00A9640E" w:rsidP="00A9640E">
      <w:pPr>
        <w:pStyle w:val="ListParagraph"/>
        <w:ind w:left="426"/>
        <w:jc w:val="both"/>
        <w:rPr>
          <w:iCs/>
          <w:sz w:val="28"/>
          <w:szCs w:val="28"/>
        </w:rPr>
      </w:pPr>
    </w:p>
    <w:p w:rsidR="00A9640E" w:rsidRPr="004D4B8C" w:rsidRDefault="00134CBD" w:rsidP="004D4B8C">
      <w:pPr>
        <w:pStyle w:val="ListParagraph"/>
        <w:numPr>
          <w:ilvl w:val="0"/>
          <w:numId w:val="3"/>
        </w:numPr>
        <w:ind w:left="426" w:hanging="426"/>
        <w:jc w:val="both"/>
        <w:rPr>
          <w:iCs/>
          <w:sz w:val="28"/>
          <w:szCs w:val="28"/>
        </w:rPr>
      </w:pPr>
      <w:r w:rsidRPr="004D4B8C">
        <w:rPr>
          <w:iCs/>
          <w:sz w:val="28"/>
          <w:szCs w:val="28"/>
        </w:rPr>
        <w:t xml:space="preserve">Attiecībā uz nodokļu pamatnostādņu rīcības virzienu </w:t>
      </w:r>
      <w:r w:rsidRPr="004D4B8C">
        <w:rPr>
          <w:b/>
          <w:iCs/>
          <w:sz w:val="28"/>
          <w:szCs w:val="28"/>
        </w:rPr>
        <w:t>1.8.2.</w:t>
      </w:r>
      <w:r w:rsidR="001E48EB" w:rsidRPr="004D4B8C">
        <w:rPr>
          <w:b/>
          <w:iCs/>
          <w:sz w:val="28"/>
          <w:szCs w:val="28"/>
        </w:rPr>
        <w:t>uzdevumu</w:t>
      </w:r>
      <w:r w:rsidR="001E48EB" w:rsidRPr="004D4B8C">
        <w:rPr>
          <w:iCs/>
          <w:sz w:val="28"/>
          <w:szCs w:val="28"/>
        </w:rPr>
        <w:t xml:space="preserve">: </w:t>
      </w:r>
      <w:r w:rsidR="009724C7" w:rsidRPr="004D4B8C">
        <w:rPr>
          <w:i/>
          <w:iCs/>
          <w:sz w:val="28"/>
          <w:szCs w:val="28"/>
        </w:rPr>
        <w:t>“</w:t>
      </w:r>
      <w:r w:rsidR="001E48EB" w:rsidRPr="004D4B8C">
        <w:rPr>
          <w:i/>
          <w:sz w:val="28"/>
          <w:szCs w:val="28"/>
        </w:rPr>
        <w:t>Paredzēt, ka kadastrālo vērtību bāzes, kas stājās spēkā 2016.gada 1.janvārī, ir saglabājamas nemainīgas līdz 2019.gada 31.decembrim, vienlaikus no 2018.gada pieļaujot izņēmumus attiecībā uz pašām vērtīgākajām kadastrālo vērtību zonām, atsevišķiem ēku tipiem, telpu grupu lietošanas veidiem un apgrūtinājumu piemērošanu</w:t>
      </w:r>
      <w:r w:rsidR="009724C7" w:rsidRPr="004D4B8C">
        <w:rPr>
          <w:iCs/>
          <w:sz w:val="28"/>
          <w:szCs w:val="28"/>
        </w:rPr>
        <w:t>”</w:t>
      </w:r>
      <w:r w:rsidRPr="004D4B8C">
        <w:rPr>
          <w:iCs/>
          <w:sz w:val="28"/>
          <w:szCs w:val="28"/>
        </w:rPr>
        <w:t xml:space="preserve">, </w:t>
      </w:r>
      <w:r w:rsidRPr="004D4B8C">
        <w:rPr>
          <w:b/>
          <w:iCs/>
          <w:sz w:val="28"/>
          <w:szCs w:val="28"/>
        </w:rPr>
        <w:t>1.8.3.</w:t>
      </w:r>
      <w:r w:rsidR="001E48EB" w:rsidRPr="004D4B8C">
        <w:rPr>
          <w:b/>
          <w:iCs/>
          <w:sz w:val="28"/>
          <w:szCs w:val="28"/>
        </w:rPr>
        <w:t>uzdevumu:</w:t>
      </w:r>
      <w:r w:rsidR="001E48EB" w:rsidRPr="004D4B8C">
        <w:rPr>
          <w:iCs/>
          <w:sz w:val="28"/>
          <w:szCs w:val="28"/>
        </w:rPr>
        <w:t xml:space="preserve"> </w:t>
      </w:r>
      <w:r w:rsidR="009724C7" w:rsidRPr="004D4B8C">
        <w:rPr>
          <w:i/>
          <w:sz w:val="28"/>
          <w:szCs w:val="28"/>
        </w:rPr>
        <w:t>“</w:t>
      </w:r>
      <w:r w:rsidR="001E48EB" w:rsidRPr="004D4B8C">
        <w:rPr>
          <w:i/>
          <w:sz w:val="28"/>
          <w:szCs w:val="28"/>
        </w:rPr>
        <w:t>Ņemot vērā nepieciešamību novērst konstatētos individuālos trūkumus spēkā esošās kadastrālo vērtību bāzes regulējumā, izstrādāt iesniegt Ministru kabinetā grozījumus normatīvajos aktos, kas pieļauj kadastrālo vērtību pieaugumu noteiktām objektu grupām, sākot ar 2018.gada 1.janvāri</w:t>
      </w:r>
      <w:r w:rsidR="009724C7" w:rsidRPr="004D4B8C">
        <w:rPr>
          <w:i/>
          <w:sz w:val="28"/>
          <w:szCs w:val="28"/>
        </w:rPr>
        <w:t>”</w:t>
      </w:r>
      <w:r w:rsidR="001A03EF" w:rsidRPr="004D4B8C">
        <w:rPr>
          <w:iCs/>
          <w:sz w:val="28"/>
          <w:szCs w:val="28"/>
        </w:rPr>
        <w:t>,</w:t>
      </w:r>
      <w:r w:rsidRPr="004D4B8C">
        <w:rPr>
          <w:iCs/>
          <w:sz w:val="28"/>
          <w:szCs w:val="28"/>
        </w:rPr>
        <w:t xml:space="preserve"> </w:t>
      </w:r>
      <w:r w:rsidR="001A03EF" w:rsidRPr="004D4B8C">
        <w:rPr>
          <w:b/>
          <w:iCs/>
          <w:sz w:val="28"/>
          <w:szCs w:val="28"/>
        </w:rPr>
        <w:t>1</w:t>
      </w:r>
      <w:r w:rsidRPr="004D4B8C">
        <w:rPr>
          <w:b/>
          <w:iCs/>
          <w:sz w:val="28"/>
          <w:szCs w:val="28"/>
        </w:rPr>
        <w:t>.8.4.</w:t>
      </w:r>
      <w:r w:rsidR="001E48EB" w:rsidRPr="004D4B8C">
        <w:rPr>
          <w:b/>
          <w:iCs/>
          <w:sz w:val="28"/>
          <w:szCs w:val="28"/>
        </w:rPr>
        <w:t>uzdevumu</w:t>
      </w:r>
      <w:r w:rsidR="001E48EB" w:rsidRPr="004D4B8C">
        <w:rPr>
          <w:iCs/>
          <w:sz w:val="28"/>
          <w:szCs w:val="28"/>
        </w:rPr>
        <w:t xml:space="preserve">: </w:t>
      </w:r>
      <w:r w:rsidR="009724C7" w:rsidRPr="004D4B8C">
        <w:rPr>
          <w:i/>
          <w:iCs/>
          <w:sz w:val="28"/>
          <w:szCs w:val="28"/>
        </w:rPr>
        <w:t>“</w:t>
      </w:r>
      <w:r w:rsidR="001E48EB" w:rsidRPr="004D4B8C">
        <w:rPr>
          <w:i/>
          <w:sz w:val="28"/>
          <w:szCs w:val="28"/>
        </w:rPr>
        <w:t>Izstrādāt iesniegt izskatīšanai Ministru kabinetā normatīvo aktu pro</w:t>
      </w:r>
      <w:r w:rsidR="009724C7" w:rsidRPr="004D4B8C">
        <w:rPr>
          <w:i/>
          <w:sz w:val="28"/>
          <w:szCs w:val="28"/>
        </w:rPr>
        <w:softHyphen/>
      </w:r>
      <w:r w:rsidR="001E48EB" w:rsidRPr="004D4B8C">
        <w:rPr>
          <w:i/>
          <w:sz w:val="28"/>
          <w:szCs w:val="28"/>
        </w:rPr>
        <w:t>jektus, lai nodrošinātu kadastrālo vērtību metodikas pilnveidošanu</w:t>
      </w:r>
      <w:r w:rsidR="009724C7" w:rsidRPr="004D4B8C">
        <w:rPr>
          <w:i/>
          <w:sz w:val="28"/>
          <w:szCs w:val="28"/>
        </w:rPr>
        <w:t>”</w:t>
      </w:r>
      <w:r w:rsidRPr="004D4B8C">
        <w:rPr>
          <w:iCs/>
          <w:sz w:val="28"/>
          <w:szCs w:val="28"/>
        </w:rPr>
        <w:t xml:space="preserve">, </w:t>
      </w:r>
      <w:r w:rsidR="00E21D4A" w:rsidRPr="004D4B8C">
        <w:rPr>
          <w:b/>
          <w:iCs/>
          <w:sz w:val="28"/>
          <w:szCs w:val="28"/>
        </w:rPr>
        <w:t>3.2.6.</w:t>
      </w:r>
      <w:r w:rsidR="001E48EB" w:rsidRPr="004D4B8C">
        <w:rPr>
          <w:b/>
          <w:iCs/>
          <w:sz w:val="28"/>
          <w:szCs w:val="28"/>
        </w:rPr>
        <w:t>uz</w:t>
      </w:r>
      <w:r w:rsidR="009724C7" w:rsidRPr="004D4B8C">
        <w:rPr>
          <w:b/>
          <w:iCs/>
          <w:sz w:val="28"/>
          <w:szCs w:val="28"/>
        </w:rPr>
        <w:softHyphen/>
      </w:r>
      <w:r w:rsidR="001E48EB" w:rsidRPr="004D4B8C">
        <w:rPr>
          <w:b/>
          <w:iCs/>
          <w:sz w:val="28"/>
          <w:szCs w:val="28"/>
        </w:rPr>
        <w:t>de</w:t>
      </w:r>
      <w:r w:rsidR="009724C7" w:rsidRPr="004D4B8C">
        <w:rPr>
          <w:b/>
          <w:iCs/>
          <w:sz w:val="28"/>
          <w:szCs w:val="28"/>
        </w:rPr>
        <w:softHyphen/>
      </w:r>
      <w:r w:rsidR="001E48EB" w:rsidRPr="004D4B8C">
        <w:rPr>
          <w:b/>
          <w:iCs/>
          <w:sz w:val="28"/>
          <w:szCs w:val="28"/>
        </w:rPr>
        <w:t>vu</w:t>
      </w:r>
      <w:r w:rsidR="009724C7" w:rsidRPr="004D4B8C">
        <w:rPr>
          <w:b/>
          <w:iCs/>
          <w:sz w:val="28"/>
          <w:szCs w:val="28"/>
        </w:rPr>
        <w:softHyphen/>
      </w:r>
      <w:r w:rsidR="001E48EB" w:rsidRPr="004D4B8C">
        <w:rPr>
          <w:b/>
          <w:iCs/>
          <w:sz w:val="28"/>
          <w:szCs w:val="28"/>
        </w:rPr>
        <w:t>mu:</w:t>
      </w:r>
      <w:r w:rsidR="001E48EB" w:rsidRPr="004D4B8C">
        <w:rPr>
          <w:iCs/>
          <w:sz w:val="28"/>
          <w:szCs w:val="28"/>
        </w:rPr>
        <w:t xml:space="preserve"> </w:t>
      </w:r>
      <w:r w:rsidR="009724C7" w:rsidRPr="004D4B8C">
        <w:rPr>
          <w:i/>
          <w:iCs/>
          <w:sz w:val="28"/>
          <w:szCs w:val="28"/>
        </w:rPr>
        <w:t>“</w:t>
      </w:r>
      <w:r w:rsidR="001E48EB" w:rsidRPr="004D4B8C">
        <w:rPr>
          <w:rFonts w:eastAsiaTheme="minorEastAsia"/>
          <w:i/>
          <w:kern w:val="24"/>
          <w:sz w:val="28"/>
          <w:szCs w:val="28"/>
        </w:rPr>
        <w:t xml:space="preserve">Piešķirt </w:t>
      </w:r>
      <w:r w:rsidR="001E48EB" w:rsidRPr="004D4B8C">
        <w:rPr>
          <w:i/>
          <w:sz w:val="28"/>
          <w:szCs w:val="28"/>
        </w:rPr>
        <w:t xml:space="preserve">VID </w:t>
      </w:r>
      <w:r w:rsidR="001E48EB" w:rsidRPr="004D4B8C">
        <w:rPr>
          <w:rFonts w:eastAsiaTheme="minorEastAsia"/>
          <w:i/>
          <w:kern w:val="24"/>
          <w:sz w:val="28"/>
          <w:szCs w:val="28"/>
        </w:rPr>
        <w:t>tiesības maksātnespējas procesa pieteikumu iesniegt elek</w:t>
      </w:r>
      <w:r w:rsidR="009724C7" w:rsidRPr="004D4B8C">
        <w:rPr>
          <w:rFonts w:eastAsiaTheme="minorEastAsia"/>
          <w:i/>
          <w:kern w:val="24"/>
          <w:sz w:val="28"/>
          <w:szCs w:val="28"/>
        </w:rPr>
        <w:softHyphen/>
      </w:r>
      <w:r w:rsidR="001E48EB" w:rsidRPr="004D4B8C">
        <w:rPr>
          <w:rFonts w:eastAsiaTheme="minorEastAsia"/>
          <w:i/>
          <w:kern w:val="24"/>
          <w:sz w:val="28"/>
          <w:szCs w:val="28"/>
        </w:rPr>
        <w:t>tro</w:t>
      </w:r>
      <w:r w:rsidR="009724C7" w:rsidRPr="004D4B8C">
        <w:rPr>
          <w:rFonts w:eastAsiaTheme="minorEastAsia"/>
          <w:i/>
          <w:kern w:val="24"/>
          <w:sz w:val="28"/>
          <w:szCs w:val="28"/>
        </w:rPr>
        <w:softHyphen/>
      </w:r>
      <w:r w:rsidR="001E48EB" w:rsidRPr="004D4B8C">
        <w:rPr>
          <w:rFonts w:eastAsiaTheme="minorEastAsia"/>
          <w:i/>
          <w:kern w:val="24"/>
          <w:sz w:val="28"/>
          <w:szCs w:val="28"/>
        </w:rPr>
        <w:t>nis</w:t>
      </w:r>
      <w:r w:rsidR="009724C7" w:rsidRPr="004D4B8C">
        <w:rPr>
          <w:rFonts w:eastAsiaTheme="minorEastAsia"/>
          <w:i/>
          <w:kern w:val="24"/>
          <w:sz w:val="28"/>
          <w:szCs w:val="28"/>
        </w:rPr>
        <w:softHyphen/>
      </w:r>
      <w:r w:rsidR="001E48EB" w:rsidRPr="004D4B8C">
        <w:rPr>
          <w:rFonts w:eastAsiaTheme="minorEastAsia"/>
          <w:i/>
          <w:kern w:val="24"/>
          <w:sz w:val="28"/>
          <w:szCs w:val="28"/>
        </w:rPr>
        <w:t>kā veidā, ar drošu elektronisko parakstu, tādējādi procesu padarot efektīvāku, sa</w:t>
      </w:r>
      <w:r w:rsidR="009724C7" w:rsidRPr="004D4B8C">
        <w:rPr>
          <w:rFonts w:eastAsiaTheme="minorEastAsia"/>
          <w:i/>
          <w:kern w:val="24"/>
          <w:sz w:val="28"/>
          <w:szCs w:val="28"/>
        </w:rPr>
        <w:softHyphen/>
      </w:r>
      <w:r w:rsidR="001E48EB" w:rsidRPr="004D4B8C">
        <w:rPr>
          <w:rFonts w:eastAsiaTheme="minorEastAsia"/>
          <w:i/>
          <w:kern w:val="24"/>
          <w:sz w:val="28"/>
          <w:szCs w:val="28"/>
        </w:rPr>
        <w:t>ma</w:t>
      </w:r>
      <w:r w:rsidR="009724C7" w:rsidRPr="004D4B8C">
        <w:rPr>
          <w:rFonts w:eastAsiaTheme="minorEastAsia"/>
          <w:i/>
          <w:kern w:val="24"/>
          <w:sz w:val="28"/>
          <w:szCs w:val="28"/>
        </w:rPr>
        <w:softHyphen/>
      </w:r>
      <w:r w:rsidR="001E48EB" w:rsidRPr="004D4B8C">
        <w:rPr>
          <w:rFonts w:eastAsiaTheme="minorEastAsia"/>
          <w:i/>
          <w:kern w:val="24"/>
          <w:sz w:val="28"/>
          <w:szCs w:val="28"/>
        </w:rPr>
        <w:t xml:space="preserve">zinot </w:t>
      </w:r>
      <w:r w:rsidR="001E48EB" w:rsidRPr="004D4B8C">
        <w:rPr>
          <w:i/>
          <w:sz w:val="28"/>
          <w:szCs w:val="28"/>
        </w:rPr>
        <w:t>VID</w:t>
      </w:r>
      <w:r w:rsidR="001E48EB" w:rsidRPr="004D4B8C">
        <w:rPr>
          <w:b/>
          <w:i/>
          <w:sz w:val="28"/>
          <w:szCs w:val="28"/>
        </w:rPr>
        <w:t xml:space="preserve"> </w:t>
      </w:r>
      <w:r w:rsidR="001E48EB" w:rsidRPr="004D4B8C">
        <w:rPr>
          <w:rFonts w:eastAsiaTheme="minorEastAsia"/>
          <w:i/>
          <w:kern w:val="24"/>
          <w:sz w:val="28"/>
          <w:szCs w:val="28"/>
        </w:rPr>
        <w:t>resursu patēriņu, kā arī nepieciešamības gadījumā, izsekojot pie</w:t>
      </w:r>
      <w:r w:rsidR="009724C7" w:rsidRPr="004D4B8C">
        <w:rPr>
          <w:rFonts w:eastAsiaTheme="minorEastAsia"/>
          <w:i/>
          <w:kern w:val="24"/>
          <w:sz w:val="28"/>
          <w:szCs w:val="28"/>
        </w:rPr>
        <w:softHyphen/>
      </w:r>
      <w:r w:rsidR="001E48EB" w:rsidRPr="004D4B8C">
        <w:rPr>
          <w:rFonts w:eastAsiaTheme="minorEastAsia"/>
          <w:i/>
          <w:kern w:val="24"/>
          <w:sz w:val="28"/>
          <w:szCs w:val="28"/>
        </w:rPr>
        <w:t>tei</w:t>
      </w:r>
      <w:r w:rsidR="009724C7" w:rsidRPr="004D4B8C">
        <w:rPr>
          <w:rFonts w:eastAsiaTheme="minorEastAsia"/>
          <w:i/>
          <w:kern w:val="24"/>
          <w:sz w:val="28"/>
          <w:szCs w:val="28"/>
        </w:rPr>
        <w:softHyphen/>
      </w:r>
      <w:r w:rsidR="001E48EB" w:rsidRPr="004D4B8C">
        <w:rPr>
          <w:rFonts w:eastAsiaTheme="minorEastAsia"/>
          <w:i/>
          <w:kern w:val="24"/>
          <w:sz w:val="28"/>
          <w:szCs w:val="28"/>
        </w:rPr>
        <w:t>ku</w:t>
      </w:r>
      <w:r w:rsidR="009724C7" w:rsidRPr="004D4B8C">
        <w:rPr>
          <w:rFonts w:eastAsiaTheme="minorEastAsia"/>
          <w:i/>
          <w:kern w:val="24"/>
          <w:sz w:val="28"/>
          <w:szCs w:val="28"/>
        </w:rPr>
        <w:softHyphen/>
      </w:r>
      <w:r w:rsidR="001E48EB" w:rsidRPr="004D4B8C">
        <w:rPr>
          <w:rFonts w:eastAsiaTheme="minorEastAsia"/>
          <w:i/>
          <w:kern w:val="24"/>
          <w:sz w:val="28"/>
          <w:szCs w:val="28"/>
        </w:rPr>
        <w:t>ma sagatavošanas, saskaņošanas, parakstīšanas, reģistrēšanas, nosūtīšanas tiesai un saņemšanas tiesā hronoloģijai</w:t>
      </w:r>
      <w:r w:rsidR="009724C7" w:rsidRPr="004D4B8C">
        <w:rPr>
          <w:rFonts w:eastAsiaTheme="minorEastAsia"/>
          <w:i/>
          <w:kern w:val="24"/>
          <w:sz w:val="28"/>
          <w:szCs w:val="28"/>
        </w:rPr>
        <w:t>”</w:t>
      </w:r>
      <w:r w:rsidR="00E21D4A" w:rsidRPr="004D4B8C">
        <w:rPr>
          <w:iCs/>
          <w:sz w:val="28"/>
          <w:szCs w:val="28"/>
        </w:rPr>
        <w:t xml:space="preserve">, </w:t>
      </w:r>
      <w:r w:rsidRPr="004D4B8C">
        <w:rPr>
          <w:b/>
          <w:iCs/>
          <w:sz w:val="28"/>
          <w:szCs w:val="28"/>
        </w:rPr>
        <w:t>3.4.1.</w:t>
      </w:r>
      <w:r w:rsidR="001E48EB" w:rsidRPr="004D4B8C">
        <w:rPr>
          <w:b/>
          <w:iCs/>
          <w:sz w:val="28"/>
          <w:szCs w:val="28"/>
        </w:rPr>
        <w:t>uzdevumu</w:t>
      </w:r>
      <w:r w:rsidR="001E48EB" w:rsidRPr="004D4B8C">
        <w:rPr>
          <w:iCs/>
          <w:sz w:val="28"/>
          <w:szCs w:val="28"/>
        </w:rPr>
        <w:t xml:space="preserve">: </w:t>
      </w:r>
      <w:r w:rsidR="009724C7" w:rsidRPr="004D4B8C">
        <w:rPr>
          <w:iCs/>
          <w:sz w:val="28"/>
          <w:szCs w:val="28"/>
        </w:rPr>
        <w:t>“</w:t>
      </w:r>
      <w:r w:rsidR="001E48EB" w:rsidRPr="004D4B8C">
        <w:rPr>
          <w:sz w:val="28"/>
          <w:szCs w:val="28"/>
        </w:rPr>
        <w:t>Ierobežot fiktīvu subjektu (komerc</w:t>
      </w:r>
      <w:r w:rsidR="009724C7" w:rsidRPr="004D4B8C">
        <w:rPr>
          <w:sz w:val="28"/>
          <w:szCs w:val="28"/>
        </w:rPr>
        <w:softHyphen/>
      </w:r>
      <w:r w:rsidR="001E48EB" w:rsidRPr="004D4B8C">
        <w:rPr>
          <w:sz w:val="28"/>
          <w:szCs w:val="28"/>
        </w:rPr>
        <w:t>sabiedrību, kurās visi valdes locekļi un dibinātāji ir ārvalstnieki) reģistrāciju Uzņē</w:t>
      </w:r>
      <w:r w:rsidR="009724C7" w:rsidRPr="004D4B8C">
        <w:rPr>
          <w:sz w:val="28"/>
          <w:szCs w:val="28"/>
        </w:rPr>
        <w:softHyphen/>
      </w:r>
      <w:r w:rsidR="001E48EB" w:rsidRPr="004D4B8C">
        <w:rPr>
          <w:sz w:val="28"/>
          <w:szCs w:val="28"/>
        </w:rPr>
        <w:t>mumu reģistrā</w:t>
      </w:r>
      <w:r w:rsidR="009724C7" w:rsidRPr="004D4B8C">
        <w:rPr>
          <w:sz w:val="28"/>
          <w:szCs w:val="28"/>
        </w:rPr>
        <w:t>”</w:t>
      </w:r>
      <w:r w:rsidRPr="004D4B8C">
        <w:rPr>
          <w:iCs/>
          <w:sz w:val="28"/>
          <w:szCs w:val="28"/>
        </w:rPr>
        <w:t xml:space="preserve">, </w:t>
      </w:r>
      <w:r w:rsidRPr="004D4B8C">
        <w:rPr>
          <w:b/>
          <w:iCs/>
          <w:sz w:val="28"/>
          <w:szCs w:val="28"/>
        </w:rPr>
        <w:t>3.4.2.</w:t>
      </w:r>
      <w:r w:rsidR="001E48EB" w:rsidRPr="004D4B8C">
        <w:rPr>
          <w:b/>
          <w:iCs/>
          <w:sz w:val="28"/>
          <w:szCs w:val="28"/>
        </w:rPr>
        <w:t>uzdevumu:</w:t>
      </w:r>
      <w:r w:rsidR="001E48EB" w:rsidRPr="004D4B8C">
        <w:rPr>
          <w:iCs/>
          <w:sz w:val="28"/>
          <w:szCs w:val="28"/>
        </w:rPr>
        <w:t xml:space="preserve"> </w:t>
      </w:r>
      <w:r w:rsidR="009724C7" w:rsidRPr="004D4B8C">
        <w:rPr>
          <w:i/>
          <w:sz w:val="28"/>
          <w:szCs w:val="28"/>
        </w:rPr>
        <w:t>“</w:t>
      </w:r>
      <w:r w:rsidR="001E48EB" w:rsidRPr="004D4B8C">
        <w:rPr>
          <w:i/>
          <w:sz w:val="28"/>
          <w:szCs w:val="28"/>
        </w:rPr>
        <w:t>Pilnveidot Uzņēmumu reģistra komerc</w:t>
      </w:r>
      <w:r w:rsidR="009724C7" w:rsidRPr="004D4B8C">
        <w:rPr>
          <w:i/>
          <w:sz w:val="28"/>
          <w:szCs w:val="28"/>
        </w:rPr>
        <w:softHyphen/>
      </w:r>
      <w:r w:rsidR="001E48EB" w:rsidRPr="004D4B8C">
        <w:rPr>
          <w:i/>
          <w:sz w:val="28"/>
          <w:szCs w:val="28"/>
        </w:rPr>
        <w:t>re</w:t>
      </w:r>
      <w:r w:rsidR="009724C7" w:rsidRPr="004D4B8C">
        <w:rPr>
          <w:i/>
          <w:sz w:val="28"/>
          <w:szCs w:val="28"/>
        </w:rPr>
        <w:softHyphen/>
      </w:r>
      <w:r w:rsidR="001E48EB" w:rsidRPr="004D4B8C">
        <w:rPr>
          <w:i/>
          <w:sz w:val="28"/>
          <w:szCs w:val="28"/>
        </w:rPr>
        <w:t>ģis</w:t>
      </w:r>
      <w:r w:rsidR="009724C7" w:rsidRPr="004D4B8C">
        <w:rPr>
          <w:i/>
          <w:sz w:val="28"/>
          <w:szCs w:val="28"/>
        </w:rPr>
        <w:softHyphen/>
      </w:r>
      <w:r w:rsidR="001E48EB" w:rsidRPr="004D4B8C">
        <w:rPr>
          <w:i/>
          <w:sz w:val="28"/>
          <w:szCs w:val="28"/>
        </w:rPr>
        <w:t>tra saturu, veicot visas nepieciešamas darbības, lai pieņemtu normatīvajos aktos pa</w:t>
      </w:r>
      <w:r w:rsidR="009724C7" w:rsidRPr="004D4B8C">
        <w:rPr>
          <w:i/>
          <w:sz w:val="28"/>
          <w:szCs w:val="28"/>
        </w:rPr>
        <w:softHyphen/>
      </w:r>
      <w:r w:rsidR="001E48EB" w:rsidRPr="004D4B8C">
        <w:rPr>
          <w:i/>
          <w:sz w:val="28"/>
          <w:szCs w:val="28"/>
        </w:rPr>
        <w:t>redzētos lēmumus un izslēgtu no reģistra subjektus, kas ir pakļaujami likvi</w:t>
      </w:r>
      <w:r w:rsidR="009724C7" w:rsidRPr="004D4B8C">
        <w:rPr>
          <w:i/>
          <w:sz w:val="28"/>
          <w:szCs w:val="28"/>
        </w:rPr>
        <w:softHyphen/>
      </w:r>
      <w:r w:rsidR="001E48EB" w:rsidRPr="004D4B8C">
        <w:rPr>
          <w:i/>
          <w:sz w:val="28"/>
          <w:szCs w:val="28"/>
        </w:rPr>
        <w:t>dā</w:t>
      </w:r>
      <w:r w:rsidR="009724C7" w:rsidRPr="004D4B8C">
        <w:rPr>
          <w:i/>
          <w:sz w:val="28"/>
          <w:szCs w:val="28"/>
        </w:rPr>
        <w:softHyphen/>
      </w:r>
      <w:r w:rsidR="001E48EB" w:rsidRPr="004D4B8C">
        <w:rPr>
          <w:i/>
          <w:sz w:val="28"/>
          <w:szCs w:val="28"/>
        </w:rPr>
        <w:t>ci</w:t>
      </w:r>
      <w:r w:rsidR="009724C7" w:rsidRPr="004D4B8C">
        <w:rPr>
          <w:i/>
          <w:sz w:val="28"/>
          <w:szCs w:val="28"/>
        </w:rPr>
        <w:softHyphen/>
      </w:r>
      <w:r w:rsidR="001E48EB" w:rsidRPr="004D4B8C">
        <w:rPr>
          <w:i/>
          <w:sz w:val="28"/>
          <w:szCs w:val="28"/>
        </w:rPr>
        <w:t>jai</w:t>
      </w:r>
      <w:r w:rsidR="009724C7" w:rsidRPr="004D4B8C">
        <w:rPr>
          <w:i/>
          <w:sz w:val="28"/>
          <w:szCs w:val="28"/>
        </w:rPr>
        <w:t>”</w:t>
      </w:r>
      <w:r w:rsidRPr="004D4B8C">
        <w:rPr>
          <w:iCs/>
          <w:sz w:val="28"/>
          <w:szCs w:val="28"/>
        </w:rPr>
        <w:t xml:space="preserve">, </w:t>
      </w:r>
      <w:r w:rsidRPr="004D4B8C">
        <w:rPr>
          <w:b/>
          <w:iCs/>
          <w:sz w:val="28"/>
          <w:szCs w:val="28"/>
        </w:rPr>
        <w:t>3.4.3.</w:t>
      </w:r>
      <w:r w:rsidR="001E48EB" w:rsidRPr="004D4B8C">
        <w:rPr>
          <w:b/>
          <w:iCs/>
          <w:sz w:val="28"/>
          <w:szCs w:val="28"/>
        </w:rPr>
        <w:t>uzdevumu:</w:t>
      </w:r>
      <w:r w:rsidR="001E48EB" w:rsidRPr="004D4B8C">
        <w:rPr>
          <w:iCs/>
          <w:sz w:val="28"/>
          <w:szCs w:val="28"/>
        </w:rPr>
        <w:t xml:space="preserve"> </w:t>
      </w:r>
      <w:r w:rsidR="009724C7" w:rsidRPr="004D4B8C">
        <w:rPr>
          <w:i/>
          <w:sz w:val="28"/>
          <w:szCs w:val="28"/>
        </w:rPr>
        <w:t>“</w:t>
      </w:r>
      <w:r w:rsidR="001E48EB" w:rsidRPr="004D4B8C">
        <w:rPr>
          <w:i/>
          <w:sz w:val="28"/>
          <w:szCs w:val="28"/>
        </w:rPr>
        <w:t>Veicināt nekustamā īpašuma īpašnieka tiesību aizsardzību, no</w:t>
      </w:r>
      <w:r w:rsidR="009724C7" w:rsidRPr="004D4B8C">
        <w:rPr>
          <w:i/>
          <w:sz w:val="28"/>
          <w:szCs w:val="28"/>
        </w:rPr>
        <w:softHyphen/>
      </w:r>
      <w:r w:rsidR="001E48EB" w:rsidRPr="004D4B8C">
        <w:rPr>
          <w:i/>
          <w:sz w:val="28"/>
          <w:szCs w:val="28"/>
        </w:rPr>
        <w:t>drošinot nekustamā īpašuma īpašniekam  tiesības  izdarīt elektronisku atzīmi Ne</w:t>
      </w:r>
      <w:r w:rsidR="009724C7" w:rsidRPr="004D4B8C">
        <w:rPr>
          <w:i/>
          <w:sz w:val="28"/>
          <w:szCs w:val="28"/>
        </w:rPr>
        <w:softHyphen/>
      </w:r>
      <w:r w:rsidR="001E48EB" w:rsidRPr="004D4B8C">
        <w:rPr>
          <w:i/>
          <w:sz w:val="28"/>
          <w:szCs w:val="28"/>
        </w:rPr>
        <w:t>kus</w:t>
      </w:r>
      <w:r w:rsidR="009724C7" w:rsidRPr="004D4B8C">
        <w:rPr>
          <w:i/>
          <w:sz w:val="28"/>
          <w:szCs w:val="28"/>
        </w:rPr>
        <w:softHyphen/>
      </w:r>
      <w:r w:rsidR="001E48EB" w:rsidRPr="004D4B8C">
        <w:rPr>
          <w:i/>
          <w:sz w:val="28"/>
          <w:szCs w:val="28"/>
        </w:rPr>
        <w:t>tamā īpašuma valsts kadastra informācijas sistēmā vai citur, piemēram, adrešu re</w:t>
      </w:r>
      <w:r w:rsidR="009724C7" w:rsidRPr="004D4B8C">
        <w:rPr>
          <w:i/>
          <w:sz w:val="28"/>
          <w:szCs w:val="28"/>
        </w:rPr>
        <w:softHyphen/>
      </w:r>
      <w:r w:rsidR="001E48EB" w:rsidRPr="004D4B8C">
        <w:rPr>
          <w:i/>
          <w:sz w:val="28"/>
          <w:szCs w:val="28"/>
        </w:rPr>
        <w:t>ģistrā par aizliegumu reģistrēt komersanta juridisko adresi un nodrošināt attiecīgu e-pakalpojumu valsts pārvaldes pakalpojumu portālā www.latvija.lv</w:t>
      </w:r>
      <w:r w:rsidR="009724C7" w:rsidRPr="004D4B8C">
        <w:rPr>
          <w:i/>
          <w:sz w:val="28"/>
          <w:szCs w:val="28"/>
        </w:rPr>
        <w:t>”</w:t>
      </w:r>
      <w:r w:rsidRPr="004D4B8C">
        <w:rPr>
          <w:iCs/>
          <w:sz w:val="28"/>
          <w:szCs w:val="28"/>
        </w:rPr>
        <w:t xml:space="preserve">, </w:t>
      </w:r>
      <w:r w:rsidRPr="004D4B8C">
        <w:rPr>
          <w:b/>
          <w:iCs/>
          <w:sz w:val="28"/>
          <w:szCs w:val="28"/>
        </w:rPr>
        <w:t>3.4.4.</w:t>
      </w:r>
      <w:r w:rsidR="001E48EB" w:rsidRPr="004D4B8C">
        <w:rPr>
          <w:b/>
          <w:iCs/>
          <w:sz w:val="28"/>
          <w:szCs w:val="28"/>
        </w:rPr>
        <w:t>uz</w:t>
      </w:r>
      <w:r w:rsidR="009724C7" w:rsidRPr="004D4B8C">
        <w:rPr>
          <w:b/>
          <w:iCs/>
          <w:sz w:val="28"/>
          <w:szCs w:val="28"/>
        </w:rPr>
        <w:softHyphen/>
      </w:r>
      <w:r w:rsidR="001E48EB" w:rsidRPr="004D4B8C">
        <w:rPr>
          <w:b/>
          <w:iCs/>
          <w:sz w:val="28"/>
          <w:szCs w:val="28"/>
        </w:rPr>
        <w:t>de</w:t>
      </w:r>
      <w:r w:rsidR="009724C7" w:rsidRPr="004D4B8C">
        <w:rPr>
          <w:b/>
          <w:iCs/>
          <w:sz w:val="28"/>
          <w:szCs w:val="28"/>
        </w:rPr>
        <w:softHyphen/>
      </w:r>
      <w:r w:rsidR="001E48EB" w:rsidRPr="004D4B8C">
        <w:rPr>
          <w:b/>
          <w:iCs/>
          <w:sz w:val="28"/>
          <w:szCs w:val="28"/>
        </w:rPr>
        <w:t>vu</w:t>
      </w:r>
      <w:r w:rsidR="009724C7" w:rsidRPr="004D4B8C">
        <w:rPr>
          <w:b/>
          <w:iCs/>
          <w:sz w:val="28"/>
          <w:szCs w:val="28"/>
        </w:rPr>
        <w:softHyphen/>
      </w:r>
      <w:r w:rsidR="001E48EB" w:rsidRPr="004D4B8C">
        <w:rPr>
          <w:b/>
          <w:iCs/>
          <w:sz w:val="28"/>
          <w:szCs w:val="28"/>
        </w:rPr>
        <w:t>mu:</w:t>
      </w:r>
      <w:r w:rsidR="001E48EB" w:rsidRPr="004D4B8C">
        <w:rPr>
          <w:sz w:val="28"/>
          <w:szCs w:val="28"/>
        </w:rPr>
        <w:t xml:space="preserve"> </w:t>
      </w:r>
      <w:r w:rsidR="009724C7" w:rsidRPr="004D4B8C">
        <w:rPr>
          <w:i/>
          <w:sz w:val="28"/>
          <w:szCs w:val="28"/>
        </w:rPr>
        <w:t>“</w:t>
      </w:r>
      <w:r w:rsidR="001E48EB" w:rsidRPr="004D4B8C">
        <w:rPr>
          <w:i/>
          <w:sz w:val="28"/>
          <w:szCs w:val="28"/>
        </w:rPr>
        <w:t>Papildināt Komerclikumu ar kritērijiem, kuriem iestājoties, kapi</w:t>
      </w:r>
      <w:r w:rsidR="009724C7" w:rsidRPr="004D4B8C">
        <w:rPr>
          <w:i/>
          <w:sz w:val="28"/>
          <w:szCs w:val="28"/>
        </w:rPr>
        <w:softHyphen/>
      </w:r>
      <w:r w:rsidR="001E48EB" w:rsidRPr="004D4B8C">
        <w:rPr>
          <w:i/>
          <w:sz w:val="28"/>
          <w:szCs w:val="28"/>
        </w:rPr>
        <w:t>tāl</w:t>
      </w:r>
      <w:r w:rsidR="009724C7" w:rsidRPr="004D4B8C">
        <w:rPr>
          <w:i/>
          <w:sz w:val="28"/>
          <w:szCs w:val="28"/>
        </w:rPr>
        <w:softHyphen/>
      </w:r>
      <w:r w:rsidR="001E48EB" w:rsidRPr="004D4B8C">
        <w:rPr>
          <w:i/>
          <w:sz w:val="28"/>
          <w:szCs w:val="28"/>
        </w:rPr>
        <w:t>sabiedrības darbība būtu izbeidzama, pamatojoties uz nodokļu administrācijas lēmumu</w:t>
      </w:r>
      <w:r w:rsidR="009724C7" w:rsidRPr="004D4B8C">
        <w:rPr>
          <w:iCs/>
          <w:sz w:val="28"/>
          <w:szCs w:val="28"/>
        </w:rPr>
        <w:t>”</w:t>
      </w:r>
      <w:r w:rsidRPr="004D4B8C">
        <w:rPr>
          <w:iCs/>
          <w:sz w:val="28"/>
          <w:szCs w:val="28"/>
        </w:rPr>
        <w:t xml:space="preserve"> un </w:t>
      </w:r>
      <w:r w:rsidRPr="004D4B8C">
        <w:rPr>
          <w:b/>
          <w:iCs/>
          <w:sz w:val="28"/>
          <w:szCs w:val="28"/>
        </w:rPr>
        <w:t>3.6.2.uzdevum</w:t>
      </w:r>
      <w:r w:rsidR="001E48EB" w:rsidRPr="004D4B8C">
        <w:rPr>
          <w:b/>
          <w:iCs/>
          <w:sz w:val="28"/>
          <w:szCs w:val="28"/>
        </w:rPr>
        <w:t>u:</w:t>
      </w:r>
      <w:r w:rsidR="001E48EB" w:rsidRPr="004D4B8C">
        <w:rPr>
          <w:sz w:val="28"/>
          <w:szCs w:val="28"/>
        </w:rPr>
        <w:t xml:space="preserve"> </w:t>
      </w:r>
      <w:r w:rsidR="009724C7" w:rsidRPr="004D4B8C">
        <w:rPr>
          <w:i/>
          <w:sz w:val="28"/>
          <w:szCs w:val="28"/>
        </w:rPr>
        <w:t>“</w:t>
      </w:r>
      <w:r w:rsidR="001E48EB" w:rsidRPr="004D4B8C">
        <w:rPr>
          <w:i/>
          <w:sz w:val="28"/>
          <w:szCs w:val="28"/>
        </w:rPr>
        <w:t>Ierobežot negodprātīgo nodokļu maksātāju tiesības dibināt jaunās komercsabiedrības</w:t>
      </w:r>
      <w:r w:rsidR="009724C7" w:rsidRPr="004D4B8C">
        <w:rPr>
          <w:i/>
          <w:sz w:val="28"/>
          <w:szCs w:val="28"/>
        </w:rPr>
        <w:t>”</w:t>
      </w:r>
      <w:r w:rsidRPr="004D4B8C">
        <w:rPr>
          <w:iCs/>
          <w:sz w:val="28"/>
          <w:szCs w:val="28"/>
        </w:rPr>
        <w:t xml:space="preserve"> atbildīgo noteikt </w:t>
      </w:r>
      <w:r w:rsidRPr="004D4B8C">
        <w:rPr>
          <w:b/>
          <w:iCs/>
          <w:sz w:val="28"/>
          <w:szCs w:val="28"/>
        </w:rPr>
        <w:t>Tieslietu ministriju</w:t>
      </w:r>
      <w:r w:rsidR="004D4B8C" w:rsidRPr="004D4B8C">
        <w:rPr>
          <w:iCs/>
          <w:sz w:val="28"/>
          <w:szCs w:val="28"/>
        </w:rPr>
        <w:t>,</w:t>
      </w:r>
      <w:r w:rsidR="004D4B8C" w:rsidRPr="004D4B8C">
        <w:rPr>
          <w:b/>
          <w:iCs/>
          <w:sz w:val="28"/>
          <w:szCs w:val="28"/>
        </w:rPr>
        <w:t xml:space="preserve"> </w:t>
      </w:r>
      <w:r w:rsidR="004D4B8C" w:rsidRPr="004D4B8C">
        <w:rPr>
          <w:iCs/>
          <w:sz w:val="28"/>
          <w:szCs w:val="28"/>
        </w:rPr>
        <w:t xml:space="preserve">bet 1.8.2.uzdevumā izpildē iesaistīt </w:t>
      </w:r>
      <w:r w:rsidR="004D4B8C" w:rsidRPr="004D4B8C">
        <w:rPr>
          <w:b/>
          <w:iCs/>
          <w:sz w:val="28"/>
          <w:szCs w:val="28"/>
        </w:rPr>
        <w:t>Zemkopības ministriju</w:t>
      </w:r>
      <w:r w:rsidR="004D4B8C" w:rsidRPr="004D4B8C">
        <w:rPr>
          <w:iCs/>
          <w:sz w:val="28"/>
          <w:szCs w:val="28"/>
        </w:rPr>
        <w:t>.</w:t>
      </w:r>
      <w:r w:rsidR="004D4B8C" w:rsidRPr="004D4B8C">
        <w:rPr>
          <w:b/>
          <w:iCs/>
          <w:sz w:val="28"/>
          <w:szCs w:val="28"/>
        </w:rPr>
        <w:t xml:space="preserve"> </w:t>
      </w:r>
    </w:p>
    <w:p w:rsidR="00A9640E" w:rsidRPr="004D4B8C" w:rsidRDefault="00A9640E" w:rsidP="00A9640E">
      <w:pPr>
        <w:pStyle w:val="ListParagraph"/>
        <w:ind w:left="426"/>
        <w:jc w:val="both"/>
        <w:rPr>
          <w:iCs/>
          <w:sz w:val="28"/>
          <w:szCs w:val="28"/>
        </w:rPr>
      </w:pPr>
    </w:p>
    <w:p w:rsidR="00A9640E" w:rsidRPr="004D4B8C" w:rsidRDefault="004E1139" w:rsidP="004D4B8C">
      <w:pPr>
        <w:pStyle w:val="ListParagraph"/>
        <w:numPr>
          <w:ilvl w:val="0"/>
          <w:numId w:val="3"/>
        </w:numPr>
        <w:ind w:left="426" w:hanging="426"/>
        <w:jc w:val="both"/>
        <w:rPr>
          <w:iCs/>
          <w:sz w:val="28"/>
          <w:szCs w:val="28"/>
        </w:rPr>
      </w:pPr>
      <w:r w:rsidRPr="004D4B8C">
        <w:rPr>
          <w:iCs/>
          <w:sz w:val="28"/>
          <w:szCs w:val="28"/>
        </w:rPr>
        <w:t xml:space="preserve">Attiecībā uz nodokļu pamatnostādņu rīcības virzienu </w:t>
      </w:r>
      <w:r w:rsidRPr="004D4B8C">
        <w:rPr>
          <w:b/>
          <w:iCs/>
          <w:sz w:val="28"/>
          <w:szCs w:val="28"/>
        </w:rPr>
        <w:t>1.9.1.uzdevumu</w:t>
      </w:r>
      <w:r w:rsidRPr="004D4B8C">
        <w:rPr>
          <w:iCs/>
          <w:sz w:val="28"/>
          <w:szCs w:val="28"/>
        </w:rPr>
        <w:t xml:space="preserve">: </w:t>
      </w:r>
      <w:r w:rsidRPr="004D4B8C">
        <w:rPr>
          <w:i/>
          <w:iCs/>
          <w:sz w:val="28"/>
          <w:szCs w:val="28"/>
        </w:rPr>
        <w:t>“</w:t>
      </w:r>
      <w:r w:rsidRPr="004D4B8C">
        <w:rPr>
          <w:i/>
          <w:sz w:val="28"/>
          <w:szCs w:val="28"/>
        </w:rPr>
        <w:t>Pārskatīt un ieviest dabas resursu nodokļa likmes gaisa piesārņojuma samazināšanai pēc dabas resursu nodokļa efektivitātes izvērtējuma kopsakarībā ar plānotajām izmaiņām normatīvajos aktos gaisa kvalitātes jomā 2018.gadā”</w:t>
      </w:r>
      <w:r w:rsidRPr="004D4B8C">
        <w:rPr>
          <w:iCs/>
          <w:sz w:val="28"/>
          <w:szCs w:val="28"/>
        </w:rPr>
        <w:t xml:space="preserve">, </w:t>
      </w:r>
      <w:r w:rsidRPr="004D4B8C">
        <w:rPr>
          <w:b/>
          <w:iCs/>
          <w:sz w:val="28"/>
          <w:szCs w:val="28"/>
        </w:rPr>
        <w:t>3.2.10.uzdevumu</w:t>
      </w:r>
      <w:r w:rsidRPr="004D4B8C">
        <w:rPr>
          <w:iCs/>
          <w:sz w:val="28"/>
          <w:szCs w:val="28"/>
        </w:rPr>
        <w:t xml:space="preserve">: </w:t>
      </w:r>
      <w:r w:rsidRPr="004D4B8C">
        <w:rPr>
          <w:i/>
          <w:iCs/>
          <w:sz w:val="28"/>
          <w:szCs w:val="28"/>
        </w:rPr>
        <w:t>“</w:t>
      </w:r>
      <w:r w:rsidRPr="004D4B8C">
        <w:rPr>
          <w:i/>
          <w:sz w:val="28"/>
          <w:szCs w:val="28"/>
        </w:rPr>
        <w:t>Elektronisko rēķinu izmantošana laika ietaupījumam un administratīvā sloga samazināšanai: 2) izstrādāta sistēma, kas dod iespēju privātpersonām un uzņēmumiem sagatavot un nosūtīt e-rēķinu publiskām personām, izmantojot oficiālo elektronisko adresi; 3) izstrādāta sistēma, kas dod iespēju automātiski apstrādāt elektroniskos rēķinus publiskajā pārvaldē, kā arī veikt automātisku apkopojumu publicēšanu atvērto datu veidā kopā ar informācijas metadatiem Latvijas atvērto datu portālā”</w:t>
      </w:r>
      <w:r w:rsidRPr="004D4B8C">
        <w:rPr>
          <w:i/>
          <w:iCs/>
          <w:sz w:val="28"/>
          <w:szCs w:val="28"/>
        </w:rPr>
        <w:t xml:space="preserve"> </w:t>
      </w:r>
      <w:r w:rsidRPr="004D4B8C">
        <w:rPr>
          <w:iCs/>
          <w:sz w:val="28"/>
          <w:szCs w:val="28"/>
        </w:rPr>
        <w:t xml:space="preserve">un </w:t>
      </w:r>
      <w:r w:rsidRPr="004D4B8C">
        <w:rPr>
          <w:b/>
          <w:iCs/>
          <w:sz w:val="28"/>
          <w:szCs w:val="28"/>
        </w:rPr>
        <w:t>3.2.12.uzdevumu</w:t>
      </w:r>
      <w:r w:rsidRPr="004D4B8C">
        <w:rPr>
          <w:iCs/>
          <w:sz w:val="28"/>
          <w:szCs w:val="28"/>
        </w:rPr>
        <w:t>:</w:t>
      </w:r>
      <w:r w:rsidRPr="004D4B8C">
        <w:rPr>
          <w:i/>
          <w:iCs/>
          <w:sz w:val="28"/>
          <w:szCs w:val="28"/>
        </w:rPr>
        <w:t xml:space="preserve"> “</w:t>
      </w:r>
      <w:r w:rsidRPr="004D4B8C">
        <w:rPr>
          <w:i/>
          <w:sz w:val="28"/>
          <w:szCs w:val="28"/>
        </w:rPr>
        <w:t xml:space="preserve">Izvērtēt e-asistenta funkcijas ieviešanu klientu apkalpošanā, mazinot administratīvo slogu iestādēm, saņemot VPVKAC tīklā pieteikto pakalpojumu iesniegumus” </w:t>
      </w:r>
      <w:r w:rsidRPr="004D4B8C">
        <w:rPr>
          <w:iCs/>
          <w:sz w:val="28"/>
          <w:szCs w:val="28"/>
        </w:rPr>
        <w:t xml:space="preserve">atbildīgo noteikt </w:t>
      </w:r>
      <w:r w:rsidRPr="004D4B8C">
        <w:rPr>
          <w:b/>
          <w:sz w:val="28"/>
          <w:szCs w:val="28"/>
        </w:rPr>
        <w:t>Vides aizsardzības un reģionālās attīstības ministriju</w:t>
      </w:r>
      <w:r w:rsidR="004D4B8C">
        <w:rPr>
          <w:b/>
          <w:sz w:val="28"/>
          <w:szCs w:val="28"/>
        </w:rPr>
        <w:t>.</w:t>
      </w:r>
    </w:p>
    <w:p w:rsidR="00A9640E" w:rsidRPr="004D4B8C" w:rsidRDefault="00A9640E" w:rsidP="00A9640E">
      <w:pPr>
        <w:pStyle w:val="ListParagraph"/>
        <w:rPr>
          <w:iCs/>
          <w:sz w:val="28"/>
          <w:szCs w:val="28"/>
        </w:rPr>
      </w:pPr>
    </w:p>
    <w:p w:rsidR="00A9640E" w:rsidRPr="004D4B8C" w:rsidRDefault="00134CBD" w:rsidP="004D4B8C">
      <w:pPr>
        <w:pStyle w:val="ListParagraph"/>
        <w:numPr>
          <w:ilvl w:val="0"/>
          <w:numId w:val="3"/>
        </w:numPr>
        <w:ind w:left="426" w:hanging="426"/>
        <w:jc w:val="both"/>
        <w:rPr>
          <w:iCs/>
          <w:sz w:val="28"/>
          <w:szCs w:val="28"/>
        </w:rPr>
      </w:pPr>
      <w:r w:rsidRPr="004D4B8C">
        <w:rPr>
          <w:iCs/>
          <w:sz w:val="28"/>
          <w:szCs w:val="28"/>
        </w:rPr>
        <w:t xml:space="preserve">Attiecībā uz nodokļu pamatnostādņu rīcības virzienu </w:t>
      </w:r>
      <w:r w:rsidRPr="004D4B8C">
        <w:rPr>
          <w:b/>
          <w:iCs/>
          <w:sz w:val="28"/>
          <w:szCs w:val="28"/>
        </w:rPr>
        <w:t>1.11.1.uzdevumu</w:t>
      </w:r>
      <w:r w:rsidR="00A9640E" w:rsidRPr="004D4B8C">
        <w:rPr>
          <w:iCs/>
          <w:sz w:val="28"/>
          <w:szCs w:val="28"/>
        </w:rPr>
        <w:t xml:space="preserve">: </w:t>
      </w:r>
      <w:r w:rsidR="00A9640E" w:rsidRPr="004D4B8C">
        <w:rPr>
          <w:i/>
          <w:iCs/>
          <w:sz w:val="28"/>
          <w:szCs w:val="28"/>
        </w:rPr>
        <w:t>“</w:t>
      </w:r>
      <w:r w:rsidR="00A9640E" w:rsidRPr="004D4B8C">
        <w:rPr>
          <w:i/>
          <w:sz w:val="28"/>
          <w:szCs w:val="28"/>
        </w:rPr>
        <w:t>Nodrošināt informācijas apkopošanu par pacientu VSAOI (apdrošināšanas statuss)”</w:t>
      </w:r>
      <w:r w:rsidRPr="004D4B8C">
        <w:rPr>
          <w:iCs/>
          <w:sz w:val="28"/>
          <w:szCs w:val="28"/>
        </w:rPr>
        <w:t xml:space="preserve"> atbildī</w:t>
      </w:r>
      <w:r w:rsidR="001A03EF" w:rsidRPr="004D4B8C">
        <w:rPr>
          <w:iCs/>
          <w:sz w:val="28"/>
          <w:szCs w:val="28"/>
        </w:rPr>
        <w:t xml:space="preserve">go noteikt </w:t>
      </w:r>
      <w:r w:rsidR="001A03EF" w:rsidRPr="004D4B8C">
        <w:rPr>
          <w:b/>
          <w:iCs/>
          <w:sz w:val="28"/>
          <w:szCs w:val="28"/>
        </w:rPr>
        <w:t>Veselības ministriju</w:t>
      </w:r>
      <w:r w:rsidR="004D4B8C">
        <w:rPr>
          <w:b/>
          <w:iCs/>
          <w:sz w:val="28"/>
          <w:szCs w:val="28"/>
        </w:rPr>
        <w:t>.</w:t>
      </w:r>
    </w:p>
    <w:p w:rsidR="00A9640E" w:rsidRPr="004D4B8C" w:rsidRDefault="00A9640E" w:rsidP="00A9640E">
      <w:pPr>
        <w:pStyle w:val="ListParagraph"/>
        <w:rPr>
          <w:iCs/>
          <w:sz w:val="28"/>
          <w:szCs w:val="28"/>
        </w:rPr>
      </w:pPr>
    </w:p>
    <w:p w:rsidR="006E0BB2" w:rsidRPr="004D4B8C" w:rsidRDefault="00740137" w:rsidP="004D4B8C">
      <w:pPr>
        <w:pStyle w:val="ListParagraph"/>
        <w:numPr>
          <w:ilvl w:val="0"/>
          <w:numId w:val="3"/>
        </w:numPr>
        <w:ind w:left="426" w:hanging="426"/>
        <w:jc w:val="both"/>
        <w:rPr>
          <w:iCs/>
          <w:sz w:val="28"/>
          <w:szCs w:val="28"/>
        </w:rPr>
      </w:pPr>
      <w:r w:rsidRPr="004D4B8C">
        <w:rPr>
          <w:iCs/>
          <w:sz w:val="28"/>
          <w:szCs w:val="28"/>
        </w:rPr>
        <w:t xml:space="preserve">Attiecībā uz nodokļu pamatnostādņu rīcības virzienu </w:t>
      </w:r>
      <w:r w:rsidRPr="004D4B8C">
        <w:rPr>
          <w:b/>
          <w:iCs/>
          <w:sz w:val="28"/>
          <w:szCs w:val="28"/>
        </w:rPr>
        <w:t>2.3.5.uzdevumu</w:t>
      </w:r>
      <w:r w:rsidR="00A9640E" w:rsidRPr="004D4B8C">
        <w:rPr>
          <w:iCs/>
          <w:sz w:val="28"/>
          <w:szCs w:val="28"/>
        </w:rPr>
        <w:t xml:space="preserve">: </w:t>
      </w:r>
      <w:r w:rsidR="00A9640E" w:rsidRPr="004D4B8C">
        <w:rPr>
          <w:i/>
          <w:iCs/>
          <w:sz w:val="28"/>
          <w:szCs w:val="28"/>
        </w:rPr>
        <w:t>“</w:t>
      </w:r>
      <w:r w:rsidR="00A9640E" w:rsidRPr="004D4B8C">
        <w:rPr>
          <w:i/>
          <w:sz w:val="28"/>
          <w:szCs w:val="28"/>
        </w:rPr>
        <w:t>Uzlabot Valsts ieņēmumu dienesta kontroli attiecībā uz mikrouzņēmumiem, novēršot nepamatotu nodokļa režīma izvēli”</w:t>
      </w:r>
      <w:r w:rsidRPr="004D4B8C">
        <w:rPr>
          <w:iCs/>
          <w:sz w:val="28"/>
          <w:szCs w:val="28"/>
        </w:rPr>
        <w:t xml:space="preserve"> atbildīgo noteikt </w:t>
      </w:r>
      <w:r w:rsidR="005D544D" w:rsidRPr="004D4B8C">
        <w:rPr>
          <w:b/>
          <w:iCs/>
          <w:sz w:val="28"/>
          <w:szCs w:val="28"/>
        </w:rPr>
        <w:t>Finanšu ministriju (</w:t>
      </w:r>
      <w:r w:rsidRPr="004D4B8C">
        <w:rPr>
          <w:b/>
          <w:iCs/>
          <w:sz w:val="28"/>
          <w:szCs w:val="28"/>
        </w:rPr>
        <w:t>Valsts ieņēmumu dienestu</w:t>
      </w:r>
      <w:r w:rsidR="005D544D" w:rsidRPr="004D4B8C">
        <w:rPr>
          <w:b/>
          <w:iCs/>
          <w:sz w:val="28"/>
          <w:szCs w:val="28"/>
        </w:rPr>
        <w:t>)</w:t>
      </w:r>
      <w:r w:rsidR="004D4B8C">
        <w:rPr>
          <w:b/>
          <w:iCs/>
          <w:sz w:val="28"/>
          <w:szCs w:val="28"/>
        </w:rPr>
        <w:t>.</w:t>
      </w:r>
    </w:p>
    <w:p w:rsidR="006E0BB2" w:rsidRPr="004D4B8C" w:rsidRDefault="006E0BB2" w:rsidP="006E0BB2">
      <w:pPr>
        <w:pStyle w:val="ListParagraph"/>
        <w:rPr>
          <w:iCs/>
          <w:sz w:val="28"/>
          <w:szCs w:val="28"/>
        </w:rPr>
      </w:pPr>
    </w:p>
    <w:p w:rsidR="006E0BB2" w:rsidRPr="004D4B8C" w:rsidRDefault="00740137" w:rsidP="004D4B8C">
      <w:pPr>
        <w:pStyle w:val="ListParagraph"/>
        <w:numPr>
          <w:ilvl w:val="0"/>
          <w:numId w:val="3"/>
        </w:numPr>
        <w:ind w:left="426" w:hanging="426"/>
        <w:jc w:val="both"/>
        <w:rPr>
          <w:iCs/>
          <w:sz w:val="28"/>
          <w:szCs w:val="28"/>
        </w:rPr>
      </w:pPr>
      <w:r w:rsidRPr="004D4B8C">
        <w:rPr>
          <w:iCs/>
          <w:sz w:val="28"/>
          <w:szCs w:val="28"/>
        </w:rPr>
        <w:t xml:space="preserve">Attiecībā uz nodokļu pamatnostādņu rīcības virzienu </w:t>
      </w:r>
      <w:r w:rsidRPr="004D4B8C">
        <w:rPr>
          <w:b/>
          <w:iCs/>
          <w:sz w:val="28"/>
          <w:szCs w:val="28"/>
        </w:rPr>
        <w:t>2.3.6.uzdevumu</w:t>
      </w:r>
      <w:r w:rsidR="00A9640E" w:rsidRPr="004D4B8C">
        <w:rPr>
          <w:i/>
          <w:iCs/>
          <w:sz w:val="28"/>
          <w:szCs w:val="28"/>
        </w:rPr>
        <w:t>: “</w:t>
      </w:r>
      <w:r w:rsidR="00A9640E" w:rsidRPr="004D4B8C">
        <w:rPr>
          <w:i/>
          <w:sz w:val="28"/>
          <w:szCs w:val="28"/>
        </w:rPr>
        <w:t xml:space="preserve">Uzlabot </w:t>
      </w:r>
      <w:r w:rsidR="00A9640E" w:rsidRPr="004D4B8C">
        <w:rPr>
          <w:i/>
          <w:sz w:val="28"/>
          <w:szCs w:val="28"/>
          <w:u w:val="single"/>
        </w:rPr>
        <w:t>patentmaksas režīmu</w:t>
      </w:r>
      <w:r w:rsidR="00A9640E" w:rsidRPr="004D4B8C">
        <w:rPr>
          <w:i/>
          <w:sz w:val="28"/>
          <w:szCs w:val="28"/>
        </w:rPr>
        <w:t>, nosakot vienotu  patentmaksas apmēru 50 euro  un 100 euro (pašreiz patentmaksas ir noteiktas no 43 līdz 100 euro atkarībā no sadalījuma pa reģioniem un profesijām),  atsakoties no pārāk detalizēta saimnieciskās darbības veidu sadalījuma, kā arī vienkāršojot to samaksu (MK noteikumi). Piemērot samazinātās patentmaksas režīmu arī personām ar I. un II. grupas invaliditāti”</w:t>
      </w:r>
      <w:r w:rsidRPr="004D4B8C">
        <w:rPr>
          <w:i/>
          <w:iCs/>
          <w:sz w:val="28"/>
          <w:szCs w:val="28"/>
        </w:rPr>
        <w:t xml:space="preserve"> </w:t>
      </w:r>
      <w:r w:rsidRPr="004D4B8C">
        <w:rPr>
          <w:iCs/>
          <w:sz w:val="28"/>
          <w:szCs w:val="28"/>
        </w:rPr>
        <w:t xml:space="preserve">atbildīgo noteikt </w:t>
      </w:r>
      <w:r w:rsidR="00A9640E" w:rsidRPr="004D4B8C">
        <w:rPr>
          <w:b/>
          <w:iCs/>
          <w:sz w:val="28"/>
          <w:szCs w:val="28"/>
        </w:rPr>
        <w:t>Ekonomikas</w:t>
      </w:r>
      <w:r w:rsidRPr="004D4B8C">
        <w:rPr>
          <w:b/>
          <w:iCs/>
          <w:sz w:val="28"/>
          <w:szCs w:val="28"/>
        </w:rPr>
        <w:t xml:space="preserve"> ministriju</w:t>
      </w:r>
      <w:r w:rsidR="004D4B8C">
        <w:rPr>
          <w:b/>
          <w:iCs/>
          <w:sz w:val="28"/>
          <w:szCs w:val="28"/>
        </w:rPr>
        <w:t>.</w:t>
      </w:r>
    </w:p>
    <w:p w:rsidR="006E0BB2" w:rsidRPr="004D4B8C" w:rsidRDefault="006E0BB2" w:rsidP="006E0BB2">
      <w:pPr>
        <w:pStyle w:val="ListParagraph"/>
        <w:rPr>
          <w:iCs/>
          <w:sz w:val="28"/>
          <w:szCs w:val="28"/>
        </w:rPr>
      </w:pPr>
    </w:p>
    <w:p w:rsidR="006E0BB2" w:rsidRPr="004D4B8C" w:rsidRDefault="00A9640E" w:rsidP="004D4B8C">
      <w:pPr>
        <w:pStyle w:val="ListParagraph"/>
        <w:numPr>
          <w:ilvl w:val="0"/>
          <w:numId w:val="3"/>
        </w:numPr>
        <w:ind w:left="426" w:hanging="426"/>
        <w:jc w:val="both"/>
        <w:rPr>
          <w:iCs/>
          <w:sz w:val="28"/>
          <w:szCs w:val="28"/>
        </w:rPr>
      </w:pPr>
      <w:r w:rsidRPr="004D4B8C">
        <w:rPr>
          <w:iCs/>
          <w:sz w:val="28"/>
          <w:szCs w:val="28"/>
        </w:rPr>
        <w:t xml:space="preserve">Attiecībā uz nodokļu pamatnostādņu rīcības virzienu </w:t>
      </w:r>
      <w:r w:rsidRPr="004D4B8C">
        <w:rPr>
          <w:b/>
          <w:iCs/>
          <w:sz w:val="28"/>
          <w:szCs w:val="28"/>
        </w:rPr>
        <w:t>3.7.1.uzdevumu</w:t>
      </w:r>
      <w:r w:rsidRPr="004D4B8C">
        <w:rPr>
          <w:iCs/>
          <w:sz w:val="28"/>
          <w:szCs w:val="28"/>
        </w:rPr>
        <w:t xml:space="preserve">: </w:t>
      </w:r>
      <w:r w:rsidRPr="004D4B8C">
        <w:rPr>
          <w:i/>
          <w:iCs/>
          <w:sz w:val="28"/>
          <w:szCs w:val="28"/>
        </w:rPr>
        <w:t>“</w:t>
      </w:r>
      <w:r w:rsidRPr="004D4B8C">
        <w:rPr>
          <w:i/>
          <w:sz w:val="28"/>
          <w:szCs w:val="28"/>
        </w:rPr>
        <w:t xml:space="preserve">Nodrošināt politiku attiecībā uz nodokļu nemaksāšanu, ko soda ar kriminālatbildību un sodu sasniedzamību: 1) definējot, kādai ir jābūt sodu politikai par krāpšanu un izvairīšanos no nodokļu nomaksas, uzsverot nepieciešamību prokuroriem un tiesnešiem piemērot bargākus sodus, ko pieļauj Krimināllikumā noteiktais sodu intervāls; 2) radot prokuroriem un tiesnešiem izpratni par izvairīšanos no nodokļu nomaksas kaitīgumu un ietekmi uz ekonomikas attīstību, organizējot prokuroru un tiesnešu apmācības, un veicot citus pasākumu šā jautājuma aktualizēšanai; 3) turpinot VID Finanšu policijas pārvaldes izmeklētāju apmācību, kā arī nodrošinot pietiekamu materiāli tehnisko bāzi, lai arī turpmāk būtu iespējams atklāt noziedzīgus nodarījumus valsts ieņēmumu jomā” </w:t>
      </w:r>
      <w:r w:rsidR="00134CBD" w:rsidRPr="004D4B8C">
        <w:rPr>
          <w:iCs/>
          <w:sz w:val="28"/>
          <w:szCs w:val="28"/>
        </w:rPr>
        <w:t>atbildīg</w:t>
      </w:r>
      <w:r w:rsidR="005D544D" w:rsidRPr="004D4B8C">
        <w:rPr>
          <w:iCs/>
          <w:sz w:val="28"/>
          <w:szCs w:val="28"/>
        </w:rPr>
        <w:t>os</w:t>
      </w:r>
      <w:r w:rsidR="00134CBD" w:rsidRPr="004D4B8C">
        <w:rPr>
          <w:iCs/>
          <w:sz w:val="28"/>
          <w:szCs w:val="28"/>
        </w:rPr>
        <w:t xml:space="preserve"> noteikt </w:t>
      </w:r>
      <w:r w:rsidR="005D544D" w:rsidRPr="004D4B8C">
        <w:rPr>
          <w:b/>
          <w:iCs/>
          <w:sz w:val="28"/>
          <w:szCs w:val="28"/>
        </w:rPr>
        <w:t>Tieslietu ministriju (</w:t>
      </w:r>
      <w:r w:rsidR="00134CBD" w:rsidRPr="004D4B8C">
        <w:rPr>
          <w:b/>
          <w:iCs/>
          <w:sz w:val="28"/>
          <w:szCs w:val="28"/>
        </w:rPr>
        <w:t>Tiesu administrācij</w:t>
      </w:r>
      <w:r w:rsidR="00FE68C4" w:rsidRPr="004D4B8C">
        <w:rPr>
          <w:b/>
          <w:iCs/>
          <w:sz w:val="28"/>
          <w:szCs w:val="28"/>
        </w:rPr>
        <w:t>u</w:t>
      </w:r>
      <w:r w:rsidR="005D544D" w:rsidRPr="004D4B8C">
        <w:rPr>
          <w:b/>
          <w:iCs/>
          <w:sz w:val="28"/>
          <w:szCs w:val="28"/>
        </w:rPr>
        <w:t>)</w:t>
      </w:r>
      <w:r w:rsidR="00134CBD" w:rsidRPr="004D4B8C">
        <w:rPr>
          <w:b/>
          <w:iCs/>
          <w:sz w:val="28"/>
          <w:szCs w:val="28"/>
        </w:rPr>
        <w:t xml:space="preserve"> </w:t>
      </w:r>
      <w:r w:rsidR="00134CBD" w:rsidRPr="004D4B8C">
        <w:rPr>
          <w:iCs/>
          <w:sz w:val="28"/>
          <w:szCs w:val="28"/>
        </w:rPr>
        <w:t>un</w:t>
      </w:r>
      <w:r w:rsidR="00134CBD" w:rsidRPr="004D4B8C">
        <w:rPr>
          <w:b/>
          <w:iCs/>
          <w:sz w:val="28"/>
          <w:szCs w:val="28"/>
        </w:rPr>
        <w:t xml:space="preserve"> </w:t>
      </w:r>
      <w:r w:rsidR="00E3452E" w:rsidRPr="004D4B8C">
        <w:rPr>
          <w:b/>
          <w:iCs/>
          <w:sz w:val="28"/>
          <w:szCs w:val="28"/>
        </w:rPr>
        <w:t>Valsts kanceleju (</w:t>
      </w:r>
      <w:r w:rsidR="00134CBD" w:rsidRPr="004D4B8C">
        <w:rPr>
          <w:b/>
          <w:iCs/>
          <w:sz w:val="28"/>
          <w:szCs w:val="28"/>
        </w:rPr>
        <w:t>Valsts administrācijas skol</w:t>
      </w:r>
      <w:r w:rsidR="005D544D" w:rsidRPr="004D4B8C">
        <w:rPr>
          <w:b/>
          <w:iCs/>
          <w:sz w:val="28"/>
          <w:szCs w:val="28"/>
        </w:rPr>
        <w:t>u</w:t>
      </w:r>
      <w:r w:rsidR="00E3452E" w:rsidRPr="004D4B8C">
        <w:rPr>
          <w:b/>
          <w:iCs/>
          <w:sz w:val="28"/>
          <w:szCs w:val="28"/>
        </w:rPr>
        <w:t>)</w:t>
      </w:r>
      <w:r w:rsidR="004D4B8C">
        <w:rPr>
          <w:b/>
          <w:iCs/>
          <w:sz w:val="28"/>
          <w:szCs w:val="28"/>
        </w:rPr>
        <w:t>.</w:t>
      </w:r>
    </w:p>
    <w:p w:rsidR="006E0BB2" w:rsidRPr="004D4B8C" w:rsidRDefault="006E0BB2" w:rsidP="006E0BB2">
      <w:pPr>
        <w:pStyle w:val="ListParagraph"/>
        <w:rPr>
          <w:iCs/>
          <w:sz w:val="28"/>
          <w:szCs w:val="28"/>
        </w:rPr>
      </w:pPr>
    </w:p>
    <w:p w:rsidR="006E0BB2" w:rsidRPr="004D4B8C" w:rsidRDefault="00134CBD" w:rsidP="004D4B8C">
      <w:pPr>
        <w:pStyle w:val="ListParagraph"/>
        <w:numPr>
          <w:ilvl w:val="0"/>
          <w:numId w:val="3"/>
        </w:numPr>
        <w:ind w:left="426" w:hanging="426"/>
        <w:jc w:val="both"/>
        <w:rPr>
          <w:iCs/>
          <w:sz w:val="28"/>
          <w:szCs w:val="28"/>
        </w:rPr>
      </w:pPr>
      <w:r w:rsidRPr="004D4B8C">
        <w:rPr>
          <w:iCs/>
          <w:sz w:val="28"/>
          <w:szCs w:val="28"/>
        </w:rPr>
        <w:t xml:space="preserve">Attiecībā uz nodokļu pamatnostādņu rīcības virzienu </w:t>
      </w:r>
      <w:r w:rsidRPr="004D4B8C">
        <w:rPr>
          <w:b/>
          <w:iCs/>
          <w:sz w:val="28"/>
          <w:szCs w:val="28"/>
        </w:rPr>
        <w:t>3.8.1.uzdevumu</w:t>
      </w:r>
      <w:r w:rsidR="00A9640E" w:rsidRPr="004D4B8C">
        <w:rPr>
          <w:iCs/>
          <w:sz w:val="28"/>
          <w:szCs w:val="28"/>
        </w:rPr>
        <w:t>:</w:t>
      </w:r>
      <w:r w:rsidR="00A9640E" w:rsidRPr="004D4B8C">
        <w:rPr>
          <w:sz w:val="28"/>
          <w:szCs w:val="28"/>
        </w:rPr>
        <w:t xml:space="preserve"> </w:t>
      </w:r>
      <w:r w:rsidR="00A9640E" w:rsidRPr="004D4B8C">
        <w:rPr>
          <w:i/>
          <w:sz w:val="28"/>
          <w:szCs w:val="28"/>
        </w:rPr>
        <w:t>“Izveidot Nacionālā kriminālizlūkošanas modeli, lai nodrošinātu savlaicīgu informācijas un kriminālizlūkošanas   informācijas  nodošanu atbildīgajai iestādei, elektronisko informācijas apriti, informācijas un kriminālizlūkošanas informācijas kvalitātes kontroli, kā arī informācijas nezūdamības principu, jo visa informācija un kriminālizlūkošanas  informācija tiktu reģistrēta un ievadīta attiecīgajās informācijas sistēmās”</w:t>
      </w:r>
      <w:r w:rsidRPr="004D4B8C">
        <w:rPr>
          <w:iCs/>
          <w:sz w:val="28"/>
          <w:szCs w:val="28"/>
        </w:rPr>
        <w:t xml:space="preserve"> atbildī</w:t>
      </w:r>
      <w:r w:rsidR="001A03EF" w:rsidRPr="004D4B8C">
        <w:rPr>
          <w:iCs/>
          <w:sz w:val="28"/>
          <w:szCs w:val="28"/>
        </w:rPr>
        <w:t xml:space="preserve">go noteikt </w:t>
      </w:r>
      <w:r w:rsidR="001A03EF" w:rsidRPr="004D4B8C">
        <w:rPr>
          <w:b/>
          <w:iCs/>
          <w:sz w:val="28"/>
          <w:szCs w:val="28"/>
        </w:rPr>
        <w:t>Iekšlietu ministriju</w:t>
      </w:r>
      <w:r w:rsidR="004D4B8C">
        <w:rPr>
          <w:b/>
          <w:iCs/>
          <w:sz w:val="28"/>
          <w:szCs w:val="28"/>
        </w:rPr>
        <w:t>.</w:t>
      </w:r>
    </w:p>
    <w:p w:rsidR="006E0BB2" w:rsidRPr="004D4B8C" w:rsidRDefault="006E0BB2" w:rsidP="006E0BB2">
      <w:pPr>
        <w:pStyle w:val="ListParagraph"/>
        <w:rPr>
          <w:sz w:val="28"/>
          <w:szCs w:val="28"/>
        </w:rPr>
      </w:pPr>
    </w:p>
    <w:p w:rsidR="006E0BB2" w:rsidRPr="004D4B8C" w:rsidRDefault="00134CBD" w:rsidP="004D4B8C">
      <w:pPr>
        <w:pStyle w:val="ListParagraph"/>
        <w:numPr>
          <w:ilvl w:val="0"/>
          <w:numId w:val="3"/>
        </w:numPr>
        <w:ind w:left="426" w:hanging="426"/>
        <w:jc w:val="both"/>
        <w:rPr>
          <w:iCs/>
          <w:sz w:val="28"/>
          <w:szCs w:val="28"/>
        </w:rPr>
      </w:pPr>
      <w:r w:rsidRPr="004D4B8C">
        <w:rPr>
          <w:sz w:val="28"/>
          <w:szCs w:val="28"/>
        </w:rPr>
        <w:t>Par pamatnostādņu īstenošanu līdzatbil</w:t>
      </w:r>
      <w:r w:rsidR="001A03EF" w:rsidRPr="004D4B8C">
        <w:rPr>
          <w:sz w:val="28"/>
          <w:szCs w:val="28"/>
        </w:rPr>
        <w:t>dīgajām institūcijām līdz 2019.gada 1.</w:t>
      </w:r>
      <w:r w:rsidRPr="004D4B8C">
        <w:rPr>
          <w:sz w:val="28"/>
          <w:szCs w:val="28"/>
        </w:rPr>
        <w:t>martam iesniegt Finanšu ministrijā pārskatu par pamatnostādnēs noteikto uzdevumu un pasākumu izpildes gaitu un rezultātiem.</w:t>
      </w:r>
    </w:p>
    <w:p w:rsidR="006E0BB2" w:rsidRPr="004D4B8C" w:rsidRDefault="006E0BB2" w:rsidP="006E0BB2">
      <w:pPr>
        <w:pStyle w:val="ListParagraph"/>
        <w:rPr>
          <w:sz w:val="28"/>
          <w:szCs w:val="28"/>
        </w:rPr>
      </w:pPr>
    </w:p>
    <w:p w:rsidR="006E0BB2" w:rsidRPr="004D4B8C" w:rsidRDefault="001A03EF" w:rsidP="004D4B8C">
      <w:pPr>
        <w:pStyle w:val="ListParagraph"/>
        <w:numPr>
          <w:ilvl w:val="0"/>
          <w:numId w:val="3"/>
        </w:numPr>
        <w:ind w:left="426" w:hanging="426"/>
        <w:jc w:val="both"/>
        <w:rPr>
          <w:iCs/>
          <w:sz w:val="28"/>
          <w:szCs w:val="28"/>
        </w:rPr>
      </w:pPr>
      <w:r w:rsidRPr="004D4B8C">
        <w:rPr>
          <w:sz w:val="28"/>
          <w:szCs w:val="28"/>
        </w:rPr>
        <w:t>Finanšu ministrijai līdz 2019.gada 1.</w:t>
      </w:r>
      <w:r w:rsidR="00134CBD" w:rsidRPr="004D4B8C">
        <w:rPr>
          <w:sz w:val="28"/>
          <w:szCs w:val="28"/>
        </w:rPr>
        <w:t>maijam iesniegt Ministru kabinetā informatīvo ziņojumu par pamatnostādņu īstenošanas starpposma novērtējumu.</w:t>
      </w:r>
    </w:p>
    <w:p w:rsidR="006E0BB2" w:rsidRPr="004D4B8C" w:rsidRDefault="006E0BB2" w:rsidP="006E0BB2">
      <w:pPr>
        <w:pStyle w:val="ListParagraph"/>
        <w:rPr>
          <w:iCs/>
          <w:sz w:val="28"/>
          <w:szCs w:val="28"/>
        </w:rPr>
      </w:pPr>
    </w:p>
    <w:p w:rsidR="00607D5E" w:rsidRPr="004D4B8C" w:rsidRDefault="00607D5E" w:rsidP="00194265">
      <w:pPr>
        <w:ind w:firstLine="720"/>
        <w:rPr>
          <w:sz w:val="28"/>
          <w:szCs w:val="28"/>
        </w:rPr>
      </w:pPr>
    </w:p>
    <w:p w:rsidR="00194265" w:rsidRPr="004D4B8C" w:rsidRDefault="00194265" w:rsidP="00A9640E">
      <w:pPr>
        <w:rPr>
          <w:sz w:val="28"/>
          <w:szCs w:val="28"/>
        </w:rPr>
      </w:pPr>
      <w:r w:rsidRPr="004D4B8C">
        <w:rPr>
          <w:sz w:val="28"/>
          <w:szCs w:val="28"/>
        </w:rPr>
        <w:t>Ministru prezidents</w:t>
      </w:r>
      <w:r w:rsidRPr="004D4B8C">
        <w:rPr>
          <w:sz w:val="28"/>
          <w:szCs w:val="28"/>
        </w:rPr>
        <w:tab/>
      </w:r>
      <w:r w:rsidRPr="004D4B8C">
        <w:rPr>
          <w:sz w:val="28"/>
          <w:szCs w:val="28"/>
        </w:rPr>
        <w:tab/>
      </w:r>
      <w:r w:rsidRPr="004D4B8C">
        <w:rPr>
          <w:sz w:val="28"/>
          <w:szCs w:val="28"/>
        </w:rPr>
        <w:tab/>
      </w:r>
      <w:r w:rsidR="00A9640E" w:rsidRPr="004D4B8C">
        <w:rPr>
          <w:sz w:val="28"/>
          <w:szCs w:val="28"/>
        </w:rPr>
        <w:tab/>
      </w:r>
      <w:r w:rsidR="00A9640E" w:rsidRPr="004D4B8C">
        <w:rPr>
          <w:sz w:val="28"/>
          <w:szCs w:val="28"/>
        </w:rPr>
        <w:tab/>
      </w:r>
      <w:r w:rsidRPr="004D4B8C">
        <w:rPr>
          <w:sz w:val="28"/>
          <w:szCs w:val="28"/>
        </w:rPr>
        <w:tab/>
        <w:t>Māris Kučinskis</w:t>
      </w:r>
    </w:p>
    <w:p w:rsidR="00194265" w:rsidRPr="004D4B8C" w:rsidRDefault="00194265" w:rsidP="00A9640E">
      <w:pPr>
        <w:rPr>
          <w:sz w:val="28"/>
          <w:szCs w:val="28"/>
        </w:rPr>
      </w:pPr>
    </w:p>
    <w:p w:rsidR="00194265" w:rsidRPr="004D4B8C" w:rsidRDefault="00194265" w:rsidP="00A9640E">
      <w:pPr>
        <w:tabs>
          <w:tab w:val="left" w:pos="6521"/>
        </w:tabs>
        <w:jc w:val="both"/>
        <w:rPr>
          <w:sz w:val="28"/>
          <w:szCs w:val="28"/>
        </w:rPr>
      </w:pPr>
      <w:r w:rsidRPr="004D4B8C">
        <w:rPr>
          <w:sz w:val="28"/>
          <w:szCs w:val="28"/>
        </w:rPr>
        <w:t xml:space="preserve">Finanšu ministre </w:t>
      </w:r>
      <w:r w:rsidRPr="004D4B8C">
        <w:rPr>
          <w:sz w:val="28"/>
          <w:szCs w:val="28"/>
        </w:rPr>
        <w:tab/>
        <w:t>D.Reizniece-Ozola</w:t>
      </w:r>
    </w:p>
    <w:p w:rsidR="00194265" w:rsidRPr="004D4B8C" w:rsidRDefault="00194265" w:rsidP="00A9640E">
      <w:pPr>
        <w:tabs>
          <w:tab w:val="left" w:pos="6521"/>
        </w:tabs>
        <w:jc w:val="both"/>
        <w:rPr>
          <w:sz w:val="28"/>
          <w:szCs w:val="28"/>
        </w:rPr>
      </w:pPr>
    </w:p>
    <w:p w:rsidR="00194265" w:rsidRPr="004D4B8C" w:rsidRDefault="00194265" w:rsidP="00A9640E">
      <w:pPr>
        <w:tabs>
          <w:tab w:val="left" w:pos="6521"/>
        </w:tabs>
        <w:jc w:val="both"/>
        <w:rPr>
          <w:sz w:val="28"/>
          <w:szCs w:val="28"/>
        </w:rPr>
      </w:pPr>
    </w:p>
    <w:p w:rsidR="00194265" w:rsidRPr="004D4B8C" w:rsidRDefault="00194265" w:rsidP="00A9640E">
      <w:pPr>
        <w:rPr>
          <w:sz w:val="28"/>
          <w:szCs w:val="28"/>
        </w:rPr>
      </w:pPr>
      <w:r w:rsidRPr="004D4B8C">
        <w:rPr>
          <w:sz w:val="28"/>
          <w:szCs w:val="28"/>
        </w:rPr>
        <w:t>Iesniedzēja:</w:t>
      </w:r>
    </w:p>
    <w:p w:rsidR="00A9640E" w:rsidRPr="004D4B8C" w:rsidRDefault="00194265" w:rsidP="004D4B8C">
      <w:r w:rsidRPr="004D4B8C">
        <w:rPr>
          <w:sz w:val="28"/>
          <w:szCs w:val="28"/>
        </w:rPr>
        <w:t>Finanšu ministre</w:t>
      </w:r>
      <w:r w:rsidRPr="004D4B8C">
        <w:rPr>
          <w:sz w:val="28"/>
          <w:szCs w:val="28"/>
        </w:rPr>
        <w:tab/>
      </w:r>
      <w:r w:rsidRPr="004D4B8C">
        <w:rPr>
          <w:sz w:val="28"/>
          <w:szCs w:val="28"/>
        </w:rPr>
        <w:tab/>
      </w:r>
      <w:r w:rsidRPr="004D4B8C">
        <w:rPr>
          <w:sz w:val="28"/>
          <w:szCs w:val="28"/>
        </w:rPr>
        <w:tab/>
      </w:r>
      <w:r w:rsidR="00A9640E" w:rsidRPr="004D4B8C">
        <w:rPr>
          <w:sz w:val="28"/>
          <w:szCs w:val="28"/>
        </w:rPr>
        <w:tab/>
      </w:r>
      <w:r w:rsidRPr="004D4B8C">
        <w:rPr>
          <w:sz w:val="28"/>
          <w:szCs w:val="28"/>
        </w:rPr>
        <w:tab/>
      </w:r>
      <w:r w:rsidRPr="004D4B8C">
        <w:rPr>
          <w:sz w:val="28"/>
          <w:szCs w:val="28"/>
        </w:rPr>
        <w:tab/>
      </w:r>
      <w:r w:rsidRPr="004D4B8C">
        <w:rPr>
          <w:sz w:val="28"/>
          <w:szCs w:val="28"/>
        </w:rPr>
        <w:tab/>
        <w:t>D.Reizniece-Ozola</w:t>
      </w:r>
    </w:p>
    <w:sectPr w:rsidR="00A9640E" w:rsidRPr="004D4B8C" w:rsidSect="00932895">
      <w:headerReference w:type="default" r:id="rId8"/>
      <w:footerReference w:type="default" r:id="rId9"/>
      <w:pgSz w:w="11906" w:h="16838"/>
      <w:pgMar w:top="1276"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B89" w:rsidRDefault="00903B89" w:rsidP="007354B9">
      <w:r>
        <w:separator/>
      </w:r>
    </w:p>
  </w:endnote>
  <w:endnote w:type="continuationSeparator" w:id="0">
    <w:p w:rsidR="00903B89" w:rsidRDefault="00903B89" w:rsidP="0073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4B9" w:rsidRDefault="00AC4870" w:rsidP="007354B9">
    <w:pPr>
      <w:pStyle w:val="BodyText3"/>
      <w:spacing w:before="60"/>
      <w:jc w:val="center"/>
    </w:pPr>
    <w:r w:rsidRPr="00B83662">
      <w:t>FM</w:t>
    </w:r>
    <w:r>
      <w:t>Rīk</w:t>
    </w:r>
    <w:r w:rsidR="007354B9" w:rsidRPr="00B83662">
      <w:t>_</w:t>
    </w:r>
    <w:r w:rsidR="006B6CE5">
      <w:t>0</w:t>
    </w:r>
    <w:r w:rsidR="00D62BE9">
      <w:t>8</w:t>
    </w:r>
    <w:r w:rsidR="006B6CE5">
      <w:t xml:space="preserve"> 05</w:t>
    </w:r>
    <w:r w:rsidR="007354B9">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B89" w:rsidRDefault="00903B89" w:rsidP="007354B9">
      <w:r>
        <w:separator/>
      </w:r>
    </w:p>
  </w:footnote>
  <w:footnote w:type="continuationSeparator" w:id="0">
    <w:p w:rsidR="00903B89" w:rsidRDefault="00903B89" w:rsidP="00735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861526"/>
      <w:docPartObj>
        <w:docPartGallery w:val="Page Numbers (Top of Page)"/>
        <w:docPartUnique/>
      </w:docPartObj>
    </w:sdtPr>
    <w:sdtEndPr>
      <w:rPr>
        <w:noProof/>
        <w:sz w:val="20"/>
        <w:szCs w:val="20"/>
      </w:rPr>
    </w:sdtEndPr>
    <w:sdtContent>
      <w:p w:rsidR="00D62BE9" w:rsidRPr="00D62BE9" w:rsidRDefault="00D62BE9">
        <w:pPr>
          <w:pStyle w:val="Header"/>
          <w:jc w:val="center"/>
          <w:rPr>
            <w:sz w:val="20"/>
            <w:szCs w:val="20"/>
          </w:rPr>
        </w:pPr>
        <w:r w:rsidRPr="00D62BE9">
          <w:rPr>
            <w:sz w:val="20"/>
            <w:szCs w:val="20"/>
          </w:rPr>
          <w:fldChar w:fldCharType="begin"/>
        </w:r>
        <w:r w:rsidRPr="00D62BE9">
          <w:rPr>
            <w:sz w:val="20"/>
            <w:szCs w:val="20"/>
          </w:rPr>
          <w:instrText xml:space="preserve"> PAGE   \* MERGEFORMAT </w:instrText>
        </w:r>
        <w:r w:rsidRPr="00D62BE9">
          <w:rPr>
            <w:sz w:val="20"/>
            <w:szCs w:val="20"/>
          </w:rPr>
          <w:fldChar w:fldCharType="separate"/>
        </w:r>
        <w:r w:rsidR="004E3B21">
          <w:rPr>
            <w:noProof/>
            <w:sz w:val="20"/>
            <w:szCs w:val="20"/>
          </w:rPr>
          <w:t>2</w:t>
        </w:r>
        <w:r w:rsidRPr="00D62BE9">
          <w:rPr>
            <w:noProof/>
            <w:sz w:val="20"/>
            <w:szCs w:val="20"/>
          </w:rPr>
          <w:fldChar w:fldCharType="end"/>
        </w:r>
      </w:p>
    </w:sdtContent>
  </w:sdt>
  <w:p w:rsidR="00D62BE9" w:rsidRDefault="00D62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34F10"/>
    <w:multiLevelType w:val="hybridMultilevel"/>
    <w:tmpl w:val="DA2C59B6"/>
    <w:lvl w:ilvl="0" w:tplc="535E989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3FA0FE8"/>
    <w:multiLevelType w:val="hybridMultilevel"/>
    <w:tmpl w:val="400A459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nsid w:val="14AE1D57"/>
    <w:multiLevelType w:val="hybridMultilevel"/>
    <w:tmpl w:val="AD5C4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A1D75D8"/>
    <w:multiLevelType w:val="hybridMultilevel"/>
    <w:tmpl w:val="0ECE76DE"/>
    <w:lvl w:ilvl="0" w:tplc="AD9A8CF4">
      <w:start w:val="1"/>
      <w:numFmt w:val="decimal"/>
      <w:lvlText w:val="%1."/>
      <w:lvlJc w:val="left"/>
      <w:pPr>
        <w:ind w:left="1004" w:hanging="360"/>
      </w:pPr>
      <w:rPr>
        <w:b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nsid w:val="23AE0085"/>
    <w:multiLevelType w:val="hybridMultilevel"/>
    <w:tmpl w:val="E5A2333A"/>
    <w:lvl w:ilvl="0" w:tplc="6DB0689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26541F7A"/>
    <w:multiLevelType w:val="multilevel"/>
    <w:tmpl w:val="9CF02828"/>
    <w:lvl w:ilvl="0">
      <w:start w:val="6"/>
      <w:numFmt w:val="decimal"/>
      <w:lvlText w:val="%1."/>
      <w:lvlJc w:val="left"/>
      <w:pPr>
        <w:ind w:left="450" w:hanging="45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6">
    <w:nsid w:val="26F367A1"/>
    <w:multiLevelType w:val="hybridMultilevel"/>
    <w:tmpl w:val="400A459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7">
    <w:nsid w:val="3D4130FC"/>
    <w:multiLevelType w:val="multilevel"/>
    <w:tmpl w:val="BC2EB058"/>
    <w:lvl w:ilvl="0">
      <w:start w:val="1"/>
      <w:numFmt w:val="decimal"/>
      <w:lvlText w:val="%1."/>
      <w:lvlJc w:val="left"/>
      <w:pPr>
        <w:ind w:left="420" w:hanging="42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8">
    <w:nsid w:val="4EE1473C"/>
    <w:multiLevelType w:val="hybridMultilevel"/>
    <w:tmpl w:val="F4F2A784"/>
    <w:lvl w:ilvl="0" w:tplc="DB9C78E6">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3385583"/>
    <w:multiLevelType w:val="hybridMultilevel"/>
    <w:tmpl w:val="400A459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0">
    <w:nsid w:val="53F405DC"/>
    <w:multiLevelType w:val="hybridMultilevel"/>
    <w:tmpl w:val="0ECE76DE"/>
    <w:lvl w:ilvl="0" w:tplc="AD9A8CF4">
      <w:start w:val="1"/>
      <w:numFmt w:val="decimal"/>
      <w:lvlText w:val="%1."/>
      <w:lvlJc w:val="left"/>
      <w:pPr>
        <w:ind w:left="1004" w:hanging="360"/>
      </w:pPr>
      <w:rPr>
        <w:b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1">
    <w:nsid w:val="546D179A"/>
    <w:multiLevelType w:val="hybridMultilevel"/>
    <w:tmpl w:val="400A459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nsid w:val="615E1466"/>
    <w:multiLevelType w:val="hybridMultilevel"/>
    <w:tmpl w:val="5EFA215C"/>
    <w:lvl w:ilvl="0" w:tplc="02920D1E">
      <w:start w:val="1"/>
      <w:numFmt w:val="decimal"/>
      <w:lvlText w:val="%1."/>
      <w:lvlJc w:val="left"/>
      <w:pPr>
        <w:tabs>
          <w:tab w:val="num" w:pos="720"/>
        </w:tabs>
        <w:ind w:left="720" w:hanging="360"/>
      </w:pPr>
    </w:lvl>
    <w:lvl w:ilvl="1" w:tplc="04260011">
      <w:start w:val="1"/>
      <w:numFmt w:val="decimal"/>
      <w:lvlText w:val="%2)"/>
      <w:lvlJc w:val="left"/>
      <w:pPr>
        <w:tabs>
          <w:tab w:val="num" w:pos="1440"/>
        </w:tabs>
        <w:ind w:left="1440" w:hanging="360"/>
      </w:pPr>
    </w:lvl>
    <w:lvl w:ilvl="2" w:tplc="5B0C59C8" w:tentative="1">
      <w:start w:val="1"/>
      <w:numFmt w:val="decimal"/>
      <w:lvlText w:val="%3."/>
      <w:lvlJc w:val="left"/>
      <w:pPr>
        <w:tabs>
          <w:tab w:val="num" w:pos="2160"/>
        </w:tabs>
        <w:ind w:left="2160" w:hanging="360"/>
      </w:pPr>
    </w:lvl>
    <w:lvl w:ilvl="3" w:tplc="DE74C718" w:tentative="1">
      <w:start w:val="1"/>
      <w:numFmt w:val="decimal"/>
      <w:lvlText w:val="%4."/>
      <w:lvlJc w:val="left"/>
      <w:pPr>
        <w:tabs>
          <w:tab w:val="num" w:pos="2880"/>
        </w:tabs>
        <w:ind w:left="2880" w:hanging="360"/>
      </w:pPr>
    </w:lvl>
    <w:lvl w:ilvl="4" w:tplc="5978A704" w:tentative="1">
      <w:start w:val="1"/>
      <w:numFmt w:val="decimal"/>
      <w:lvlText w:val="%5."/>
      <w:lvlJc w:val="left"/>
      <w:pPr>
        <w:tabs>
          <w:tab w:val="num" w:pos="3600"/>
        </w:tabs>
        <w:ind w:left="3600" w:hanging="360"/>
      </w:pPr>
    </w:lvl>
    <w:lvl w:ilvl="5" w:tplc="D6C03DE4" w:tentative="1">
      <w:start w:val="1"/>
      <w:numFmt w:val="decimal"/>
      <w:lvlText w:val="%6."/>
      <w:lvlJc w:val="left"/>
      <w:pPr>
        <w:tabs>
          <w:tab w:val="num" w:pos="4320"/>
        </w:tabs>
        <w:ind w:left="4320" w:hanging="360"/>
      </w:pPr>
    </w:lvl>
    <w:lvl w:ilvl="6" w:tplc="D0A4C144" w:tentative="1">
      <w:start w:val="1"/>
      <w:numFmt w:val="decimal"/>
      <w:lvlText w:val="%7."/>
      <w:lvlJc w:val="left"/>
      <w:pPr>
        <w:tabs>
          <w:tab w:val="num" w:pos="5040"/>
        </w:tabs>
        <w:ind w:left="5040" w:hanging="360"/>
      </w:pPr>
    </w:lvl>
    <w:lvl w:ilvl="7" w:tplc="C118563C" w:tentative="1">
      <w:start w:val="1"/>
      <w:numFmt w:val="decimal"/>
      <w:lvlText w:val="%8."/>
      <w:lvlJc w:val="left"/>
      <w:pPr>
        <w:tabs>
          <w:tab w:val="num" w:pos="5760"/>
        </w:tabs>
        <w:ind w:left="5760" w:hanging="360"/>
      </w:pPr>
    </w:lvl>
    <w:lvl w:ilvl="8" w:tplc="C15A163E" w:tentative="1">
      <w:start w:val="1"/>
      <w:numFmt w:val="decimal"/>
      <w:lvlText w:val="%9."/>
      <w:lvlJc w:val="left"/>
      <w:pPr>
        <w:tabs>
          <w:tab w:val="num" w:pos="6480"/>
        </w:tabs>
        <w:ind w:left="6480" w:hanging="360"/>
      </w:pPr>
    </w:lvl>
  </w:abstractNum>
  <w:abstractNum w:abstractNumId="13">
    <w:nsid w:val="653D1021"/>
    <w:multiLevelType w:val="hybridMultilevel"/>
    <w:tmpl w:val="FA309E42"/>
    <w:lvl w:ilvl="0" w:tplc="3C8A0122">
      <w:start w:val="1"/>
      <w:numFmt w:val="bullet"/>
      <w:lvlText w:val="•"/>
      <w:lvlJc w:val="left"/>
      <w:pPr>
        <w:tabs>
          <w:tab w:val="num" w:pos="720"/>
        </w:tabs>
        <w:ind w:left="720" w:hanging="360"/>
      </w:pPr>
      <w:rPr>
        <w:rFonts w:ascii="Arial" w:hAnsi="Arial" w:hint="default"/>
      </w:rPr>
    </w:lvl>
    <w:lvl w:ilvl="1" w:tplc="890407A4" w:tentative="1">
      <w:start w:val="1"/>
      <w:numFmt w:val="lowerLetter"/>
      <w:lvlText w:val="%2)"/>
      <w:lvlJc w:val="left"/>
      <w:pPr>
        <w:tabs>
          <w:tab w:val="num" w:pos="1440"/>
        </w:tabs>
        <w:ind w:left="1440" w:hanging="360"/>
      </w:pPr>
    </w:lvl>
    <w:lvl w:ilvl="2" w:tplc="67CEC68E" w:tentative="1">
      <w:start w:val="1"/>
      <w:numFmt w:val="lowerLetter"/>
      <w:lvlText w:val="%3)"/>
      <w:lvlJc w:val="left"/>
      <w:pPr>
        <w:tabs>
          <w:tab w:val="num" w:pos="2160"/>
        </w:tabs>
        <w:ind w:left="2160" w:hanging="360"/>
      </w:pPr>
    </w:lvl>
    <w:lvl w:ilvl="3" w:tplc="CE786720" w:tentative="1">
      <w:start w:val="1"/>
      <w:numFmt w:val="lowerLetter"/>
      <w:lvlText w:val="%4)"/>
      <w:lvlJc w:val="left"/>
      <w:pPr>
        <w:tabs>
          <w:tab w:val="num" w:pos="2880"/>
        </w:tabs>
        <w:ind w:left="2880" w:hanging="360"/>
      </w:pPr>
    </w:lvl>
    <w:lvl w:ilvl="4" w:tplc="CB2E3FDC" w:tentative="1">
      <w:start w:val="1"/>
      <w:numFmt w:val="lowerLetter"/>
      <w:lvlText w:val="%5)"/>
      <w:lvlJc w:val="left"/>
      <w:pPr>
        <w:tabs>
          <w:tab w:val="num" w:pos="3600"/>
        </w:tabs>
        <w:ind w:left="3600" w:hanging="360"/>
      </w:pPr>
    </w:lvl>
    <w:lvl w:ilvl="5" w:tplc="60561FEC" w:tentative="1">
      <w:start w:val="1"/>
      <w:numFmt w:val="lowerLetter"/>
      <w:lvlText w:val="%6)"/>
      <w:lvlJc w:val="left"/>
      <w:pPr>
        <w:tabs>
          <w:tab w:val="num" w:pos="4320"/>
        </w:tabs>
        <w:ind w:left="4320" w:hanging="360"/>
      </w:pPr>
    </w:lvl>
    <w:lvl w:ilvl="6" w:tplc="E572FE7C" w:tentative="1">
      <w:start w:val="1"/>
      <w:numFmt w:val="lowerLetter"/>
      <w:lvlText w:val="%7)"/>
      <w:lvlJc w:val="left"/>
      <w:pPr>
        <w:tabs>
          <w:tab w:val="num" w:pos="5040"/>
        </w:tabs>
        <w:ind w:left="5040" w:hanging="360"/>
      </w:pPr>
    </w:lvl>
    <w:lvl w:ilvl="7" w:tplc="8A30F1AC" w:tentative="1">
      <w:start w:val="1"/>
      <w:numFmt w:val="lowerLetter"/>
      <w:lvlText w:val="%8)"/>
      <w:lvlJc w:val="left"/>
      <w:pPr>
        <w:tabs>
          <w:tab w:val="num" w:pos="5760"/>
        </w:tabs>
        <w:ind w:left="5760" w:hanging="360"/>
      </w:pPr>
    </w:lvl>
    <w:lvl w:ilvl="8" w:tplc="F6E8E738" w:tentative="1">
      <w:start w:val="1"/>
      <w:numFmt w:val="lowerLetter"/>
      <w:lvlText w:val="%9)"/>
      <w:lvlJc w:val="left"/>
      <w:pPr>
        <w:tabs>
          <w:tab w:val="num" w:pos="6480"/>
        </w:tabs>
        <w:ind w:left="6480" w:hanging="360"/>
      </w:pPr>
    </w:lvl>
  </w:abstractNum>
  <w:abstractNum w:abstractNumId="14">
    <w:nsid w:val="6C1D6AA4"/>
    <w:multiLevelType w:val="hybridMultilevel"/>
    <w:tmpl w:val="400A459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5">
    <w:nsid w:val="6C293FB3"/>
    <w:multiLevelType w:val="hybridMultilevel"/>
    <w:tmpl w:val="400A459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4"/>
  </w:num>
  <w:num w:numId="2">
    <w:abstractNumId w:val="2"/>
  </w:num>
  <w:num w:numId="3">
    <w:abstractNumId w:val="11"/>
  </w:num>
  <w:num w:numId="4">
    <w:abstractNumId w:val="8"/>
  </w:num>
  <w:num w:numId="5">
    <w:abstractNumId w:val="6"/>
  </w:num>
  <w:num w:numId="6">
    <w:abstractNumId w:val="0"/>
  </w:num>
  <w:num w:numId="7">
    <w:abstractNumId w:val="10"/>
  </w:num>
  <w:num w:numId="8">
    <w:abstractNumId w:val="12"/>
  </w:num>
  <w:num w:numId="9">
    <w:abstractNumId w:val="13"/>
  </w:num>
  <w:num w:numId="10">
    <w:abstractNumId w:val="14"/>
  </w:num>
  <w:num w:numId="11">
    <w:abstractNumId w:val="1"/>
  </w:num>
  <w:num w:numId="12">
    <w:abstractNumId w:val="3"/>
  </w:num>
  <w:num w:numId="13">
    <w:abstractNumId w:val="15"/>
  </w:num>
  <w:num w:numId="14">
    <w:abstractNumId w:val="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65"/>
    <w:rsid w:val="00134CBD"/>
    <w:rsid w:val="00140C76"/>
    <w:rsid w:val="00194265"/>
    <w:rsid w:val="001A03EF"/>
    <w:rsid w:val="001D3EFA"/>
    <w:rsid w:val="001E48EB"/>
    <w:rsid w:val="001F70C3"/>
    <w:rsid w:val="003403CA"/>
    <w:rsid w:val="003436B6"/>
    <w:rsid w:val="0038273B"/>
    <w:rsid w:val="003A0E09"/>
    <w:rsid w:val="003D239B"/>
    <w:rsid w:val="00467729"/>
    <w:rsid w:val="00494270"/>
    <w:rsid w:val="004D4B8C"/>
    <w:rsid w:val="004E1139"/>
    <w:rsid w:val="004E3B21"/>
    <w:rsid w:val="005A7762"/>
    <w:rsid w:val="005D544D"/>
    <w:rsid w:val="005E5126"/>
    <w:rsid w:val="00607D5E"/>
    <w:rsid w:val="00666A9F"/>
    <w:rsid w:val="006B6CE5"/>
    <w:rsid w:val="006E0BB2"/>
    <w:rsid w:val="00721204"/>
    <w:rsid w:val="00730E46"/>
    <w:rsid w:val="007354B9"/>
    <w:rsid w:val="00740137"/>
    <w:rsid w:val="00903B89"/>
    <w:rsid w:val="0092422A"/>
    <w:rsid w:val="00932895"/>
    <w:rsid w:val="009724C7"/>
    <w:rsid w:val="00A33B20"/>
    <w:rsid w:val="00A9640E"/>
    <w:rsid w:val="00AC4870"/>
    <w:rsid w:val="00B32877"/>
    <w:rsid w:val="00BD3D74"/>
    <w:rsid w:val="00C70A80"/>
    <w:rsid w:val="00C96E63"/>
    <w:rsid w:val="00CF73EF"/>
    <w:rsid w:val="00D62BE9"/>
    <w:rsid w:val="00DD4559"/>
    <w:rsid w:val="00E047B5"/>
    <w:rsid w:val="00E21D4A"/>
    <w:rsid w:val="00E3452E"/>
    <w:rsid w:val="00E72F66"/>
    <w:rsid w:val="00FB50BA"/>
    <w:rsid w:val="00FE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99F3DBD-7B32-4644-86C5-BAA216A2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26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4265"/>
    <w:pPr>
      <w:tabs>
        <w:tab w:val="left" w:pos="6804"/>
      </w:tabs>
    </w:pPr>
    <w:rPr>
      <w:rFonts w:ascii="Tahoma" w:hAnsi="Tahoma"/>
      <w:b/>
    </w:rPr>
  </w:style>
  <w:style w:type="character" w:customStyle="1" w:styleId="BodyTextChar">
    <w:name w:val="Body Text Char"/>
    <w:basedOn w:val="DefaultParagraphFont"/>
    <w:link w:val="BodyText"/>
    <w:rsid w:val="00194265"/>
    <w:rPr>
      <w:rFonts w:ascii="Tahoma" w:eastAsia="Times New Roman" w:hAnsi="Tahoma" w:cs="Times New Roman"/>
      <w:b/>
      <w:sz w:val="24"/>
      <w:szCs w:val="24"/>
      <w:lang w:eastAsia="lv-LV"/>
    </w:rPr>
  </w:style>
  <w:style w:type="paragraph" w:styleId="Header">
    <w:name w:val="header"/>
    <w:basedOn w:val="Normal"/>
    <w:link w:val="HeaderChar"/>
    <w:uiPriority w:val="99"/>
    <w:unhideWhenUsed/>
    <w:rsid w:val="007354B9"/>
    <w:pPr>
      <w:tabs>
        <w:tab w:val="center" w:pos="4153"/>
        <w:tab w:val="right" w:pos="8306"/>
      </w:tabs>
    </w:pPr>
  </w:style>
  <w:style w:type="character" w:customStyle="1" w:styleId="HeaderChar">
    <w:name w:val="Header Char"/>
    <w:basedOn w:val="DefaultParagraphFont"/>
    <w:link w:val="Header"/>
    <w:uiPriority w:val="99"/>
    <w:rsid w:val="007354B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354B9"/>
    <w:pPr>
      <w:tabs>
        <w:tab w:val="center" w:pos="4153"/>
        <w:tab w:val="right" w:pos="8306"/>
      </w:tabs>
    </w:pPr>
  </w:style>
  <w:style w:type="character" w:customStyle="1" w:styleId="FooterChar">
    <w:name w:val="Footer Char"/>
    <w:basedOn w:val="DefaultParagraphFont"/>
    <w:link w:val="Footer"/>
    <w:uiPriority w:val="99"/>
    <w:rsid w:val="007354B9"/>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7354B9"/>
    <w:pPr>
      <w:spacing w:after="120"/>
    </w:pPr>
    <w:rPr>
      <w:sz w:val="16"/>
      <w:szCs w:val="16"/>
    </w:rPr>
  </w:style>
  <w:style w:type="character" w:customStyle="1" w:styleId="BodyText3Char">
    <w:name w:val="Body Text 3 Char"/>
    <w:basedOn w:val="DefaultParagraphFont"/>
    <w:link w:val="BodyText3"/>
    <w:uiPriority w:val="99"/>
    <w:rsid w:val="007354B9"/>
    <w:rPr>
      <w:rFonts w:ascii="Times New Roman" w:eastAsia="Times New Roman" w:hAnsi="Times New Roman" w:cs="Times New Roman"/>
      <w:sz w:val="16"/>
      <w:szCs w:val="16"/>
      <w:lang w:eastAsia="lv-LV"/>
    </w:rPr>
  </w:style>
  <w:style w:type="paragraph" w:styleId="ListParagraph">
    <w:name w:val="List Paragraph"/>
    <w:aliases w:val="2"/>
    <w:basedOn w:val="Normal"/>
    <w:link w:val="ListParagraphChar"/>
    <w:uiPriority w:val="34"/>
    <w:qFormat/>
    <w:rsid w:val="00C96E63"/>
    <w:pPr>
      <w:ind w:left="720"/>
      <w:contextualSpacing/>
    </w:pPr>
  </w:style>
  <w:style w:type="paragraph" w:styleId="BalloonText">
    <w:name w:val="Balloon Text"/>
    <w:basedOn w:val="Normal"/>
    <w:link w:val="BalloonTextChar"/>
    <w:uiPriority w:val="99"/>
    <w:semiHidden/>
    <w:unhideWhenUsed/>
    <w:rsid w:val="00C96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E63"/>
    <w:rPr>
      <w:rFonts w:ascii="Segoe UI" w:eastAsia="Times New Roman" w:hAnsi="Segoe UI" w:cs="Segoe UI"/>
      <w:sz w:val="18"/>
      <w:szCs w:val="18"/>
      <w:lang w:eastAsia="lv-LV"/>
    </w:rPr>
  </w:style>
  <w:style w:type="paragraph" w:styleId="NormalWeb">
    <w:name w:val="Normal (Web)"/>
    <w:basedOn w:val="Normal"/>
    <w:uiPriority w:val="99"/>
    <w:unhideWhenUsed/>
    <w:rsid w:val="00BD3D74"/>
    <w:pPr>
      <w:spacing w:before="100" w:beforeAutospacing="1" w:after="100" w:afterAutospacing="1"/>
      <w:jc w:val="both"/>
    </w:pPr>
  </w:style>
  <w:style w:type="character" w:customStyle="1" w:styleId="ListParagraphChar">
    <w:name w:val="List Paragraph Char"/>
    <w:aliases w:val="2 Char"/>
    <w:link w:val="ListParagraph"/>
    <w:uiPriority w:val="34"/>
    <w:locked/>
    <w:rsid w:val="00BD3D7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890096">
      <w:bodyDiv w:val="1"/>
      <w:marLeft w:val="0"/>
      <w:marRight w:val="0"/>
      <w:marTop w:val="0"/>
      <w:marBottom w:val="0"/>
      <w:divBdr>
        <w:top w:val="none" w:sz="0" w:space="0" w:color="auto"/>
        <w:left w:val="none" w:sz="0" w:space="0" w:color="auto"/>
        <w:bottom w:val="none" w:sz="0" w:space="0" w:color="auto"/>
        <w:right w:val="none" w:sz="0" w:space="0" w:color="auto"/>
      </w:divBdr>
      <w:divsChild>
        <w:div w:id="1243369694">
          <w:marLeft w:val="0"/>
          <w:marRight w:val="0"/>
          <w:marTop w:val="0"/>
          <w:marBottom w:val="195"/>
          <w:divBdr>
            <w:top w:val="none" w:sz="0" w:space="0" w:color="auto"/>
            <w:left w:val="none" w:sz="0" w:space="0" w:color="auto"/>
            <w:bottom w:val="none" w:sz="0" w:space="0" w:color="auto"/>
            <w:right w:val="none" w:sz="0" w:space="0" w:color="auto"/>
          </w:divBdr>
        </w:div>
        <w:div w:id="2065324486">
          <w:marLeft w:val="0"/>
          <w:marRight w:val="0"/>
          <w:marTop w:val="0"/>
          <w:marBottom w:val="195"/>
          <w:divBdr>
            <w:top w:val="none" w:sz="0" w:space="0" w:color="auto"/>
            <w:left w:val="none" w:sz="0" w:space="0" w:color="auto"/>
            <w:bottom w:val="none" w:sz="0" w:space="0" w:color="auto"/>
            <w:right w:val="none" w:sz="0" w:space="0" w:color="auto"/>
          </w:divBdr>
        </w:div>
        <w:div w:id="569462386">
          <w:marLeft w:val="0"/>
          <w:marRight w:val="0"/>
          <w:marTop w:val="0"/>
          <w:marBottom w:val="195"/>
          <w:divBdr>
            <w:top w:val="none" w:sz="0" w:space="0" w:color="auto"/>
            <w:left w:val="none" w:sz="0" w:space="0" w:color="auto"/>
            <w:bottom w:val="none" w:sz="0" w:space="0" w:color="auto"/>
            <w:right w:val="none" w:sz="0" w:space="0" w:color="auto"/>
          </w:divBdr>
        </w:div>
        <w:div w:id="28842274">
          <w:marLeft w:val="0"/>
          <w:marRight w:val="0"/>
          <w:marTop w:val="0"/>
          <w:marBottom w:val="195"/>
          <w:divBdr>
            <w:top w:val="none" w:sz="0" w:space="0" w:color="auto"/>
            <w:left w:val="none" w:sz="0" w:space="0" w:color="auto"/>
            <w:bottom w:val="none" w:sz="0" w:space="0" w:color="auto"/>
            <w:right w:val="none" w:sz="0" w:space="0" w:color="auto"/>
          </w:divBdr>
        </w:div>
        <w:div w:id="1251082273">
          <w:marLeft w:val="0"/>
          <w:marRight w:val="0"/>
          <w:marTop w:val="0"/>
          <w:marBottom w:val="195"/>
          <w:divBdr>
            <w:top w:val="none" w:sz="0" w:space="0" w:color="auto"/>
            <w:left w:val="none" w:sz="0" w:space="0" w:color="auto"/>
            <w:bottom w:val="none" w:sz="0" w:space="0" w:color="auto"/>
            <w:right w:val="none" w:sz="0" w:space="0" w:color="auto"/>
          </w:divBdr>
        </w:div>
        <w:div w:id="214851943">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96A1B-3C00-4A58-B68C-1D13981B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7765</Words>
  <Characters>4427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MK Rīkojums_precizēts_Par “Valsts Nodokļu politikas pamatnostādnēm 2018.-2021.gadam”</vt:lpstr>
    </vt:vector>
  </TitlesOfParts>
  <Company>FM</Company>
  <LinksUpToDate>false</LinksUpToDate>
  <CharactersWithSpaces>12168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Rīkojums_precizēts_Par “Valsts Nodokļu politikas pamatnostādnēm 2018.-2021.gadam”</dc:title>
  <dc:subject>MK Rīkojums_precizēts_Par “Valsts Nodokļu politikas pamatnostādnēm 2018.-2021.gadam”</dc:subject>
  <dc:creator>I.Kodoliņa-Miglāne</dc:creator>
  <cp:keywords/>
  <dc:description>I.Kodoliņa-Miglāne 67083902_x000d_
ieva.kodolina-miglane@fm.gov.lv</dc:description>
  <cp:lastModifiedBy>Ieva Kodoliņa-Miglāne</cp:lastModifiedBy>
  <cp:revision>4</cp:revision>
  <cp:lastPrinted>2017-05-08T11:20:00Z</cp:lastPrinted>
  <dcterms:created xsi:type="dcterms:W3CDTF">2017-05-08T11:11:00Z</dcterms:created>
  <dcterms:modified xsi:type="dcterms:W3CDTF">2017-05-08T11:22:00Z</dcterms:modified>
</cp:coreProperties>
</file>