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F2" w:rsidRPr="00242A1C" w:rsidRDefault="00EB1EA3" w:rsidP="004506F2">
      <w:pPr>
        <w:pStyle w:val="NormalWeb"/>
        <w:spacing w:before="0" w:after="0"/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242A1C">
        <w:rPr>
          <w:b/>
          <w:bCs/>
          <w:color w:val="000000" w:themeColor="text1"/>
          <w:sz w:val="28"/>
          <w:szCs w:val="28"/>
        </w:rPr>
        <w:t xml:space="preserve">Ministru kabineta </w:t>
      </w:r>
      <w:r w:rsidR="004506F2" w:rsidRPr="00242A1C">
        <w:rPr>
          <w:b/>
          <w:bCs/>
          <w:color w:val="000000" w:themeColor="text1"/>
          <w:sz w:val="28"/>
          <w:szCs w:val="28"/>
        </w:rPr>
        <w:t xml:space="preserve">noteikumu projekta </w:t>
      </w:r>
    </w:p>
    <w:p w:rsidR="004506F2" w:rsidRPr="00242A1C" w:rsidRDefault="004506F2" w:rsidP="004506F2">
      <w:pPr>
        <w:pStyle w:val="NormalWeb"/>
        <w:spacing w:before="0" w:after="0"/>
        <w:jc w:val="center"/>
        <w:rPr>
          <w:b/>
          <w:bCs/>
          <w:color w:val="000000" w:themeColor="text1"/>
          <w:sz w:val="28"/>
          <w:szCs w:val="28"/>
        </w:rPr>
      </w:pPr>
      <w:r w:rsidRPr="00242A1C">
        <w:rPr>
          <w:b/>
          <w:bCs/>
          <w:color w:val="000000" w:themeColor="text1"/>
          <w:sz w:val="28"/>
          <w:szCs w:val="28"/>
        </w:rPr>
        <w:t>“</w:t>
      </w:r>
      <w:r w:rsidRPr="00242A1C">
        <w:rPr>
          <w:b/>
          <w:color w:val="000000" w:themeColor="text1"/>
          <w:sz w:val="28"/>
          <w:szCs w:val="28"/>
        </w:rPr>
        <w:t xml:space="preserve">Par </w:t>
      </w:r>
      <w:r w:rsidRPr="00242A1C">
        <w:rPr>
          <w:b/>
          <w:bCs/>
          <w:color w:val="000000" w:themeColor="text1"/>
          <w:sz w:val="28"/>
          <w:szCs w:val="28"/>
        </w:rPr>
        <w:t xml:space="preserve">Ministru kabineta </w:t>
      </w:r>
      <w:proofErr w:type="gramStart"/>
      <w:r w:rsidRPr="00242A1C">
        <w:rPr>
          <w:b/>
          <w:color w:val="000000" w:themeColor="text1"/>
          <w:sz w:val="28"/>
          <w:szCs w:val="28"/>
        </w:rPr>
        <w:t>2006.gada</w:t>
      </w:r>
      <w:proofErr w:type="gramEnd"/>
      <w:r w:rsidRPr="00242A1C">
        <w:rPr>
          <w:b/>
          <w:color w:val="000000" w:themeColor="text1"/>
          <w:sz w:val="28"/>
          <w:szCs w:val="28"/>
        </w:rPr>
        <w:t xml:space="preserve"> 30.maija </w:t>
      </w:r>
      <w:r w:rsidRPr="00242A1C">
        <w:rPr>
          <w:b/>
          <w:bCs/>
          <w:color w:val="000000" w:themeColor="text1"/>
          <w:sz w:val="28"/>
          <w:szCs w:val="28"/>
        </w:rPr>
        <w:t>noteikumu Nr.430</w:t>
      </w:r>
    </w:p>
    <w:p w:rsidR="00894C55" w:rsidRPr="00242A1C" w:rsidRDefault="004506F2" w:rsidP="004506F2">
      <w:pPr>
        <w:pStyle w:val="NormalWeb"/>
        <w:spacing w:before="0" w:after="0"/>
        <w:jc w:val="center"/>
        <w:rPr>
          <w:b/>
          <w:bCs/>
          <w:color w:val="000000" w:themeColor="text1"/>
          <w:sz w:val="28"/>
        </w:rPr>
      </w:pPr>
      <w:r w:rsidRPr="00242A1C">
        <w:rPr>
          <w:b/>
          <w:bCs/>
          <w:color w:val="000000" w:themeColor="text1"/>
          <w:sz w:val="28"/>
          <w:szCs w:val="28"/>
        </w:rPr>
        <w:t xml:space="preserve"> </w:t>
      </w:r>
      <w:r w:rsidRPr="00242A1C">
        <w:rPr>
          <w:b/>
          <w:color w:val="000000" w:themeColor="text1"/>
          <w:sz w:val="28"/>
          <w:szCs w:val="28"/>
        </w:rPr>
        <w:t>“</w:t>
      </w:r>
      <w:r w:rsidRPr="00242A1C">
        <w:rPr>
          <w:b/>
          <w:bCs/>
          <w:color w:val="000000" w:themeColor="text1"/>
          <w:sz w:val="28"/>
          <w:szCs w:val="28"/>
        </w:rPr>
        <w:t>Izložu un azartspēļu uzraudzības inspekcijas padomes nolikums”</w:t>
      </w:r>
      <w:proofErr w:type="gramStart"/>
      <w:r w:rsidRPr="00242A1C">
        <w:rPr>
          <w:b/>
          <w:bCs/>
          <w:color w:val="000000" w:themeColor="text1"/>
          <w:sz w:val="28"/>
          <w:szCs w:val="28"/>
        </w:rPr>
        <w:t xml:space="preserve"> </w:t>
      </w:r>
      <w:r w:rsidRPr="00242A1C">
        <w:rPr>
          <w:b/>
          <w:color w:val="000000" w:themeColor="text1"/>
          <w:sz w:val="28"/>
          <w:szCs w:val="28"/>
        </w:rPr>
        <w:t xml:space="preserve"> </w:t>
      </w:r>
      <w:proofErr w:type="gramEnd"/>
      <w:r w:rsidRPr="00242A1C">
        <w:rPr>
          <w:b/>
          <w:color w:val="000000" w:themeColor="text1"/>
          <w:sz w:val="28"/>
          <w:szCs w:val="28"/>
        </w:rPr>
        <w:t>atzīšanu par spēku zaudējušiem”</w:t>
      </w:r>
      <w:r w:rsidRPr="00242A1C">
        <w:rPr>
          <w:b/>
          <w:bCs/>
          <w:color w:val="000000" w:themeColor="text1"/>
          <w:sz w:val="28"/>
        </w:rPr>
        <w:t xml:space="preserve"> </w:t>
      </w:r>
      <w:r w:rsidR="00894C55" w:rsidRPr="00242A1C">
        <w:rPr>
          <w:b/>
          <w:bCs/>
          <w:color w:val="000000" w:themeColor="text1"/>
          <w:sz w:val="28"/>
        </w:rPr>
        <w:t>sākotnējās ietekmes novērtējuma ziņojums (anotācija)</w:t>
      </w:r>
    </w:p>
    <w:p w:rsidR="00894C55" w:rsidRPr="00242A1C" w:rsidRDefault="00894C55" w:rsidP="00894C55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6"/>
        <w:gridCol w:w="2827"/>
        <w:gridCol w:w="5836"/>
      </w:tblGrid>
      <w:tr w:rsidR="00242A1C" w:rsidRPr="00242A1C" w:rsidTr="00894C55">
        <w:trPr>
          <w:trHeight w:val="32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94C55" w:rsidRPr="00242A1C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</w:pPr>
            <w:r w:rsidRPr="00242A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t>I.</w:t>
            </w:r>
            <w:r w:rsidR="0050178F" w:rsidRPr="00242A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t> </w:t>
            </w:r>
            <w:r w:rsidRPr="00242A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  <w:t>Tiesību akta projekta izstrādes nepieciešamība</w:t>
            </w:r>
          </w:p>
        </w:tc>
      </w:tr>
      <w:tr w:rsidR="00242A1C" w:rsidRPr="00242A1C" w:rsidTr="00894C55">
        <w:trPr>
          <w:trHeight w:val="32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242A1C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42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242A1C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42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242A1C" w:rsidRDefault="00314D66" w:rsidP="00314D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42A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Saeimā </w:t>
            </w:r>
            <w:proofErr w:type="gramStart"/>
            <w:r w:rsidRPr="00242A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2016.gada</w:t>
            </w:r>
            <w:proofErr w:type="gramEnd"/>
            <w:r w:rsidRPr="00242A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23.novembrī pieņemtā likuma “Grozījumi </w:t>
            </w:r>
            <w:hyperlink r:id="rId11" w:tgtFrame="_blank" w:history="1">
              <w:r w:rsidRPr="00242A1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Azartspēļu un izložu likumā</w:t>
              </w:r>
            </w:hyperlink>
            <w:r w:rsidRPr="00242A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” 12.pants, kas nosaka, ka no Azartspēļu un izložu likuma tiek izslēgts 83.pants par </w:t>
            </w:r>
            <w:r w:rsidRPr="00242A1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Izložu un azartspēļu uzraudzības inspekcijas padomi.</w:t>
            </w:r>
          </w:p>
        </w:tc>
      </w:tr>
      <w:tr w:rsidR="00242A1C" w:rsidRPr="00242A1C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242A1C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42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242A1C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42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737B8" w:rsidRPr="00242A1C" w:rsidRDefault="005737B8" w:rsidP="00C04D52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242A1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Azartspēļu un izložu likuma </w:t>
            </w:r>
            <w:proofErr w:type="gramStart"/>
            <w:r w:rsidRPr="00242A1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83.pants</w:t>
            </w:r>
            <w:proofErr w:type="gramEnd"/>
            <w:r w:rsidRPr="00242A1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no</w:t>
            </w:r>
            <w:r w:rsidR="00AB7712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teica</w:t>
            </w:r>
            <w:r w:rsidRPr="00242A1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Izložu un azartspēļu uzraudzības inspekcijas padomes izveidi un darbību. Izložu un azartspēļu uzraudzības inspekcijas padomei, saskaņā ar tās nolikumu, bija konsultatīvs raksturs</w:t>
            </w:r>
            <w:proofErr w:type="gramStart"/>
            <w:r w:rsidRPr="00242A1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un</w:t>
            </w:r>
            <w:proofErr w:type="gramEnd"/>
            <w:r w:rsidRPr="00242A1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visiem pieņemtajiem lēmumiem bija rekomendējošs raksturs. Kopš </w:t>
            </w:r>
            <w:proofErr w:type="gramStart"/>
            <w:r w:rsidRPr="00242A1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2006.gada</w:t>
            </w:r>
            <w:proofErr w:type="gramEnd"/>
            <w:r w:rsidRPr="00242A1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ir būtiski uzlabojies normatīvo aktu s</w:t>
            </w:r>
            <w:r w:rsidR="00AB7712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as</w:t>
            </w:r>
            <w:r w:rsidRPr="00242A1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kaņošana</w:t>
            </w:r>
            <w:r w:rsidR="00AB7712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s process</w:t>
            </w:r>
            <w:r w:rsidRPr="00242A1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ar nevalstiskajām organizācijām, kā rezultātā šobrīd visus ar azartspēļu un izložu nozari saistītos normatīvos aktus (grozījumi spēkā esošajos normatīvajos aktos un jaunu normatīvo aktu izstrāde) s</w:t>
            </w:r>
            <w:r w:rsidR="00AB7712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as</w:t>
            </w:r>
            <w:r w:rsidRPr="00242A1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kaņo ar Latvijas Darba devēju konfederāciju. Vēsturiski </w:t>
            </w:r>
            <w:r w:rsidR="00AB7712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tikai </w:t>
            </w:r>
            <w:r w:rsidRPr="00242A1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Izložu un azartspēļu uzraudzības inspekcijas padome deva iespējas nevalstiskajām organizācijām izteikt savu viedokli par plānotajiem normatīvajiem aktiem azartspēļu un izložu jomā, kas</w:t>
            </w:r>
            <w:r w:rsidR="00EB4DDB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="00EB4DDB" w:rsidRPr="00242A1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vairs nav aktuāl</w:t>
            </w:r>
            <w:r w:rsidR="00EB4DDB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i, ņemot vērā šā brīža saskaņošanas procesu, kad </w:t>
            </w:r>
            <w:r w:rsidR="00EB4DDB" w:rsidRPr="00242A1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katrs izstrādātais normatīvais akts tiek </w:t>
            </w:r>
            <w:r w:rsidR="00EB4DDB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diskutēts</w:t>
            </w:r>
            <w:r w:rsidR="00EB4DDB" w:rsidRPr="00242A1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gan ar valsts institūcijām, gan ar nevalstiskajām organizācijām</w:t>
            </w:r>
            <w:r w:rsidR="00EB4DDB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.</w:t>
            </w:r>
          </w:p>
          <w:p w:rsidR="00262BA6" w:rsidRPr="00242A1C" w:rsidRDefault="00EE11A1" w:rsidP="00262BA6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242A1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Ņemot </w:t>
            </w:r>
            <w:r w:rsidR="00E9602B" w:rsidRPr="00242A1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vērā</w:t>
            </w:r>
            <w:r w:rsidR="00F95D60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iepriekšminēto un to</w:t>
            </w:r>
            <w:r w:rsidR="00E9602B" w:rsidRPr="00242A1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, ka Izložu un azartspēļu uzraudzības inspekcijas padome</w:t>
            </w:r>
            <w:r w:rsidRPr="00242A1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="00EB4DDB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tādējādi </w:t>
            </w:r>
            <w:r w:rsidR="00F95D60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vairs </w:t>
            </w:r>
            <w:r w:rsidRPr="00242A1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nedarboj</w:t>
            </w:r>
            <w:r w:rsidR="00CA703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a</w:t>
            </w:r>
            <w:r w:rsidRPr="00242A1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s</w:t>
            </w:r>
            <w:r w:rsidR="00F95D60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, </w:t>
            </w:r>
            <w:r w:rsidR="00037C59" w:rsidRPr="00242A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Saeim</w:t>
            </w:r>
            <w:r w:rsidR="00E9602B" w:rsidRPr="00242A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ā </w:t>
            </w:r>
            <w:r w:rsidR="00F95D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ar </w:t>
            </w:r>
            <w:proofErr w:type="gramStart"/>
            <w:r w:rsidR="00E9602B" w:rsidRPr="00242A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2016.gada</w:t>
            </w:r>
            <w:proofErr w:type="gramEnd"/>
            <w:r w:rsidR="00E9602B" w:rsidRPr="00242A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23.novembrī pieņemtā</w:t>
            </w:r>
            <w:r w:rsidR="00037C59" w:rsidRPr="00242A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likum</w:t>
            </w:r>
            <w:r w:rsidR="00E9602B" w:rsidRPr="00242A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</w:t>
            </w:r>
            <w:r w:rsidR="00037C59" w:rsidRPr="00242A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“Grozījumi </w:t>
            </w:r>
            <w:hyperlink r:id="rId12" w:tgtFrame="_blank" w:history="1">
              <w:r w:rsidR="00037C59" w:rsidRPr="00242A1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Azartspēļu un izložu likumā</w:t>
              </w:r>
            </w:hyperlink>
            <w:r w:rsidR="00037C59" w:rsidRPr="00242A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”</w:t>
            </w:r>
            <w:r w:rsidR="00E9602B" w:rsidRPr="00242A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12.pantu tika</w:t>
            </w:r>
            <w:r w:rsidR="00037C59" w:rsidRPr="00242A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noteikts, ka no Azartspēļu un izložu likuma tiek izslēgts 83.pants</w:t>
            </w:r>
            <w:r w:rsidR="007B68CA" w:rsidRPr="00242A1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r w:rsidRPr="00242A1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kas noteica</w:t>
            </w:r>
            <w:r w:rsidR="005737B8" w:rsidRPr="00242A1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Izložu un azartspēļu uzraudzības inspekcijas padomes izveidi un darbību</w:t>
            </w:r>
            <w:r w:rsidRPr="00242A1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.</w:t>
            </w:r>
            <w:r w:rsidR="00262BA6" w:rsidRPr="00242A1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</w:p>
          <w:p w:rsidR="00262BA6" w:rsidRPr="00242A1C" w:rsidRDefault="00262BA6" w:rsidP="00F95D60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</w:pPr>
            <w:r w:rsidRPr="00242A1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Tādējādi attiecīgi </w:t>
            </w:r>
            <w:r w:rsidR="00F95D60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ir</w:t>
            </w:r>
            <w:r w:rsidR="00F95D60" w:rsidRPr="00242A1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</w:t>
            </w:r>
            <w:r w:rsidRPr="00242A1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nepieciešams izstrādāt Ministru kabineta noteikumu projektu “Par Ministru kabineta </w:t>
            </w:r>
            <w:proofErr w:type="gramStart"/>
            <w:r w:rsidRPr="00242A1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2006.gada</w:t>
            </w:r>
            <w:proofErr w:type="gramEnd"/>
            <w:r w:rsidRPr="00242A1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 xml:space="preserve"> 30.maija noteikumu Nr.430 “Izložu un azartspēļu uzraudzības inspekcijas padomes nolikums”  atzīšanu par spēku zaudējušiem”.</w:t>
            </w:r>
          </w:p>
        </w:tc>
      </w:tr>
      <w:tr w:rsidR="00242A1C" w:rsidRPr="00242A1C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242A1C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42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242A1C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42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242A1C" w:rsidRDefault="00FA4339" w:rsidP="00860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42A1C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Izložu un az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6"/>
                <w:szCs w:val="26"/>
              </w:rPr>
              <w:t>artspēļu uzraudzības inspekcija</w:t>
            </w:r>
          </w:p>
        </w:tc>
      </w:tr>
      <w:tr w:rsidR="00894C55" w:rsidRPr="00242A1C" w:rsidTr="00894C55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242A1C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42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lastRenderedPageBreak/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242A1C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42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94C55" w:rsidRPr="00242A1C" w:rsidRDefault="00F81D97" w:rsidP="00F81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</w:pPr>
            <w:r w:rsidRPr="00242A1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lv-LV"/>
              </w:rPr>
              <w:t>Nav</w:t>
            </w:r>
          </w:p>
        </w:tc>
      </w:tr>
    </w:tbl>
    <w:p w:rsidR="00720585" w:rsidRPr="00242A1C" w:rsidRDefault="00720585" w:rsidP="00894C55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32503" w:rsidRPr="00242A1C" w:rsidRDefault="00F32503" w:rsidP="00F3250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Anotācijas </w:t>
      </w:r>
      <w:r w:rsidR="00C311C2" w:rsidRPr="00242A1C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242A1C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C311C2" w:rsidRPr="0024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42A1C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="00C311C2" w:rsidRPr="00242A1C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Pr="00242A1C">
        <w:rPr>
          <w:rFonts w:ascii="Times New Roman" w:hAnsi="Times New Roman" w:cs="Times New Roman"/>
          <w:color w:val="000000" w:themeColor="text1"/>
          <w:sz w:val="28"/>
          <w:szCs w:val="28"/>
        </w:rPr>
        <w:t>, IV</w:t>
      </w:r>
      <w:r w:rsidR="00C311C2" w:rsidRPr="00242A1C">
        <w:rPr>
          <w:rFonts w:ascii="Times New Roman" w:hAnsi="Times New Roman" w:cs="Times New Roman"/>
          <w:color w:val="000000" w:themeColor="text1"/>
          <w:sz w:val="28"/>
          <w:szCs w:val="28"/>
        </w:rPr>
        <w:t>, V, VI</w:t>
      </w:r>
      <w:r w:rsidRPr="0024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 V</w:t>
      </w:r>
      <w:r w:rsidR="00C311C2" w:rsidRPr="00242A1C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r w:rsidRPr="00242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sadaļa – projekts šīs jomas neskar.</w:t>
      </w:r>
    </w:p>
    <w:p w:rsidR="00C25B49" w:rsidRPr="00242A1C" w:rsidRDefault="00C25B49" w:rsidP="00894C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7D0D" w:rsidRPr="00242A1C" w:rsidRDefault="001E7D0D" w:rsidP="00894C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7D0D" w:rsidRPr="00242A1C" w:rsidRDefault="001E7D0D" w:rsidP="00894C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C55" w:rsidRPr="00242A1C" w:rsidRDefault="00C311C2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A1C">
        <w:rPr>
          <w:rFonts w:ascii="Times New Roman" w:hAnsi="Times New Roman" w:cs="Times New Roman"/>
          <w:color w:val="000000" w:themeColor="text1"/>
          <w:sz w:val="28"/>
          <w:szCs w:val="28"/>
        </w:rPr>
        <w:t>Finanšu ministre</w:t>
      </w:r>
      <w:r w:rsidR="00894C55" w:rsidRPr="00242A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81D97" w:rsidRPr="00242A1C">
        <w:rPr>
          <w:rFonts w:ascii="Times New Roman" w:hAnsi="Times New Roman" w:cs="Times New Roman"/>
          <w:color w:val="000000" w:themeColor="text1"/>
          <w:sz w:val="28"/>
          <w:szCs w:val="28"/>
        </w:rPr>
        <w:t>D.Reizniece-Ozola</w:t>
      </w:r>
    </w:p>
    <w:p w:rsidR="00894C55" w:rsidRPr="00242A1C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C55" w:rsidRPr="00242A1C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C55" w:rsidRPr="00242A1C" w:rsidRDefault="00C311C2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A1C">
        <w:rPr>
          <w:rFonts w:ascii="Times New Roman" w:hAnsi="Times New Roman" w:cs="Times New Roman"/>
          <w:color w:val="000000" w:themeColor="text1"/>
          <w:sz w:val="28"/>
          <w:szCs w:val="28"/>
        </w:rPr>
        <w:t>Finanšu ministrijas valsts sekretāre</w:t>
      </w:r>
      <w:r w:rsidR="00894C55" w:rsidRPr="00242A1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F81D97" w:rsidRPr="00242A1C">
        <w:rPr>
          <w:rFonts w:ascii="Times New Roman" w:hAnsi="Times New Roman" w:cs="Times New Roman"/>
          <w:color w:val="000000" w:themeColor="text1"/>
          <w:sz w:val="28"/>
          <w:szCs w:val="28"/>
        </w:rPr>
        <w:t>B.Bāne</w:t>
      </w:r>
      <w:proofErr w:type="spellEnd"/>
    </w:p>
    <w:p w:rsidR="00894C55" w:rsidRPr="00242A1C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C55" w:rsidRPr="00242A1C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C55" w:rsidRPr="00242A1C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2449" w:rsidRPr="00242A1C" w:rsidRDefault="00FC2449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2449" w:rsidRPr="00242A1C" w:rsidRDefault="00FC2449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2449" w:rsidRPr="00242A1C" w:rsidRDefault="00FC2449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2449" w:rsidRPr="00242A1C" w:rsidRDefault="00FC2449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C55" w:rsidRPr="00242A1C" w:rsidRDefault="00C311C2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42A1C">
        <w:rPr>
          <w:rFonts w:ascii="Times New Roman" w:hAnsi="Times New Roman" w:cs="Times New Roman"/>
          <w:color w:val="000000" w:themeColor="text1"/>
          <w:sz w:val="24"/>
          <w:szCs w:val="28"/>
        </w:rPr>
        <w:t>Zariņa</w:t>
      </w:r>
      <w:r w:rsidR="00B41DEB" w:rsidRPr="00242A1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242A1C">
        <w:rPr>
          <w:rFonts w:ascii="Times New Roman" w:hAnsi="Times New Roman" w:cs="Times New Roman"/>
          <w:color w:val="000000" w:themeColor="text1"/>
          <w:sz w:val="24"/>
          <w:szCs w:val="28"/>
        </w:rPr>
        <w:t>67095672</w:t>
      </w:r>
    </w:p>
    <w:p w:rsidR="0041543A" w:rsidRPr="00242A1C" w:rsidRDefault="00C311C2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242A1C">
        <w:rPr>
          <w:rFonts w:ascii="Times New Roman" w:hAnsi="Times New Roman" w:cs="Times New Roman"/>
          <w:color w:val="000000" w:themeColor="text1"/>
          <w:sz w:val="24"/>
          <w:szCs w:val="28"/>
        </w:rPr>
        <w:t>Indra.Zarina</w:t>
      </w:r>
      <w:r w:rsidR="00894C55" w:rsidRPr="00242A1C">
        <w:rPr>
          <w:rFonts w:ascii="Times New Roman" w:hAnsi="Times New Roman" w:cs="Times New Roman"/>
          <w:color w:val="000000" w:themeColor="text1"/>
          <w:sz w:val="24"/>
          <w:szCs w:val="28"/>
        </w:rPr>
        <w:t>@</w:t>
      </w:r>
      <w:r w:rsidRPr="00242A1C">
        <w:rPr>
          <w:rFonts w:ascii="Times New Roman" w:hAnsi="Times New Roman" w:cs="Times New Roman"/>
          <w:color w:val="000000" w:themeColor="text1"/>
          <w:sz w:val="24"/>
          <w:szCs w:val="28"/>
        </w:rPr>
        <w:t>fm</w:t>
      </w:r>
      <w:r w:rsidR="00894C55" w:rsidRPr="00242A1C">
        <w:rPr>
          <w:rFonts w:ascii="Times New Roman" w:hAnsi="Times New Roman" w:cs="Times New Roman"/>
          <w:color w:val="000000" w:themeColor="text1"/>
          <w:sz w:val="24"/>
          <w:szCs w:val="28"/>
        </w:rPr>
        <w:t>.gov.lv</w:t>
      </w:r>
    </w:p>
    <w:p w:rsidR="0041543A" w:rsidRPr="00242A1C" w:rsidRDefault="0041543A" w:rsidP="0041543A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41543A" w:rsidRPr="0041543A" w:rsidRDefault="0041543A" w:rsidP="0041543A">
      <w:pPr>
        <w:rPr>
          <w:rFonts w:ascii="Times New Roman" w:hAnsi="Times New Roman" w:cs="Times New Roman"/>
          <w:sz w:val="24"/>
          <w:szCs w:val="28"/>
        </w:rPr>
      </w:pPr>
    </w:p>
    <w:p w:rsidR="0041543A" w:rsidRPr="0041543A" w:rsidRDefault="0041543A" w:rsidP="0041543A">
      <w:pPr>
        <w:rPr>
          <w:rFonts w:ascii="Times New Roman" w:hAnsi="Times New Roman" w:cs="Times New Roman"/>
          <w:sz w:val="24"/>
          <w:szCs w:val="28"/>
        </w:rPr>
      </w:pPr>
    </w:p>
    <w:p w:rsidR="0041543A" w:rsidRPr="0041543A" w:rsidRDefault="0041543A" w:rsidP="0041543A">
      <w:pPr>
        <w:rPr>
          <w:rFonts w:ascii="Times New Roman" w:hAnsi="Times New Roman" w:cs="Times New Roman"/>
          <w:sz w:val="24"/>
          <w:szCs w:val="28"/>
        </w:rPr>
      </w:pPr>
    </w:p>
    <w:p w:rsidR="0041543A" w:rsidRPr="0041543A" w:rsidRDefault="0041543A" w:rsidP="0041543A">
      <w:pPr>
        <w:rPr>
          <w:rFonts w:ascii="Times New Roman" w:hAnsi="Times New Roman" w:cs="Times New Roman"/>
          <w:sz w:val="24"/>
          <w:szCs w:val="28"/>
        </w:rPr>
      </w:pPr>
    </w:p>
    <w:p w:rsidR="0041543A" w:rsidRPr="0041543A" w:rsidRDefault="0041543A" w:rsidP="0041543A">
      <w:pPr>
        <w:rPr>
          <w:rFonts w:ascii="Times New Roman" w:hAnsi="Times New Roman" w:cs="Times New Roman"/>
          <w:sz w:val="24"/>
          <w:szCs w:val="28"/>
        </w:rPr>
      </w:pPr>
    </w:p>
    <w:p w:rsidR="0041543A" w:rsidRPr="0041543A" w:rsidRDefault="0041543A" w:rsidP="0041543A">
      <w:pPr>
        <w:rPr>
          <w:rFonts w:ascii="Times New Roman" w:hAnsi="Times New Roman" w:cs="Times New Roman"/>
          <w:sz w:val="24"/>
          <w:szCs w:val="28"/>
        </w:rPr>
      </w:pPr>
    </w:p>
    <w:p w:rsidR="0041543A" w:rsidRPr="0041543A" w:rsidRDefault="0041543A" w:rsidP="0041543A">
      <w:pPr>
        <w:rPr>
          <w:rFonts w:ascii="Times New Roman" w:hAnsi="Times New Roman" w:cs="Times New Roman"/>
          <w:sz w:val="24"/>
          <w:szCs w:val="28"/>
        </w:rPr>
      </w:pPr>
    </w:p>
    <w:p w:rsidR="0041543A" w:rsidRPr="0041543A" w:rsidRDefault="0041543A" w:rsidP="0041543A">
      <w:pPr>
        <w:rPr>
          <w:rFonts w:ascii="Times New Roman" w:hAnsi="Times New Roman" w:cs="Times New Roman"/>
          <w:sz w:val="24"/>
          <w:szCs w:val="28"/>
        </w:rPr>
      </w:pPr>
    </w:p>
    <w:p w:rsidR="0041543A" w:rsidRPr="0041543A" w:rsidRDefault="0041543A" w:rsidP="0041543A">
      <w:pPr>
        <w:rPr>
          <w:rFonts w:ascii="Times New Roman" w:hAnsi="Times New Roman" w:cs="Times New Roman"/>
          <w:sz w:val="24"/>
          <w:szCs w:val="28"/>
        </w:rPr>
      </w:pPr>
    </w:p>
    <w:p w:rsidR="0041543A" w:rsidRPr="0041543A" w:rsidRDefault="0041543A" w:rsidP="0041543A">
      <w:pPr>
        <w:rPr>
          <w:rFonts w:ascii="Times New Roman" w:hAnsi="Times New Roman" w:cs="Times New Roman"/>
          <w:sz w:val="24"/>
          <w:szCs w:val="28"/>
        </w:rPr>
      </w:pPr>
    </w:p>
    <w:p w:rsidR="0041543A" w:rsidRPr="0041543A" w:rsidRDefault="0041543A" w:rsidP="0041543A">
      <w:pPr>
        <w:rPr>
          <w:rFonts w:ascii="Times New Roman" w:hAnsi="Times New Roman" w:cs="Times New Roman"/>
          <w:sz w:val="24"/>
          <w:szCs w:val="28"/>
        </w:rPr>
      </w:pPr>
    </w:p>
    <w:p w:rsidR="0041543A" w:rsidRDefault="0041543A" w:rsidP="0041543A">
      <w:pPr>
        <w:rPr>
          <w:rFonts w:ascii="Times New Roman" w:hAnsi="Times New Roman" w:cs="Times New Roman"/>
          <w:sz w:val="24"/>
          <w:szCs w:val="28"/>
        </w:rPr>
      </w:pPr>
    </w:p>
    <w:p w:rsidR="00894C55" w:rsidRPr="0041543A" w:rsidRDefault="0041543A" w:rsidP="0041543A">
      <w:pPr>
        <w:tabs>
          <w:tab w:val="left" w:pos="2160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sectPr w:rsidR="00894C55" w:rsidRPr="0041543A" w:rsidSect="005722BE">
      <w:headerReference w:type="default" r:id="rId13"/>
      <w:footerReference w:type="defaul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7F8" w:rsidRDefault="005E07F8" w:rsidP="00894C55">
      <w:pPr>
        <w:spacing w:after="0" w:line="240" w:lineRule="auto"/>
      </w:pPr>
      <w:r>
        <w:separator/>
      </w:r>
    </w:p>
  </w:endnote>
  <w:endnote w:type="continuationSeparator" w:id="0">
    <w:p w:rsidR="005E07F8" w:rsidRDefault="005E07F8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C55" w:rsidRPr="005722BE" w:rsidRDefault="0041543A" w:rsidP="005722BE">
    <w:pPr>
      <w:pStyle w:val="Footer"/>
    </w:pPr>
    <w:r>
      <w:rPr>
        <w:rFonts w:ascii="Times New Roman" w:hAnsi="Times New Roman" w:cs="Times New Roman"/>
        <w:sz w:val="20"/>
        <w:szCs w:val="20"/>
      </w:rPr>
      <w:t>FManot_</w:t>
    </w:r>
    <w:r w:rsidR="00CF5A7A">
      <w:rPr>
        <w:rFonts w:ascii="Times New Roman" w:hAnsi="Times New Roman" w:cs="Times New Roman"/>
        <w:sz w:val="20"/>
        <w:szCs w:val="20"/>
      </w:rPr>
      <w:t>1005</w:t>
    </w:r>
    <w:r>
      <w:rPr>
        <w:rFonts w:ascii="Times New Roman" w:hAnsi="Times New Roman" w:cs="Times New Roman"/>
        <w:sz w:val="20"/>
        <w:szCs w:val="20"/>
      </w:rPr>
      <w:t>17_zaud.speku_N.430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2BE" w:rsidRDefault="000606B0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</w:t>
    </w:r>
    <w:r w:rsidR="005722BE" w:rsidRPr="005E5000">
      <w:rPr>
        <w:rFonts w:ascii="Times New Roman" w:hAnsi="Times New Roman" w:cs="Times New Roman"/>
        <w:sz w:val="20"/>
        <w:szCs w:val="20"/>
      </w:rPr>
      <w:t>anot_</w:t>
    </w:r>
    <w:r w:rsidR="00CF5A7A">
      <w:rPr>
        <w:rFonts w:ascii="Times New Roman" w:hAnsi="Times New Roman" w:cs="Times New Roman"/>
        <w:sz w:val="20"/>
        <w:szCs w:val="20"/>
      </w:rPr>
      <w:t>1005</w:t>
    </w:r>
    <w:r>
      <w:rPr>
        <w:rFonts w:ascii="Times New Roman" w:hAnsi="Times New Roman" w:cs="Times New Roman"/>
        <w:sz w:val="20"/>
        <w:szCs w:val="20"/>
      </w:rPr>
      <w:t>17</w:t>
    </w:r>
    <w:r w:rsidR="005722BE" w:rsidRPr="005E5000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zaud.speku_N.430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7F8" w:rsidRDefault="005E07F8" w:rsidP="00894C55">
      <w:pPr>
        <w:spacing w:after="0" w:line="240" w:lineRule="auto"/>
      </w:pPr>
      <w:r>
        <w:separator/>
      </w:r>
    </w:p>
  </w:footnote>
  <w:footnote w:type="continuationSeparator" w:id="0">
    <w:p w:rsidR="005E07F8" w:rsidRDefault="005E07F8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="00894C55" w:rsidRPr="00C25B49" w:rsidRDefault="00894C55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2B4300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55"/>
    <w:rsid w:val="000254BB"/>
    <w:rsid w:val="000275A4"/>
    <w:rsid w:val="00037C59"/>
    <w:rsid w:val="000606B0"/>
    <w:rsid w:val="00063B22"/>
    <w:rsid w:val="000965AB"/>
    <w:rsid w:val="00122E58"/>
    <w:rsid w:val="001E7D0D"/>
    <w:rsid w:val="001F4D7F"/>
    <w:rsid w:val="002160C8"/>
    <w:rsid w:val="00242A1C"/>
    <w:rsid w:val="00243426"/>
    <w:rsid w:val="002529A4"/>
    <w:rsid w:val="00262BA6"/>
    <w:rsid w:val="00295CA1"/>
    <w:rsid w:val="002B4300"/>
    <w:rsid w:val="002D1989"/>
    <w:rsid w:val="00314D66"/>
    <w:rsid w:val="003B0BF9"/>
    <w:rsid w:val="003E0791"/>
    <w:rsid w:val="003F28AC"/>
    <w:rsid w:val="0041543A"/>
    <w:rsid w:val="00430F15"/>
    <w:rsid w:val="004454FE"/>
    <w:rsid w:val="004506F2"/>
    <w:rsid w:val="00471F27"/>
    <w:rsid w:val="004D0F23"/>
    <w:rsid w:val="004F32A8"/>
    <w:rsid w:val="0050178F"/>
    <w:rsid w:val="005722BE"/>
    <w:rsid w:val="005737B8"/>
    <w:rsid w:val="005C7CBC"/>
    <w:rsid w:val="005E07F8"/>
    <w:rsid w:val="005F688F"/>
    <w:rsid w:val="0066297C"/>
    <w:rsid w:val="006D55CC"/>
    <w:rsid w:val="006E1081"/>
    <w:rsid w:val="00720585"/>
    <w:rsid w:val="00761576"/>
    <w:rsid w:val="00773AF6"/>
    <w:rsid w:val="007B68CA"/>
    <w:rsid w:val="007C535A"/>
    <w:rsid w:val="00816C11"/>
    <w:rsid w:val="00860798"/>
    <w:rsid w:val="00894C55"/>
    <w:rsid w:val="008B2DA6"/>
    <w:rsid w:val="008E6D55"/>
    <w:rsid w:val="00A12B0A"/>
    <w:rsid w:val="00A3069C"/>
    <w:rsid w:val="00A409A9"/>
    <w:rsid w:val="00AB7712"/>
    <w:rsid w:val="00AD74E1"/>
    <w:rsid w:val="00AE5567"/>
    <w:rsid w:val="00AF66FB"/>
    <w:rsid w:val="00B2165C"/>
    <w:rsid w:val="00B40BE6"/>
    <w:rsid w:val="00B41DEB"/>
    <w:rsid w:val="00BC2C33"/>
    <w:rsid w:val="00BD4425"/>
    <w:rsid w:val="00C04D52"/>
    <w:rsid w:val="00C25B49"/>
    <w:rsid w:val="00C311C2"/>
    <w:rsid w:val="00C80902"/>
    <w:rsid w:val="00CA703F"/>
    <w:rsid w:val="00CB5022"/>
    <w:rsid w:val="00CD2560"/>
    <w:rsid w:val="00CE5657"/>
    <w:rsid w:val="00CF5A7A"/>
    <w:rsid w:val="00D40EFC"/>
    <w:rsid w:val="00DB4435"/>
    <w:rsid w:val="00E90C01"/>
    <w:rsid w:val="00E9602B"/>
    <w:rsid w:val="00EA486E"/>
    <w:rsid w:val="00EB1EA3"/>
    <w:rsid w:val="00EB4DDB"/>
    <w:rsid w:val="00ED41C6"/>
    <w:rsid w:val="00EE11A1"/>
    <w:rsid w:val="00F2117E"/>
    <w:rsid w:val="00F32503"/>
    <w:rsid w:val="00F57B0C"/>
    <w:rsid w:val="00F63799"/>
    <w:rsid w:val="00F81D97"/>
    <w:rsid w:val="00F95D60"/>
    <w:rsid w:val="00FA4339"/>
    <w:rsid w:val="00FC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506F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EB1EA3"/>
    <w:pPr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rsid w:val="004506F2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4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D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D6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506F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EB1EA3"/>
    <w:pPr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rsid w:val="004506F2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14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D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D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122941-azartspelu-un-izlozu-likum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likumi.lv/ta/id/122941-azartspelu-un-izlozu-likum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>Astra Kaļāne</Vad_x012b_t_x0101_js>
    <Kategorija xmlns="2e5bb04e-596e-45bd-9003-43ca78b1ba16">Anotācija</Kategorija>
    <DKP xmlns="2e5bb04e-596e-45bd-9003-43ca78b1ba16">101</DK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0E6F1-649C-4C19-AD29-854063EB1CF4}">
  <ds:schemaRefs>
    <ds:schemaRef ds:uri="http://schemas.microsoft.com/office/2006/metadata/properties"/>
    <ds:schemaRef ds:uri="2e5bb04e-596e-45bd-9003-43ca78b1ba16"/>
  </ds:schemaRefs>
</ds:datastoreItem>
</file>

<file path=customXml/itemProps2.xml><?xml version="1.0" encoding="utf-8"?>
<ds:datastoreItem xmlns:ds="http://schemas.openxmlformats.org/officeDocument/2006/customXml" ds:itemID="{DD9A1D1B-1C49-4AD4-BA9E-34340314B2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E10BD2-771D-43C3-BCAB-405EFD1C9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C0B3AE5-0551-4DBD-9068-E7D38D32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1762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“Par Ministru kabineta 2006.gada 30.maija noteikumu Nr.430 “Izložu un azartspēļu uzraudzības inspekcijas padomes nolikums”  atzīšanu par spēku zaudējušiem” sākotnējās ietekmes novērtējuma ziņojums (anotācija)</vt:lpstr>
    </vt:vector>
  </TitlesOfParts>
  <Company>Iestādes nosaukums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“Par Ministru kabineta 2006.gada 30.maija noteikumu Nr.430 “Izložu un azartspēļu uzraudzības inspekcijas padomes nolikums”  atzīšanu par spēku zaudējušiem” sākotnējās ietekmes novērtējuma ziņojums (anotācija)</dc:title>
  <dc:subject>Anotācija</dc:subject>
  <dc:creator>Indra Zariņa</dc:creator>
  <dc:description>67095672, Indra.Zarina@fm.gov.lv</dc:description>
  <cp:lastModifiedBy>Jekaterina Borovika</cp:lastModifiedBy>
  <cp:revision>2</cp:revision>
  <cp:lastPrinted>2017-05-09T14:01:00Z</cp:lastPrinted>
  <dcterms:created xsi:type="dcterms:W3CDTF">2017-05-16T06:07:00Z</dcterms:created>
  <dcterms:modified xsi:type="dcterms:W3CDTF">2017-05-16T06:07:00Z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