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A8" w:rsidRPr="00037CA8" w:rsidRDefault="00037CA8" w:rsidP="00037CA8">
      <w:pPr>
        <w:tabs>
          <w:tab w:val="left" w:pos="7979"/>
        </w:tabs>
        <w:ind w:firstLine="0"/>
        <w:jc w:val="right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Projekts</w:t>
      </w:r>
    </w:p>
    <w:p w:rsidR="00037CA8" w:rsidRPr="00037CA8" w:rsidRDefault="00037CA8" w:rsidP="00037CA8">
      <w:pPr>
        <w:ind w:firstLine="0"/>
        <w:jc w:val="right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  <w:proofErr w:type="gramStart"/>
      <w:r w:rsidRPr="00037CA8">
        <w:rPr>
          <w:rFonts w:eastAsia="Times New Roman" w:cs="Times New Roman"/>
          <w:szCs w:val="28"/>
        </w:rPr>
        <w:t>LATVIJAS REPUBLIKAS MINISTRU KABINETS</w:t>
      </w:r>
      <w:proofErr w:type="gramEnd"/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037CA8" w:rsidRDefault="00037CA8" w:rsidP="00037CA8">
      <w:pPr>
        <w:ind w:firstLine="0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20___.gada ___.___________</w:t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  <w:t>Noteikumi Nr._____</w:t>
      </w:r>
    </w:p>
    <w:p w:rsidR="00037CA8" w:rsidRPr="00037CA8" w:rsidRDefault="00037CA8" w:rsidP="00037CA8">
      <w:pPr>
        <w:ind w:right="-224" w:firstLine="0"/>
        <w:rPr>
          <w:rFonts w:eastAsia="Times New Roman" w:cs="Times New Roman"/>
          <w:szCs w:val="28"/>
        </w:rPr>
      </w:pPr>
      <w:r w:rsidRPr="00037CA8">
        <w:rPr>
          <w:rFonts w:eastAsia="Times New Roman" w:cs="Times New Roman"/>
          <w:szCs w:val="28"/>
        </w:rPr>
        <w:t>Rīgā</w:t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</w:r>
      <w:r w:rsidRPr="00037CA8">
        <w:rPr>
          <w:rFonts w:eastAsia="Times New Roman" w:cs="Times New Roman"/>
          <w:szCs w:val="28"/>
        </w:rPr>
        <w:tab/>
        <w:t>(</w:t>
      </w:r>
      <w:proofErr w:type="spellStart"/>
      <w:r w:rsidRPr="00037CA8">
        <w:rPr>
          <w:rFonts w:eastAsia="Times New Roman" w:cs="Times New Roman"/>
          <w:szCs w:val="28"/>
        </w:rPr>
        <w:t>prot.Nr</w:t>
      </w:r>
      <w:proofErr w:type="spellEnd"/>
      <w:r w:rsidRPr="00037CA8">
        <w:rPr>
          <w:rFonts w:eastAsia="Times New Roman" w:cs="Times New Roman"/>
          <w:szCs w:val="28"/>
        </w:rPr>
        <w:t>.____ ___</w:t>
      </w:r>
      <w:proofErr w:type="gramStart"/>
      <w:r w:rsidRPr="00037CA8">
        <w:rPr>
          <w:rFonts w:eastAsia="Times New Roman" w:cs="Times New Roman"/>
          <w:szCs w:val="28"/>
        </w:rPr>
        <w:t xml:space="preserve"> .</w:t>
      </w:r>
      <w:proofErr w:type="gramEnd"/>
      <w:r w:rsidRPr="00037CA8">
        <w:rPr>
          <w:rFonts w:eastAsia="Times New Roman" w:cs="Times New Roman"/>
          <w:szCs w:val="28"/>
        </w:rPr>
        <w:t>§)</w:t>
      </w:r>
    </w:p>
    <w:p w:rsidR="003A7CB0" w:rsidRPr="003A7CB0" w:rsidRDefault="0081416B" w:rsidP="003A7CB0">
      <w:pPr>
        <w:spacing w:before="100" w:beforeAutospacing="1" w:after="100" w:afterAutospacing="1"/>
        <w:ind w:firstLine="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lv-LV"/>
        </w:rPr>
      </w:pPr>
      <w:r>
        <w:rPr>
          <w:rFonts w:eastAsia="Times New Roman" w:cs="Times New Roman"/>
          <w:b/>
          <w:bCs/>
          <w:sz w:val="27"/>
          <w:szCs w:val="27"/>
          <w:lang w:eastAsia="lv-LV"/>
        </w:rPr>
        <w:t xml:space="preserve">Grozījums Ministru kabineta </w:t>
      </w:r>
      <w:proofErr w:type="gramStart"/>
      <w:r>
        <w:rPr>
          <w:rFonts w:eastAsia="Times New Roman" w:cs="Times New Roman"/>
          <w:b/>
          <w:bCs/>
          <w:sz w:val="27"/>
          <w:szCs w:val="27"/>
          <w:lang w:eastAsia="lv-LV"/>
        </w:rPr>
        <w:t>2015.</w:t>
      </w:r>
      <w:r w:rsidR="003A7CB0" w:rsidRPr="003A7CB0">
        <w:rPr>
          <w:rFonts w:eastAsia="Times New Roman" w:cs="Times New Roman"/>
          <w:b/>
          <w:bCs/>
          <w:sz w:val="27"/>
          <w:szCs w:val="27"/>
          <w:lang w:eastAsia="lv-LV"/>
        </w:rPr>
        <w:t>gada</w:t>
      </w:r>
      <w:proofErr w:type="gramEnd"/>
      <w:r w:rsidR="003A7CB0" w:rsidRPr="003A7CB0">
        <w:rPr>
          <w:rFonts w:eastAsia="Times New Roman" w:cs="Times New Roman"/>
          <w:b/>
          <w:bCs/>
          <w:sz w:val="27"/>
          <w:szCs w:val="27"/>
          <w:lang w:eastAsia="lv-LV"/>
        </w:rPr>
        <w:t xml:space="preserve"> </w:t>
      </w:r>
      <w:r>
        <w:rPr>
          <w:rFonts w:eastAsia="Times New Roman" w:cs="Times New Roman"/>
          <w:b/>
          <w:bCs/>
          <w:sz w:val="27"/>
          <w:szCs w:val="27"/>
          <w:lang w:eastAsia="lv-LV"/>
        </w:rPr>
        <w:t>10.</w:t>
      </w:r>
      <w:r w:rsidR="003A7CB0">
        <w:rPr>
          <w:rFonts w:eastAsia="Times New Roman" w:cs="Times New Roman"/>
          <w:b/>
          <w:bCs/>
          <w:sz w:val="27"/>
          <w:szCs w:val="27"/>
          <w:lang w:eastAsia="lv-LV"/>
        </w:rPr>
        <w:t>februāra noteikumos Nr. 63 “</w:t>
      </w:r>
      <w:hyperlink r:id="rId7" w:tgtFrame="_blank" w:history="1">
        <w:r w:rsidR="003A7CB0" w:rsidRPr="003A7CB0">
          <w:rPr>
            <w:rFonts w:eastAsia="Times New Roman" w:cs="Times New Roman"/>
            <w:b/>
            <w:bCs/>
            <w:sz w:val="27"/>
            <w:szCs w:val="27"/>
            <w:lang w:eastAsia="lv-LV"/>
          </w:rPr>
          <w:t>Licenču un sertifikātu reģistra noteikumi</w:t>
        </w:r>
      </w:hyperlink>
      <w:r w:rsidR="003A7CB0">
        <w:rPr>
          <w:rFonts w:eastAsia="Times New Roman" w:cs="Times New Roman"/>
          <w:b/>
          <w:bCs/>
          <w:sz w:val="27"/>
          <w:szCs w:val="27"/>
          <w:lang w:eastAsia="lv-LV"/>
        </w:rPr>
        <w:t>”</w:t>
      </w:r>
    </w:p>
    <w:p w:rsidR="003A7CB0" w:rsidRDefault="003A7CB0" w:rsidP="003A7CB0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8"/>
          <w:lang w:eastAsia="lv-LV"/>
        </w:rPr>
      </w:pPr>
      <w:r w:rsidRPr="006249ED">
        <w:rPr>
          <w:rFonts w:eastAsia="Times New Roman" w:cs="Times New Roman"/>
          <w:szCs w:val="28"/>
          <w:lang w:eastAsia="lv-LV"/>
        </w:rPr>
        <w:t xml:space="preserve">Izdoti saskaņā ar </w:t>
      </w:r>
      <w:hyperlink r:id="rId8" w:tgtFrame="_blank" w:history="1">
        <w:r w:rsidRPr="006249ED">
          <w:rPr>
            <w:rFonts w:eastAsia="Times New Roman" w:cs="Times New Roman"/>
            <w:szCs w:val="28"/>
            <w:lang w:eastAsia="lv-LV"/>
          </w:rPr>
          <w:t>Apsardzes darbības likuma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</w:t>
      </w:r>
      <w:hyperlink r:id="rId9" w:anchor="p5" w:tgtFrame="_blank" w:history="1">
        <w:r w:rsidRPr="006249ED">
          <w:rPr>
            <w:rFonts w:eastAsia="Times New Roman" w:cs="Times New Roman"/>
            <w:szCs w:val="28"/>
            <w:lang w:eastAsia="lv-LV"/>
          </w:rPr>
          <w:t>5.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otro daļu,</w:t>
      </w:r>
      <w:r w:rsidRPr="006249ED">
        <w:rPr>
          <w:rFonts w:eastAsia="Times New Roman" w:cs="Times New Roman"/>
          <w:szCs w:val="28"/>
          <w:lang w:eastAsia="lv-LV"/>
        </w:rPr>
        <w:br/>
      </w:r>
      <w:hyperlink r:id="rId10" w:tgtFrame="_blank" w:history="1">
        <w:r w:rsidRPr="006249ED">
          <w:rPr>
            <w:rFonts w:eastAsia="Times New Roman" w:cs="Times New Roman"/>
            <w:szCs w:val="28"/>
            <w:lang w:eastAsia="lv-LV"/>
          </w:rPr>
          <w:t>Civilām vajadzībām paredzētu sprāgstvielu aprites likuma</w:t>
        </w:r>
      </w:hyperlink>
      <w:r w:rsidRPr="006249ED">
        <w:rPr>
          <w:rFonts w:eastAsia="Times New Roman" w:cs="Times New Roman"/>
          <w:szCs w:val="28"/>
          <w:lang w:eastAsia="lv-LV"/>
        </w:rPr>
        <w:br/>
      </w:r>
      <w:hyperlink r:id="rId11" w:anchor="p10" w:tgtFrame="_blank" w:history="1">
        <w:r w:rsidRPr="006249ED">
          <w:rPr>
            <w:rFonts w:eastAsia="Times New Roman" w:cs="Times New Roman"/>
            <w:szCs w:val="28"/>
            <w:lang w:eastAsia="lv-LV"/>
          </w:rPr>
          <w:t>10.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sesto daļu un </w:t>
      </w:r>
      <w:hyperlink r:id="rId12" w:anchor="p26" w:tgtFrame="_blank" w:history="1">
        <w:r w:rsidRPr="006249ED">
          <w:rPr>
            <w:rFonts w:eastAsia="Times New Roman" w:cs="Times New Roman"/>
            <w:szCs w:val="28"/>
            <w:lang w:eastAsia="lv-LV"/>
          </w:rPr>
          <w:t>26.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otro daļu, </w:t>
      </w:r>
      <w:hyperlink r:id="rId13" w:tgtFrame="_blank" w:history="1">
        <w:r w:rsidRPr="006249ED">
          <w:rPr>
            <w:rFonts w:eastAsia="Times New Roman" w:cs="Times New Roman"/>
            <w:szCs w:val="28"/>
            <w:lang w:eastAsia="lv-LV"/>
          </w:rPr>
          <w:t>Detektīvdarbības likuma</w:t>
        </w:r>
      </w:hyperlink>
      <w:r w:rsidRPr="006249ED">
        <w:rPr>
          <w:rFonts w:eastAsia="Times New Roman" w:cs="Times New Roman"/>
          <w:szCs w:val="28"/>
          <w:lang w:eastAsia="lv-LV"/>
        </w:rPr>
        <w:br/>
      </w:r>
      <w:hyperlink r:id="rId14" w:anchor="p15" w:tgtFrame="_blank" w:history="1">
        <w:r w:rsidRPr="006249ED">
          <w:rPr>
            <w:rFonts w:eastAsia="Times New Roman" w:cs="Times New Roman"/>
            <w:szCs w:val="28"/>
            <w:lang w:eastAsia="lv-LV"/>
          </w:rPr>
          <w:t>15.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otro daļu, </w:t>
      </w:r>
      <w:hyperlink r:id="rId15" w:tgtFrame="_blank" w:history="1">
        <w:r w:rsidRPr="006249ED">
          <w:rPr>
            <w:rFonts w:eastAsia="Times New Roman" w:cs="Times New Roman"/>
            <w:szCs w:val="28"/>
            <w:lang w:eastAsia="lv-LV"/>
          </w:rPr>
          <w:t>Ieroču un speciālo līdzekļu aprites likuma</w:t>
        </w:r>
      </w:hyperlink>
      <w:r w:rsidRPr="006249ED">
        <w:rPr>
          <w:rFonts w:eastAsia="Times New Roman" w:cs="Times New Roman"/>
          <w:szCs w:val="28"/>
          <w:lang w:eastAsia="lv-LV"/>
        </w:rPr>
        <w:br/>
        <w:t>18.</w:t>
      </w:r>
      <w:r w:rsidRPr="006249ED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6249ED">
        <w:rPr>
          <w:rFonts w:eastAsia="Times New Roman" w:cs="Times New Roman"/>
          <w:szCs w:val="28"/>
          <w:lang w:eastAsia="lv-LV"/>
        </w:rPr>
        <w:t xml:space="preserve"> panta sestās daļas 3. punktu, </w:t>
      </w:r>
      <w:hyperlink r:id="rId16" w:anchor="p35" w:tgtFrame="_blank" w:history="1">
        <w:r w:rsidRPr="006249ED">
          <w:rPr>
            <w:rFonts w:eastAsia="Times New Roman" w:cs="Times New Roman"/>
            <w:szCs w:val="28"/>
            <w:lang w:eastAsia="lv-LV"/>
          </w:rPr>
          <w:t>35.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devīto daļu un </w:t>
      </w:r>
      <w:hyperlink r:id="rId17" w:anchor="p41" w:tgtFrame="_blank" w:history="1">
        <w:r w:rsidRPr="006249ED">
          <w:rPr>
            <w:rFonts w:eastAsia="Times New Roman" w:cs="Times New Roman"/>
            <w:szCs w:val="28"/>
            <w:lang w:eastAsia="lv-LV"/>
          </w:rPr>
          <w:t>41. panta</w:t>
        </w:r>
      </w:hyperlink>
      <w:r w:rsidRPr="006249ED">
        <w:rPr>
          <w:rFonts w:eastAsia="Times New Roman" w:cs="Times New Roman"/>
          <w:szCs w:val="28"/>
          <w:lang w:eastAsia="lv-LV"/>
        </w:rPr>
        <w:br/>
        <w:t xml:space="preserve">sesto daļu un </w:t>
      </w:r>
      <w:hyperlink r:id="rId18" w:tgtFrame="_blank" w:history="1">
        <w:r w:rsidRPr="006249ED">
          <w:rPr>
            <w:rFonts w:eastAsia="Times New Roman" w:cs="Times New Roman"/>
            <w:szCs w:val="28"/>
            <w:lang w:eastAsia="lv-LV"/>
          </w:rPr>
          <w:t>Pirotehnisko izstrādājumu aprites likuma</w:t>
        </w:r>
      </w:hyperlink>
      <w:r w:rsidRPr="006249ED">
        <w:rPr>
          <w:rFonts w:eastAsia="Times New Roman" w:cs="Times New Roman"/>
          <w:szCs w:val="28"/>
          <w:lang w:eastAsia="lv-LV"/>
        </w:rPr>
        <w:br/>
      </w:r>
      <w:hyperlink r:id="rId19" w:anchor="p6" w:tgtFrame="_blank" w:history="1">
        <w:r w:rsidRPr="006249ED">
          <w:rPr>
            <w:rFonts w:eastAsia="Times New Roman" w:cs="Times New Roman"/>
            <w:szCs w:val="28"/>
            <w:lang w:eastAsia="lv-LV"/>
          </w:rPr>
          <w:t>6.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sesto daļu un </w:t>
      </w:r>
      <w:hyperlink r:id="rId20" w:anchor="p19" w:tgtFrame="_blank" w:history="1">
        <w:r w:rsidRPr="006249ED">
          <w:rPr>
            <w:rFonts w:eastAsia="Times New Roman" w:cs="Times New Roman"/>
            <w:szCs w:val="28"/>
            <w:lang w:eastAsia="lv-LV"/>
          </w:rPr>
          <w:t>19. panta</w:t>
        </w:r>
      </w:hyperlink>
      <w:r w:rsidRPr="006249ED">
        <w:rPr>
          <w:rFonts w:eastAsia="Times New Roman" w:cs="Times New Roman"/>
          <w:szCs w:val="28"/>
          <w:lang w:eastAsia="lv-LV"/>
        </w:rPr>
        <w:t xml:space="preserve"> astoto daļu</w:t>
      </w:r>
    </w:p>
    <w:p w:rsidR="006249ED" w:rsidRPr="006249ED" w:rsidRDefault="006249ED" w:rsidP="003A7CB0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8"/>
          <w:lang w:eastAsia="lv-LV"/>
        </w:rPr>
      </w:pPr>
    </w:p>
    <w:p w:rsidR="003A7CB0" w:rsidRDefault="0081416B" w:rsidP="003A7CB0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Izdarīt Ministru kabineta </w:t>
      </w:r>
      <w:proofErr w:type="gramStart"/>
      <w:r>
        <w:rPr>
          <w:rFonts w:eastAsia="Times New Roman" w:cs="Times New Roman"/>
          <w:szCs w:val="28"/>
          <w:lang w:eastAsia="lv-LV"/>
        </w:rPr>
        <w:t>2015.</w:t>
      </w:r>
      <w:r w:rsidR="003A7CB0" w:rsidRPr="003A7CB0">
        <w:rPr>
          <w:rFonts w:eastAsia="Times New Roman" w:cs="Times New Roman"/>
          <w:szCs w:val="28"/>
          <w:lang w:eastAsia="lv-LV"/>
        </w:rPr>
        <w:t>gada</w:t>
      </w:r>
      <w:proofErr w:type="gramEnd"/>
      <w:r w:rsidR="003A7CB0" w:rsidRPr="003A7CB0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10.februāra noteikumos Nr.</w:t>
      </w:r>
      <w:r w:rsidR="003A7CB0">
        <w:rPr>
          <w:rFonts w:eastAsia="Times New Roman" w:cs="Times New Roman"/>
          <w:szCs w:val="28"/>
          <w:lang w:eastAsia="lv-LV"/>
        </w:rPr>
        <w:t>63 “</w:t>
      </w:r>
      <w:hyperlink r:id="rId21" w:tgtFrame="_blank" w:history="1">
        <w:r w:rsidR="003A7CB0" w:rsidRPr="003A7CB0">
          <w:rPr>
            <w:rFonts w:eastAsia="Times New Roman" w:cs="Times New Roman"/>
            <w:szCs w:val="28"/>
            <w:lang w:eastAsia="lv-LV"/>
          </w:rPr>
          <w:t>Licenču un sertifikātu reģistra noteikumi</w:t>
        </w:r>
      </w:hyperlink>
      <w:r w:rsidR="003A7CB0">
        <w:rPr>
          <w:rFonts w:eastAsia="Times New Roman" w:cs="Times New Roman"/>
          <w:szCs w:val="28"/>
          <w:lang w:eastAsia="lv-LV"/>
        </w:rPr>
        <w:t>”</w:t>
      </w:r>
      <w:r w:rsidR="003A7CB0" w:rsidRPr="003A7CB0">
        <w:rPr>
          <w:rFonts w:eastAsia="Times New Roman" w:cs="Times New Roman"/>
          <w:szCs w:val="28"/>
          <w:lang w:eastAsia="lv-LV"/>
        </w:rPr>
        <w:t xml:space="preserve"> (Latvijas Vēstnesis, 2015, 30. nr.; 2016, 154.nr.) </w:t>
      </w:r>
      <w:r w:rsidR="003A7CB0">
        <w:rPr>
          <w:rFonts w:eastAsia="Times New Roman" w:cs="Times New Roman"/>
          <w:szCs w:val="28"/>
          <w:lang w:eastAsia="lv-LV"/>
        </w:rPr>
        <w:t>grozījumu un papildināt noteikumus ar  25.15.apakšpunktu šādā redakcijā:</w:t>
      </w:r>
    </w:p>
    <w:p w:rsidR="003A7CB0" w:rsidRPr="002604C9" w:rsidRDefault="003A7CB0" w:rsidP="003A7CB0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“25.15. Latvijas Bankas Aizsardzības pārvalde (šo noteikumu 11.punktā minētās ziņas).”</w:t>
      </w:r>
    </w:p>
    <w:p w:rsidR="00AE5152" w:rsidRDefault="00AE5152" w:rsidP="00AE5152">
      <w:pPr>
        <w:ind w:firstLine="0"/>
      </w:pPr>
    </w:p>
    <w:p w:rsidR="00A62BCC" w:rsidRDefault="00A62BCC" w:rsidP="00AE5152">
      <w:pPr>
        <w:ind w:firstLine="0"/>
      </w:pPr>
    </w:p>
    <w:p w:rsidR="00DF15E2" w:rsidRDefault="00E4308B" w:rsidP="00DF15E2">
      <w:pPr>
        <w:ind w:firstLine="0"/>
      </w:pPr>
      <w:r>
        <w:t>Ministru prezidents</w:t>
      </w:r>
      <w:r w:rsidR="00DF15E2">
        <w:tab/>
      </w:r>
      <w:r w:rsidR="00DF15E2">
        <w:tab/>
      </w:r>
      <w:r w:rsidR="00DF15E2">
        <w:tab/>
      </w:r>
      <w:r w:rsidR="00DF15E2">
        <w:tab/>
      </w:r>
      <w:r w:rsidR="00DF15E2">
        <w:tab/>
      </w:r>
      <w:r w:rsidR="00DF15E2">
        <w:tab/>
      </w:r>
      <w:r>
        <w:t>Māris Kučinskis</w:t>
      </w:r>
    </w:p>
    <w:p w:rsidR="00DF15E2" w:rsidRDefault="00DF15E2" w:rsidP="00DF15E2">
      <w:pPr>
        <w:ind w:firstLine="0"/>
      </w:pPr>
    </w:p>
    <w:p w:rsidR="00DF15E2" w:rsidRDefault="00E4308B" w:rsidP="00DF15E2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Rihards </w:t>
      </w:r>
      <w:r w:rsidR="00DF15E2">
        <w:t>Kozlovskis</w:t>
      </w:r>
    </w:p>
    <w:p w:rsidR="00DF15E2" w:rsidRDefault="00DF15E2" w:rsidP="00DF15E2">
      <w:pPr>
        <w:ind w:firstLine="0"/>
      </w:pPr>
    </w:p>
    <w:p w:rsidR="00DF15E2" w:rsidRDefault="00DF15E2" w:rsidP="00DF15E2">
      <w:pPr>
        <w:ind w:firstLine="0"/>
      </w:pPr>
    </w:p>
    <w:p w:rsidR="009333D4" w:rsidRDefault="009333D4" w:rsidP="00DF15E2">
      <w:pPr>
        <w:ind w:firstLine="0"/>
      </w:pPr>
    </w:p>
    <w:p w:rsidR="00DF15E2" w:rsidRDefault="00E4308B" w:rsidP="00DF15E2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308B">
        <w:t>Rihards Kozlovskis</w:t>
      </w:r>
    </w:p>
    <w:p w:rsidR="00DF15E2" w:rsidRDefault="00DF15E2" w:rsidP="00DF15E2">
      <w:pPr>
        <w:ind w:firstLine="0"/>
      </w:pPr>
    </w:p>
    <w:p w:rsidR="00DF15E2" w:rsidRDefault="00E4308B" w:rsidP="00DF15E2">
      <w:pPr>
        <w:ind w:firstLine="0"/>
      </w:pPr>
      <w:r>
        <w:t>Vīza: valsts sekretāre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Ilze </w:t>
      </w:r>
      <w:r w:rsidR="00DF15E2">
        <w:t>Pētersone - Godmane</w:t>
      </w:r>
    </w:p>
    <w:p w:rsidR="00AE5152" w:rsidRDefault="00AE5152" w:rsidP="00AE5152">
      <w:pPr>
        <w:ind w:firstLine="0"/>
      </w:pPr>
    </w:p>
    <w:p w:rsidR="00A62BCC" w:rsidRDefault="00A62BCC" w:rsidP="00AE5152">
      <w:pPr>
        <w:ind w:firstLine="0"/>
        <w:rPr>
          <w:sz w:val="20"/>
          <w:szCs w:val="20"/>
        </w:rPr>
      </w:pPr>
    </w:p>
    <w:p w:rsidR="00A62BCC" w:rsidRDefault="00A62BCC" w:rsidP="00AE5152">
      <w:pPr>
        <w:ind w:firstLine="0"/>
        <w:rPr>
          <w:sz w:val="20"/>
          <w:szCs w:val="20"/>
        </w:rPr>
      </w:pPr>
    </w:p>
    <w:p w:rsidR="003A7CB0" w:rsidRDefault="003A7CB0" w:rsidP="00AE5152">
      <w:pPr>
        <w:ind w:firstLine="0"/>
        <w:rPr>
          <w:sz w:val="20"/>
          <w:szCs w:val="20"/>
        </w:rPr>
      </w:pPr>
    </w:p>
    <w:p w:rsidR="00AE5152" w:rsidRDefault="00AE5152" w:rsidP="00AE5152">
      <w:pPr>
        <w:ind w:firstLine="0"/>
        <w:rPr>
          <w:sz w:val="20"/>
          <w:szCs w:val="20"/>
        </w:rPr>
      </w:pPr>
      <w:r>
        <w:rPr>
          <w:sz w:val="20"/>
          <w:szCs w:val="20"/>
        </w:rPr>
        <w:t>Rancāne, 67219419</w:t>
      </w:r>
    </w:p>
    <w:p w:rsidR="00AE5152" w:rsidRDefault="00AE5152" w:rsidP="00AE5152">
      <w:pPr>
        <w:ind w:firstLine="0"/>
      </w:pPr>
      <w:r>
        <w:rPr>
          <w:sz w:val="20"/>
          <w:szCs w:val="20"/>
        </w:rPr>
        <w:t>dzintra.rancane@iem.gov.lv</w:t>
      </w:r>
    </w:p>
    <w:sectPr w:rsidR="00AE5152" w:rsidSect="003E3EC1">
      <w:footerReference w:type="default" r:id="rId2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2E" w:rsidRDefault="00341A2E" w:rsidP="00AE5152">
      <w:r>
        <w:separator/>
      </w:r>
    </w:p>
  </w:endnote>
  <w:endnote w:type="continuationSeparator" w:id="0">
    <w:p w:rsidR="00341A2E" w:rsidRDefault="00341A2E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52" w:rsidRPr="00AE5152" w:rsidRDefault="007669A8" w:rsidP="00AE5152">
    <w:pPr>
      <w:pStyle w:val="Footer"/>
      <w:ind w:firstLine="0"/>
      <w:rPr>
        <w:bCs/>
        <w:sz w:val="20"/>
        <w:szCs w:val="20"/>
      </w:rPr>
    </w:pPr>
    <w:r>
      <w:rPr>
        <w:bCs/>
        <w:sz w:val="20"/>
        <w:szCs w:val="20"/>
      </w:rPr>
      <w:t>IEMNot_2804</w:t>
    </w:r>
    <w:r w:rsidR="00E4308B">
      <w:rPr>
        <w:bCs/>
        <w:sz w:val="20"/>
        <w:szCs w:val="20"/>
      </w:rPr>
      <w:t>17</w:t>
    </w:r>
  </w:p>
  <w:p w:rsidR="00AE5152" w:rsidRDefault="00AE5152">
    <w:pPr>
      <w:pStyle w:val="Footer"/>
    </w:pPr>
  </w:p>
  <w:p w:rsidR="00AE5152" w:rsidRDefault="00AE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2E" w:rsidRDefault="00341A2E" w:rsidP="00AE5152">
      <w:r>
        <w:separator/>
      </w:r>
    </w:p>
  </w:footnote>
  <w:footnote w:type="continuationSeparator" w:id="0">
    <w:p w:rsidR="00341A2E" w:rsidRDefault="00341A2E" w:rsidP="00AE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0001A4"/>
    <w:rsid w:val="00037CA8"/>
    <w:rsid w:val="00206D44"/>
    <w:rsid w:val="00243873"/>
    <w:rsid w:val="002604C9"/>
    <w:rsid w:val="002B2B97"/>
    <w:rsid w:val="00337072"/>
    <w:rsid w:val="00341A2E"/>
    <w:rsid w:val="003A7CB0"/>
    <w:rsid w:val="003E3EC1"/>
    <w:rsid w:val="004B2675"/>
    <w:rsid w:val="005267D9"/>
    <w:rsid w:val="005450DC"/>
    <w:rsid w:val="006249ED"/>
    <w:rsid w:val="00651AB3"/>
    <w:rsid w:val="00690898"/>
    <w:rsid w:val="006D19AC"/>
    <w:rsid w:val="006D36B7"/>
    <w:rsid w:val="006F2DAE"/>
    <w:rsid w:val="007669A8"/>
    <w:rsid w:val="0081416B"/>
    <w:rsid w:val="008864E9"/>
    <w:rsid w:val="008F3CFF"/>
    <w:rsid w:val="009333D4"/>
    <w:rsid w:val="00A52B8E"/>
    <w:rsid w:val="00A62BCC"/>
    <w:rsid w:val="00AE5152"/>
    <w:rsid w:val="00AE71B7"/>
    <w:rsid w:val="00C7744C"/>
    <w:rsid w:val="00C93FFC"/>
    <w:rsid w:val="00CF2A22"/>
    <w:rsid w:val="00CF5908"/>
    <w:rsid w:val="00DC0497"/>
    <w:rsid w:val="00DD0682"/>
    <w:rsid w:val="00DF15E2"/>
    <w:rsid w:val="00E21D7E"/>
    <w:rsid w:val="00E4308B"/>
    <w:rsid w:val="00E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EC106-BA45-45AC-9E03-ACA5C95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4785-apsardzes-darbibas-likums" TargetMode="External"/><Relationship Id="rId13" Type="http://schemas.openxmlformats.org/officeDocument/2006/relationships/hyperlink" Target="https://likumi.lv/ta/id/26311-detektivdarbibas-likums" TargetMode="External"/><Relationship Id="rId18" Type="http://schemas.openxmlformats.org/officeDocument/2006/relationships/hyperlink" Target="https://likumi.lv/ta/id/219419-pirotehnisko-izstradajumu-aprites-liku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kumi.lv/ta/id/272136-licencu-un-sertifikatu-registra-noteikumi" TargetMode="External"/><Relationship Id="rId7" Type="http://schemas.openxmlformats.org/officeDocument/2006/relationships/hyperlink" Target="https://likumi.lv/ta/id/272136-licencu-un-sertifikatu-registra-noteikumi" TargetMode="External"/><Relationship Id="rId12" Type="http://schemas.openxmlformats.org/officeDocument/2006/relationships/hyperlink" Target="https://likumi.lv/ta/id/221395-civilam-vajadzibam-paredzetu-spragstvielu-aprites-likums" TargetMode="External"/><Relationship Id="rId17" Type="http://schemas.openxmlformats.org/officeDocument/2006/relationships/hyperlink" Target="https://likumi.lv/ta/id/221384-ierocu-un-specialo-lidzeklu-aprites-lik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221384-ierocu-un-specialo-lidzeklu-aprites-likums" TargetMode="External"/><Relationship Id="rId20" Type="http://schemas.openxmlformats.org/officeDocument/2006/relationships/hyperlink" Target="https://likumi.lv/ta/id/219419-pirotehnisko-izstradajumu-aprites-liku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21395-civilam-vajadzibam-paredzetu-spragstvielu-aprites-liku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kumi.lv/ta/id/221384-ierocu-un-specialo-lidzeklu-aprites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221395-civilam-vajadzibam-paredzetu-spragstvielu-aprites-likums" TargetMode="External"/><Relationship Id="rId19" Type="http://schemas.openxmlformats.org/officeDocument/2006/relationships/hyperlink" Target="https://likumi.lv/ta/id/219419-pirotehnisko-izstradajumu-aprite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4785-apsardzes-darbibas-likums" TargetMode="External"/><Relationship Id="rId14" Type="http://schemas.openxmlformats.org/officeDocument/2006/relationships/hyperlink" Target="https://likumi.lv/ta/id/26311-detektivdarbibas-likum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27.decembra noteikumos Nr.1012 "Šaujamieroču, lielas enerģijas pneimatisko ieroču un gāzes pistoļu (revolveru) vienotās uzskaites kārtība"</vt:lpstr>
    </vt:vector>
  </TitlesOfParts>
  <Company>Iekšlietu ministrija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27.decembra noteikumos Nr.1012 "Šaujamieroču, lielas enerģijas pneimatisko ieroču un gāzes pistoļu (revolveru) vienotās uzskaites kārtība"</dc:title>
  <dc:subject>Ministru kabineta noteikumu projekts</dc:subject>
  <dc:creator>Dzintra Rancāne</dc:creator>
  <cp:keywords/>
  <dc:description>dzintra.rancane@iem.gov.lv, 67219419</dc:description>
  <cp:lastModifiedBy>Dzintra Rancāne</cp:lastModifiedBy>
  <cp:revision>25</cp:revision>
  <dcterms:created xsi:type="dcterms:W3CDTF">2015-01-14T12:13:00Z</dcterms:created>
  <dcterms:modified xsi:type="dcterms:W3CDTF">2017-04-28T07:40:00Z</dcterms:modified>
</cp:coreProperties>
</file>