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F11" w:rsidRPr="004F3BBB" w:rsidRDefault="00A97F11" w:rsidP="00A97F11">
      <w:pPr>
        <w:jc w:val="center"/>
        <w:rPr>
          <w:b/>
          <w:sz w:val="28"/>
          <w:szCs w:val="28"/>
        </w:rPr>
      </w:pPr>
      <w:bookmarkStart w:id="0" w:name="_GoBack"/>
      <w:bookmarkEnd w:id="0"/>
      <w:r w:rsidRPr="004F3BBB">
        <w:rPr>
          <w:b/>
          <w:sz w:val="28"/>
          <w:szCs w:val="28"/>
        </w:rPr>
        <w:t xml:space="preserve">Ministru kabineta noteikumu </w:t>
      </w:r>
      <w:r w:rsidR="00B16BA0" w:rsidRPr="004F3BBB">
        <w:rPr>
          <w:b/>
          <w:sz w:val="28"/>
          <w:szCs w:val="28"/>
        </w:rPr>
        <w:t xml:space="preserve">projekta </w:t>
      </w:r>
      <w:r w:rsidRPr="004F3BBB">
        <w:rPr>
          <w:b/>
          <w:sz w:val="28"/>
          <w:szCs w:val="28"/>
        </w:rPr>
        <w:t>„</w:t>
      </w:r>
      <w:r w:rsidR="008A6C7F" w:rsidRPr="004F3BBB">
        <w:rPr>
          <w:b/>
          <w:bCs/>
          <w:sz w:val="28"/>
          <w:szCs w:val="28"/>
          <w:lang w:eastAsia="ru-RU"/>
        </w:rPr>
        <w:t>Noteikumi par psihosociālās rehabilitācijas pakalpojumu paliatīvā aprūpē esošiem bērniem un viņu ģimenes locekļiem</w:t>
      </w:r>
      <w:r w:rsidR="001E49AA" w:rsidRPr="004F3BBB">
        <w:rPr>
          <w:b/>
          <w:bCs/>
          <w:sz w:val="28"/>
          <w:szCs w:val="28"/>
          <w:lang w:eastAsia="ru-RU"/>
        </w:rPr>
        <w:t xml:space="preserve">” </w:t>
      </w:r>
      <w:r w:rsidRPr="004F3BBB">
        <w:rPr>
          <w:b/>
          <w:sz w:val="28"/>
          <w:szCs w:val="28"/>
        </w:rPr>
        <w:t>sākotnējās ietekmes novērtējuma ziņojums (anotācija)</w:t>
      </w:r>
    </w:p>
    <w:p w:rsidR="00A97F11" w:rsidRPr="004F3BBB" w:rsidRDefault="00A97F11" w:rsidP="00A97F11">
      <w:pPr>
        <w:jc w:val="center"/>
        <w:rPr>
          <w:b/>
          <w:sz w:val="28"/>
          <w:szCs w:val="28"/>
        </w:rPr>
      </w:pP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67"/>
        <w:gridCol w:w="6211"/>
      </w:tblGrid>
      <w:tr w:rsidR="00A97F11" w:rsidRPr="004F3BBB" w:rsidTr="00112D04">
        <w:tc>
          <w:tcPr>
            <w:tcW w:w="5000" w:type="pct"/>
            <w:gridSpan w:val="3"/>
            <w:shd w:val="clear" w:color="auto" w:fill="auto"/>
          </w:tcPr>
          <w:p w:rsidR="00A97F11" w:rsidRPr="004F3BBB" w:rsidRDefault="00A97F11" w:rsidP="005115AA">
            <w:pPr>
              <w:jc w:val="center"/>
              <w:rPr>
                <w:b/>
                <w:sz w:val="28"/>
                <w:szCs w:val="28"/>
              </w:rPr>
            </w:pPr>
            <w:r w:rsidRPr="004F3BBB">
              <w:rPr>
                <w:b/>
                <w:sz w:val="28"/>
                <w:szCs w:val="28"/>
              </w:rPr>
              <w:t>I. Tiesību akta projekta izstrādes nepieciešamība</w:t>
            </w:r>
          </w:p>
        </w:tc>
      </w:tr>
      <w:tr w:rsidR="00A97F11" w:rsidRPr="004F3BBB" w:rsidTr="00BE77D4">
        <w:tc>
          <w:tcPr>
            <w:tcW w:w="310" w:type="pct"/>
            <w:shd w:val="clear" w:color="auto" w:fill="auto"/>
          </w:tcPr>
          <w:p w:rsidR="00A97F11" w:rsidRPr="004F3BBB" w:rsidRDefault="00A97F11" w:rsidP="005115AA">
            <w:pPr>
              <w:rPr>
                <w:sz w:val="28"/>
                <w:szCs w:val="28"/>
              </w:rPr>
            </w:pPr>
            <w:r w:rsidRPr="004F3BBB">
              <w:rPr>
                <w:sz w:val="28"/>
                <w:szCs w:val="28"/>
              </w:rPr>
              <w:t>1.</w:t>
            </w:r>
          </w:p>
        </w:tc>
        <w:tc>
          <w:tcPr>
            <w:tcW w:w="1084" w:type="pct"/>
            <w:shd w:val="clear" w:color="auto" w:fill="auto"/>
          </w:tcPr>
          <w:p w:rsidR="00A97F11" w:rsidRPr="004F3BBB" w:rsidRDefault="00A97F11" w:rsidP="005115AA">
            <w:pPr>
              <w:rPr>
                <w:sz w:val="28"/>
                <w:szCs w:val="28"/>
              </w:rPr>
            </w:pPr>
            <w:r w:rsidRPr="004F3BBB">
              <w:rPr>
                <w:sz w:val="28"/>
                <w:szCs w:val="28"/>
              </w:rPr>
              <w:t>Pamatojums</w:t>
            </w:r>
          </w:p>
        </w:tc>
        <w:tc>
          <w:tcPr>
            <w:tcW w:w="3606" w:type="pct"/>
            <w:shd w:val="clear" w:color="auto" w:fill="auto"/>
          </w:tcPr>
          <w:p w:rsidR="001A422E" w:rsidRPr="004F3BBB" w:rsidRDefault="001A422E" w:rsidP="00D54574">
            <w:pPr>
              <w:autoSpaceDE w:val="0"/>
              <w:autoSpaceDN w:val="0"/>
              <w:adjustRightInd w:val="0"/>
              <w:spacing w:before="240"/>
              <w:ind w:left="151" w:right="174" w:firstLine="383"/>
              <w:jc w:val="both"/>
              <w:rPr>
                <w:sz w:val="28"/>
                <w:szCs w:val="28"/>
              </w:rPr>
            </w:pPr>
            <w:r w:rsidRPr="004F3BBB">
              <w:rPr>
                <w:sz w:val="28"/>
                <w:szCs w:val="28"/>
              </w:rPr>
              <w:t>Ministru kabineta noteikumu projekts „</w:t>
            </w:r>
            <w:r w:rsidR="008A6C7F" w:rsidRPr="004F3BBB">
              <w:rPr>
                <w:sz w:val="28"/>
                <w:szCs w:val="28"/>
              </w:rPr>
              <w:t>Noteikumi par psihosociālās rehabilitācijas pakalpojumu paliatīvā aprūpē esošiem bērniem un viņu ģimenes locekļiem</w:t>
            </w:r>
            <w:r w:rsidRPr="004F3BBB">
              <w:rPr>
                <w:sz w:val="28"/>
                <w:szCs w:val="28"/>
              </w:rPr>
              <w:t>” (turpmāk – noteikumu projekts) izstrādāts, pamatojoties uz:</w:t>
            </w:r>
          </w:p>
          <w:p w:rsidR="001A422E" w:rsidRPr="004F3BBB" w:rsidRDefault="001A422E" w:rsidP="003F4E2F">
            <w:pPr>
              <w:pStyle w:val="ListParagraph"/>
              <w:numPr>
                <w:ilvl w:val="0"/>
                <w:numId w:val="3"/>
              </w:numPr>
              <w:autoSpaceDE w:val="0"/>
              <w:adjustRightInd w:val="0"/>
              <w:ind w:left="151" w:right="174" w:hanging="151"/>
              <w:jc w:val="both"/>
              <w:rPr>
                <w:szCs w:val="28"/>
              </w:rPr>
            </w:pPr>
            <w:r w:rsidRPr="004F3BBB">
              <w:rPr>
                <w:szCs w:val="28"/>
              </w:rPr>
              <w:t>Sociālo pakalpojumu attīstības pamatnostād</w:t>
            </w:r>
            <w:r w:rsidR="00891D1A" w:rsidRPr="004F3BBB">
              <w:rPr>
                <w:szCs w:val="28"/>
                <w:lang w:val="lv-LV"/>
              </w:rPr>
              <w:t>ņu</w:t>
            </w:r>
            <w:r w:rsidRPr="004F3BBB">
              <w:rPr>
                <w:szCs w:val="28"/>
              </w:rPr>
              <w:t xml:space="preserve"> </w:t>
            </w:r>
            <w:r w:rsidR="00891D1A" w:rsidRPr="004F3BBB">
              <w:rPr>
                <w:szCs w:val="28"/>
                <w:lang w:val="lv-LV"/>
              </w:rPr>
              <w:t>2014.-2020.gadam</w:t>
            </w:r>
            <w:r w:rsidR="00891D1A" w:rsidRPr="004F3BBB">
              <w:rPr>
                <w:szCs w:val="28"/>
              </w:rPr>
              <w:t xml:space="preserve"> </w:t>
            </w:r>
            <w:r w:rsidRPr="004F3BBB">
              <w:rPr>
                <w:szCs w:val="28"/>
              </w:rPr>
              <w:t>(apstiprinātas ar Ministru kabineta 2013.gada 4.decembra rīkojumu Nr. 589</w:t>
            </w:r>
            <w:r w:rsidRPr="004F3BBB">
              <w:rPr>
                <w:szCs w:val="28"/>
                <w:lang w:val="lv-LV"/>
              </w:rPr>
              <w:t xml:space="preserve">) </w:t>
            </w:r>
            <w:r w:rsidR="00891D1A" w:rsidRPr="004F3BBB">
              <w:rPr>
                <w:szCs w:val="28"/>
                <w:lang w:val="lv-LV"/>
              </w:rPr>
              <w:t xml:space="preserve">(turpmāk – </w:t>
            </w:r>
            <w:r w:rsidR="003F4E2F">
              <w:rPr>
                <w:szCs w:val="28"/>
                <w:lang w:val="lv-LV"/>
              </w:rPr>
              <w:t>P</w:t>
            </w:r>
            <w:r w:rsidR="00891D1A" w:rsidRPr="004F3BBB">
              <w:rPr>
                <w:szCs w:val="28"/>
                <w:lang w:val="lv-LV"/>
              </w:rPr>
              <w:t>amatnostādnes) 6.nodaļas</w:t>
            </w:r>
            <w:r w:rsidRPr="004F3BBB">
              <w:rPr>
                <w:szCs w:val="28"/>
                <w:lang w:val="lv-LV"/>
              </w:rPr>
              <w:t xml:space="preserve"> 19.1. </w:t>
            </w:r>
            <w:r w:rsidR="00891D1A" w:rsidRPr="004F3BBB">
              <w:rPr>
                <w:szCs w:val="28"/>
                <w:lang w:val="lv-LV"/>
              </w:rPr>
              <w:t>-</w:t>
            </w:r>
            <w:r w:rsidRPr="004F3BBB">
              <w:rPr>
                <w:szCs w:val="28"/>
                <w:lang w:val="lv-LV"/>
              </w:rPr>
              <w:t>19.</w:t>
            </w:r>
            <w:r w:rsidR="00891D1A" w:rsidRPr="004F3BBB">
              <w:rPr>
                <w:szCs w:val="28"/>
                <w:lang w:val="lv-LV"/>
              </w:rPr>
              <w:t>3</w:t>
            </w:r>
            <w:r w:rsidRPr="004F3BBB">
              <w:rPr>
                <w:szCs w:val="28"/>
                <w:lang w:val="lv-LV"/>
              </w:rPr>
              <w:t xml:space="preserve">. </w:t>
            </w:r>
            <w:r w:rsidR="00891D1A" w:rsidRPr="004F3BBB">
              <w:rPr>
                <w:szCs w:val="28"/>
                <w:lang w:val="lv-LV"/>
              </w:rPr>
              <w:t>apakš</w:t>
            </w:r>
            <w:r w:rsidRPr="004F3BBB">
              <w:rPr>
                <w:szCs w:val="28"/>
                <w:lang w:val="lv-LV"/>
              </w:rPr>
              <w:t>punktā noteikto</w:t>
            </w:r>
            <w:r w:rsidR="00457F33" w:rsidRPr="004F3BBB">
              <w:rPr>
                <w:szCs w:val="28"/>
                <w:lang w:val="lv-LV"/>
              </w:rPr>
              <w:t>;</w:t>
            </w:r>
          </w:p>
          <w:p w:rsidR="001A422E" w:rsidRPr="004F3BBB" w:rsidRDefault="001A422E" w:rsidP="00E72105">
            <w:pPr>
              <w:pStyle w:val="ListParagraph"/>
              <w:numPr>
                <w:ilvl w:val="0"/>
                <w:numId w:val="3"/>
              </w:numPr>
              <w:autoSpaceDE w:val="0"/>
              <w:adjustRightInd w:val="0"/>
              <w:ind w:left="151" w:right="174" w:firstLine="209"/>
              <w:jc w:val="both"/>
              <w:rPr>
                <w:szCs w:val="28"/>
              </w:rPr>
            </w:pPr>
            <w:r w:rsidRPr="004F3BBB">
              <w:rPr>
                <w:szCs w:val="28"/>
              </w:rPr>
              <w:t xml:space="preserve"> </w:t>
            </w:r>
            <w:r w:rsidR="007C5668">
              <w:rPr>
                <w:szCs w:val="28"/>
                <w:lang w:val="lv-LV"/>
              </w:rPr>
              <w:t>likumā „G</w:t>
            </w:r>
            <w:r w:rsidR="003F4E2F" w:rsidRPr="003F4E2F">
              <w:rPr>
                <w:szCs w:val="28"/>
              </w:rPr>
              <w:t>rozījum</w:t>
            </w:r>
            <w:r w:rsidR="007C5668">
              <w:rPr>
                <w:szCs w:val="28"/>
                <w:lang w:val="lv-LV"/>
              </w:rPr>
              <w:t xml:space="preserve">i </w:t>
            </w:r>
            <w:r w:rsidR="003F4E2F" w:rsidRPr="003F4E2F">
              <w:rPr>
                <w:szCs w:val="28"/>
              </w:rPr>
              <w:t xml:space="preserve"> Sociālo pakalpojumu un sociālās palīdzības likumā</w:t>
            </w:r>
            <w:r w:rsidR="007C5668">
              <w:rPr>
                <w:szCs w:val="28"/>
                <w:lang w:val="lv-LV"/>
              </w:rPr>
              <w:t>”</w:t>
            </w:r>
            <w:r w:rsidR="003F4E2F" w:rsidRPr="003F4E2F">
              <w:rPr>
                <w:szCs w:val="28"/>
              </w:rPr>
              <w:t xml:space="preserve"> noteikto</w:t>
            </w:r>
            <w:r w:rsidR="007C5668">
              <w:rPr>
                <w:szCs w:val="28"/>
                <w:lang w:val="lv-LV"/>
              </w:rPr>
              <w:t xml:space="preserve"> </w:t>
            </w:r>
            <w:r w:rsidR="00B6758C" w:rsidRPr="004F3BBB">
              <w:rPr>
                <w:szCs w:val="28"/>
              </w:rPr>
              <w:t xml:space="preserve">(pieņemts 2017.gada 12.janvārī, </w:t>
            </w:r>
            <w:r w:rsidR="003F4E2F" w:rsidRPr="003F4E2F">
              <w:rPr>
                <w:szCs w:val="28"/>
              </w:rPr>
              <w:t>stājās spēkā 2017.gada 9.februārī</w:t>
            </w:r>
            <w:r w:rsidR="007C5668">
              <w:rPr>
                <w:szCs w:val="28"/>
                <w:lang w:val="lv-LV"/>
              </w:rPr>
              <w:t>)</w:t>
            </w:r>
            <w:r w:rsidR="00B6758C">
              <w:rPr>
                <w:szCs w:val="28"/>
                <w:lang w:val="lv-LV"/>
              </w:rPr>
              <w:t>, kurā paredzēts, ka valsts atbilstoši gadskārtējā valsts budžeta likumā piešķirtajiem līdzekļiem no 2018.gada 1.janvāra nodrošina psihosociālo rehabilitāciju paliatīv</w:t>
            </w:r>
            <w:r w:rsidR="00BE77D4">
              <w:rPr>
                <w:szCs w:val="28"/>
                <w:lang w:val="lv-LV"/>
              </w:rPr>
              <w:t>aj</w:t>
            </w:r>
            <w:r w:rsidR="00B6758C">
              <w:rPr>
                <w:szCs w:val="28"/>
                <w:lang w:val="lv-LV"/>
              </w:rPr>
              <w:t>ā aprūpē esošiem bērniem un viņu ģimenes locekļiem (</w:t>
            </w:r>
            <w:r w:rsidR="00E72105" w:rsidRPr="00E72105">
              <w:rPr>
                <w:szCs w:val="28"/>
                <w:lang w:val="lv-LV"/>
              </w:rPr>
              <w:t>Sociālo pakalpojumu un sociālās palīdzības likum</w:t>
            </w:r>
            <w:r w:rsidR="00E72105">
              <w:rPr>
                <w:szCs w:val="28"/>
                <w:lang w:val="lv-LV"/>
              </w:rPr>
              <w:t>a</w:t>
            </w:r>
            <w:r w:rsidR="00EF36CC">
              <w:rPr>
                <w:szCs w:val="28"/>
                <w:lang w:val="lv-LV"/>
              </w:rPr>
              <w:t xml:space="preserve"> (turpmāk – likums)</w:t>
            </w:r>
            <w:r w:rsidR="00E72105">
              <w:rPr>
                <w:szCs w:val="28"/>
                <w:lang w:val="lv-LV"/>
              </w:rPr>
              <w:t xml:space="preserve"> </w:t>
            </w:r>
            <w:r w:rsidR="00B6758C">
              <w:rPr>
                <w:szCs w:val="28"/>
                <w:lang w:val="lv-LV"/>
              </w:rPr>
              <w:t>13.panta pirmās daļas 12.punkts,</w:t>
            </w:r>
            <w:r w:rsidR="00453536">
              <w:rPr>
                <w:szCs w:val="28"/>
                <w:lang w:val="lv-LV"/>
              </w:rPr>
              <w:t xml:space="preserve"> 2.</w:t>
            </w:r>
            <w:r w:rsidR="00453536" w:rsidRPr="00BE77D4">
              <w:rPr>
                <w:szCs w:val="28"/>
                <w:vertAlign w:val="superscript"/>
                <w:lang w:val="lv-LV"/>
              </w:rPr>
              <w:t>1</w:t>
            </w:r>
            <w:r w:rsidR="00453536">
              <w:rPr>
                <w:szCs w:val="28"/>
                <w:lang w:val="lv-LV"/>
              </w:rPr>
              <w:t xml:space="preserve"> daļa, </w:t>
            </w:r>
            <w:r w:rsidR="006F4918">
              <w:rPr>
                <w:szCs w:val="28"/>
                <w:lang w:val="lv-LV"/>
              </w:rPr>
              <w:t xml:space="preserve"> 21.</w:t>
            </w:r>
            <w:r w:rsidR="006F4918" w:rsidRPr="00BE77D4">
              <w:rPr>
                <w:szCs w:val="28"/>
                <w:vertAlign w:val="superscript"/>
                <w:lang w:val="lv-LV"/>
              </w:rPr>
              <w:t>1</w:t>
            </w:r>
            <w:r w:rsidR="006F4918">
              <w:rPr>
                <w:szCs w:val="28"/>
                <w:lang w:val="lv-LV"/>
              </w:rPr>
              <w:t>pants</w:t>
            </w:r>
            <w:r w:rsidR="00453536">
              <w:rPr>
                <w:szCs w:val="28"/>
                <w:lang w:val="lv-LV"/>
              </w:rPr>
              <w:t>,</w:t>
            </w:r>
            <w:r w:rsidR="00B6758C">
              <w:rPr>
                <w:szCs w:val="28"/>
                <w:lang w:val="lv-LV"/>
              </w:rPr>
              <w:t xml:space="preserve"> pārejas noteikumu 28.punkts)</w:t>
            </w:r>
            <w:r w:rsidR="00457F33" w:rsidRPr="004F3BBB">
              <w:rPr>
                <w:szCs w:val="28"/>
                <w:lang w:val="lv-LV"/>
              </w:rPr>
              <w:t>.</w:t>
            </w:r>
          </w:p>
          <w:p w:rsidR="00A97F11" w:rsidRPr="004F3BBB" w:rsidRDefault="00A97F11" w:rsidP="00D54574">
            <w:pPr>
              <w:autoSpaceDE w:val="0"/>
              <w:autoSpaceDN w:val="0"/>
              <w:adjustRightInd w:val="0"/>
              <w:ind w:left="151" w:right="174"/>
              <w:jc w:val="both"/>
              <w:rPr>
                <w:i/>
                <w:color w:val="FF0000"/>
                <w:sz w:val="28"/>
                <w:szCs w:val="28"/>
              </w:rPr>
            </w:pPr>
            <w:r w:rsidRPr="004F3BBB">
              <w:rPr>
                <w:sz w:val="28"/>
                <w:szCs w:val="28"/>
              </w:rPr>
              <w:t xml:space="preserve"> </w:t>
            </w:r>
          </w:p>
        </w:tc>
      </w:tr>
      <w:tr w:rsidR="00A97F11" w:rsidRPr="004F3BBB" w:rsidTr="00BE77D4">
        <w:tc>
          <w:tcPr>
            <w:tcW w:w="310" w:type="pct"/>
            <w:shd w:val="clear" w:color="auto" w:fill="auto"/>
          </w:tcPr>
          <w:p w:rsidR="00A97F11" w:rsidRPr="004F3BBB" w:rsidRDefault="00A97F11" w:rsidP="005115AA">
            <w:pPr>
              <w:rPr>
                <w:sz w:val="28"/>
                <w:szCs w:val="28"/>
              </w:rPr>
            </w:pPr>
            <w:r w:rsidRPr="004F3BBB">
              <w:rPr>
                <w:sz w:val="28"/>
                <w:szCs w:val="28"/>
              </w:rPr>
              <w:t xml:space="preserve">2. </w:t>
            </w:r>
          </w:p>
        </w:tc>
        <w:tc>
          <w:tcPr>
            <w:tcW w:w="1084" w:type="pct"/>
            <w:shd w:val="clear" w:color="auto" w:fill="auto"/>
          </w:tcPr>
          <w:p w:rsidR="00A97F11" w:rsidRPr="004F3BBB" w:rsidRDefault="00A97F11" w:rsidP="005115AA">
            <w:pPr>
              <w:rPr>
                <w:sz w:val="28"/>
                <w:szCs w:val="28"/>
              </w:rPr>
            </w:pPr>
            <w:r w:rsidRPr="004F3BBB">
              <w:rPr>
                <w:sz w:val="28"/>
                <w:szCs w:val="28"/>
              </w:rPr>
              <w:t>Pašreizējā situācija un problēmas, kuru risināšanai tiesību akta projekts izstrādāts, tiesiskā regulējuma mērķis un būtība</w:t>
            </w:r>
          </w:p>
        </w:tc>
        <w:tc>
          <w:tcPr>
            <w:tcW w:w="3606" w:type="pct"/>
            <w:shd w:val="clear" w:color="auto" w:fill="auto"/>
          </w:tcPr>
          <w:p w:rsidR="006C0B4F" w:rsidRPr="004F3BBB" w:rsidRDefault="00891D1A" w:rsidP="006C0B4F">
            <w:pPr>
              <w:ind w:left="151" w:right="174" w:firstLine="383"/>
              <w:jc w:val="both"/>
              <w:rPr>
                <w:iCs/>
                <w:sz w:val="28"/>
                <w:szCs w:val="28"/>
              </w:rPr>
            </w:pPr>
            <w:r w:rsidRPr="004F3BBB">
              <w:rPr>
                <w:iCs/>
                <w:sz w:val="28"/>
                <w:szCs w:val="28"/>
              </w:rPr>
              <w:t>P</w:t>
            </w:r>
            <w:r w:rsidR="0082516F" w:rsidRPr="004F3BBB">
              <w:rPr>
                <w:iCs/>
                <w:sz w:val="28"/>
                <w:szCs w:val="28"/>
              </w:rPr>
              <w:t>amatnostādnes</w:t>
            </w:r>
            <w:r w:rsidR="00112D04" w:rsidRPr="004F3BBB">
              <w:rPr>
                <w:iCs/>
                <w:sz w:val="28"/>
                <w:szCs w:val="28"/>
              </w:rPr>
              <w:t xml:space="preserve"> iezīmē nepieciešamību pēc vairākiem jauniem sociāliem pakalpojumiem, tajā skaitā </w:t>
            </w:r>
            <w:r w:rsidRPr="004F3BBB">
              <w:rPr>
                <w:iCs/>
                <w:sz w:val="28"/>
                <w:szCs w:val="28"/>
              </w:rPr>
              <w:t>6.nodaļas</w:t>
            </w:r>
            <w:r w:rsidR="00112D04" w:rsidRPr="004F3BBB">
              <w:rPr>
                <w:iCs/>
                <w:sz w:val="28"/>
                <w:szCs w:val="28"/>
              </w:rPr>
              <w:t xml:space="preserve"> 19. punktā izvirzīts uzdevums izveidot pasākumu kopumu paliatīvo klientu aprūpei ar mērķi nodrošināt sociālo pakalpojumu paliatīvajiem klientiem un viņu ģimenes locekļiem</w:t>
            </w:r>
            <w:r w:rsidR="006C0B4F" w:rsidRPr="004F3BBB">
              <w:rPr>
                <w:iCs/>
                <w:sz w:val="28"/>
                <w:szCs w:val="28"/>
              </w:rPr>
              <w:t>.</w:t>
            </w:r>
          </w:p>
          <w:p w:rsidR="006C0B4F" w:rsidRPr="004F3BBB" w:rsidRDefault="006C0B4F" w:rsidP="003322F5">
            <w:pPr>
              <w:ind w:left="151" w:right="174" w:firstLine="383"/>
              <w:jc w:val="both"/>
              <w:rPr>
                <w:sz w:val="28"/>
                <w:szCs w:val="28"/>
              </w:rPr>
            </w:pPr>
            <w:r w:rsidRPr="004F3BBB">
              <w:rPr>
                <w:sz w:val="28"/>
                <w:szCs w:val="28"/>
              </w:rPr>
              <w:t xml:space="preserve">Ar jēdzienu </w:t>
            </w:r>
            <w:r w:rsidRPr="004F3BBB">
              <w:rPr>
                <w:i/>
                <w:iCs/>
                <w:sz w:val="28"/>
                <w:szCs w:val="28"/>
              </w:rPr>
              <w:t>paliatīvā aprūpe</w:t>
            </w:r>
            <w:r w:rsidRPr="004F3BBB">
              <w:rPr>
                <w:sz w:val="28"/>
                <w:szCs w:val="28"/>
              </w:rPr>
              <w:t xml:space="preserve"> tiek saprasta visaptverošas palīdzības sniegšana personām ar neizārstējamām slimībām to neatgriezeniskas progresēšanas gadījumā, kad dzīvildze ir ierobežota, bet precīzi nav nosakāma.</w:t>
            </w:r>
          </w:p>
          <w:p w:rsidR="006838F9" w:rsidRPr="004F3BBB" w:rsidRDefault="00CD3F25" w:rsidP="003322F5">
            <w:pPr>
              <w:ind w:left="151" w:right="174" w:firstLine="383"/>
              <w:jc w:val="both"/>
              <w:rPr>
                <w:sz w:val="28"/>
                <w:szCs w:val="28"/>
              </w:rPr>
            </w:pPr>
            <w:r w:rsidRPr="004F3BBB">
              <w:rPr>
                <w:sz w:val="28"/>
                <w:szCs w:val="28"/>
              </w:rPr>
              <w:t xml:space="preserve">Paliatīvo aprūpi bērniem </w:t>
            </w:r>
            <w:r w:rsidR="006838F9" w:rsidRPr="004F3BBB">
              <w:rPr>
                <w:sz w:val="28"/>
                <w:szCs w:val="28"/>
              </w:rPr>
              <w:t>var sniegt:</w:t>
            </w:r>
          </w:p>
          <w:p w:rsidR="006838F9" w:rsidRPr="004F3BBB" w:rsidRDefault="00CD3F25" w:rsidP="003F4E2F">
            <w:pPr>
              <w:pStyle w:val="ListParagraph"/>
              <w:numPr>
                <w:ilvl w:val="0"/>
                <w:numId w:val="20"/>
              </w:numPr>
              <w:ind w:left="576" w:right="174" w:hanging="425"/>
              <w:jc w:val="both"/>
              <w:rPr>
                <w:szCs w:val="28"/>
              </w:rPr>
            </w:pPr>
            <w:r w:rsidRPr="004F3BBB">
              <w:rPr>
                <w:szCs w:val="28"/>
              </w:rPr>
              <w:lastRenderedPageBreak/>
              <w:t>kā ilgstošas sociālās aprūpes un sociālās rehabilitācijas institūcijas pakalpojum</w:t>
            </w:r>
            <w:r w:rsidR="00BC3116" w:rsidRPr="004F3BBB">
              <w:rPr>
                <w:szCs w:val="28"/>
                <w:lang w:val="lv-LV"/>
              </w:rPr>
              <w:t>a sastāvdaļu</w:t>
            </w:r>
            <w:r w:rsidR="006838F9" w:rsidRPr="004F3BBB">
              <w:rPr>
                <w:szCs w:val="28"/>
                <w:lang w:val="lv-LV"/>
              </w:rPr>
              <w:t>,</w:t>
            </w:r>
          </w:p>
          <w:p w:rsidR="006838F9" w:rsidRPr="004F3BBB" w:rsidRDefault="006838F9" w:rsidP="003F4E2F">
            <w:pPr>
              <w:pStyle w:val="ListParagraph"/>
              <w:numPr>
                <w:ilvl w:val="0"/>
                <w:numId w:val="20"/>
              </w:numPr>
              <w:ind w:left="576" w:right="174" w:hanging="425"/>
              <w:jc w:val="both"/>
              <w:rPr>
                <w:szCs w:val="28"/>
              </w:rPr>
            </w:pPr>
            <w:r w:rsidRPr="004F3BBB">
              <w:rPr>
                <w:szCs w:val="28"/>
                <w:lang w:val="lv-LV"/>
              </w:rPr>
              <w:t>kā</w:t>
            </w:r>
            <w:r w:rsidR="00CD3F25" w:rsidRPr="004F3BBB">
              <w:rPr>
                <w:szCs w:val="28"/>
              </w:rPr>
              <w:t xml:space="preserve"> pakalpojumu stacionārā ārstniecības iestādē,</w:t>
            </w:r>
          </w:p>
          <w:p w:rsidR="00CD3F25" w:rsidRPr="004F3BBB" w:rsidRDefault="006838F9" w:rsidP="003F4E2F">
            <w:pPr>
              <w:pStyle w:val="ListParagraph"/>
              <w:numPr>
                <w:ilvl w:val="0"/>
                <w:numId w:val="20"/>
              </w:numPr>
              <w:ind w:left="576" w:right="174" w:hanging="425"/>
              <w:jc w:val="both"/>
              <w:rPr>
                <w:szCs w:val="28"/>
              </w:rPr>
            </w:pPr>
            <w:r w:rsidRPr="004F3BBB">
              <w:rPr>
                <w:szCs w:val="28"/>
                <w:lang w:val="lv-LV"/>
              </w:rPr>
              <w:t>kā</w:t>
            </w:r>
            <w:r w:rsidR="00CD3F25" w:rsidRPr="004F3BBB">
              <w:rPr>
                <w:szCs w:val="28"/>
              </w:rPr>
              <w:t xml:space="preserve"> pakalpojumu dzīvesvietā.</w:t>
            </w:r>
          </w:p>
          <w:p w:rsidR="006838F9" w:rsidRPr="004F3BBB" w:rsidRDefault="006838F9" w:rsidP="00573C95">
            <w:pPr>
              <w:pStyle w:val="ListParagraph"/>
              <w:ind w:left="151" w:right="174" w:firstLine="425"/>
              <w:jc w:val="both"/>
              <w:rPr>
                <w:szCs w:val="28"/>
              </w:rPr>
            </w:pPr>
            <w:r w:rsidRPr="004F3BBB">
              <w:rPr>
                <w:szCs w:val="28"/>
                <w:lang w:val="lv-LV"/>
              </w:rPr>
              <w:t>Paliatīvā aprūpe attiecīgajā institūcijā bērnam tiek nodrošināta institūcijas sniegtā pakalpojuma ietvaros.</w:t>
            </w:r>
          </w:p>
          <w:p w:rsidR="00A97F11" w:rsidRPr="004F3BBB" w:rsidRDefault="002668B4" w:rsidP="003322F5">
            <w:pPr>
              <w:ind w:left="151" w:right="174" w:firstLine="383"/>
              <w:jc w:val="both"/>
              <w:rPr>
                <w:sz w:val="28"/>
                <w:szCs w:val="28"/>
              </w:rPr>
            </w:pPr>
            <w:r w:rsidRPr="004F3BBB">
              <w:rPr>
                <w:sz w:val="28"/>
                <w:szCs w:val="28"/>
              </w:rPr>
              <w:t>L</w:t>
            </w:r>
            <w:r w:rsidR="00D56018" w:rsidRPr="004F3BBB">
              <w:rPr>
                <w:sz w:val="28"/>
                <w:szCs w:val="28"/>
              </w:rPr>
              <w:t xml:space="preserve">ai paliatīvajā aprūpē esošiem bērniem varētu nodrošināt kompleksu </w:t>
            </w:r>
            <w:r w:rsidR="00F37AC5" w:rsidRPr="004F3BBB">
              <w:rPr>
                <w:sz w:val="28"/>
                <w:szCs w:val="28"/>
              </w:rPr>
              <w:t xml:space="preserve">paliatīvās aprūpes </w:t>
            </w:r>
            <w:r w:rsidR="00D56018" w:rsidRPr="004F3BBB">
              <w:rPr>
                <w:sz w:val="28"/>
                <w:szCs w:val="28"/>
              </w:rPr>
              <w:t>pakalpojumu</w:t>
            </w:r>
            <w:r w:rsidR="006838F9" w:rsidRPr="004F3BBB">
              <w:rPr>
                <w:sz w:val="28"/>
                <w:szCs w:val="28"/>
              </w:rPr>
              <w:t xml:space="preserve"> dzīvesvietā</w:t>
            </w:r>
            <w:r w:rsidR="00D56018" w:rsidRPr="004F3BBB">
              <w:rPr>
                <w:sz w:val="28"/>
                <w:szCs w:val="28"/>
              </w:rPr>
              <w:t xml:space="preserve">, </w:t>
            </w:r>
            <w:r w:rsidRPr="004F3BBB">
              <w:rPr>
                <w:sz w:val="28"/>
                <w:szCs w:val="28"/>
              </w:rPr>
              <w:t xml:space="preserve">viens no iespējamajiem risinājumiem </w:t>
            </w:r>
            <w:r w:rsidR="0082516F" w:rsidRPr="004F3BBB">
              <w:rPr>
                <w:sz w:val="28"/>
                <w:szCs w:val="28"/>
              </w:rPr>
              <w:t xml:space="preserve">ir </w:t>
            </w:r>
            <w:r w:rsidR="00734E9C" w:rsidRPr="004F3BBB">
              <w:rPr>
                <w:sz w:val="28"/>
                <w:szCs w:val="28"/>
              </w:rPr>
              <w:t xml:space="preserve">papildus </w:t>
            </w:r>
            <w:r w:rsidR="00D56018" w:rsidRPr="004F3BBB">
              <w:rPr>
                <w:sz w:val="28"/>
                <w:szCs w:val="28"/>
              </w:rPr>
              <w:t xml:space="preserve">no veselības aprūpes budžeta </w:t>
            </w:r>
            <w:r w:rsidRPr="004F3BBB">
              <w:rPr>
                <w:sz w:val="28"/>
                <w:szCs w:val="28"/>
              </w:rPr>
              <w:t xml:space="preserve">patlaban </w:t>
            </w:r>
            <w:r w:rsidR="00D56018" w:rsidRPr="004F3BBB">
              <w:rPr>
                <w:sz w:val="28"/>
                <w:szCs w:val="28"/>
              </w:rPr>
              <w:t>finansēt</w:t>
            </w:r>
            <w:r w:rsidR="00734E9C" w:rsidRPr="004F3BBB">
              <w:rPr>
                <w:sz w:val="28"/>
                <w:szCs w:val="28"/>
              </w:rPr>
              <w:t>ajam</w:t>
            </w:r>
            <w:r w:rsidRPr="004F3BBB">
              <w:rPr>
                <w:sz w:val="28"/>
                <w:szCs w:val="28"/>
              </w:rPr>
              <w:t xml:space="preserve"> </w:t>
            </w:r>
            <w:r w:rsidR="006C0B4F" w:rsidRPr="004F3BBB">
              <w:rPr>
                <w:sz w:val="28"/>
                <w:szCs w:val="28"/>
              </w:rPr>
              <w:t>veselības</w:t>
            </w:r>
            <w:r w:rsidRPr="004F3BBB">
              <w:rPr>
                <w:sz w:val="28"/>
                <w:szCs w:val="28"/>
              </w:rPr>
              <w:t xml:space="preserve"> aprūpes </w:t>
            </w:r>
            <w:r w:rsidR="006C0B4F" w:rsidRPr="004F3BBB">
              <w:rPr>
                <w:sz w:val="28"/>
                <w:szCs w:val="28"/>
              </w:rPr>
              <w:t>pakalpojum</w:t>
            </w:r>
            <w:r w:rsidR="00734E9C" w:rsidRPr="004F3BBB">
              <w:rPr>
                <w:sz w:val="28"/>
                <w:szCs w:val="28"/>
              </w:rPr>
              <w:t>a</w:t>
            </w:r>
            <w:r w:rsidR="006838F9" w:rsidRPr="004F3BBB">
              <w:rPr>
                <w:sz w:val="28"/>
                <w:szCs w:val="28"/>
              </w:rPr>
              <w:t>m</w:t>
            </w:r>
            <w:r w:rsidR="003F4E2F">
              <w:rPr>
                <w:sz w:val="28"/>
                <w:szCs w:val="28"/>
              </w:rPr>
              <w:t xml:space="preserve"> </w:t>
            </w:r>
            <w:r w:rsidR="00F37AC5" w:rsidRPr="004F3BBB">
              <w:rPr>
                <w:sz w:val="28"/>
                <w:szCs w:val="28"/>
              </w:rPr>
              <w:t xml:space="preserve"> (</w:t>
            </w:r>
            <w:r w:rsidR="00D56018" w:rsidRPr="004F3BBB">
              <w:rPr>
                <w:sz w:val="28"/>
                <w:szCs w:val="28"/>
              </w:rPr>
              <w:t>slimības simptomu remdēšana</w:t>
            </w:r>
            <w:r w:rsidRPr="004F3BBB">
              <w:rPr>
                <w:sz w:val="28"/>
                <w:szCs w:val="28"/>
              </w:rPr>
              <w:t xml:space="preserve"> un nodrošinājums ar īpašiem medicīniskiem nolūkiem paredzēto pārtiku</w:t>
            </w:r>
            <w:r w:rsidR="00F37AC5" w:rsidRPr="004F3BBB">
              <w:rPr>
                <w:sz w:val="28"/>
                <w:szCs w:val="28"/>
              </w:rPr>
              <w:t>)</w:t>
            </w:r>
            <w:r w:rsidR="003F4E2F">
              <w:rPr>
                <w:sz w:val="28"/>
                <w:szCs w:val="28"/>
              </w:rPr>
              <w:t xml:space="preserve"> dzīvesvietā </w:t>
            </w:r>
            <w:r w:rsidR="00734E9C" w:rsidRPr="004F3BBB">
              <w:rPr>
                <w:sz w:val="28"/>
                <w:szCs w:val="28"/>
              </w:rPr>
              <w:t xml:space="preserve">uzsākt </w:t>
            </w:r>
            <w:r w:rsidR="00D56018" w:rsidRPr="004F3BBB">
              <w:rPr>
                <w:sz w:val="28"/>
                <w:szCs w:val="28"/>
              </w:rPr>
              <w:t xml:space="preserve">no </w:t>
            </w:r>
            <w:r w:rsidR="0082516F" w:rsidRPr="004F3BBB">
              <w:rPr>
                <w:sz w:val="28"/>
                <w:szCs w:val="28"/>
              </w:rPr>
              <w:t>valsts budžeta finansēt psihosociālās rehabilitācijas pakalpojumu</w:t>
            </w:r>
            <w:r w:rsidR="00B16BA0" w:rsidRPr="004F3BBB">
              <w:rPr>
                <w:sz w:val="28"/>
                <w:szCs w:val="28"/>
              </w:rPr>
              <w:t xml:space="preserve"> </w:t>
            </w:r>
            <w:r w:rsidR="00B16BA0" w:rsidRPr="004F3BBB">
              <w:rPr>
                <w:rFonts w:eastAsia="Calibri"/>
                <w:sz w:val="28"/>
                <w:szCs w:val="28"/>
              </w:rPr>
              <w:t>(turpmāk arī – pakalpojums</w:t>
            </w:r>
            <w:r w:rsidR="00B16BA0" w:rsidRPr="004F3BBB">
              <w:rPr>
                <w:rFonts w:eastAsia="Calibri"/>
                <w:i/>
                <w:sz w:val="28"/>
                <w:szCs w:val="28"/>
              </w:rPr>
              <w:t>)</w:t>
            </w:r>
            <w:r w:rsidR="0082516F" w:rsidRPr="004F3BBB">
              <w:rPr>
                <w:sz w:val="28"/>
                <w:szCs w:val="28"/>
              </w:rPr>
              <w:t>.</w:t>
            </w:r>
            <w:r w:rsidR="00B16BA0" w:rsidRPr="004F3BBB">
              <w:rPr>
                <w:rFonts w:eastAsia="Calibri"/>
                <w:i/>
                <w:sz w:val="28"/>
                <w:szCs w:val="28"/>
              </w:rPr>
              <w:t xml:space="preserve"> </w:t>
            </w:r>
            <w:r w:rsidR="0082516F" w:rsidRPr="004F3BBB">
              <w:rPr>
                <w:sz w:val="28"/>
                <w:szCs w:val="28"/>
              </w:rPr>
              <w:t>Šād</w:t>
            </w:r>
            <w:r w:rsidR="00D56018" w:rsidRPr="004F3BBB">
              <w:rPr>
                <w:sz w:val="28"/>
                <w:szCs w:val="28"/>
              </w:rPr>
              <w:t>ā veidā kombinēt</w:t>
            </w:r>
            <w:r w:rsidR="00B16BA0" w:rsidRPr="004F3BBB">
              <w:rPr>
                <w:sz w:val="28"/>
                <w:szCs w:val="28"/>
              </w:rPr>
              <w:t>i</w:t>
            </w:r>
            <w:r w:rsidR="00D56018" w:rsidRPr="004F3BBB">
              <w:rPr>
                <w:sz w:val="28"/>
                <w:szCs w:val="28"/>
              </w:rPr>
              <w:t xml:space="preserve"> pakalpojum</w:t>
            </w:r>
            <w:r w:rsidR="00B16BA0" w:rsidRPr="004F3BBB">
              <w:rPr>
                <w:sz w:val="28"/>
                <w:szCs w:val="28"/>
              </w:rPr>
              <w:t>i</w:t>
            </w:r>
            <w:r w:rsidR="00D56018" w:rsidRPr="004F3BBB">
              <w:rPr>
                <w:sz w:val="28"/>
                <w:szCs w:val="28"/>
              </w:rPr>
              <w:t xml:space="preserve"> </w:t>
            </w:r>
            <w:r w:rsidRPr="004F3BBB">
              <w:rPr>
                <w:sz w:val="28"/>
                <w:szCs w:val="28"/>
              </w:rPr>
              <w:t>ļautu mazināt</w:t>
            </w:r>
            <w:r w:rsidR="0082516F" w:rsidRPr="004F3BBB">
              <w:rPr>
                <w:sz w:val="28"/>
                <w:szCs w:val="28"/>
              </w:rPr>
              <w:t xml:space="preserve"> </w:t>
            </w:r>
            <w:r w:rsidR="00D56018" w:rsidRPr="004F3BBB">
              <w:rPr>
                <w:sz w:val="28"/>
                <w:szCs w:val="28"/>
              </w:rPr>
              <w:t xml:space="preserve">slimības simptomus, vienlaikus mazinot </w:t>
            </w:r>
            <w:r w:rsidR="0082516F" w:rsidRPr="004F3BBB">
              <w:rPr>
                <w:sz w:val="28"/>
                <w:szCs w:val="28"/>
              </w:rPr>
              <w:t>paliatīvajā aprūpē esošo bērnu</w:t>
            </w:r>
            <w:r w:rsidR="00D56018" w:rsidRPr="004F3BBB">
              <w:rPr>
                <w:sz w:val="28"/>
                <w:szCs w:val="28"/>
              </w:rPr>
              <w:t xml:space="preserve"> un viņu</w:t>
            </w:r>
            <w:r w:rsidR="0082516F" w:rsidRPr="004F3BBB">
              <w:rPr>
                <w:sz w:val="28"/>
                <w:szCs w:val="28"/>
              </w:rPr>
              <w:t xml:space="preserve"> ģimenes locekļ</w:t>
            </w:r>
            <w:r w:rsidR="00D56018" w:rsidRPr="004F3BBB">
              <w:rPr>
                <w:sz w:val="28"/>
                <w:szCs w:val="28"/>
              </w:rPr>
              <w:t>u</w:t>
            </w:r>
            <w:r w:rsidR="0082516F" w:rsidRPr="004F3BBB">
              <w:rPr>
                <w:sz w:val="28"/>
                <w:szCs w:val="28"/>
              </w:rPr>
              <w:t xml:space="preserve"> sociālo spriedzi</w:t>
            </w:r>
            <w:r w:rsidRPr="004F3BBB">
              <w:rPr>
                <w:sz w:val="28"/>
                <w:szCs w:val="28"/>
              </w:rPr>
              <w:t xml:space="preserve">.  </w:t>
            </w:r>
            <w:r w:rsidR="00734E9C" w:rsidRPr="004F3BBB">
              <w:rPr>
                <w:sz w:val="28"/>
                <w:szCs w:val="28"/>
              </w:rPr>
              <w:t>Tas</w:t>
            </w:r>
            <w:r w:rsidRPr="004F3BBB">
              <w:rPr>
                <w:sz w:val="28"/>
                <w:szCs w:val="28"/>
              </w:rPr>
              <w:t xml:space="preserve"> nodrošin</w:t>
            </w:r>
            <w:r w:rsidR="00FD012C" w:rsidRPr="004F3BBB">
              <w:rPr>
                <w:sz w:val="28"/>
                <w:szCs w:val="28"/>
              </w:rPr>
              <w:t>ātu</w:t>
            </w:r>
            <w:r w:rsidRPr="004F3BBB">
              <w:rPr>
                <w:sz w:val="28"/>
                <w:szCs w:val="28"/>
              </w:rPr>
              <w:t xml:space="preserve"> </w:t>
            </w:r>
            <w:r w:rsidR="00A54FCB" w:rsidRPr="004F3BBB">
              <w:rPr>
                <w:sz w:val="28"/>
                <w:szCs w:val="28"/>
              </w:rPr>
              <w:t xml:space="preserve">veselības aprūpi </w:t>
            </w:r>
            <w:r w:rsidRPr="004F3BBB">
              <w:rPr>
                <w:sz w:val="28"/>
                <w:szCs w:val="28"/>
              </w:rPr>
              <w:t xml:space="preserve">un psihosociālo rehabilitāciju sniedzošo speciālistu </w:t>
            </w:r>
            <w:r w:rsidR="00770EAC" w:rsidRPr="004F3BBB">
              <w:rPr>
                <w:sz w:val="28"/>
                <w:szCs w:val="28"/>
              </w:rPr>
              <w:t xml:space="preserve">savstarpēji koordinētu rīcību vienas </w:t>
            </w:r>
            <w:r w:rsidR="007C5668">
              <w:rPr>
                <w:sz w:val="28"/>
                <w:szCs w:val="28"/>
              </w:rPr>
              <w:t>starp</w:t>
            </w:r>
            <w:r w:rsidR="00770EAC" w:rsidRPr="004F3BBB">
              <w:rPr>
                <w:sz w:val="28"/>
                <w:szCs w:val="28"/>
              </w:rPr>
              <w:t>disciplinā</w:t>
            </w:r>
            <w:r w:rsidR="00734E9C" w:rsidRPr="004F3BBB">
              <w:rPr>
                <w:sz w:val="28"/>
                <w:szCs w:val="28"/>
              </w:rPr>
              <w:t>r</w:t>
            </w:r>
            <w:r w:rsidR="00770EAC" w:rsidRPr="004F3BBB">
              <w:rPr>
                <w:sz w:val="28"/>
                <w:szCs w:val="28"/>
              </w:rPr>
              <w:t xml:space="preserve">as komandas sastāvā saskaņā ar vienotu bērna paliatīvās aprūpes plānu. </w:t>
            </w:r>
          </w:p>
          <w:p w:rsidR="00112D04" w:rsidRPr="004F3BBB" w:rsidRDefault="000C0ECA" w:rsidP="003322F5">
            <w:pPr>
              <w:ind w:left="151" w:right="174" w:firstLine="383"/>
              <w:jc w:val="both"/>
              <w:rPr>
                <w:sz w:val="28"/>
                <w:szCs w:val="28"/>
              </w:rPr>
            </w:pPr>
            <w:r w:rsidRPr="004F3BBB">
              <w:rPr>
                <w:sz w:val="28"/>
                <w:szCs w:val="28"/>
              </w:rPr>
              <w:t xml:space="preserve">Kopš </w:t>
            </w:r>
            <w:r w:rsidR="00112D04" w:rsidRPr="004F3BBB">
              <w:rPr>
                <w:sz w:val="28"/>
                <w:szCs w:val="28"/>
              </w:rPr>
              <w:t>2000.gad</w:t>
            </w:r>
            <w:r w:rsidRPr="004F3BBB">
              <w:rPr>
                <w:sz w:val="28"/>
                <w:szCs w:val="28"/>
              </w:rPr>
              <w:t>a</w:t>
            </w:r>
            <w:r w:rsidR="00112D04" w:rsidRPr="004F3BBB">
              <w:rPr>
                <w:sz w:val="28"/>
                <w:szCs w:val="28"/>
              </w:rPr>
              <w:t xml:space="preserve"> B</w:t>
            </w:r>
            <w:r w:rsidR="00770EAC" w:rsidRPr="004F3BBB">
              <w:rPr>
                <w:sz w:val="28"/>
                <w:szCs w:val="28"/>
              </w:rPr>
              <w:t>ērnu paliatīv</w:t>
            </w:r>
            <w:r w:rsidR="0000607E" w:rsidRPr="004F3BBB">
              <w:rPr>
                <w:sz w:val="28"/>
                <w:szCs w:val="28"/>
              </w:rPr>
              <w:t>ā</w:t>
            </w:r>
            <w:r w:rsidR="00770EAC" w:rsidRPr="004F3BBB">
              <w:rPr>
                <w:sz w:val="28"/>
                <w:szCs w:val="28"/>
              </w:rPr>
              <w:t xml:space="preserve">s aprūpes biedrība (turpmāk – </w:t>
            </w:r>
            <w:r w:rsidR="00112D04" w:rsidRPr="004F3BBB">
              <w:rPr>
                <w:sz w:val="28"/>
                <w:szCs w:val="28"/>
              </w:rPr>
              <w:t>B</w:t>
            </w:r>
            <w:r w:rsidR="00FD012C" w:rsidRPr="004F3BBB">
              <w:rPr>
                <w:sz w:val="28"/>
                <w:szCs w:val="28"/>
              </w:rPr>
              <w:t>iedrība</w:t>
            </w:r>
            <w:r w:rsidR="00770EAC" w:rsidRPr="004F3BBB">
              <w:rPr>
                <w:sz w:val="28"/>
                <w:szCs w:val="28"/>
              </w:rPr>
              <w:t>)</w:t>
            </w:r>
            <w:r w:rsidR="00112D04" w:rsidRPr="004F3BBB">
              <w:rPr>
                <w:sz w:val="28"/>
                <w:szCs w:val="28"/>
              </w:rPr>
              <w:t xml:space="preserve"> </w:t>
            </w:r>
            <w:r w:rsidRPr="004F3BBB">
              <w:rPr>
                <w:sz w:val="28"/>
                <w:szCs w:val="28"/>
              </w:rPr>
              <w:t>sniedz paliatīvās aprūpes pakalpojumu</w:t>
            </w:r>
            <w:r w:rsidR="007C5668">
              <w:rPr>
                <w:sz w:val="28"/>
                <w:szCs w:val="28"/>
              </w:rPr>
              <w:t xml:space="preserve"> bērniem</w:t>
            </w:r>
            <w:r w:rsidRPr="004F3BBB">
              <w:rPr>
                <w:sz w:val="28"/>
                <w:szCs w:val="28"/>
              </w:rPr>
              <w:t xml:space="preserve">. Biedrība ir </w:t>
            </w:r>
            <w:r w:rsidR="00112D04" w:rsidRPr="004F3BBB">
              <w:rPr>
                <w:sz w:val="28"/>
                <w:szCs w:val="28"/>
              </w:rPr>
              <w:t>izveidoj</w:t>
            </w:r>
            <w:r w:rsidRPr="004F3BBB">
              <w:rPr>
                <w:sz w:val="28"/>
                <w:szCs w:val="28"/>
              </w:rPr>
              <w:t>usi</w:t>
            </w:r>
            <w:r w:rsidR="00112D04" w:rsidRPr="004F3BBB">
              <w:rPr>
                <w:sz w:val="28"/>
                <w:szCs w:val="28"/>
              </w:rPr>
              <w:t xml:space="preserve"> bērnu paliatīvās aprūpes </w:t>
            </w:r>
            <w:r w:rsidR="00EB7050" w:rsidRPr="004F3BBB">
              <w:rPr>
                <w:sz w:val="28"/>
                <w:szCs w:val="28"/>
              </w:rPr>
              <w:t xml:space="preserve">starpdisciplināro </w:t>
            </w:r>
            <w:r w:rsidR="00112D04" w:rsidRPr="004F3BBB">
              <w:rPr>
                <w:sz w:val="28"/>
                <w:szCs w:val="28"/>
              </w:rPr>
              <w:t>vienību, kuras sastāvā darbojas ārsts, medicīnas māsa, psihologs, psihoterapeits, sociālais darbinieks un kapelāns. Vienība darbojas Bērnu klīniskajā universitātes slimnīcā</w:t>
            </w:r>
            <w:r w:rsidR="003F4E2F">
              <w:rPr>
                <w:sz w:val="28"/>
                <w:szCs w:val="28"/>
              </w:rPr>
              <w:t xml:space="preserve"> un p</w:t>
            </w:r>
            <w:r w:rsidR="00770EAC" w:rsidRPr="004F3BBB">
              <w:rPr>
                <w:sz w:val="28"/>
                <w:szCs w:val="28"/>
              </w:rPr>
              <w:t>irmajā darbības gadā tās aprūpē bija 5 bērni.</w:t>
            </w:r>
            <w:r w:rsidR="00112D04" w:rsidRPr="004F3BBB">
              <w:rPr>
                <w:sz w:val="28"/>
                <w:szCs w:val="28"/>
              </w:rPr>
              <w:t xml:space="preserve"> 2013.gadā paliatīvās aprūpes vienība Bērnu klīniskajā universitātes slimnīcā pārveidota par paliatīvās aprūpes kabinetu</w:t>
            </w:r>
            <w:r w:rsidR="008261DC" w:rsidRPr="004F3BBB">
              <w:rPr>
                <w:sz w:val="28"/>
                <w:szCs w:val="28"/>
              </w:rPr>
              <w:t>.</w:t>
            </w:r>
          </w:p>
          <w:p w:rsidR="00112D04" w:rsidRPr="004F3BBB" w:rsidRDefault="00770EAC" w:rsidP="00D54574">
            <w:pPr>
              <w:ind w:left="151" w:right="174" w:firstLine="567"/>
              <w:jc w:val="both"/>
              <w:rPr>
                <w:sz w:val="28"/>
                <w:szCs w:val="28"/>
              </w:rPr>
            </w:pPr>
            <w:r w:rsidRPr="004F3BBB">
              <w:rPr>
                <w:sz w:val="28"/>
                <w:szCs w:val="28"/>
              </w:rPr>
              <w:t>K</w:t>
            </w:r>
            <w:r w:rsidR="00112D04" w:rsidRPr="004F3BBB">
              <w:rPr>
                <w:sz w:val="28"/>
                <w:szCs w:val="28"/>
              </w:rPr>
              <w:t xml:space="preserve">opš 2012.gada bērnu paliatīvās aprūpes pakalpojumu </w:t>
            </w:r>
            <w:r w:rsidR="007C5668">
              <w:rPr>
                <w:sz w:val="28"/>
                <w:szCs w:val="28"/>
              </w:rPr>
              <w:t>dzīvesvietā</w:t>
            </w:r>
            <w:r w:rsidR="00112D04" w:rsidRPr="004F3BBB">
              <w:rPr>
                <w:sz w:val="28"/>
                <w:szCs w:val="28"/>
              </w:rPr>
              <w:t xml:space="preserve">, galvenokārt Liepājas reģionā dzīvojošajiem bērniem, nodrošina </w:t>
            </w:r>
            <w:r w:rsidRPr="004F3BBB">
              <w:rPr>
                <w:sz w:val="28"/>
                <w:szCs w:val="28"/>
              </w:rPr>
              <w:t xml:space="preserve">arī </w:t>
            </w:r>
            <w:r w:rsidR="00112D04" w:rsidRPr="004F3BBB">
              <w:rPr>
                <w:sz w:val="28"/>
                <w:szCs w:val="28"/>
              </w:rPr>
              <w:t xml:space="preserve">Liepājas Reģionālajā slimnīcā izveidotā bērnu </w:t>
            </w:r>
            <w:r w:rsidR="00112D04" w:rsidRPr="004F3BBB">
              <w:rPr>
                <w:sz w:val="28"/>
                <w:szCs w:val="28"/>
              </w:rPr>
              <w:lastRenderedPageBreak/>
              <w:t xml:space="preserve">paliatīvās aprūpes kabineta speciālisti. </w:t>
            </w:r>
          </w:p>
          <w:p w:rsidR="00CC5E59" w:rsidRPr="004F3BBB" w:rsidRDefault="00770EAC" w:rsidP="00D54574">
            <w:pPr>
              <w:ind w:left="151" w:right="174" w:firstLine="567"/>
              <w:jc w:val="both"/>
              <w:rPr>
                <w:sz w:val="28"/>
                <w:szCs w:val="28"/>
              </w:rPr>
            </w:pPr>
            <w:r w:rsidRPr="004F3BBB">
              <w:rPr>
                <w:sz w:val="28"/>
                <w:szCs w:val="28"/>
              </w:rPr>
              <w:t>Ab</w:t>
            </w:r>
            <w:r w:rsidR="006C0B4F" w:rsidRPr="004F3BBB">
              <w:rPr>
                <w:sz w:val="28"/>
                <w:szCs w:val="28"/>
              </w:rPr>
              <w:t>a</w:t>
            </w:r>
            <w:r w:rsidRPr="004F3BBB">
              <w:rPr>
                <w:sz w:val="28"/>
                <w:szCs w:val="28"/>
              </w:rPr>
              <w:t>s minētās vienīb</w:t>
            </w:r>
            <w:r w:rsidR="006C0B4F" w:rsidRPr="004F3BBB">
              <w:rPr>
                <w:sz w:val="28"/>
                <w:szCs w:val="28"/>
              </w:rPr>
              <w:t>a</w:t>
            </w:r>
            <w:r w:rsidRPr="004F3BBB">
              <w:rPr>
                <w:sz w:val="28"/>
                <w:szCs w:val="28"/>
              </w:rPr>
              <w:t xml:space="preserve">s </w:t>
            </w:r>
            <w:r w:rsidR="006C0B4F" w:rsidRPr="004F3BBB">
              <w:rPr>
                <w:sz w:val="28"/>
                <w:szCs w:val="28"/>
              </w:rPr>
              <w:t xml:space="preserve">dažādas intensitātes paliatīvo aprūpi </w:t>
            </w:r>
            <w:r w:rsidR="007C5668">
              <w:rPr>
                <w:sz w:val="28"/>
                <w:szCs w:val="28"/>
              </w:rPr>
              <w:t>bērniem dzīvesvietā</w:t>
            </w:r>
            <w:r w:rsidR="006C0B4F" w:rsidRPr="004F3BBB">
              <w:rPr>
                <w:sz w:val="28"/>
                <w:szCs w:val="28"/>
              </w:rPr>
              <w:t xml:space="preserve"> nodrošināja kopā 292 bērniem 2015. gadā un 294 bērniem 2016. gadā. </w:t>
            </w:r>
          </w:p>
          <w:p w:rsidR="00770EAC" w:rsidRPr="004F3BBB" w:rsidRDefault="00CC5E59" w:rsidP="00D54574">
            <w:pPr>
              <w:ind w:left="151" w:right="174" w:firstLine="567"/>
              <w:jc w:val="both"/>
              <w:rPr>
                <w:sz w:val="28"/>
                <w:szCs w:val="28"/>
              </w:rPr>
            </w:pPr>
            <w:r w:rsidRPr="004F3BBB">
              <w:rPr>
                <w:sz w:val="28"/>
                <w:szCs w:val="28"/>
              </w:rPr>
              <w:t xml:space="preserve">Paliatīvās aprūpes </w:t>
            </w:r>
            <w:r w:rsidR="00EB7050" w:rsidRPr="004F3BBB">
              <w:rPr>
                <w:sz w:val="28"/>
                <w:szCs w:val="28"/>
              </w:rPr>
              <w:t xml:space="preserve">starpdisciplinārajā </w:t>
            </w:r>
            <w:r w:rsidRPr="004F3BBB">
              <w:rPr>
                <w:sz w:val="28"/>
                <w:szCs w:val="28"/>
              </w:rPr>
              <w:t xml:space="preserve">komandā ietilpstošo </w:t>
            </w:r>
            <w:r w:rsidR="000C0ECA" w:rsidRPr="004F3BBB">
              <w:rPr>
                <w:sz w:val="28"/>
                <w:szCs w:val="28"/>
              </w:rPr>
              <w:t>speciālistu (</w:t>
            </w:r>
            <w:r w:rsidRPr="004F3BBB">
              <w:rPr>
                <w:sz w:val="28"/>
                <w:szCs w:val="28"/>
              </w:rPr>
              <w:t>ārst</w:t>
            </w:r>
            <w:r w:rsidR="000C0ECA" w:rsidRPr="004F3BBB">
              <w:rPr>
                <w:sz w:val="28"/>
                <w:szCs w:val="28"/>
              </w:rPr>
              <w:t>s</w:t>
            </w:r>
            <w:r w:rsidRPr="004F3BBB">
              <w:rPr>
                <w:sz w:val="28"/>
                <w:szCs w:val="28"/>
              </w:rPr>
              <w:t>, māsa, psiholog</w:t>
            </w:r>
            <w:r w:rsidR="000C0ECA" w:rsidRPr="004F3BBB">
              <w:rPr>
                <w:sz w:val="28"/>
                <w:szCs w:val="28"/>
              </w:rPr>
              <w:t>s</w:t>
            </w:r>
            <w:r w:rsidRPr="004F3BBB">
              <w:rPr>
                <w:sz w:val="28"/>
                <w:szCs w:val="28"/>
              </w:rPr>
              <w:t>, psihoterapeit</w:t>
            </w:r>
            <w:r w:rsidR="000C0ECA" w:rsidRPr="004F3BBB">
              <w:rPr>
                <w:sz w:val="28"/>
                <w:szCs w:val="28"/>
              </w:rPr>
              <w:t>s)</w:t>
            </w:r>
            <w:r w:rsidRPr="004F3BBB">
              <w:rPr>
                <w:sz w:val="28"/>
                <w:szCs w:val="28"/>
              </w:rPr>
              <w:t xml:space="preserve"> darbība (atalgojums, paliatīvās aprūpes kabineta uzturēšana, aprīkojums, sakaru līdzekļi, telemedicīnas līdzekļi) tiek nodrošināti no veselības aprūpes budžeta atbilstoši </w:t>
            </w:r>
            <w:r w:rsidR="007C5668" w:rsidRPr="004F3BBB">
              <w:rPr>
                <w:sz w:val="28"/>
                <w:szCs w:val="28"/>
              </w:rPr>
              <w:t xml:space="preserve">Ministru kabineta </w:t>
            </w:r>
            <w:r w:rsidRPr="004F3BBB">
              <w:rPr>
                <w:sz w:val="28"/>
                <w:szCs w:val="28"/>
              </w:rPr>
              <w:t>2013.gada 17.decembra noteikumos Nr</w:t>
            </w:r>
            <w:r w:rsidR="000C0ECA" w:rsidRPr="004F3BBB">
              <w:rPr>
                <w:sz w:val="28"/>
                <w:szCs w:val="28"/>
              </w:rPr>
              <w:t>.</w:t>
            </w:r>
            <w:r w:rsidRPr="004F3BBB">
              <w:rPr>
                <w:sz w:val="28"/>
                <w:szCs w:val="28"/>
              </w:rPr>
              <w:t xml:space="preserve"> 1529 „Veselības aprūpes organizēšanas un finansēšanas kārtība” noteiktajam. Savukārt </w:t>
            </w:r>
            <w:r w:rsidR="007C5668">
              <w:rPr>
                <w:sz w:val="28"/>
                <w:szCs w:val="28"/>
              </w:rPr>
              <w:t>starp</w:t>
            </w:r>
            <w:r w:rsidR="00770EAC" w:rsidRPr="004F3BBB">
              <w:rPr>
                <w:sz w:val="28"/>
                <w:szCs w:val="28"/>
              </w:rPr>
              <w:t xml:space="preserve">disciplinārajā komandā ietilpstošo sociālo darbinieku un kapelānu darbība </w:t>
            </w:r>
            <w:r w:rsidRPr="004F3BBB">
              <w:rPr>
                <w:sz w:val="28"/>
                <w:szCs w:val="28"/>
              </w:rPr>
              <w:t xml:space="preserve">psihosociālās rehabilitācijas nodrošināšanai </w:t>
            </w:r>
            <w:r w:rsidR="006C0B4F" w:rsidRPr="004F3BBB">
              <w:rPr>
                <w:sz w:val="28"/>
                <w:szCs w:val="28"/>
              </w:rPr>
              <w:t xml:space="preserve">paliatīvās aprūpes </w:t>
            </w:r>
            <w:r w:rsidR="00FD012C" w:rsidRPr="004F3BBB">
              <w:rPr>
                <w:sz w:val="28"/>
                <w:szCs w:val="28"/>
              </w:rPr>
              <w:t xml:space="preserve">pakalpojuma </w:t>
            </w:r>
            <w:r w:rsidRPr="004F3BBB">
              <w:rPr>
                <w:sz w:val="28"/>
                <w:szCs w:val="28"/>
              </w:rPr>
              <w:t xml:space="preserve">ietvaros </w:t>
            </w:r>
            <w:r w:rsidR="006C0B4F" w:rsidRPr="004F3BBB">
              <w:rPr>
                <w:sz w:val="28"/>
                <w:szCs w:val="28"/>
              </w:rPr>
              <w:t xml:space="preserve">pašreiz </w:t>
            </w:r>
            <w:r w:rsidR="00770EAC" w:rsidRPr="004F3BBB">
              <w:rPr>
                <w:sz w:val="28"/>
                <w:szCs w:val="28"/>
              </w:rPr>
              <w:t>tiek finansēta no nevalstisko organizāciju – B</w:t>
            </w:r>
            <w:r w:rsidR="00FD012C" w:rsidRPr="004F3BBB">
              <w:rPr>
                <w:sz w:val="28"/>
                <w:szCs w:val="28"/>
              </w:rPr>
              <w:t>iedrības</w:t>
            </w:r>
            <w:r w:rsidR="00770EAC" w:rsidRPr="004F3BBB">
              <w:rPr>
                <w:sz w:val="28"/>
                <w:szCs w:val="28"/>
              </w:rPr>
              <w:t xml:space="preserve"> un </w:t>
            </w:r>
            <w:r w:rsidR="00FD012C" w:rsidRPr="004F3BBB">
              <w:rPr>
                <w:sz w:val="28"/>
                <w:szCs w:val="28"/>
              </w:rPr>
              <w:t xml:space="preserve">biedrības </w:t>
            </w:r>
            <w:r w:rsidR="00770EAC" w:rsidRPr="004F3BBB">
              <w:rPr>
                <w:sz w:val="28"/>
                <w:szCs w:val="28"/>
              </w:rPr>
              <w:t>„Dižvanagi” piesaistītajiem projektu un ziedojumu  līdzekļiem</w:t>
            </w:r>
            <w:r w:rsidR="0097204D" w:rsidRPr="004F3BBB">
              <w:rPr>
                <w:sz w:val="28"/>
                <w:szCs w:val="28"/>
              </w:rPr>
              <w:t>.</w:t>
            </w:r>
            <w:r w:rsidR="00770EAC" w:rsidRPr="004F3BBB">
              <w:rPr>
                <w:sz w:val="28"/>
                <w:szCs w:val="28"/>
              </w:rPr>
              <w:t xml:space="preserve"> </w:t>
            </w:r>
            <w:r w:rsidR="00EB7050" w:rsidRPr="004F3BBB">
              <w:rPr>
                <w:sz w:val="28"/>
                <w:szCs w:val="28"/>
              </w:rPr>
              <w:t xml:space="preserve">Lai nodrošinātu paliatīvajā aprūpē esošajiem bērniem un viņu ģimenes locekļiem iespēju saņemt kompleksu pakalpojumu, </w:t>
            </w:r>
            <w:r w:rsidR="000C0ECA" w:rsidRPr="004F3BBB">
              <w:rPr>
                <w:sz w:val="28"/>
                <w:szCs w:val="28"/>
              </w:rPr>
              <w:t>visu starpdisciplinār</w:t>
            </w:r>
            <w:r w:rsidR="003F4E2F">
              <w:rPr>
                <w:sz w:val="28"/>
                <w:szCs w:val="28"/>
              </w:rPr>
              <w:t>aj</w:t>
            </w:r>
            <w:r w:rsidR="000C0ECA" w:rsidRPr="004F3BBB">
              <w:rPr>
                <w:sz w:val="28"/>
                <w:szCs w:val="28"/>
              </w:rPr>
              <w:t>ā paliatīvās aprūpes komand</w:t>
            </w:r>
            <w:r w:rsidR="003F4E2F">
              <w:rPr>
                <w:sz w:val="28"/>
                <w:szCs w:val="28"/>
              </w:rPr>
              <w:t>ā ietilpstošo</w:t>
            </w:r>
            <w:r w:rsidR="000C0ECA" w:rsidRPr="004F3BBB">
              <w:rPr>
                <w:sz w:val="28"/>
                <w:szCs w:val="28"/>
              </w:rPr>
              <w:t xml:space="preserve"> </w:t>
            </w:r>
            <w:r w:rsidR="003F4E2F">
              <w:rPr>
                <w:sz w:val="28"/>
                <w:szCs w:val="28"/>
              </w:rPr>
              <w:t xml:space="preserve">speciālistu </w:t>
            </w:r>
            <w:r w:rsidR="000C0ECA" w:rsidRPr="004F3BBB">
              <w:rPr>
                <w:sz w:val="28"/>
                <w:szCs w:val="28"/>
              </w:rPr>
              <w:t>darbu būtu nepieciešams finansēt no valsts budžeta līdzekļiem.</w:t>
            </w:r>
          </w:p>
          <w:p w:rsidR="000609BF" w:rsidRPr="004F3BBB" w:rsidRDefault="0082516F" w:rsidP="00D54574">
            <w:pPr>
              <w:ind w:left="151" w:right="174" w:firstLine="383"/>
              <w:jc w:val="both"/>
              <w:rPr>
                <w:sz w:val="28"/>
                <w:szCs w:val="28"/>
              </w:rPr>
            </w:pPr>
            <w:r w:rsidRPr="004F3BBB">
              <w:rPr>
                <w:sz w:val="28"/>
                <w:szCs w:val="28"/>
              </w:rPr>
              <w:t>Labklājības ministrijas sagatavot</w:t>
            </w:r>
            <w:r w:rsidR="006C0B4F" w:rsidRPr="004F3BBB">
              <w:rPr>
                <w:sz w:val="28"/>
                <w:szCs w:val="28"/>
              </w:rPr>
              <w:t>ā likumprojekta „Grozījumi</w:t>
            </w:r>
            <w:r w:rsidRPr="004F3BBB">
              <w:rPr>
                <w:sz w:val="28"/>
                <w:szCs w:val="28"/>
              </w:rPr>
              <w:t xml:space="preserve"> Sociālo pakalpojumu un sociālās palīdzības likum</w:t>
            </w:r>
            <w:r w:rsidR="006C0B4F" w:rsidRPr="004F3BBB">
              <w:rPr>
                <w:sz w:val="28"/>
                <w:szCs w:val="28"/>
              </w:rPr>
              <w:t xml:space="preserve">ā” </w:t>
            </w:r>
            <w:r w:rsidR="00D56018" w:rsidRPr="004F3BBB">
              <w:rPr>
                <w:sz w:val="28"/>
                <w:szCs w:val="28"/>
              </w:rPr>
              <w:t xml:space="preserve">izskatīšanas gaitā Saeimā </w:t>
            </w:r>
            <w:r w:rsidR="006C0B4F" w:rsidRPr="004F3BBB">
              <w:rPr>
                <w:sz w:val="28"/>
                <w:szCs w:val="28"/>
              </w:rPr>
              <w:t xml:space="preserve">likumprojekts </w:t>
            </w:r>
            <w:r w:rsidR="00D56018" w:rsidRPr="004F3BBB">
              <w:rPr>
                <w:sz w:val="28"/>
                <w:szCs w:val="28"/>
              </w:rPr>
              <w:t>tika papildināts</w:t>
            </w:r>
            <w:r w:rsidRPr="004F3BBB">
              <w:rPr>
                <w:sz w:val="28"/>
                <w:szCs w:val="28"/>
              </w:rPr>
              <w:t xml:space="preserve"> ar valsts pienākumu, sākot no 2018.gada</w:t>
            </w:r>
            <w:r w:rsidR="006C0B4F" w:rsidRPr="004F3BBB">
              <w:rPr>
                <w:sz w:val="28"/>
                <w:szCs w:val="28"/>
              </w:rPr>
              <w:t xml:space="preserve"> 1.janvāra</w:t>
            </w:r>
            <w:r w:rsidRPr="004F3BBB">
              <w:rPr>
                <w:sz w:val="28"/>
                <w:szCs w:val="28"/>
              </w:rPr>
              <w:t xml:space="preserve"> atbilstoši ikgadējā valsts budžeta likumā piešķirtajiem līdzekļiem</w:t>
            </w:r>
            <w:r w:rsidR="000609BF" w:rsidRPr="004F3BBB">
              <w:rPr>
                <w:sz w:val="28"/>
                <w:szCs w:val="28"/>
              </w:rPr>
              <w:t xml:space="preserve"> nodrošināt </w:t>
            </w:r>
            <w:r w:rsidR="000609BF" w:rsidRPr="004F3BBB">
              <w:rPr>
                <w:rFonts w:eastAsia="Calibri"/>
                <w:i/>
                <w:sz w:val="28"/>
                <w:szCs w:val="28"/>
              </w:rPr>
              <w:t xml:space="preserve">psihosociālo rehabilitāciju </w:t>
            </w:r>
            <w:r w:rsidR="00981CB4" w:rsidRPr="004F3BBB">
              <w:rPr>
                <w:rFonts w:eastAsia="Calibri"/>
                <w:i/>
                <w:sz w:val="28"/>
                <w:szCs w:val="28"/>
              </w:rPr>
              <w:t>paliatīvajā aprūpē esošajiem bērniem un</w:t>
            </w:r>
            <w:r w:rsidR="000609BF" w:rsidRPr="004F3BBB">
              <w:rPr>
                <w:rFonts w:eastAsia="Calibri"/>
                <w:i/>
                <w:sz w:val="28"/>
                <w:szCs w:val="28"/>
              </w:rPr>
              <w:t xml:space="preserve"> to ģimenes locekļiem</w:t>
            </w:r>
            <w:r w:rsidR="000609BF" w:rsidRPr="004F3BBB">
              <w:rPr>
                <w:sz w:val="28"/>
                <w:szCs w:val="28"/>
              </w:rPr>
              <w:t xml:space="preserve">. </w:t>
            </w:r>
            <w:r w:rsidR="00BE675C" w:rsidRPr="004F3BBB">
              <w:rPr>
                <w:sz w:val="28"/>
                <w:szCs w:val="28"/>
              </w:rPr>
              <w:t>P</w:t>
            </w:r>
            <w:r w:rsidR="006C0B4F" w:rsidRPr="004F3BBB">
              <w:rPr>
                <w:sz w:val="28"/>
                <w:szCs w:val="28"/>
              </w:rPr>
              <w:t>akalpojuma nodrošināšana deleģēta Biedrībai, bet p</w:t>
            </w:r>
            <w:r w:rsidR="000609BF" w:rsidRPr="004F3BBB">
              <w:rPr>
                <w:sz w:val="28"/>
                <w:szCs w:val="28"/>
              </w:rPr>
              <w:t>akalpojuma veidu, apjomu, saturu, saņemšanas nosacījumus un piešķiršanas kārtību nosaka Ministru kabinets</w:t>
            </w:r>
            <w:r w:rsidR="00652DEF" w:rsidRPr="004F3BBB">
              <w:rPr>
                <w:sz w:val="28"/>
                <w:szCs w:val="28"/>
              </w:rPr>
              <w:t xml:space="preserve">. </w:t>
            </w:r>
          </w:p>
          <w:p w:rsidR="00E72105" w:rsidRDefault="00FC297D" w:rsidP="00D54574">
            <w:pPr>
              <w:ind w:left="151" w:right="174" w:firstLine="567"/>
              <w:jc w:val="both"/>
              <w:rPr>
                <w:sz w:val="28"/>
                <w:szCs w:val="28"/>
              </w:rPr>
            </w:pPr>
            <w:r w:rsidRPr="004F3BBB">
              <w:rPr>
                <w:sz w:val="28"/>
                <w:szCs w:val="28"/>
              </w:rPr>
              <w:t>Atbilstoši Sociālo pakalpojumu un sociālās palīdzības likuma 13.panta 2</w:t>
            </w:r>
            <w:r w:rsidRPr="004F3BBB">
              <w:rPr>
                <w:sz w:val="28"/>
                <w:szCs w:val="28"/>
                <w:vertAlign w:val="superscript"/>
              </w:rPr>
              <w:t>3</w:t>
            </w:r>
            <w:r w:rsidRPr="004F3BBB">
              <w:rPr>
                <w:sz w:val="28"/>
                <w:szCs w:val="28"/>
              </w:rPr>
              <w:t>daļai, īstenojot deleģēto uzdevumu</w:t>
            </w:r>
            <w:r w:rsidR="008362CD" w:rsidRPr="004F3BBB">
              <w:rPr>
                <w:sz w:val="28"/>
                <w:szCs w:val="28"/>
              </w:rPr>
              <w:t>,</w:t>
            </w:r>
            <w:r w:rsidRPr="004F3BBB">
              <w:rPr>
                <w:sz w:val="28"/>
                <w:szCs w:val="28"/>
              </w:rPr>
              <w:t xml:space="preserve"> Biedrība atrodas Labklājības </w:t>
            </w:r>
            <w:r w:rsidRPr="004F3BBB">
              <w:rPr>
                <w:sz w:val="28"/>
                <w:szCs w:val="28"/>
              </w:rPr>
              <w:lastRenderedPageBreak/>
              <w:t>ministrijas funkcionālā pārraudzībā, nodrošina piešķirto valsts budžeta līdzekļu racionālu izlietojumu un kontroli, administrēšanas izdevumiem izlietojot ne vairāk kā 10 procentus no šo pakalpojumu nodrošināšanai piešķirtajiem valsts budžeta līdzekļiem. Šo pienākumu izpildes nodrošināšanai Biedrība ir tiesīga izdot administratīvos aktus.</w:t>
            </w:r>
            <w:r w:rsidRPr="004F3BBB" w:rsidDel="006C0B4F">
              <w:rPr>
                <w:sz w:val="28"/>
                <w:szCs w:val="28"/>
              </w:rPr>
              <w:t xml:space="preserve"> </w:t>
            </w:r>
            <w:r w:rsidR="00A57C31" w:rsidRPr="004F3BBB">
              <w:rPr>
                <w:sz w:val="28"/>
                <w:szCs w:val="28"/>
              </w:rPr>
              <w:t>Saskaņā ar noteikumu projektu Labklājības ministrija slēdz ar Biedrību līgumu par deleģēto uzdevumu izpildes kārtību. Līgumā iekļauj pakalpojuma finansēšanas nosacījumus, pakalpojuma nodrošināšanas pārraudzības un informācijas aprites kārtību, finanšu un statistikas pārskatu iesniegšanas noteikumus un citus pakalpojuma sniegšanai būtiskus noteikumus.</w:t>
            </w:r>
            <w:r w:rsidR="002D33C3" w:rsidRPr="004F3BBB">
              <w:rPr>
                <w:sz w:val="28"/>
                <w:szCs w:val="28"/>
              </w:rPr>
              <w:t xml:space="preserve"> </w:t>
            </w:r>
          </w:p>
          <w:p w:rsidR="009F2B16" w:rsidRPr="004F3BBB" w:rsidRDefault="009F2B16" w:rsidP="00D54574">
            <w:pPr>
              <w:ind w:left="151" w:right="174" w:firstLine="567"/>
              <w:jc w:val="both"/>
              <w:rPr>
                <w:sz w:val="28"/>
                <w:szCs w:val="28"/>
              </w:rPr>
            </w:pPr>
            <w:r w:rsidRPr="004F3BBB">
              <w:rPr>
                <w:sz w:val="28"/>
                <w:szCs w:val="28"/>
              </w:rPr>
              <w:t>2013. gada maijā Nacionālais veselības dienests reģistrējis Bērnu paliatīvās aprūpes klīniskās vadlīnijas.</w:t>
            </w:r>
            <w:r w:rsidRPr="004F3BBB">
              <w:rPr>
                <w:rStyle w:val="FootnoteReference"/>
                <w:sz w:val="28"/>
                <w:szCs w:val="28"/>
              </w:rPr>
              <w:footnoteReference w:id="1"/>
            </w:r>
            <w:r w:rsidRPr="004F3BBB">
              <w:rPr>
                <w:sz w:val="28"/>
                <w:szCs w:val="28"/>
              </w:rPr>
              <w:t xml:space="preserve"> Minētās vadlīnijas starpdisciplināro sadarbību bērna palitatīvajā aprūpē balsta uz 4 aspektiem:</w:t>
            </w:r>
          </w:p>
          <w:p w:rsidR="009F2B16" w:rsidRPr="004F3BBB" w:rsidRDefault="009F2B16" w:rsidP="0097204D">
            <w:pPr>
              <w:pStyle w:val="ListParagraph"/>
              <w:numPr>
                <w:ilvl w:val="0"/>
                <w:numId w:val="4"/>
              </w:numPr>
              <w:suppressAutoHyphens w:val="0"/>
              <w:autoSpaceDN/>
              <w:ind w:left="434" w:right="174" w:hanging="283"/>
              <w:contextualSpacing/>
              <w:jc w:val="both"/>
              <w:textAlignment w:val="auto"/>
              <w:rPr>
                <w:szCs w:val="28"/>
                <w:lang w:eastAsia="lv-LV"/>
              </w:rPr>
            </w:pPr>
            <w:r w:rsidRPr="004F3BBB">
              <w:rPr>
                <w:szCs w:val="28"/>
                <w:lang w:eastAsia="lv-LV"/>
              </w:rPr>
              <w:t>Bērna un ģimenes iespējas saņemt informāciju;</w:t>
            </w:r>
          </w:p>
          <w:p w:rsidR="009F2B16" w:rsidRPr="004F3BBB" w:rsidRDefault="009F2B16" w:rsidP="0097204D">
            <w:pPr>
              <w:pStyle w:val="ListParagraph"/>
              <w:numPr>
                <w:ilvl w:val="0"/>
                <w:numId w:val="4"/>
              </w:numPr>
              <w:suppressAutoHyphens w:val="0"/>
              <w:autoSpaceDN/>
              <w:ind w:left="434" w:right="174" w:hanging="283"/>
              <w:contextualSpacing/>
              <w:jc w:val="both"/>
              <w:textAlignment w:val="auto"/>
              <w:rPr>
                <w:szCs w:val="28"/>
                <w:lang w:eastAsia="lv-LV"/>
              </w:rPr>
            </w:pPr>
            <w:r w:rsidRPr="004F3BBB">
              <w:rPr>
                <w:szCs w:val="28"/>
                <w:lang w:eastAsia="lv-LV"/>
              </w:rPr>
              <w:t>Bērna un viņa ģimenes individuāls izvērtējums;</w:t>
            </w:r>
          </w:p>
          <w:p w:rsidR="009F2B16" w:rsidRPr="004F3BBB" w:rsidRDefault="009F2B16" w:rsidP="0097204D">
            <w:pPr>
              <w:pStyle w:val="ListParagraph"/>
              <w:numPr>
                <w:ilvl w:val="0"/>
                <w:numId w:val="4"/>
              </w:numPr>
              <w:suppressAutoHyphens w:val="0"/>
              <w:autoSpaceDN/>
              <w:ind w:left="434" w:right="174" w:hanging="283"/>
              <w:contextualSpacing/>
              <w:jc w:val="both"/>
              <w:textAlignment w:val="auto"/>
              <w:rPr>
                <w:szCs w:val="28"/>
                <w:lang w:eastAsia="lv-LV"/>
              </w:rPr>
            </w:pPr>
            <w:r w:rsidRPr="004F3BBB">
              <w:rPr>
                <w:szCs w:val="28"/>
                <w:lang w:eastAsia="lv-LV"/>
              </w:rPr>
              <w:t>Bērna fizisko simptomu vadība;</w:t>
            </w:r>
          </w:p>
          <w:p w:rsidR="000609BF" w:rsidRPr="004F3BBB" w:rsidRDefault="009F2B16" w:rsidP="0097204D">
            <w:pPr>
              <w:pStyle w:val="ListParagraph"/>
              <w:numPr>
                <w:ilvl w:val="0"/>
                <w:numId w:val="4"/>
              </w:numPr>
              <w:ind w:left="434" w:right="174" w:hanging="283"/>
              <w:jc w:val="both"/>
              <w:rPr>
                <w:szCs w:val="28"/>
              </w:rPr>
            </w:pPr>
            <w:r w:rsidRPr="004F3BBB">
              <w:rPr>
                <w:szCs w:val="28"/>
              </w:rPr>
              <w:t>Psiholoģiskais, sociālais un garīgais atbalsts bērnam un ģimenei</w:t>
            </w:r>
            <w:r w:rsidR="009A4C0D" w:rsidRPr="004F3BBB">
              <w:rPr>
                <w:szCs w:val="28"/>
                <w:lang w:val="lv-LV"/>
              </w:rPr>
              <w:t>.</w:t>
            </w:r>
          </w:p>
          <w:p w:rsidR="00734E9C" w:rsidRPr="004F3BBB" w:rsidRDefault="009A4C0D" w:rsidP="00B7348A">
            <w:pPr>
              <w:spacing w:before="240"/>
              <w:ind w:left="151" w:right="174" w:firstLine="383"/>
              <w:jc w:val="both"/>
              <w:rPr>
                <w:sz w:val="28"/>
                <w:szCs w:val="28"/>
              </w:rPr>
            </w:pPr>
            <w:r w:rsidRPr="004F3BBB">
              <w:rPr>
                <w:sz w:val="28"/>
                <w:szCs w:val="28"/>
              </w:rPr>
              <w:t xml:space="preserve">Noteikumu projekts </w:t>
            </w:r>
            <w:r w:rsidR="0097204D" w:rsidRPr="004F3BBB">
              <w:rPr>
                <w:sz w:val="28"/>
                <w:szCs w:val="28"/>
              </w:rPr>
              <w:t>nosaka, ka no v</w:t>
            </w:r>
            <w:r w:rsidRPr="004F3BBB">
              <w:rPr>
                <w:sz w:val="28"/>
                <w:szCs w:val="28"/>
              </w:rPr>
              <w:t xml:space="preserve">alsts budžeta </w:t>
            </w:r>
            <w:r w:rsidR="0097204D" w:rsidRPr="004F3BBB">
              <w:rPr>
                <w:sz w:val="28"/>
                <w:szCs w:val="28"/>
              </w:rPr>
              <w:t>tiek fin</w:t>
            </w:r>
            <w:r w:rsidR="00725477" w:rsidRPr="004F3BBB">
              <w:rPr>
                <w:sz w:val="28"/>
                <w:szCs w:val="28"/>
              </w:rPr>
              <w:t>a</w:t>
            </w:r>
            <w:r w:rsidR="0097204D" w:rsidRPr="004F3BBB">
              <w:rPr>
                <w:sz w:val="28"/>
                <w:szCs w:val="28"/>
              </w:rPr>
              <w:t>nsēt</w:t>
            </w:r>
            <w:r w:rsidR="000E3D1A" w:rsidRPr="004F3BBB">
              <w:rPr>
                <w:sz w:val="28"/>
                <w:szCs w:val="28"/>
              </w:rPr>
              <w:t>a</w:t>
            </w:r>
            <w:r w:rsidR="0097204D" w:rsidRPr="004F3BBB">
              <w:rPr>
                <w:sz w:val="28"/>
                <w:szCs w:val="28"/>
              </w:rPr>
              <w:t xml:space="preserve"> </w:t>
            </w:r>
            <w:r w:rsidR="00E72105">
              <w:rPr>
                <w:sz w:val="28"/>
                <w:szCs w:val="28"/>
              </w:rPr>
              <w:t xml:space="preserve">atlīdzība </w:t>
            </w:r>
            <w:r w:rsidR="008A6C7F" w:rsidRPr="004F3BBB">
              <w:rPr>
                <w:sz w:val="28"/>
                <w:szCs w:val="28"/>
              </w:rPr>
              <w:t>starpdisciplinārajā</w:t>
            </w:r>
            <w:r w:rsidRPr="004F3BBB">
              <w:rPr>
                <w:sz w:val="28"/>
                <w:szCs w:val="28"/>
              </w:rPr>
              <w:t xml:space="preserve"> paliatīvās aprūpes komandā ietilpstoš</w:t>
            </w:r>
            <w:r w:rsidR="00E72105">
              <w:rPr>
                <w:sz w:val="28"/>
                <w:szCs w:val="28"/>
              </w:rPr>
              <w:t>ajiem</w:t>
            </w:r>
            <w:r w:rsidRPr="004F3BBB">
              <w:rPr>
                <w:sz w:val="28"/>
                <w:szCs w:val="28"/>
              </w:rPr>
              <w:t xml:space="preserve"> sociāl</w:t>
            </w:r>
            <w:r w:rsidR="00E72105">
              <w:rPr>
                <w:sz w:val="28"/>
                <w:szCs w:val="28"/>
              </w:rPr>
              <w:t>ajiem</w:t>
            </w:r>
            <w:r w:rsidRPr="004F3BBB">
              <w:rPr>
                <w:sz w:val="28"/>
                <w:szCs w:val="28"/>
              </w:rPr>
              <w:t xml:space="preserve"> darbiniek</w:t>
            </w:r>
            <w:r w:rsidR="00E72105">
              <w:rPr>
                <w:sz w:val="28"/>
                <w:szCs w:val="28"/>
              </w:rPr>
              <w:t xml:space="preserve">iem </w:t>
            </w:r>
            <w:r w:rsidRPr="004F3BBB">
              <w:rPr>
                <w:sz w:val="28"/>
                <w:szCs w:val="28"/>
              </w:rPr>
              <w:t>un kapelān</w:t>
            </w:r>
            <w:r w:rsidR="00E72105">
              <w:rPr>
                <w:sz w:val="28"/>
                <w:szCs w:val="28"/>
              </w:rPr>
              <w:t>iem, kā arī daļēji atlīdzība komandu vadītājiem. Tāpat tiek finansēti</w:t>
            </w:r>
            <w:r w:rsidRPr="004F3BBB">
              <w:rPr>
                <w:sz w:val="28"/>
                <w:szCs w:val="28"/>
              </w:rPr>
              <w:t xml:space="preserve"> ceļa izdevum</w:t>
            </w:r>
            <w:r w:rsidR="00FC6B07" w:rsidRPr="004F3BBB">
              <w:rPr>
                <w:sz w:val="28"/>
                <w:szCs w:val="28"/>
              </w:rPr>
              <w:t>i</w:t>
            </w:r>
            <w:r w:rsidRPr="004F3BBB">
              <w:rPr>
                <w:sz w:val="28"/>
                <w:szCs w:val="28"/>
              </w:rPr>
              <w:t>, kā arī</w:t>
            </w:r>
            <w:r w:rsidR="00FC6B07" w:rsidRPr="004F3BBB">
              <w:rPr>
                <w:sz w:val="28"/>
                <w:szCs w:val="28"/>
              </w:rPr>
              <w:t xml:space="preserve"> </w:t>
            </w:r>
            <w:r w:rsidR="000E3D1A" w:rsidRPr="004F3BBB">
              <w:rPr>
                <w:sz w:val="28"/>
                <w:szCs w:val="28"/>
              </w:rPr>
              <w:t xml:space="preserve">tiek </w:t>
            </w:r>
            <w:r w:rsidR="00FC6B07" w:rsidRPr="004F3BBB">
              <w:rPr>
                <w:sz w:val="28"/>
                <w:szCs w:val="28"/>
              </w:rPr>
              <w:t xml:space="preserve">segti </w:t>
            </w:r>
            <w:r w:rsidRPr="004F3BBB">
              <w:rPr>
                <w:sz w:val="28"/>
                <w:szCs w:val="28"/>
              </w:rPr>
              <w:t>šo speciālistu darbīb</w:t>
            </w:r>
            <w:r w:rsidR="00B61888" w:rsidRPr="004F3BBB">
              <w:rPr>
                <w:sz w:val="28"/>
                <w:szCs w:val="28"/>
              </w:rPr>
              <w:t>as nodrošināšanai nepieciešam</w:t>
            </w:r>
            <w:r w:rsidR="00FC6B07" w:rsidRPr="004F3BBB">
              <w:rPr>
                <w:sz w:val="28"/>
                <w:szCs w:val="28"/>
              </w:rPr>
              <w:t>ie</w:t>
            </w:r>
            <w:r w:rsidR="00B61888" w:rsidRPr="004F3BBB">
              <w:rPr>
                <w:sz w:val="28"/>
                <w:szCs w:val="28"/>
              </w:rPr>
              <w:t xml:space="preserve"> izdevum</w:t>
            </w:r>
            <w:r w:rsidR="00FC6B07" w:rsidRPr="004F3BBB">
              <w:rPr>
                <w:sz w:val="28"/>
                <w:szCs w:val="28"/>
              </w:rPr>
              <w:t>i un B</w:t>
            </w:r>
            <w:r w:rsidR="000E3D1A" w:rsidRPr="004F3BBB">
              <w:rPr>
                <w:sz w:val="28"/>
                <w:szCs w:val="28"/>
              </w:rPr>
              <w:t xml:space="preserve">iedrības </w:t>
            </w:r>
            <w:r w:rsidR="00FC6B07" w:rsidRPr="004F3BBB">
              <w:rPr>
                <w:sz w:val="28"/>
                <w:szCs w:val="28"/>
              </w:rPr>
              <w:t>izdevumi</w:t>
            </w:r>
            <w:r w:rsidR="000E3D1A" w:rsidRPr="004F3BBB">
              <w:rPr>
                <w:sz w:val="28"/>
                <w:szCs w:val="28"/>
              </w:rPr>
              <w:t xml:space="preserve"> pakalpojuma administrēšanai</w:t>
            </w:r>
            <w:r w:rsidR="00B7348A" w:rsidRPr="004F3BBB">
              <w:rPr>
                <w:sz w:val="28"/>
                <w:szCs w:val="28"/>
              </w:rPr>
              <w:t>.</w:t>
            </w:r>
            <w:r w:rsidRPr="004F3BBB">
              <w:rPr>
                <w:sz w:val="28"/>
                <w:szCs w:val="28"/>
              </w:rPr>
              <w:t xml:space="preserve"> </w:t>
            </w:r>
            <w:r w:rsidR="009D32F0" w:rsidRPr="004F3BBB">
              <w:rPr>
                <w:sz w:val="28"/>
                <w:szCs w:val="28"/>
              </w:rPr>
              <w:t>Finansējumu pakalpojumu nodrošināšanai piešķir Labklājības ministrija.</w:t>
            </w:r>
          </w:p>
          <w:p w:rsidR="009A4C0D" w:rsidRPr="004F3BBB" w:rsidRDefault="00734E9C" w:rsidP="00B7348A">
            <w:pPr>
              <w:spacing w:before="240"/>
              <w:ind w:left="151" w:right="174" w:firstLine="383"/>
              <w:jc w:val="both"/>
              <w:rPr>
                <w:sz w:val="28"/>
                <w:szCs w:val="28"/>
              </w:rPr>
            </w:pPr>
            <w:r w:rsidRPr="004F3BBB">
              <w:rPr>
                <w:sz w:val="28"/>
                <w:szCs w:val="28"/>
              </w:rPr>
              <w:t xml:space="preserve">Labklājības ministrija nosaka </w:t>
            </w:r>
            <w:r w:rsidR="00E72105">
              <w:rPr>
                <w:sz w:val="28"/>
                <w:szCs w:val="28"/>
              </w:rPr>
              <w:t>arī starp</w:t>
            </w:r>
            <w:r w:rsidRPr="004F3BBB">
              <w:rPr>
                <w:sz w:val="28"/>
                <w:szCs w:val="28"/>
              </w:rPr>
              <w:t xml:space="preserve">disciplināro komandu skaitu un tajās ietilpstošo speciālistu skaitu, kuru darbība tiek </w:t>
            </w:r>
            <w:r w:rsidRPr="004F3BBB">
              <w:rPr>
                <w:sz w:val="28"/>
                <w:szCs w:val="28"/>
              </w:rPr>
              <w:lastRenderedPageBreak/>
              <w:t>finansēta no valsts budžeta, l</w:t>
            </w:r>
            <w:r w:rsidR="008362CD" w:rsidRPr="004F3BBB">
              <w:rPr>
                <w:sz w:val="28"/>
                <w:szCs w:val="28"/>
              </w:rPr>
              <w:t>ai nodrošinātu pakalpojuma pieejamību visā Latvijas teritorijā</w:t>
            </w:r>
            <w:r w:rsidR="002D33C3" w:rsidRPr="004F3BBB">
              <w:rPr>
                <w:sz w:val="28"/>
                <w:szCs w:val="28"/>
              </w:rPr>
              <w:t>, kā arī pakalpojuma administrēšanas izdevumu konkrēto apmēru (</w:t>
            </w:r>
            <w:r w:rsidR="00FD2FE7" w:rsidRPr="004F3BBB">
              <w:rPr>
                <w:sz w:val="28"/>
                <w:szCs w:val="28"/>
              </w:rPr>
              <w:t xml:space="preserve">atbilstoši </w:t>
            </w:r>
            <w:r w:rsidR="002D33C3" w:rsidRPr="004F3BBB">
              <w:rPr>
                <w:sz w:val="28"/>
                <w:szCs w:val="28"/>
              </w:rPr>
              <w:t>likumā noteikt</w:t>
            </w:r>
            <w:r w:rsidR="00FD2FE7" w:rsidRPr="004F3BBB">
              <w:rPr>
                <w:sz w:val="28"/>
                <w:szCs w:val="28"/>
              </w:rPr>
              <w:t>ajam</w:t>
            </w:r>
            <w:r w:rsidR="002D33C3" w:rsidRPr="004F3BBB">
              <w:rPr>
                <w:sz w:val="28"/>
                <w:szCs w:val="28"/>
              </w:rPr>
              <w:t xml:space="preserve"> „ne vairāk kā 10</w:t>
            </w:r>
            <w:r w:rsidR="00FD2FE7" w:rsidRPr="004F3BBB">
              <w:rPr>
                <w:sz w:val="28"/>
                <w:szCs w:val="28"/>
              </w:rPr>
              <w:t>% apmērā”)</w:t>
            </w:r>
            <w:r w:rsidR="008A6C7F" w:rsidRPr="004F3BBB">
              <w:rPr>
                <w:sz w:val="28"/>
                <w:szCs w:val="28"/>
              </w:rPr>
              <w:t>.</w:t>
            </w:r>
            <w:r w:rsidR="002D33C3" w:rsidRPr="004F3BBB">
              <w:rPr>
                <w:sz w:val="28"/>
                <w:szCs w:val="28"/>
              </w:rPr>
              <w:t xml:space="preserve"> </w:t>
            </w:r>
            <w:r w:rsidRPr="004F3BBB">
              <w:rPr>
                <w:sz w:val="28"/>
                <w:szCs w:val="28"/>
              </w:rPr>
              <w:t xml:space="preserve"> 2018.</w:t>
            </w:r>
            <w:r w:rsidR="003962FD" w:rsidRPr="004F3BBB">
              <w:rPr>
                <w:sz w:val="28"/>
                <w:szCs w:val="28"/>
              </w:rPr>
              <w:t xml:space="preserve"> </w:t>
            </w:r>
            <w:r w:rsidRPr="004F3BBB">
              <w:rPr>
                <w:sz w:val="28"/>
                <w:szCs w:val="28"/>
              </w:rPr>
              <w:t>gadā</w:t>
            </w:r>
            <w:r w:rsidR="003962FD" w:rsidRPr="004F3BBB">
              <w:rPr>
                <w:sz w:val="28"/>
                <w:szCs w:val="28"/>
              </w:rPr>
              <w:t xml:space="preserve"> plānots </w:t>
            </w:r>
            <w:r w:rsidRPr="004F3BBB">
              <w:rPr>
                <w:sz w:val="28"/>
                <w:szCs w:val="28"/>
              </w:rPr>
              <w:t>finansēt ne vairāk kā trij</w:t>
            </w:r>
            <w:r w:rsidR="009D274B" w:rsidRPr="004F3BBB">
              <w:rPr>
                <w:sz w:val="28"/>
                <w:szCs w:val="28"/>
              </w:rPr>
              <w:t>ās</w:t>
            </w:r>
            <w:r w:rsidRPr="004F3BBB">
              <w:rPr>
                <w:sz w:val="28"/>
                <w:szCs w:val="28"/>
              </w:rPr>
              <w:t xml:space="preserve"> </w:t>
            </w:r>
            <w:r w:rsidR="00E72105">
              <w:rPr>
                <w:sz w:val="28"/>
                <w:szCs w:val="28"/>
              </w:rPr>
              <w:t>sarp</w:t>
            </w:r>
            <w:r w:rsidRPr="004F3BBB">
              <w:rPr>
                <w:sz w:val="28"/>
                <w:szCs w:val="28"/>
              </w:rPr>
              <w:t>dis</w:t>
            </w:r>
            <w:r w:rsidR="003962FD" w:rsidRPr="004F3BBB">
              <w:rPr>
                <w:sz w:val="28"/>
                <w:szCs w:val="28"/>
              </w:rPr>
              <w:t>c</w:t>
            </w:r>
            <w:r w:rsidRPr="004F3BBB">
              <w:rPr>
                <w:sz w:val="28"/>
                <w:szCs w:val="28"/>
              </w:rPr>
              <w:t>iplinārajās komandās ietilpstošo kapelān</w:t>
            </w:r>
            <w:r w:rsidR="003962FD" w:rsidRPr="004F3BBB">
              <w:rPr>
                <w:sz w:val="28"/>
                <w:szCs w:val="28"/>
              </w:rPr>
              <w:t>u</w:t>
            </w:r>
            <w:r w:rsidRPr="004F3BBB">
              <w:rPr>
                <w:sz w:val="28"/>
                <w:szCs w:val="28"/>
              </w:rPr>
              <w:t xml:space="preserve"> un sociālo darbinieku</w:t>
            </w:r>
            <w:r w:rsidR="003962FD" w:rsidRPr="004F3BBB">
              <w:rPr>
                <w:sz w:val="28"/>
                <w:szCs w:val="28"/>
              </w:rPr>
              <w:t xml:space="preserve"> darbību, kā arī piemaksas minēto komandu vadītājiem</w:t>
            </w:r>
            <w:r w:rsidR="008362CD" w:rsidRPr="004F3BBB">
              <w:rPr>
                <w:sz w:val="28"/>
                <w:szCs w:val="28"/>
              </w:rPr>
              <w:t>.</w:t>
            </w:r>
          </w:p>
          <w:p w:rsidR="00B7348A" w:rsidRPr="004F3BBB" w:rsidRDefault="00FC6B07" w:rsidP="0097204D">
            <w:pPr>
              <w:ind w:left="151" w:right="174" w:firstLine="383"/>
              <w:jc w:val="both"/>
              <w:rPr>
                <w:sz w:val="28"/>
                <w:szCs w:val="28"/>
              </w:rPr>
            </w:pPr>
            <w:r w:rsidRPr="004F3BBB">
              <w:rPr>
                <w:sz w:val="28"/>
                <w:szCs w:val="28"/>
              </w:rPr>
              <w:t>Noteikumu projekt</w:t>
            </w:r>
            <w:r w:rsidR="003962FD" w:rsidRPr="004F3BBB">
              <w:rPr>
                <w:sz w:val="28"/>
                <w:szCs w:val="28"/>
              </w:rPr>
              <w:t xml:space="preserve">ā reglamentētā </w:t>
            </w:r>
            <w:r w:rsidR="00B7348A" w:rsidRPr="004F3BBB">
              <w:rPr>
                <w:sz w:val="28"/>
                <w:szCs w:val="28"/>
              </w:rPr>
              <w:t>pakalpojuma</w:t>
            </w:r>
            <w:r w:rsidRPr="004F3BBB">
              <w:rPr>
                <w:sz w:val="28"/>
                <w:szCs w:val="28"/>
              </w:rPr>
              <w:t xml:space="preserve"> mērķgrupa ir bērni, k</w:t>
            </w:r>
            <w:r w:rsidR="003962FD" w:rsidRPr="004F3BBB">
              <w:rPr>
                <w:sz w:val="28"/>
                <w:szCs w:val="28"/>
              </w:rPr>
              <w:t xml:space="preserve">as saņem paliatīvo aprūpi </w:t>
            </w:r>
            <w:r w:rsidR="00EF36CC">
              <w:rPr>
                <w:sz w:val="28"/>
                <w:szCs w:val="28"/>
              </w:rPr>
              <w:t>dzīvesvietā</w:t>
            </w:r>
            <w:r w:rsidR="003962FD" w:rsidRPr="004F3BBB">
              <w:rPr>
                <w:sz w:val="28"/>
                <w:szCs w:val="28"/>
              </w:rPr>
              <w:t>, ar šiem bērniem vienā mājsaimni</w:t>
            </w:r>
            <w:r w:rsidR="000C0ECA" w:rsidRPr="004F3BBB">
              <w:rPr>
                <w:sz w:val="28"/>
                <w:szCs w:val="28"/>
              </w:rPr>
              <w:t>e</w:t>
            </w:r>
            <w:r w:rsidR="003962FD" w:rsidRPr="004F3BBB">
              <w:rPr>
                <w:sz w:val="28"/>
                <w:szCs w:val="28"/>
              </w:rPr>
              <w:t>cībā dzīvojošie ģimenes locekļi</w:t>
            </w:r>
            <w:r w:rsidR="00EF36CC">
              <w:rPr>
                <w:sz w:val="28"/>
                <w:szCs w:val="28"/>
              </w:rPr>
              <w:t xml:space="preserve"> -</w:t>
            </w:r>
            <w:r w:rsidR="003962FD" w:rsidRPr="004F3BBB">
              <w:rPr>
                <w:sz w:val="28"/>
                <w:szCs w:val="28"/>
              </w:rPr>
              <w:t xml:space="preserve"> </w:t>
            </w:r>
            <w:r w:rsidR="00EF36CC" w:rsidRPr="00EF36CC">
              <w:rPr>
                <w:sz w:val="28"/>
                <w:szCs w:val="28"/>
              </w:rPr>
              <w:t>brāļi, mās</w:t>
            </w:r>
            <w:r w:rsidR="00EF36CC">
              <w:rPr>
                <w:sz w:val="28"/>
                <w:szCs w:val="28"/>
              </w:rPr>
              <w:t>as</w:t>
            </w:r>
            <w:r w:rsidR="00EF36CC" w:rsidRPr="00EF36CC">
              <w:rPr>
                <w:sz w:val="28"/>
                <w:szCs w:val="28"/>
              </w:rPr>
              <w:t>, vecāki, vecvecāki, aizbildni</w:t>
            </w:r>
            <w:r w:rsidR="00EF36CC">
              <w:rPr>
                <w:sz w:val="28"/>
                <w:szCs w:val="28"/>
              </w:rPr>
              <w:t>s,</w:t>
            </w:r>
            <w:r w:rsidR="003962FD" w:rsidRPr="004F3BBB">
              <w:rPr>
                <w:sz w:val="28"/>
                <w:szCs w:val="28"/>
              </w:rPr>
              <w:t xml:space="preserve"> audžuģimenes</w:t>
            </w:r>
            <w:r w:rsidR="00EF36CC">
              <w:rPr>
                <w:sz w:val="28"/>
                <w:szCs w:val="28"/>
              </w:rPr>
              <w:t xml:space="preserve"> locekļi un</w:t>
            </w:r>
            <w:r w:rsidR="00EF36CC" w:rsidRPr="00EF36CC">
              <w:rPr>
                <w:sz w:val="28"/>
                <w:szCs w:val="28"/>
              </w:rPr>
              <w:t xml:space="preserve"> cit</w:t>
            </w:r>
            <w:r w:rsidR="00EF36CC">
              <w:rPr>
                <w:sz w:val="28"/>
                <w:szCs w:val="28"/>
              </w:rPr>
              <w:t>as</w:t>
            </w:r>
            <w:r w:rsidR="00EF36CC" w:rsidRPr="00EF36CC">
              <w:rPr>
                <w:sz w:val="28"/>
                <w:szCs w:val="28"/>
              </w:rPr>
              <w:t xml:space="preserve"> person</w:t>
            </w:r>
            <w:r w:rsidR="00EF36CC">
              <w:rPr>
                <w:sz w:val="28"/>
                <w:szCs w:val="28"/>
              </w:rPr>
              <w:t>as</w:t>
            </w:r>
            <w:r w:rsidR="00EF36CC" w:rsidRPr="00EF36CC">
              <w:rPr>
                <w:sz w:val="28"/>
                <w:szCs w:val="28"/>
              </w:rPr>
              <w:t>, kurām ir kopēji izdevumi pamatvajadzību nodrošināšanai</w:t>
            </w:r>
            <w:r w:rsidR="003962FD" w:rsidRPr="004F3BBB">
              <w:rPr>
                <w:sz w:val="28"/>
                <w:szCs w:val="28"/>
              </w:rPr>
              <w:t>. P</w:t>
            </w:r>
            <w:r w:rsidRPr="004F3BBB">
              <w:rPr>
                <w:sz w:val="28"/>
                <w:szCs w:val="28"/>
              </w:rPr>
              <w:t>akalpojum</w:t>
            </w:r>
            <w:r w:rsidR="00FD2FE7" w:rsidRPr="004F3BBB">
              <w:rPr>
                <w:sz w:val="28"/>
                <w:szCs w:val="28"/>
              </w:rPr>
              <w:t>u paredzēts sniegt gan</w:t>
            </w:r>
            <w:r w:rsidRPr="004F3BBB">
              <w:rPr>
                <w:sz w:val="28"/>
                <w:szCs w:val="28"/>
              </w:rPr>
              <w:t xml:space="preserve"> paliatīvas aprūpes periodā</w:t>
            </w:r>
            <w:r w:rsidR="00FD2FE7" w:rsidRPr="004F3BBB">
              <w:rPr>
                <w:sz w:val="28"/>
                <w:szCs w:val="28"/>
              </w:rPr>
              <w:t>, gan</w:t>
            </w:r>
            <w:r w:rsidRPr="004F3BBB">
              <w:rPr>
                <w:sz w:val="28"/>
                <w:szCs w:val="28"/>
              </w:rPr>
              <w:t xml:space="preserve"> sērošanas periodā pēc bērna nāves. </w:t>
            </w:r>
          </w:p>
          <w:p w:rsidR="00FC6B07" w:rsidRPr="004F3BBB" w:rsidRDefault="00FC6B07" w:rsidP="0097204D">
            <w:pPr>
              <w:ind w:left="151" w:right="174" w:firstLine="383"/>
              <w:jc w:val="both"/>
              <w:rPr>
                <w:sz w:val="28"/>
                <w:szCs w:val="28"/>
              </w:rPr>
            </w:pPr>
            <w:r w:rsidRPr="004F3BBB">
              <w:rPr>
                <w:sz w:val="28"/>
                <w:szCs w:val="28"/>
              </w:rPr>
              <w:t>Bērna paliatīvās aprūpes laikā pakalpojum</w:t>
            </w:r>
            <w:r w:rsidR="00BE675C" w:rsidRPr="004F3BBB">
              <w:rPr>
                <w:sz w:val="28"/>
                <w:szCs w:val="28"/>
              </w:rPr>
              <w:t>s tiek</w:t>
            </w:r>
            <w:r w:rsidRPr="004F3BBB">
              <w:rPr>
                <w:sz w:val="28"/>
                <w:szCs w:val="28"/>
              </w:rPr>
              <w:t xml:space="preserve"> nodrošin</w:t>
            </w:r>
            <w:r w:rsidR="00BE675C" w:rsidRPr="004F3BBB">
              <w:rPr>
                <w:sz w:val="28"/>
                <w:szCs w:val="28"/>
              </w:rPr>
              <w:t>āts nepārtraukti (</w:t>
            </w:r>
            <w:r w:rsidRPr="004F3BBB">
              <w:rPr>
                <w:sz w:val="28"/>
                <w:szCs w:val="28"/>
              </w:rPr>
              <w:t>24/7 režīmā</w:t>
            </w:r>
            <w:r w:rsidR="00BE675C" w:rsidRPr="004F3BBB">
              <w:rPr>
                <w:sz w:val="28"/>
                <w:szCs w:val="28"/>
              </w:rPr>
              <w:t>)</w:t>
            </w:r>
            <w:r w:rsidR="00B7348A" w:rsidRPr="004F3BBB">
              <w:rPr>
                <w:sz w:val="28"/>
                <w:szCs w:val="28"/>
              </w:rPr>
              <w:t xml:space="preserve"> - </w:t>
            </w:r>
            <w:r w:rsidRPr="004F3BBB">
              <w:rPr>
                <w:sz w:val="28"/>
                <w:szCs w:val="28"/>
              </w:rPr>
              <w:t xml:space="preserve">kā </w:t>
            </w:r>
            <w:r w:rsidR="008A6C7F" w:rsidRPr="004F3BBB">
              <w:rPr>
                <w:sz w:val="28"/>
                <w:szCs w:val="28"/>
              </w:rPr>
              <w:t>starp</w:t>
            </w:r>
            <w:r w:rsidRPr="004F3BBB">
              <w:rPr>
                <w:sz w:val="28"/>
                <w:szCs w:val="28"/>
              </w:rPr>
              <w:t>disciplinārajā komandā ietilpstošo speciālistu konsultācijas klātienē, telefoniski vai tālaprūpes konsultācijas, izmantojot interneta tehnoloģijas, kā arī iesaistot ģimeni atbalsta grupās. Sērošanas periodā pēc bērna nāves ģimenes locekļiem psihosociālā r</w:t>
            </w:r>
            <w:r w:rsidR="00B7348A" w:rsidRPr="004F3BBB">
              <w:rPr>
                <w:sz w:val="28"/>
                <w:szCs w:val="28"/>
              </w:rPr>
              <w:t xml:space="preserve">ehabilitācija tiek nodrošināta atbalsta </w:t>
            </w:r>
            <w:r w:rsidRPr="004F3BBB">
              <w:rPr>
                <w:sz w:val="28"/>
                <w:szCs w:val="28"/>
              </w:rPr>
              <w:t>grupu nodarbīb</w:t>
            </w:r>
            <w:r w:rsidR="000E3D1A" w:rsidRPr="004F3BBB">
              <w:rPr>
                <w:sz w:val="28"/>
                <w:szCs w:val="28"/>
              </w:rPr>
              <w:t>u veidā</w:t>
            </w:r>
            <w:r w:rsidR="00B7348A" w:rsidRPr="004F3BBB">
              <w:rPr>
                <w:sz w:val="28"/>
                <w:szCs w:val="28"/>
              </w:rPr>
              <w:t>.</w:t>
            </w:r>
          </w:p>
          <w:p w:rsidR="00B7348A" w:rsidRPr="004F3BBB" w:rsidRDefault="00B7348A" w:rsidP="0097204D">
            <w:pPr>
              <w:ind w:left="151" w:right="174" w:firstLine="383"/>
              <w:jc w:val="both"/>
              <w:rPr>
                <w:sz w:val="28"/>
                <w:szCs w:val="28"/>
              </w:rPr>
            </w:pPr>
            <w:r w:rsidRPr="004F3BBB">
              <w:rPr>
                <w:sz w:val="28"/>
                <w:szCs w:val="28"/>
              </w:rPr>
              <w:t>Noteikumu projekts nosaka arī:</w:t>
            </w:r>
          </w:p>
          <w:p w:rsidR="009D274B" w:rsidRPr="004F3BBB" w:rsidRDefault="009A4C0D" w:rsidP="00B7348A">
            <w:pPr>
              <w:pStyle w:val="ListParagraph"/>
              <w:numPr>
                <w:ilvl w:val="0"/>
                <w:numId w:val="9"/>
              </w:numPr>
              <w:ind w:left="434" w:right="174" w:hanging="425"/>
              <w:jc w:val="both"/>
              <w:rPr>
                <w:szCs w:val="28"/>
              </w:rPr>
            </w:pPr>
            <w:r w:rsidRPr="004F3BBB">
              <w:rPr>
                <w:szCs w:val="28"/>
              </w:rPr>
              <w:t>pakalpojuma pieprasīšanas</w:t>
            </w:r>
            <w:r w:rsidR="009D274B" w:rsidRPr="004F3BBB">
              <w:rPr>
                <w:szCs w:val="28"/>
                <w:lang w:val="lv-LV"/>
              </w:rPr>
              <w:t xml:space="preserve"> nosacījumus, paredzot, ka bērnam nepieciešamo pakalpojumu pieprasa bērna </w:t>
            </w:r>
            <w:r w:rsidR="00EF36CC">
              <w:rPr>
                <w:szCs w:val="28"/>
                <w:lang w:val="lv-LV"/>
              </w:rPr>
              <w:t xml:space="preserve">likumiskais </w:t>
            </w:r>
            <w:r w:rsidR="009D274B" w:rsidRPr="004F3BBB">
              <w:rPr>
                <w:szCs w:val="28"/>
                <w:lang w:val="lv-LV"/>
              </w:rPr>
              <w:t>pārstāvis. Ja bērns dzīvo ģimenē</w:t>
            </w:r>
            <w:r w:rsidR="00FD2FE7" w:rsidRPr="004F3BBB">
              <w:rPr>
                <w:szCs w:val="28"/>
                <w:lang w:val="lv-LV"/>
              </w:rPr>
              <w:t xml:space="preserve"> vai pie aizbildņa</w:t>
            </w:r>
            <w:r w:rsidR="009D274B" w:rsidRPr="004F3BBB">
              <w:rPr>
                <w:szCs w:val="28"/>
                <w:lang w:val="lv-LV"/>
              </w:rPr>
              <w:t>, tas ir viens no bērna vecākiem</w:t>
            </w:r>
            <w:r w:rsidR="00FD2FE7" w:rsidRPr="004F3BBB">
              <w:rPr>
                <w:szCs w:val="28"/>
                <w:lang w:val="lv-LV"/>
              </w:rPr>
              <w:t xml:space="preserve"> vai aizbildnis</w:t>
            </w:r>
            <w:r w:rsidR="009D274B" w:rsidRPr="004F3BBB">
              <w:rPr>
                <w:szCs w:val="28"/>
                <w:lang w:val="lv-LV"/>
              </w:rPr>
              <w:t xml:space="preserve">. Ja bērns ievietots audžuģimenē, </w:t>
            </w:r>
            <w:r w:rsidR="005563B8" w:rsidRPr="004F3BBB">
              <w:rPr>
                <w:szCs w:val="28"/>
                <w:lang w:val="lv-LV"/>
              </w:rPr>
              <w:t xml:space="preserve">bērnu atbilstoši bāriņtiesas </w:t>
            </w:r>
            <w:r w:rsidR="00FD2FE7" w:rsidRPr="004F3BBB">
              <w:rPr>
                <w:szCs w:val="28"/>
                <w:lang w:val="lv-LV"/>
              </w:rPr>
              <w:t>noteiktajam</w:t>
            </w:r>
            <w:r w:rsidR="005563B8" w:rsidRPr="004F3BBB">
              <w:rPr>
                <w:szCs w:val="28"/>
                <w:lang w:val="lv-LV"/>
              </w:rPr>
              <w:t xml:space="preserve"> pilnvarojumam var pārstāvēt audžu</w:t>
            </w:r>
            <w:r w:rsidR="00EF36CC">
              <w:rPr>
                <w:szCs w:val="28"/>
                <w:lang w:val="lv-LV"/>
              </w:rPr>
              <w:t>ģimenes loceklis</w:t>
            </w:r>
            <w:r w:rsidR="00FD2FE7" w:rsidRPr="004F3BBB">
              <w:rPr>
                <w:szCs w:val="28"/>
                <w:lang w:val="lv-LV"/>
              </w:rPr>
              <w:t xml:space="preserve"> vai bāriņtiesa</w:t>
            </w:r>
            <w:r w:rsidR="005563B8" w:rsidRPr="004F3BBB">
              <w:rPr>
                <w:szCs w:val="28"/>
                <w:lang w:val="lv-LV"/>
              </w:rPr>
              <w:t>;</w:t>
            </w:r>
            <w:r w:rsidR="00B61888" w:rsidRPr="004F3BBB">
              <w:rPr>
                <w:szCs w:val="28"/>
              </w:rPr>
              <w:t xml:space="preserve"> </w:t>
            </w:r>
          </w:p>
          <w:p w:rsidR="009A4C0D" w:rsidRPr="004F3BBB" w:rsidRDefault="009D274B" w:rsidP="00B7348A">
            <w:pPr>
              <w:pStyle w:val="ListParagraph"/>
              <w:numPr>
                <w:ilvl w:val="0"/>
                <w:numId w:val="9"/>
              </w:numPr>
              <w:ind w:left="434" w:right="174" w:hanging="425"/>
              <w:jc w:val="both"/>
              <w:rPr>
                <w:szCs w:val="28"/>
              </w:rPr>
            </w:pPr>
            <w:r w:rsidRPr="004F3BBB">
              <w:rPr>
                <w:szCs w:val="28"/>
                <w:lang w:val="lv-LV"/>
              </w:rPr>
              <w:t xml:space="preserve">pakalpojuma </w:t>
            </w:r>
            <w:r w:rsidR="009A4C0D" w:rsidRPr="004F3BBB">
              <w:rPr>
                <w:szCs w:val="28"/>
              </w:rPr>
              <w:t>piešķiršanas</w:t>
            </w:r>
            <w:r w:rsidR="003962FD" w:rsidRPr="004F3BBB">
              <w:rPr>
                <w:szCs w:val="28"/>
                <w:lang w:val="lv-LV"/>
              </w:rPr>
              <w:t>, pārtraukšanas</w:t>
            </w:r>
            <w:r w:rsidR="005563B8" w:rsidRPr="004F3BBB">
              <w:rPr>
                <w:szCs w:val="28"/>
                <w:lang w:val="lv-LV"/>
              </w:rPr>
              <w:t>, atsākšanas</w:t>
            </w:r>
            <w:r w:rsidR="00B61888" w:rsidRPr="004F3BBB">
              <w:rPr>
                <w:szCs w:val="28"/>
              </w:rPr>
              <w:t xml:space="preserve"> </w:t>
            </w:r>
            <w:r w:rsidR="009A4C0D" w:rsidRPr="004F3BBB">
              <w:rPr>
                <w:szCs w:val="28"/>
              </w:rPr>
              <w:t>un izbeigšanas nosacījumus;</w:t>
            </w:r>
          </w:p>
          <w:p w:rsidR="005F1E8B" w:rsidRPr="005F1E8B" w:rsidRDefault="00BE675C" w:rsidP="00B7348A">
            <w:pPr>
              <w:pStyle w:val="ListParagraph"/>
              <w:numPr>
                <w:ilvl w:val="0"/>
                <w:numId w:val="9"/>
              </w:numPr>
              <w:ind w:left="434" w:right="174" w:hanging="425"/>
              <w:jc w:val="both"/>
              <w:rPr>
                <w:szCs w:val="28"/>
              </w:rPr>
            </w:pPr>
            <w:r w:rsidRPr="004F3BBB">
              <w:rPr>
                <w:szCs w:val="28"/>
                <w:lang w:val="lv-LV"/>
              </w:rPr>
              <w:t xml:space="preserve">prasības </w:t>
            </w:r>
            <w:r w:rsidR="00D120EB" w:rsidRPr="004F3BBB">
              <w:rPr>
                <w:szCs w:val="28"/>
                <w:lang w:val="lv-LV"/>
              </w:rPr>
              <w:t>pakalpojuma sniedzēja</w:t>
            </w:r>
            <w:r w:rsidRPr="004F3BBB">
              <w:rPr>
                <w:szCs w:val="28"/>
                <w:lang w:val="lv-LV"/>
              </w:rPr>
              <w:t xml:space="preserve">m, t.sk. </w:t>
            </w:r>
            <w:r w:rsidR="009A4C0D" w:rsidRPr="004F3BBB">
              <w:rPr>
                <w:szCs w:val="28"/>
              </w:rPr>
              <w:t xml:space="preserve">pakalpojuma sniegšanā </w:t>
            </w:r>
            <w:r w:rsidRPr="004F3BBB">
              <w:rPr>
                <w:szCs w:val="28"/>
                <w:lang w:val="lv-LV"/>
              </w:rPr>
              <w:t>iesais</w:t>
            </w:r>
            <w:r w:rsidR="009A4C0D" w:rsidRPr="004F3BBB">
              <w:rPr>
                <w:szCs w:val="28"/>
              </w:rPr>
              <w:t>tāmos speciālistus</w:t>
            </w:r>
            <w:r w:rsidR="005F1E8B">
              <w:rPr>
                <w:szCs w:val="28"/>
                <w:lang w:val="lv-LV"/>
              </w:rPr>
              <w:t>.</w:t>
            </w:r>
          </w:p>
          <w:p w:rsidR="001B36C5" w:rsidRPr="005F1E8B" w:rsidRDefault="00D120EB" w:rsidP="00B7348A">
            <w:pPr>
              <w:pStyle w:val="ListParagraph"/>
              <w:numPr>
                <w:ilvl w:val="0"/>
                <w:numId w:val="9"/>
              </w:numPr>
              <w:ind w:left="434" w:right="174" w:hanging="425"/>
              <w:jc w:val="both"/>
              <w:rPr>
                <w:szCs w:val="28"/>
              </w:rPr>
            </w:pPr>
            <w:r w:rsidRPr="004F3BBB">
              <w:rPr>
                <w:szCs w:val="28"/>
              </w:rPr>
              <w:lastRenderedPageBreak/>
              <w:t>Biedrība</w:t>
            </w:r>
            <w:r w:rsidRPr="004F3BBB">
              <w:rPr>
                <w:szCs w:val="28"/>
                <w:lang w:val="lv-LV"/>
              </w:rPr>
              <w:t>s</w:t>
            </w:r>
            <w:r w:rsidR="009A4C0D" w:rsidRPr="004F3BBB">
              <w:rPr>
                <w:szCs w:val="28"/>
              </w:rPr>
              <w:t xml:space="preserve"> kā valsts deleģētā </w:t>
            </w:r>
            <w:r w:rsidR="000E3D1A" w:rsidRPr="004F3BBB">
              <w:rPr>
                <w:szCs w:val="28"/>
                <w:lang w:val="lv-LV"/>
              </w:rPr>
              <w:t>uzdevuma</w:t>
            </w:r>
            <w:r w:rsidR="009A4C0D" w:rsidRPr="004F3BBB">
              <w:rPr>
                <w:szCs w:val="28"/>
              </w:rPr>
              <w:t xml:space="preserve"> izpildītāja pienākumus un veicamās darbības.</w:t>
            </w:r>
          </w:p>
          <w:p w:rsidR="005F1E8B" w:rsidRDefault="005F1E8B" w:rsidP="005F1E8B">
            <w:pPr>
              <w:ind w:right="174" w:firstLine="434"/>
              <w:jc w:val="both"/>
              <w:rPr>
                <w:sz w:val="28"/>
                <w:szCs w:val="28"/>
              </w:rPr>
            </w:pPr>
          </w:p>
          <w:p w:rsidR="005F1E8B" w:rsidRPr="005F1E8B" w:rsidRDefault="005F1E8B" w:rsidP="005F1E8B">
            <w:pPr>
              <w:ind w:right="174" w:firstLine="434"/>
              <w:jc w:val="both"/>
              <w:rPr>
                <w:sz w:val="28"/>
                <w:szCs w:val="28"/>
              </w:rPr>
            </w:pPr>
            <w:r w:rsidRPr="005F1E8B">
              <w:rPr>
                <w:sz w:val="28"/>
                <w:szCs w:val="28"/>
              </w:rPr>
              <w:t>Atbilstoši likuma 17. panta otrās daļas  deleģējumam noteikumu projekts nosaka arī Biedrībai kā</w:t>
            </w:r>
            <w:r w:rsidR="00EF36CC">
              <w:rPr>
                <w:sz w:val="28"/>
                <w:szCs w:val="28"/>
              </w:rPr>
              <w:t xml:space="preserve"> sociālā</w:t>
            </w:r>
            <w:r w:rsidRPr="005F1E8B">
              <w:rPr>
                <w:sz w:val="28"/>
                <w:szCs w:val="28"/>
              </w:rPr>
              <w:t xml:space="preserve"> pakalpojuma </w:t>
            </w:r>
            <w:r w:rsidR="00EF36CC">
              <w:rPr>
                <w:sz w:val="28"/>
                <w:szCs w:val="28"/>
              </w:rPr>
              <w:t>sniedzēja</w:t>
            </w:r>
            <w:r w:rsidR="005F41C6">
              <w:rPr>
                <w:sz w:val="28"/>
                <w:szCs w:val="28"/>
              </w:rPr>
              <w:t>m</w:t>
            </w:r>
            <w:r w:rsidRPr="005F1E8B">
              <w:rPr>
                <w:sz w:val="28"/>
                <w:szCs w:val="28"/>
              </w:rPr>
              <w:t xml:space="preserve">  izvirzītās prasības.</w:t>
            </w:r>
          </w:p>
          <w:p w:rsidR="007C6613" w:rsidRPr="004F3BBB" w:rsidRDefault="007C6613" w:rsidP="008A6C7F">
            <w:pPr>
              <w:pStyle w:val="ListParagraph"/>
              <w:ind w:left="0" w:right="174" w:firstLine="434"/>
              <w:jc w:val="both"/>
              <w:rPr>
                <w:szCs w:val="28"/>
                <w:lang w:val="lv-LV"/>
              </w:rPr>
            </w:pPr>
            <w:r w:rsidRPr="004F3BBB">
              <w:rPr>
                <w:szCs w:val="28"/>
                <w:lang w:val="lv-LV"/>
              </w:rPr>
              <w:t xml:space="preserve">Noteikumu projekta noslēguma jautājumos noteikts, ka no 2018.gada 1.janvāra valsts </w:t>
            </w:r>
            <w:r w:rsidR="005F1E8B">
              <w:rPr>
                <w:szCs w:val="28"/>
                <w:lang w:val="lv-LV"/>
              </w:rPr>
              <w:t xml:space="preserve">finansēs pakalpojumu arī tiem bērniem un viņu ģimenes locekļiem, kuru paliatīvo aprūpi </w:t>
            </w:r>
            <w:r w:rsidRPr="004F3BBB">
              <w:rPr>
                <w:szCs w:val="28"/>
                <w:lang w:val="lv-LV"/>
              </w:rPr>
              <w:t>Biedrības un biedrības „Dižvanagi” starpdisciplinār</w:t>
            </w:r>
            <w:r w:rsidR="005F1E8B">
              <w:rPr>
                <w:szCs w:val="28"/>
                <w:lang w:val="lv-LV"/>
              </w:rPr>
              <w:t>as</w:t>
            </w:r>
            <w:r w:rsidRPr="004F3BBB">
              <w:rPr>
                <w:szCs w:val="28"/>
                <w:lang w:val="lv-LV"/>
              </w:rPr>
              <w:t xml:space="preserve"> komand</w:t>
            </w:r>
            <w:r w:rsidR="005F1E8B">
              <w:rPr>
                <w:szCs w:val="28"/>
                <w:lang w:val="lv-LV"/>
              </w:rPr>
              <w:t>as uzsākušas</w:t>
            </w:r>
            <w:r w:rsidRPr="004F3BBB">
              <w:rPr>
                <w:szCs w:val="28"/>
                <w:lang w:val="lv-LV"/>
              </w:rPr>
              <w:t xml:space="preserve"> līdz 2017. gada 31.decembrim</w:t>
            </w:r>
            <w:r w:rsidR="00940A07">
              <w:rPr>
                <w:szCs w:val="28"/>
                <w:lang w:val="lv-LV"/>
              </w:rPr>
              <w:t>, un minētajām ģimenēm š</w:t>
            </w:r>
            <w:r w:rsidR="00EF36CC">
              <w:rPr>
                <w:szCs w:val="28"/>
                <w:lang w:val="lv-LV"/>
              </w:rPr>
              <w:t>is</w:t>
            </w:r>
            <w:r w:rsidR="00940A07">
              <w:rPr>
                <w:szCs w:val="28"/>
                <w:lang w:val="lv-LV"/>
              </w:rPr>
              <w:t xml:space="preserve"> pakalpojum</w:t>
            </w:r>
            <w:r w:rsidR="00EF36CC">
              <w:rPr>
                <w:szCs w:val="28"/>
                <w:lang w:val="lv-LV"/>
              </w:rPr>
              <w:t>s</w:t>
            </w:r>
            <w:r w:rsidR="00940A07">
              <w:rPr>
                <w:szCs w:val="28"/>
                <w:lang w:val="lv-LV"/>
              </w:rPr>
              <w:t xml:space="preserve"> nebūs atkārtoti jāpieprasa</w:t>
            </w:r>
            <w:r w:rsidRPr="004F3BBB">
              <w:rPr>
                <w:szCs w:val="28"/>
                <w:lang w:val="lv-LV"/>
              </w:rPr>
              <w:t>.</w:t>
            </w:r>
          </w:p>
          <w:p w:rsidR="0000607E" w:rsidRPr="004F3BBB" w:rsidRDefault="0000607E" w:rsidP="008A6C7F">
            <w:pPr>
              <w:pStyle w:val="ListParagraph"/>
              <w:ind w:left="0" w:right="174" w:firstLine="434"/>
              <w:jc w:val="both"/>
              <w:rPr>
                <w:szCs w:val="28"/>
              </w:rPr>
            </w:pPr>
            <w:r w:rsidRPr="004F3BBB">
              <w:rPr>
                <w:szCs w:val="28"/>
                <w:lang w:val="lv-LV"/>
              </w:rPr>
              <w:t>Tāpat šajā nodaļā ir punkts, ka sistēmā SPOLIS Biedrība noteikumos noteiktos pienākumus uzsāks pildīt pēc attiecīgās SPOLIS funkcionalitātes darbības uzsākšanas, bet līdz tam pakalpojuma uzskaiti veiks un pārskatus sniegs atbilstoši līgumā par deleģēto uzdevumu veikšanu noteiktajam.</w:t>
            </w:r>
          </w:p>
          <w:p w:rsidR="00FD2FE7" w:rsidRPr="004F3BBB" w:rsidRDefault="007C6613" w:rsidP="008A6C7F">
            <w:pPr>
              <w:ind w:right="174" w:firstLine="718"/>
              <w:jc w:val="both"/>
              <w:rPr>
                <w:sz w:val="28"/>
                <w:szCs w:val="28"/>
              </w:rPr>
            </w:pPr>
            <w:r w:rsidRPr="004F3BBB">
              <w:rPr>
                <w:sz w:val="28"/>
                <w:szCs w:val="28"/>
              </w:rPr>
              <w:t>N</w:t>
            </w:r>
            <w:r w:rsidR="00FD2FE7" w:rsidRPr="004F3BBB">
              <w:rPr>
                <w:sz w:val="28"/>
                <w:szCs w:val="28"/>
              </w:rPr>
              <w:t>oteikumu projektā noteikts, ka noteikumi stājas spēkā 2018.gada 1.janvārī</w:t>
            </w:r>
            <w:r w:rsidRPr="004F3BBB">
              <w:rPr>
                <w:sz w:val="28"/>
                <w:szCs w:val="28"/>
              </w:rPr>
              <w:t>.</w:t>
            </w:r>
          </w:p>
          <w:p w:rsidR="00652DEF" w:rsidRPr="004F3BBB" w:rsidRDefault="00652DEF" w:rsidP="00D54574">
            <w:pPr>
              <w:ind w:left="151" w:right="174" w:firstLine="567"/>
              <w:jc w:val="both"/>
              <w:rPr>
                <w:sz w:val="28"/>
                <w:szCs w:val="28"/>
              </w:rPr>
            </w:pPr>
          </w:p>
        </w:tc>
      </w:tr>
      <w:tr w:rsidR="00A97F11" w:rsidRPr="004F3BBB" w:rsidTr="00BE77D4">
        <w:tc>
          <w:tcPr>
            <w:tcW w:w="310" w:type="pct"/>
            <w:shd w:val="clear" w:color="auto" w:fill="auto"/>
          </w:tcPr>
          <w:p w:rsidR="00A97F11" w:rsidRPr="004F3BBB" w:rsidRDefault="00A97F11" w:rsidP="005115AA">
            <w:pPr>
              <w:rPr>
                <w:sz w:val="28"/>
                <w:szCs w:val="28"/>
              </w:rPr>
            </w:pPr>
            <w:r w:rsidRPr="004F3BBB">
              <w:rPr>
                <w:sz w:val="28"/>
                <w:szCs w:val="28"/>
              </w:rPr>
              <w:lastRenderedPageBreak/>
              <w:t>3.</w:t>
            </w:r>
          </w:p>
        </w:tc>
        <w:tc>
          <w:tcPr>
            <w:tcW w:w="1084" w:type="pct"/>
            <w:shd w:val="clear" w:color="auto" w:fill="auto"/>
          </w:tcPr>
          <w:p w:rsidR="00A97F11" w:rsidRPr="004F3BBB" w:rsidRDefault="00A97F11" w:rsidP="005115AA">
            <w:pPr>
              <w:rPr>
                <w:sz w:val="28"/>
                <w:szCs w:val="28"/>
              </w:rPr>
            </w:pPr>
            <w:r w:rsidRPr="004F3BBB">
              <w:rPr>
                <w:sz w:val="28"/>
                <w:szCs w:val="28"/>
              </w:rPr>
              <w:t>Projekta izstrādē iesaistītās institūcijas</w:t>
            </w:r>
          </w:p>
        </w:tc>
        <w:tc>
          <w:tcPr>
            <w:tcW w:w="3606" w:type="pct"/>
            <w:shd w:val="clear" w:color="auto" w:fill="auto"/>
          </w:tcPr>
          <w:p w:rsidR="00A97F11" w:rsidRPr="004F3BBB" w:rsidRDefault="00A97F11" w:rsidP="00EF36CC">
            <w:pPr>
              <w:spacing w:before="240"/>
              <w:ind w:right="174" w:firstLine="383"/>
              <w:jc w:val="both"/>
              <w:rPr>
                <w:sz w:val="28"/>
                <w:szCs w:val="28"/>
              </w:rPr>
            </w:pPr>
            <w:r w:rsidRPr="004F3BBB">
              <w:rPr>
                <w:sz w:val="28"/>
                <w:szCs w:val="28"/>
              </w:rPr>
              <w:t xml:space="preserve">Noteikumu </w:t>
            </w:r>
            <w:r w:rsidR="00D56018" w:rsidRPr="004F3BBB">
              <w:rPr>
                <w:sz w:val="28"/>
                <w:szCs w:val="28"/>
              </w:rPr>
              <w:t xml:space="preserve">projekts izstrādāts, sadarbojoties ar </w:t>
            </w:r>
            <w:r w:rsidR="008302E3" w:rsidRPr="004F3BBB">
              <w:rPr>
                <w:sz w:val="28"/>
                <w:szCs w:val="28"/>
              </w:rPr>
              <w:t>Biedrīb</w:t>
            </w:r>
            <w:r w:rsidR="00D56018" w:rsidRPr="004F3BBB">
              <w:rPr>
                <w:sz w:val="28"/>
                <w:szCs w:val="28"/>
              </w:rPr>
              <w:t>u</w:t>
            </w:r>
            <w:r w:rsidR="008302E3" w:rsidRPr="004F3BBB">
              <w:rPr>
                <w:sz w:val="28"/>
                <w:szCs w:val="28"/>
              </w:rPr>
              <w:t xml:space="preserve">, </w:t>
            </w:r>
            <w:r w:rsidRPr="004F3BBB">
              <w:rPr>
                <w:sz w:val="28"/>
                <w:szCs w:val="28"/>
              </w:rPr>
              <w:t>kur</w:t>
            </w:r>
            <w:r w:rsidR="008302E3" w:rsidRPr="004F3BBB">
              <w:rPr>
                <w:sz w:val="28"/>
                <w:szCs w:val="28"/>
              </w:rPr>
              <w:t>a</w:t>
            </w:r>
            <w:r w:rsidRPr="004F3BBB">
              <w:rPr>
                <w:sz w:val="28"/>
                <w:szCs w:val="28"/>
              </w:rPr>
              <w:t xml:space="preserve"> </w:t>
            </w:r>
            <w:r w:rsidR="008302E3" w:rsidRPr="004F3BBB">
              <w:rPr>
                <w:sz w:val="28"/>
                <w:szCs w:val="28"/>
              </w:rPr>
              <w:t>nodrošin</w:t>
            </w:r>
            <w:r w:rsidR="005115AA" w:rsidRPr="004F3BBB">
              <w:rPr>
                <w:sz w:val="28"/>
                <w:szCs w:val="28"/>
              </w:rPr>
              <w:t>ās pakalpojuma sniegšanu</w:t>
            </w:r>
            <w:r w:rsidR="008302E3" w:rsidRPr="004F3BBB">
              <w:rPr>
                <w:sz w:val="28"/>
                <w:szCs w:val="28"/>
              </w:rPr>
              <w:t xml:space="preserve"> paliatīvajā aprūpē esošajiem bērniem un viņu ģimenē</w:t>
            </w:r>
            <w:r w:rsidR="00D56018" w:rsidRPr="004F3BBB">
              <w:rPr>
                <w:sz w:val="28"/>
                <w:szCs w:val="28"/>
              </w:rPr>
              <w:t>m</w:t>
            </w:r>
            <w:r w:rsidR="008302E3" w:rsidRPr="004F3BBB">
              <w:rPr>
                <w:sz w:val="28"/>
                <w:szCs w:val="28"/>
              </w:rPr>
              <w:t>, kā arī snie</w:t>
            </w:r>
            <w:r w:rsidR="005115AA" w:rsidRPr="004F3BBB">
              <w:rPr>
                <w:sz w:val="28"/>
                <w:szCs w:val="28"/>
              </w:rPr>
              <w:t>gs</w:t>
            </w:r>
            <w:r w:rsidR="008302E3" w:rsidRPr="004F3BBB">
              <w:rPr>
                <w:sz w:val="28"/>
                <w:szCs w:val="28"/>
              </w:rPr>
              <w:t xml:space="preserve"> tām atbalstu sērošanas periodā pēc bērna nāves</w:t>
            </w:r>
            <w:r w:rsidRPr="004F3BBB">
              <w:rPr>
                <w:sz w:val="28"/>
                <w:szCs w:val="28"/>
              </w:rPr>
              <w:t>.</w:t>
            </w:r>
          </w:p>
        </w:tc>
      </w:tr>
      <w:tr w:rsidR="00A97F11" w:rsidRPr="004F3BBB" w:rsidTr="00BE77D4">
        <w:tc>
          <w:tcPr>
            <w:tcW w:w="310" w:type="pct"/>
            <w:shd w:val="clear" w:color="auto" w:fill="auto"/>
          </w:tcPr>
          <w:p w:rsidR="00A97F11" w:rsidRPr="004F3BBB" w:rsidRDefault="00A97F11" w:rsidP="005115AA">
            <w:pPr>
              <w:rPr>
                <w:sz w:val="28"/>
                <w:szCs w:val="28"/>
              </w:rPr>
            </w:pPr>
            <w:r w:rsidRPr="004F3BBB">
              <w:rPr>
                <w:sz w:val="28"/>
                <w:szCs w:val="28"/>
              </w:rPr>
              <w:t xml:space="preserve">4. </w:t>
            </w:r>
          </w:p>
        </w:tc>
        <w:tc>
          <w:tcPr>
            <w:tcW w:w="1084" w:type="pct"/>
            <w:shd w:val="clear" w:color="auto" w:fill="auto"/>
          </w:tcPr>
          <w:p w:rsidR="00A97F11" w:rsidRPr="004F3BBB" w:rsidRDefault="00A97F11" w:rsidP="005115AA">
            <w:pPr>
              <w:rPr>
                <w:sz w:val="28"/>
                <w:szCs w:val="28"/>
              </w:rPr>
            </w:pPr>
            <w:r w:rsidRPr="004F3BBB">
              <w:rPr>
                <w:sz w:val="28"/>
                <w:szCs w:val="28"/>
              </w:rPr>
              <w:t>Cita informācija</w:t>
            </w:r>
          </w:p>
        </w:tc>
        <w:tc>
          <w:tcPr>
            <w:tcW w:w="3606" w:type="pct"/>
            <w:shd w:val="clear" w:color="auto" w:fill="auto"/>
          </w:tcPr>
          <w:p w:rsidR="00A97F11" w:rsidRPr="004F3BBB" w:rsidRDefault="00D56018" w:rsidP="005115AA">
            <w:pPr>
              <w:jc w:val="both"/>
              <w:rPr>
                <w:bCs/>
                <w:iCs/>
                <w:sz w:val="28"/>
                <w:szCs w:val="28"/>
              </w:rPr>
            </w:pPr>
            <w:r w:rsidRPr="004F3BBB">
              <w:rPr>
                <w:bCs/>
                <w:iCs/>
                <w:sz w:val="28"/>
                <w:szCs w:val="28"/>
              </w:rPr>
              <w:t>Nav</w:t>
            </w:r>
            <w:r w:rsidR="00C176C2">
              <w:rPr>
                <w:bCs/>
                <w:iCs/>
                <w:sz w:val="28"/>
                <w:szCs w:val="28"/>
              </w:rPr>
              <w:t>.</w:t>
            </w:r>
          </w:p>
        </w:tc>
      </w:tr>
    </w:tbl>
    <w:p w:rsidR="00A97F11" w:rsidRPr="004F3BBB" w:rsidRDefault="00A97F11" w:rsidP="00A97F11">
      <w:pPr>
        <w:jc w:val="center"/>
        <w:rPr>
          <w:sz w:val="28"/>
          <w:szCs w:val="28"/>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989"/>
        <w:gridCol w:w="6198"/>
      </w:tblGrid>
      <w:tr w:rsidR="00A97F11" w:rsidRPr="004F3BBB" w:rsidTr="004E75B9">
        <w:tc>
          <w:tcPr>
            <w:tcW w:w="8613" w:type="dxa"/>
            <w:gridSpan w:val="3"/>
            <w:shd w:val="clear" w:color="auto" w:fill="auto"/>
          </w:tcPr>
          <w:p w:rsidR="00A97F11" w:rsidRPr="004F3BBB" w:rsidRDefault="00A97F11" w:rsidP="005115AA">
            <w:pPr>
              <w:pStyle w:val="naisnod"/>
              <w:spacing w:before="0" w:after="0"/>
              <w:ind w:left="57" w:right="57"/>
              <w:rPr>
                <w:b w:val="0"/>
                <w:sz w:val="28"/>
                <w:szCs w:val="28"/>
              </w:rPr>
            </w:pPr>
            <w:r w:rsidRPr="004F3BBB">
              <w:rPr>
                <w:sz w:val="28"/>
                <w:szCs w:val="28"/>
              </w:rPr>
              <w:t>II.</w:t>
            </w:r>
            <w:r w:rsidRPr="004F3BBB">
              <w:rPr>
                <w:b w:val="0"/>
                <w:sz w:val="28"/>
                <w:szCs w:val="28"/>
              </w:rPr>
              <w:t xml:space="preserve"> </w:t>
            </w:r>
            <w:r w:rsidRPr="004F3BBB">
              <w:rPr>
                <w:sz w:val="28"/>
                <w:szCs w:val="28"/>
              </w:rPr>
              <w:t>Tiesību akta projekta ietekme uz sabiedrību, tautsaimniecības attīstību</w:t>
            </w:r>
          </w:p>
          <w:p w:rsidR="00A97F11" w:rsidRPr="004F3BBB" w:rsidRDefault="00A97F11" w:rsidP="005115AA">
            <w:pPr>
              <w:jc w:val="center"/>
              <w:rPr>
                <w:b/>
                <w:sz w:val="28"/>
                <w:szCs w:val="28"/>
              </w:rPr>
            </w:pPr>
            <w:r w:rsidRPr="004F3BBB">
              <w:rPr>
                <w:b/>
                <w:sz w:val="28"/>
                <w:szCs w:val="28"/>
              </w:rPr>
              <w:t>un administratīvo slogu</w:t>
            </w:r>
          </w:p>
        </w:tc>
      </w:tr>
      <w:tr w:rsidR="00A97F11" w:rsidRPr="004F3BBB" w:rsidTr="004E75B9">
        <w:tc>
          <w:tcPr>
            <w:tcW w:w="394" w:type="dxa"/>
            <w:shd w:val="clear" w:color="auto" w:fill="auto"/>
          </w:tcPr>
          <w:p w:rsidR="00A97F11" w:rsidRPr="004F3BBB" w:rsidRDefault="00A97F11" w:rsidP="005115AA">
            <w:pPr>
              <w:rPr>
                <w:sz w:val="28"/>
                <w:szCs w:val="28"/>
              </w:rPr>
            </w:pPr>
            <w:r w:rsidRPr="004F3BBB">
              <w:rPr>
                <w:sz w:val="28"/>
                <w:szCs w:val="28"/>
              </w:rPr>
              <w:t>1.</w:t>
            </w:r>
          </w:p>
        </w:tc>
        <w:tc>
          <w:tcPr>
            <w:tcW w:w="1982" w:type="dxa"/>
            <w:shd w:val="clear" w:color="auto" w:fill="auto"/>
          </w:tcPr>
          <w:p w:rsidR="00A97F11" w:rsidRPr="004F3BBB" w:rsidRDefault="00A97F11" w:rsidP="005115AA">
            <w:pPr>
              <w:rPr>
                <w:sz w:val="28"/>
                <w:szCs w:val="28"/>
              </w:rPr>
            </w:pPr>
            <w:r w:rsidRPr="004F3BBB">
              <w:rPr>
                <w:sz w:val="28"/>
                <w:szCs w:val="28"/>
              </w:rPr>
              <w:t>Sabiedrības mērķgrupas, kuras tiesiskais regulējums ietekmē vai varētu ietekmēt</w:t>
            </w:r>
          </w:p>
        </w:tc>
        <w:tc>
          <w:tcPr>
            <w:tcW w:w="6237" w:type="dxa"/>
            <w:shd w:val="clear" w:color="auto" w:fill="auto"/>
          </w:tcPr>
          <w:p w:rsidR="008302E3" w:rsidRPr="004F3BBB" w:rsidRDefault="00A74361" w:rsidP="004E75B9">
            <w:pPr>
              <w:spacing w:before="240"/>
              <w:ind w:right="175" w:firstLine="318"/>
              <w:jc w:val="both"/>
              <w:rPr>
                <w:sz w:val="28"/>
                <w:szCs w:val="28"/>
              </w:rPr>
            </w:pPr>
            <w:r w:rsidRPr="004F3BBB">
              <w:rPr>
                <w:sz w:val="28"/>
                <w:szCs w:val="28"/>
              </w:rPr>
              <w:t>Bērni, kuri saņem p</w:t>
            </w:r>
            <w:r w:rsidR="008302E3" w:rsidRPr="004F3BBB">
              <w:rPr>
                <w:sz w:val="28"/>
                <w:szCs w:val="28"/>
              </w:rPr>
              <w:t>aliatīv</w:t>
            </w:r>
            <w:r w:rsidRPr="004F3BBB">
              <w:rPr>
                <w:sz w:val="28"/>
                <w:szCs w:val="28"/>
              </w:rPr>
              <w:t>o aprūpi mājās</w:t>
            </w:r>
            <w:r w:rsidR="00940A07">
              <w:rPr>
                <w:sz w:val="28"/>
                <w:szCs w:val="28"/>
              </w:rPr>
              <w:t>,</w:t>
            </w:r>
            <w:r w:rsidRPr="004F3BBB">
              <w:rPr>
                <w:sz w:val="28"/>
                <w:szCs w:val="28"/>
              </w:rPr>
              <w:t xml:space="preserve"> </w:t>
            </w:r>
            <w:r w:rsidR="008302E3" w:rsidRPr="004F3BBB">
              <w:rPr>
                <w:sz w:val="28"/>
                <w:szCs w:val="28"/>
              </w:rPr>
              <w:t>un viņu ģimenes locekļi</w:t>
            </w:r>
            <w:r w:rsidR="00A97F11" w:rsidRPr="004F3BBB">
              <w:rPr>
                <w:sz w:val="28"/>
                <w:szCs w:val="28"/>
              </w:rPr>
              <w:t xml:space="preserve">. </w:t>
            </w:r>
          </w:p>
          <w:p w:rsidR="00295924" w:rsidRPr="004F3BBB" w:rsidRDefault="003C3514" w:rsidP="004E75B9">
            <w:pPr>
              <w:spacing w:before="240"/>
              <w:ind w:right="175" w:firstLine="318"/>
              <w:jc w:val="both"/>
              <w:rPr>
                <w:sz w:val="28"/>
                <w:szCs w:val="28"/>
              </w:rPr>
            </w:pPr>
            <w:r w:rsidRPr="004F3BBB">
              <w:rPr>
                <w:sz w:val="28"/>
                <w:szCs w:val="28"/>
              </w:rPr>
              <w:t xml:space="preserve">Latvijā nav vienotas datu bāzes par </w:t>
            </w:r>
            <w:r w:rsidR="006E287E" w:rsidRPr="004F3BBB">
              <w:rPr>
                <w:sz w:val="28"/>
                <w:szCs w:val="28"/>
              </w:rPr>
              <w:t xml:space="preserve">neizārstējamām slimībām - </w:t>
            </w:r>
            <w:r w:rsidRPr="004F3BBB">
              <w:rPr>
                <w:sz w:val="28"/>
                <w:szCs w:val="28"/>
              </w:rPr>
              <w:t xml:space="preserve">ģenētiskām, iedzimtām patoloģijām un neiroloģiskām slimībām, kas ļautu </w:t>
            </w:r>
            <w:r w:rsidRPr="004F3BBB">
              <w:rPr>
                <w:sz w:val="28"/>
                <w:szCs w:val="28"/>
              </w:rPr>
              <w:lastRenderedPageBreak/>
              <w:t xml:space="preserve">spriest par potenciālo bērnu skaitu, kam būtu nepieciešama paliatīvā aprūpe. </w:t>
            </w:r>
            <w:r w:rsidR="00295924" w:rsidRPr="004F3BBB">
              <w:rPr>
                <w:sz w:val="28"/>
                <w:szCs w:val="28"/>
              </w:rPr>
              <w:t>Saskaņā ar Pasaules Veselības organizācijas piedāvāto aprēķina metodiku,</w:t>
            </w:r>
            <w:r w:rsidR="00940A07">
              <w:rPr>
                <w:sz w:val="28"/>
                <w:szCs w:val="28"/>
              </w:rPr>
              <w:t xml:space="preserve"> </w:t>
            </w:r>
            <w:r w:rsidR="00295924" w:rsidRPr="004F3BBB">
              <w:rPr>
                <w:sz w:val="28"/>
                <w:szCs w:val="28"/>
              </w:rPr>
              <w:t xml:space="preserve">no katriem 50 000 bērniem 50 bērniem ar ierobežotu dzīvildzi </w:t>
            </w:r>
            <w:r w:rsidR="00940A07" w:rsidRPr="004F3BBB">
              <w:rPr>
                <w:sz w:val="28"/>
                <w:szCs w:val="28"/>
              </w:rPr>
              <w:t xml:space="preserve">gada laikā </w:t>
            </w:r>
            <w:r w:rsidR="00295924" w:rsidRPr="004F3BBB">
              <w:rPr>
                <w:sz w:val="28"/>
                <w:szCs w:val="28"/>
              </w:rPr>
              <w:t xml:space="preserve">nepieciešama paliatīvā aprūpe. Piemērojot šo metodiku Latvijas situācijā, paliatīvā aprūpe varētu būt nepieciešama </w:t>
            </w:r>
            <w:r w:rsidR="00983746" w:rsidRPr="004F3BBB">
              <w:rPr>
                <w:sz w:val="28"/>
                <w:szCs w:val="28"/>
              </w:rPr>
              <w:t>aptuveni</w:t>
            </w:r>
            <w:r w:rsidR="00295924" w:rsidRPr="004F3BBB">
              <w:rPr>
                <w:sz w:val="28"/>
                <w:szCs w:val="28"/>
              </w:rPr>
              <w:t xml:space="preserve"> 370 bērniem </w:t>
            </w:r>
            <w:r w:rsidR="00884B36" w:rsidRPr="004F3BBB">
              <w:rPr>
                <w:sz w:val="28"/>
                <w:szCs w:val="28"/>
              </w:rPr>
              <w:t xml:space="preserve">katru </w:t>
            </w:r>
            <w:r w:rsidR="00295924" w:rsidRPr="004F3BBB">
              <w:rPr>
                <w:sz w:val="28"/>
                <w:szCs w:val="28"/>
              </w:rPr>
              <w:t>gad</w:t>
            </w:r>
            <w:r w:rsidR="00884B36" w:rsidRPr="004F3BBB">
              <w:rPr>
                <w:sz w:val="28"/>
                <w:szCs w:val="28"/>
              </w:rPr>
              <w:t>u</w:t>
            </w:r>
            <w:r w:rsidR="00295924" w:rsidRPr="004F3BBB">
              <w:rPr>
                <w:sz w:val="28"/>
                <w:szCs w:val="28"/>
              </w:rPr>
              <w:t>.</w:t>
            </w:r>
          </w:p>
          <w:p w:rsidR="00795212" w:rsidRPr="004F3BBB" w:rsidRDefault="00FF5880" w:rsidP="008F436B">
            <w:pPr>
              <w:spacing w:before="240"/>
              <w:ind w:right="175" w:firstLine="318"/>
              <w:jc w:val="both"/>
              <w:rPr>
                <w:sz w:val="28"/>
                <w:szCs w:val="28"/>
              </w:rPr>
            </w:pPr>
            <w:r w:rsidRPr="004F3BBB">
              <w:rPr>
                <w:sz w:val="28"/>
                <w:szCs w:val="28"/>
              </w:rPr>
              <w:t xml:space="preserve">Vienlaikus jāņem vērā, ka </w:t>
            </w:r>
            <w:r w:rsidR="00884B36" w:rsidRPr="004F3BBB">
              <w:rPr>
                <w:sz w:val="28"/>
                <w:szCs w:val="28"/>
              </w:rPr>
              <w:t xml:space="preserve">pakalpojuma saņemšana </w:t>
            </w:r>
            <w:r w:rsidRPr="004F3BBB">
              <w:rPr>
                <w:sz w:val="28"/>
                <w:szCs w:val="28"/>
              </w:rPr>
              <w:t>ir ģimenes brīvprātīga izvēle.</w:t>
            </w:r>
            <w:r w:rsidR="008F436B" w:rsidRPr="004F3BBB">
              <w:rPr>
                <w:sz w:val="28"/>
                <w:szCs w:val="28"/>
              </w:rPr>
              <w:t xml:space="preserve"> </w:t>
            </w:r>
            <w:r w:rsidR="00FE023D" w:rsidRPr="004F3BBB">
              <w:rPr>
                <w:sz w:val="28"/>
                <w:szCs w:val="28"/>
              </w:rPr>
              <w:t>S</w:t>
            </w:r>
            <w:r w:rsidR="003C3514" w:rsidRPr="004F3BBB">
              <w:rPr>
                <w:sz w:val="28"/>
                <w:szCs w:val="28"/>
              </w:rPr>
              <w:t>askaņā ar B</w:t>
            </w:r>
            <w:r w:rsidR="006E287E" w:rsidRPr="004F3BBB">
              <w:rPr>
                <w:sz w:val="28"/>
                <w:szCs w:val="28"/>
              </w:rPr>
              <w:t>iedrības</w:t>
            </w:r>
            <w:r w:rsidR="003C3514" w:rsidRPr="004F3BBB">
              <w:rPr>
                <w:sz w:val="28"/>
                <w:szCs w:val="28"/>
              </w:rPr>
              <w:t xml:space="preserve"> un Liepājas </w:t>
            </w:r>
            <w:r w:rsidR="00940A07">
              <w:rPr>
                <w:sz w:val="28"/>
                <w:szCs w:val="28"/>
              </w:rPr>
              <w:t>biedrības „Dižvanagi”</w:t>
            </w:r>
            <w:r w:rsidR="003C3514" w:rsidRPr="004F3BBB">
              <w:rPr>
                <w:sz w:val="28"/>
                <w:szCs w:val="28"/>
              </w:rPr>
              <w:t xml:space="preserve"> datiem</w:t>
            </w:r>
            <w:r w:rsidR="00940A07">
              <w:rPr>
                <w:sz w:val="28"/>
                <w:szCs w:val="28"/>
              </w:rPr>
              <w:t>,</w:t>
            </w:r>
            <w:r w:rsidR="00D120EB" w:rsidRPr="004F3BBB">
              <w:rPr>
                <w:sz w:val="28"/>
                <w:szCs w:val="28"/>
              </w:rPr>
              <w:t xml:space="preserve"> paliatīv</w:t>
            </w:r>
            <w:r w:rsidR="00FC297D" w:rsidRPr="004F3BBB">
              <w:rPr>
                <w:sz w:val="28"/>
                <w:szCs w:val="28"/>
              </w:rPr>
              <w:t>ā</w:t>
            </w:r>
            <w:r w:rsidR="00D120EB" w:rsidRPr="004F3BBB">
              <w:rPr>
                <w:sz w:val="28"/>
                <w:szCs w:val="28"/>
              </w:rPr>
              <w:t xml:space="preserve"> aprūp</w:t>
            </w:r>
            <w:r w:rsidR="00FC297D" w:rsidRPr="004F3BBB">
              <w:rPr>
                <w:sz w:val="28"/>
                <w:szCs w:val="28"/>
              </w:rPr>
              <w:t>e</w:t>
            </w:r>
            <w:r w:rsidR="00D120EB" w:rsidRPr="004F3BBB">
              <w:rPr>
                <w:sz w:val="28"/>
                <w:szCs w:val="28"/>
              </w:rPr>
              <w:t xml:space="preserve"> mājās nodrošinā</w:t>
            </w:r>
            <w:r w:rsidR="00FC297D" w:rsidRPr="004F3BBB">
              <w:rPr>
                <w:sz w:val="28"/>
                <w:szCs w:val="28"/>
              </w:rPr>
              <w:t>t</w:t>
            </w:r>
            <w:r w:rsidR="00D120EB" w:rsidRPr="004F3BBB">
              <w:rPr>
                <w:sz w:val="28"/>
                <w:szCs w:val="28"/>
              </w:rPr>
              <w:t xml:space="preserve">a </w:t>
            </w:r>
            <w:r w:rsidR="003C3514" w:rsidRPr="004F3BBB">
              <w:rPr>
                <w:sz w:val="28"/>
                <w:szCs w:val="28"/>
              </w:rPr>
              <w:t xml:space="preserve">kopā </w:t>
            </w:r>
            <w:r w:rsidR="007319C6" w:rsidRPr="004F3BBB">
              <w:rPr>
                <w:sz w:val="28"/>
                <w:szCs w:val="28"/>
              </w:rPr>
              <w:t xml:space="preserve">292 </w:t>
            </w:r>
            <w:r w:rsidR="003C3514" w:rsidRPr="004F3BBB">
              <w:rPr>
                <w:sz w:val="28"/>
                <w:szCs w:val="28"/>
              </w:rPr>
              <w:t>bērniem</w:t>
            </w:r>
            <w:r w:rsidR="004E75B9" w:rsidRPr="004F3BBB">
              <w:rPr>
                <w:sz w:val="28"/>
                <w:szCs w:val="28"/>
              </w:rPr>
              <w:t xml:space="preserve"> 2015. gadā</w:t>
            </w:r>
            <w:r w:rsidR="003C3514" w:rsidRPr="004F3BBB">
              <w:rPr>
                <w:sz w:val="28"/>
                <w:szCs w:val="28"/>
              </w:rPr>
              <w:t xml:space="preserve"> </w:t>
            </w:r>
            <w:r w:rsidR="00FE023D" w:rsidRPr="004F3BBB">
              <w:rPr>
                <w:sz w:val="28"/>
                <w:szCs w:val="28"/>
              </w:rPr>
              <w:t>un</w:t>
            </w:r>
            <w:r w:rsidR="003C3514" w:rsidRPr="004F3BBB">
              <w:rPr>
                <w:sz w:val="28"/>
                <w:szCs w:val="28"/>
              </w:rPr>
              <w:t xml:space="preserve"> </w:t>
            </w:r>
            <w:r w:rsidR="004E75B9" w:rsidRPr="004F3BBB">
              <w:rPr>
                <w:sz w:val="28"/>
                <w:szCs w:val="28"/>
              </w:rPr>
              <w:t xml:space="preserve">294 bērniem </w:t>
            </w:r>
            <w:r w:rsidR="003C3514" w:rsidRPr="004F3BBB">
              <w:rPr>
                <w:sz w:val="28"/>
                <w:szCs w:val="28"/>
              </w:rPr>
              <w:t>2016. gadā</w:t>
            </w:r>
            <w:r w:rsidR="00D120EB" w:rsidRPr="004F3BBB">
              <w:rPr>
                <w:sz w:val="28"/>
                <w:szCs w:val="28"/>
              </w:rPr>
              <w:t xml:space="preserve">. </w:t>
            </w:r>
          </w:p>
          <w:p w:rsidR="00884B36" w:rsidRPr="004F3BBB" w:rsidRDefault="007319C6" w:rsidP="004E75B9">
            <w:pPr>
              <w:ind w:right="175" w:firstLine="318"/>
              <w:jc w:val="both"/>
              <w:rPr>
                <w:sz w:val="28"/>
                <w:szCs w:val="28"/>
              </w:rPr>
            </w:pPr>
            <w:r w:rsidRPr="004F3BBB">
              <w:rPr>
                <w:sz w:val="28"/>
                <w:szCs w:val="28"/>
              </w:rPr>
              <w:t xml:space="preserve"> Saskaņā ar </w:t>
            </w:r>
            <w:r w:rsidR="00725477" w:rsidRPr="004F3BBB">
              <w:rPr>
                <w:sz w:val="28"/>
                <w:szCs w:val="28"/>
              </w:rPr>
              <w:t>B</w:t>
            </w:r>
            <w:r w:rsidR="006E287E" w:rsidRPr="004F3BBB">
              <w:rPr>
                <w:sz w:val="28"/>
                <w:szCs w:val="28"/>
              </w:rPr>
              <w:t>iedrības</w:t>
            </w:r>
            <w:r w:rsidRPr="004F3BBB">
              <w:rPr>
                <w:sz w:val="28"/>
                <w:szCs w:val="28"/>
              </w:rPr>
              <w:t xml:space="preserve"> novērojumiem vienības speciālistu atbalstu saņem vidēji 3 ģimenes locekļi uz katru paliatīvajā aprūpē esošo bērnu</w:t>
            </w:r>
            <w:r w:rsidR="00884B36" w:rsidRPr="004F3BBB">
              <w:rPr>
                <w:sz w:val="28"/>
                <w:szCs w:val="28"/>
              </w:rPr>
              <w:t xml:space="preserve">. </w:t>
            </w:r>
          </w:p>
          <w:p w:rsidR="002C5388" w:rsidRPr="004F3BBB" w:rsidRDefault="00884B36" w:rsidP="00762893">
            <w:pPr>
              <w:ind w:right="175" w:firstLine="318"/>
              <w:jc w:val="both"/>
              <w:rPr>
                <w:sz w:val="28"/>
                <w:szCs w:val="28"/>
              </w:rPr>
            </w:pPr>
            <w:r w:rsidRPr="004F3BBB">
              <w:rPr>
                <w:sz w:val="28"/>
                <w:szCs w:val="28"/>
              </w:rPr>
              <w:t xml:space="preserve">No iepriekšminētā izriet, ka pakalpojuma paliatīvajā aprūpē esošajiem bērniem un viņu ģimenes locekļiem mērķa grupa varētu būt apmēram 300 bērnu un </w:t>
            </w:r>
            <w:r w:rsidR="00295924" w:rsidRPr="004F3BBB">
              <w:rPr>
                <w:sz w:val="28"/>
                <w:szCs w:val="28"/>
              </w:rPr>
              <w:t>apmēram</w:t>
            </w:r>
            <w:r w:rsidR="007319C6" w:rsidRPr="004F3BBB">
              <w:rPr>
                <w:sz w:val="28"/>
                <w:szCs w:val="28"/>
              </w:rPr>
              <w:t xml:space="preserve"> </w:t>
            </w:r>
            <w:r w:rsidRPr="004F3BBB">
              <w:rPr>
                <w:sz w:val="28"/>
                <w:szCs w:val="28"/>
              </w:rPr>
              <w:t xml:space="preserve">900 viņu </w:t>
            </w:r>
            <w:r w:rsidR="007319C6" w:rsidRPr="004F3BBB">
              <w:rPr>
                <w:sz w:val="28"/>
                <w:szCs w:val="28"/>
              </w:rPr>
              <w:t>ģimenes locekļ</w:t>
            </w:r>
            <w:r w:rsidR="006E287E" w:rsidRPr="004F3BBB">
              <w:rPr>
                <w:sz w:val="28"/>
                <w:szCs w:val="28"/>
              </w:rPr>
              <w:t>u</w:t>
            </w:r>
            <w:r w:rsidR="00295924" w:rsidRPr="004F3BBB">
              <w:rPr>
                <w:sz w:val="28"/>
                <w:szCs w:val="28"/>
              </w:rPr>
              <w:t xml:space="preserve">. </w:t>
            </w:r>
          </w:p>
        </w:tc>
      </w:tr>
      <w:tr w:rsidR="001A422E" w:rsidRPr="004F3BBB" w:rsidTr="004E75B9">
        <w:tc>
          <w:tcPr>
            <w:tcW w:w="394" w:type="dxa"/>
            <w:shd w:val="clear" w:color="auto" w:fill="auto"/>
          </w:tcPr>
          <w:p w:rsidR="001A422E" w:rsidRPr="004F3BBB" w:rsidRDefault="001A422E" w:rsidP="005115AA">
            <w:pPr>
              <w:rPr>
                <w:sz w:val="28"/>
                <w:szCs w:val="28"/>
              </w:rPr>
            </w:pPr>
            <w:r w:rsidRPr="004F3BBB">
              <w:rPr>
                <w:sz w:val="28"/>
                <w:szCs w:val="28"/>
              </w:rPr>
              <w:lastRenderedPageBreak/>
              <w:t xml:space="preserve">2. </w:t>
            </w:r>
          </w:p>
        </w:tc>
        <w:tc>
          <w:tcPr>
            <w:tcW w:w="1982" w:type="dxa"/>
            <w:shd w:val="clear" w:color="auto" w:fill="auto"/>
          </w:tcPr>
          <w:p w:rsidR="001A422E" w:rsidRPr="004F3BBB" w:rsidRDefault="001A422E" w:rsidP="005115AA">
            <w:pPr>
              <w:rPr>
                <w:sz w:val="28"/>
                <w:szCs w:val="28"/>
              </w:rPr>
            </w:pPr>
            <w:r w:rsidRPr="004F3BBB">
              <w:rPr>
                <w:sz w:val="28"/>
                <w:szCs w:val="28"/>
              </w:rPr>
              <w:t>Tiesiskā regulējuma ietekme uz tautsaimniecību un administratīvo slogu</w:t>
            </w:r>
          </w:p>
        </w:tc>
        <w:tc>
          <w:tcPr>
            <w:tcW w:w="6237" w:type="dxa"/>
            <w:shd w:val="clear" w:color="auto" w:fill="auto"/>
          </w:tcPr>
          <w:p w:rsidR="001A422E" w:rsidRPr="004F3BBB" w:rsidRDefault="001A422E" w:rsidP="004E75B9">
            <w:pPr>
              <w:spacing w:before="240"/>
              <w:ind w:right="175" w:firstLine="299"/>
              <w:jc w:val="both"/>
              <w:rPr>
                <w:sz w:val="28"/>
                <w:szCs w:val="28"/>
              </w:rPr>
            </w:pPr>
            <w:r w:rsidRPr="004F3BBB">
              <w:rPr>
                <w:sz w:val="28"/>
                <w:szCs w:val="28"/>
              </w:rPr>
              <w:t xml:space="preserve">Noteikumu projekta tiesiskais regulējums tiešā veidā neietekmē tautsaimniecību. </w:t>
            </w:r>
          </w:p>
          <w:p w:rsidR="00884B36" w:rsidRPr="004F3BBB" w:rsidRDefault="003E332B" w:rsidP="00C176C2">
            <w:pPr>
              <w:ind w:right="175" w:firstLine="299"/>
              <w:jc w:val="both"/>
              <w:rPr>
                <w:sz w:val="28"/>
                <w:szCs w:val="28"/>
              </w:rPr>
            </w:pPr>
            <w:r w:rsidRPr="004F3BBB">
              <w:rPr>
                <w:sz w:val="28"/>
                <w:szCs w:val="28"/>
              </w:rPr>
              <w:t>Netiešā veidā pakalpojuma sniegšana, nodrošinot psihosociālu un garīgu atbalstu ģimenei, veicina vecākus būt ekonomiski aktīviem un reintegrēties darba tirgū. Saņemot pakalpojumu, normalizēj</w:t>
            </w:r>
            <w:r w:rsidR="00884B36" w:rsidRPr="004F3BBB">
              <w:rPr>
                <w:sz w:val="28"/>
                <w:szCs w:val="28"/>
              </w:rPr>
              <w:t>a</w:t>
            </w:r>
            <w:r w:rsidRPr="004F3BBB">
              <w:rPr>
                <w:sz w:val="28"/>
                <w:szCs w:val="28"/>
              </w:rPr>
              <w:t>s ģimenes homeostāze un motivācija turpmākai ģimenes plānošanai.</w:t>
            </w:r>
          </w:p>
        </w:tc>
      </w:tr>
      <w:tr w:rsidR="001A422E" w:rsidRPr="004F3BBB" w:rsidTr="004E75B9">
        <w:tc>
          <w:tcPr>
            <w:tcW w:w="394" w:type="dxa"/>
            <w:shd w:val="clear" w:color="auto" w:fill="auto"/>
          </w:tcPr>
          <w:p w:rsidR="001A422E" w:rsidRPr="004F3BBB" w:rsidRDefault="001A422E" w:rsidP="005115AA">
            <w:pPr>
              <w:rPr>
                <w:sz w:val="28"/>
                <w:szCs w:val="28"/>
              </w:rPr>
            </w:pPr>
            <w:r w:rsidRPr="004F3BBB">
              <w:rPr>
                <w:sz w:val="28"/>
                <w:szCs w:val="28"/>
              </w:rPr>
              <w:t>3.</w:t>
            </w:r>
          </w:p>
        </w:tc>
        <w:tc>
          <w:tcPr>
            <w:tcW w:w="1982" w:type="dxa"/>
            <w:shd w:val="clear" w:color="auto" w:fill="auto"/>
          </w:tcPr>
          <w:p w:rsidR="001A422E" w:rsidRPr="004F3BBB" w:rsidRDefault="001A422E" w:rsidP="005115AA">
            <w:pPr>
              <w:rPr>
                <w:sz w:val="28"/>
                <w:szCs w:val="28"/>
              </w:rPr>
            </w:pPr>
            <w:r w:rsidRPr="004F3BBB">
              <w:rPr>
                <w:sz w:val="28"/>
                <w:szCs w:val="28"/>
              </w:rPr>
              <w:t>Administratīvo izmaksu monetārs novērtējums</w:t>
            </w:r>
          </w:p>
        </w:tc>
        <w:tc>
          <w:tcPr>
            <w:tcW w:w="6237" w:type="dxa"/>
            <w:shd w:val="clear" w:color="auto" w:fill="auto"/>
          </w:tcPr>
          <w:p w:rsidR="00710F18" w:rsidRPr="004F3BBB" w:rsidRDefault="00725477" w:rsidP="005115AA">
            <w:pPr>
              <w:spacing w:before="240"/>
              <w:ind w:right="175" w:firstLine="318"/>
              <w:jc w:val="both"/>
              <w:rPr>
                <w:sz w:val="28"/>
                <w:szCs w:val="28"/>
              </w:rPr>
            </w:pPr>
            <w:r w:rsidRPr="004F3BBB">
              <w:rPr>
                <w:sz w:val="28"/>
                <w:szCs w:val="28"/>
              </w:rPr>
              <w:t>B</w:t>
            </w:r>
            <w:r w:rsidR="00FC297D" w:rsidRPr="004F3BBB">
              <w:rPr>
                <w:sz w:val="28"/>
                <w:szCs w:val="28"/>
              </w:rPr>
              <w:t>iedrībai</w:t>
            </w:r>
            <w:r w:rsidR="00C6147D" w:rsidRPr="004F3BBB">
              <w:rPr>
                <w:sz w:val="28"/>
                <w:szCs w:val="28"/>
              </w:rPr>
              <w:t xml:space="preserve"> kā pakalpojuma sniedzējam atbilstoši </w:t>
            </w:r>
            <w:r w:rsidR="00FC297D" w:rsidRPr="004F3BBB">
              <w:rPr>
                <w:sz w:val="28"/>
                <w:szCs w:val="28"/>
              </w:rPr>
              <w:t>likumam</w:t>
            </w:r>
            <w:r w:rsidR="00B11A76" w:rsidRPr="004F3BBB">
              <w:rPr>
                <w:sz w:val="28"/>
                <w:szCs w:val="28"/>
              </w:rPr>
              <w:t xml:space="preserve"> un</w:t>
            </w:r>
            <w:r w:rsidR="00FC297D" w:rsidRPr="004F3BBB">
              <w:rPr>
                <w:sz w:val="28"/>
                <w:szCs w:val="28"/>
              </w:rPr>
              <w:t xml:space="preserve"> </w:t>
            </w:r>
            <w:r w:rsidR="00C6147D" w:rsidRPr="004F3BBB">
              <w:rPr>
                <w:sz w:val="28"/>
                <w:szCs w:val="28"/>
              </w:rPr>
              <w:t>noteikumu projekta</w:t>
            </w:r>
            <w:r w:rsidR="00B11A76" w:rsidRPr="004F3BBB">
              <w:rPr>
                <w:sz w:val="28"/>
                <w:szCs w:val="28"/>
              </w:rPr>
              <w:t>m</w:t>
            </w:r>
            <w:r w:rsidR="00C6147D" w:rsidRPr="004F3BBB">
              <w:rPr>
                <w:sz w:val="28"/>
                <w:szCs w:val="28"/>
              </w:rPr>
              <w:t xml:space="preserve"> ir pienākums</w:t>
            </w:r>
            <w:r w:rsidR="008A6C7F" w:rsidRPr="004F3BBB">
              <w:rPr>
                <w:sz w:val="28"/>
                <w:szCs w:val="28"/>
              </w:rPr>
              <w:t xml:space="preserve"> </w:t>
            </w:r>
            <w:r w:rsidR="00C6147D" w:rsidRPr="004F3BBB">
              <w:rPr>
                <w:sz w:val="28"/>
                <w:szCs w:val="28"/>
              </w:rPr>
              <w:t xml:space="preserve">veidot datu bāzi un uzkrāt tajā datus par pakalpojumu saņēmušajām personām un veiktajām darbībām pakalpojuma ietvaros. Tāpat </w:t>
            </w:r>
            <w:r w:rsidRPr="004F3BBB">
              <w:rPr>
                <w:sz w:val="28"/>
                <w:szCs w:val="28"/>
              </w:rPr>
              <w:t>B</w:t>
            </w:r>
            <w:r w:rsidR="00B11A76" w:rsidRPr="004F3BBB">
              <w:rPr>
                <w:sz w:val="28"/>
                <w:szCs w:val="28"/>
              </w:rPr>
              <w:t>iedrībai</w:t>
            </w:r>
            <w:r w:rsidR="00C6147D" w:rsidRPr="004F3BBB">
              <w:rPr>
                <w:sz w:val="28"/>
                <w:szCs w:val="28"/>
              </w:rPr>
              <w:t xml:space="preserve"> tiek noteikts pienākums sniegt regulāras atskaites Labklājības ministrijai par sniegtajiem pakalpojumiem un līguma izpildi.  Tiek pieņemts, ka saskaņā ar </w:t>
            </w:r>
            <w:r w:rsidR="005115AA" w:rsidRPr="004F3BBB">
              <w:rPr>
                <w:sz w:val="28"/>
                <w:szCs w:val="28"/>
              </w:rPr>
              <w:t>noteikumu projektu</w:t>
            </w:r>
            <w:r w:rsidR="00C6147D" w:rsidRPr="004F3BBB">
              <w:rPr>
                <w:sz w:val="28"/>
                <w:szCs w:val="28"/>
              </w:rPr>
              <w:t xml:space="preserve"> </w:t>
            </w:r>
            <w:r w:rsidRPr="004F3BBB">
              <w:rPr>
                <w:sz w:val="28"/>
                <w:szCs w:val="28"/>
              </w:rPr>
              <w:t>B</w:t>
            </w:r>
            <w:r w:rsidR="005115AA" w:rsidRPr="004F3BBB">
              <w:rPr>
                <w:sz w:val="28"/>
                <w:szCs w:val="28"/>
              </w:rPr>
              <w:t>iedrībai</w:t>
            </w:r>
            <w:r w:rsidR="00C6147D" w:rsidRPr="004F3BBB">
              <w:rPr>
                <w:sz w:val="28"/>
                <w:szCs w:val="28"/>
              </w:rPr>
              <w:t xml:space="preserve"> gadā nāksies iesniegt līdz 25 dažāda periodiskuma </w:t>
            </w:r>
            <w:r w:rsidR="00C6147D" w:rsidRPr="004F3BBB">
              <w:rPr>
                <w:sz w:val="28"/>
                <w:szCs w:val="28"/>
              </w:rPr>
              <w:lastRenderedPageBreak/>
              <w:t>(mēneša, ceturkšņa, gada) pārskat</w:t>
            </w:r>
            <w:r w:rsidR="005115AA" w:rsidRPr="004F3BBB">
              <w:rPr>
                <w:sz w:val="28"/>
                <w:szCs w:val="28"/>
              </w:rPr>
              <w:t>iem</w:t>
            </w:r>
            <w:r w:rsidR="00C6147D" w:rsidRPr="004F3BBB">
              <w:rPr>
                <w:sz w:val="28"/>
                <w:szCs w:val="28"/>
              </w:rPr>
              <w:t xml:space="preserve"> un atskait</w:t>
            </w:r>
            <w:r w:rsidR="005115AA" w:rsidRPr="004F3BBB">
              <w:rPr>
                <w:sz w:val="28"/>
                <w:szCs w:val="28"/>
              </w:rPr>
              <w:t>ēm</w:t>
            </w:r>
            <w:r w:rsidR="00C6147D" w:rsidRPr="004F3BBB">
              <w:rPr>
                <w:sz w:val="28"/>
                <w:szCs w:val="28"/>
              </w:rPr>
              <w:t xml:space="preserve"> (19 obligātas un 6 pēc vajadzības).</w:t>
            </w:r>
            <w:r w:rsidR="005115AA" w:rsidRPr="004F3BBB">
              <w:rPr>
                <w:sz w:val="28"/>
                <w:szCs w:val="28"/>
              </w:rPr>
              <w:t xml:space="preserve"> </w:t>
            </w:r>
            <w:r w:rsidR="00710F18" w:rsidRPr="004F3BBB">
              <w:rPr>
                <w:sz w:val="28"/>
                <w:szCs w:val="28"/>
              </w:rPr>
              <w:t xml:space="preserve">Paredzēts, ka </w:t>
            </w:r>
            <w:r w:rsidR="005115AA" w:rsidRPr="004F3BBB">
              <w:rPr>
                <w:sz w:val="28"/>
                <w:szCs w:val="28"/>
              </w:rPr>
              <w:t>pārskatus un atskaites</w:t>
            </w:r>
            <w:r w:rsidR="00714113" w:rsidRPr="004F3BBB">
              <w:rPr>
                <w:sz w:val="28"/>
                <w:szCs w:val="28"/>
              </w:rPr>
              <w:t xml:space="preserve"> nodrošinās </w:t>
            </w:r>
            <w:r w:rsidR="008A6C7F" w:rsidRPr="004F3BBB">
              <w:rPr>
                <w:sz w:val="28"/>
                <w:szCs w:val="28"/>
              </w:rPr>
              <w:t xml:space="preserve">starpdisciplinārajā </w:t>
            </w:r>
            <w:r w:rsidR="00710F18" w:rsidRPr="004F3BBB">
              <w:rPr>
                <w:sz w:val="28"/>
                <w:szCs w:val="28"/>
              </w:rPr>
              <w:t>komandā neietilpstoši darbinieki – grāmatvedis un administratīvais koordinators</w:t>
            </w:r>
            <w:r w:rsidR="005115AA" w:rsidRPr="004F3BBB">
              <w:rPr>
                <w:sz w:val="28"/>
                <w:szCs w:val="28"/>
              </w:rPr>
              <w:t>:</w:t>
            </w:r>
          </w:p>
          <w:p w:rsidR="00710F18" w:rsidRPr="004F3BBB" w:rsidRDefault="005115AA" w:rsidP="003322F5">
            <w:pPr>
              <w:pStyle w:val="ListParagraph"/>
              <w:numPr>
                <w:ilvl w:val="0"/>
                <w:numId w:val="19"/>
              </w:numPr>
              <w:spacing w:before="240"/>
              <w:ind w:left="318" w:right="175" w:firstLine="0"/>
              <w:jc w:val="both"/>
              <w:rPr>
                <w:szCs w:val="28"/>
              </w:rPr>
            </w:pPr>
            <w:r w:rsidRPr="004F3BBB">
              <w:rPr>
                <w:szCs w:val="28"/>
              </w:rPr>
              <w:t>a</w:t>
            </w:r>
            <w:r w:rsidR="00710F18" w:rsidRPr="004F3BBB">
              <w:rPr>
                <w:szCs w:val="28"/>
              </w:rPr>
              <w:t>dministratīvais koordinators nodrošinās</w:t>
            </w:r>
            <w:r w:rsidR="00C6147D" w:rsidRPr="004F3BBB">
              <w:rPr>
                <w:szCs w:val="28"/>
              </w:rPr>
              <w:t xml:space="preserve"> ierakstus datu bāzē</w:t>
            </w:r>
            <w:r w:rsidR="00710F18" w:rsidRPr="004F3BBB">
              <w:rPr>
                <w:szCs w:val="28"/>
              </w:rPr>
              <w:t xml:space="preserve"> un sagatavos atskaites par rezultatīvo rādītāju izpildi, kopumā abiem mērķiem</w:t>
            </w:r>
            <w:r w:rsidR="00C6147D" w:rsidRPr="004F3BBB">
              <w:rPr>
                <w:szCs w:val="28"/>
              </w:rPr>
              <w:t xml:space="preserve"> gada laikā patērējot 600 stundas.  Tiek pieņemts, ka koordinatora stundas darba samaksa būs 7 </w:t>
            </w:r>
            <w:r w:rsidR="00C6147D" w:rsidRPr="004F3BBB">
              <w:rPr>
                <w:i/>
                <w:szCs w:val="28"/>
              </w:rPr>
              <w:t>euro</w:t>
            </w:r>
            <w:r w:rsidR="00C6147D" w:rsidRPr="004F3BBB">
              <w:rPr>
                <w:szCs w:val="28"/>
              </w:rPr>
              <w:t>.</w:t>
            </w:r>
            <w:r w:rsidRPr="004F3BBB">
              <w:rPr>
                <w:szCs w:val="28"/>
              </w:rPr>
              <w:t xml:space="preserve"> </w:t>
            </w:r>
            <w:r w:rsidR="00710F18" w:rsidRPr="004F3BBB">
              <w:rPr>
                <w:szCs w:val="28"/>
              </w:rPr>
              <w:t xml:space="preserve">Administratīvā koordinatora darba izmaksas: 600h x 7 </w:t>
            </w:r>
            <w:r w:rsidR="00710F18" w:rsidRPr="004F3BBB">
              <w:rPr>
                <w:i/>
                <w:szCs w:val="28"/>
              </w:rPr>
              <w:t>euro</w:t>
            </w:r>
            <w:r w:rsidR="00710F18" w:rsidRPr="004F3BBB">
              <w:rPr>
                <w:szCs w:val="28"/>
              </w:rPr>
              <w:t xml:space="preserve">= 4200 </w:t>
            </w:r>
            <w:r w:rsidR="00710F18" w:rsidRPr="004F3BBB">
              <w:rPr>
                <w:i/>
                <w:szCs w:val="28"/>
              </w:rPr>
              <w:t>euro</w:t>
            </w:r>
            <w:r w:rsidR="00710F18" w:rsidRPr="004F3BBB">
              <w:rPr>
                <w:szCs w:val="28"/>
              </w:rPr>
              <w:t xml:space="preserve"> gadā</w:t>
            </w:r>
          </w:p>
          <w:p w:rsidR="005115AA" w:rsidRPr="004F3BBB" w:rsidRDefault="006338BC" w:rsidP="003322F5">
            <w:pPr>
              <w:pStyle w:val="ListParagraph"/>
              <w:numPr>
                <w:ilvl w:val="0"/>
                <w:numId w:val="16"/>
              </w:numPr>
              <w:spacing w:before="240"/>
              <w:ind w:left="318" w:right="175" w:firstLine="0"/>
              <w:jc w:val="both"/>
              <w:rPr>
                <w:szCs w:val="28"/>
              </w:rPr>
            </w:pPr>
            <w:r w:rsidRPr="004F3BBB">
              <w:rPr>
                <w:szCs w:val="28"/>
                <w:lang w:val="lv-LV"/>
              </w:rPr>
              <w:t>grāmatvedis</w:t>
            </w:r>
            <w:r w:rsidR="00710F18" w:rsidRPr="004F3BBB">
              <w:rPr>
                <w:szCs w:val="28"/>
              </w:rPr>
              <w:t xml:space="preserve"> sagatavos ar finanšu plūsmu saistītās atskaites, šim mērķim patērējot 110 stundas gadā.</w:t>
            </w:r>
            <w:r w:rsidR="005D6486" w:rsidRPr="004F3BBB">
              <w:rPr>
                <w:szCs w:val="28"/>
              </w:rPr>
              <w:t xml:space="preserve"> Tiek pieņemts, ka grāmatveža stundas darba samaksa būs 7.08 </w:t>
            </w:r>
            <w:r w:rsidR="005D6486" w:rsidRPr="004F3BBB">
              <w:rPr>
                <w:i/>
                <w:szCs w:val="28"/>
              </w:rPr>
              <w:t>euro</w:t>
            </w:r>
            <w:r w:rsidR="005115AA" w:rsidRPr="004F3BBB">
              <w:rPr>
                <w:i/>
                <w:szCs w:val="28"/>
                <w:lang w:val="lv-LV"/>
              </w:rPr>
              <w:t xml:space="preserve">. </w:t>
            </w:r>
            <w:r w:rsidR="005115AA" w:rsidRPr="004F3BBB">
              <w:rPr>
                <w:szCs w:val="28"/>
              </w:rPr>
              <w:t xml:space="preserve">Grāmatveža darba izmaksas: 110h x 7.08 </w:t>
            </w:r>
            <w:r w:rsidR="005115AA" w:rsidRPr="004F3BBB">
              <w:rPr>
                <w:i/>
                <w:szCs w:val="28"/>
              </w:rPr>
              <w:t>euro</w:t>
            </w:r>
            <w:r w:rsidR="005115AA" w:rsidRPr="004F3BBB">
              <w:rPr>
                <w:szCs w:val="28"/>
              </w:rPr>
              <w:t xml:space="preserve">= 778.80 </w:t>
            </w:r>
            <w:r w:rsidR="005115AA" w:rsidRPr="004F3BBB">
              <w:rPr>
                <w:i/>
                <w:szCs w:val="28"/>
              </w:rPr>
              <w:t>euro</w:t>
            </w:r>
            <w:r w:rsidR="005115AA" w:rsidRPr="004F3BBB">
              <w:rPr>
                <w:szCs w:val="28"/>
              </w:rPr>
              <w:t xml:space="preserve"> gadā</w:t>
            </w:r>
          </w:p>
          <w:p w:rsidR="001A422E" w:rsidRPr="004F3BBB" w:rsidRDefault="005D6486" w:rsidP="00D10E7D">
            <w:pPr>
              <w:spacing w:before="240" w:after="240"/>
              <w:ind w:right="175" w:firstLine="318"/>
              <w:jc w:val="both"/>
              <w:rPr>
                <w:sz w:val="28"/>
                <w:szCs w:val="28"/>
              </w:rPr>
            </w:pPr>
            <w:r w:rsidRPr="004F3BBB">
              <w:rPr>
                <w:sz w:val="28"/>
                <w:szCs w:val="28"/>
              </w:rPr>
              <w:t xml:space="preserve">Kopējās izmaksas 4200 + 778.80 = 4978.80 </w:t>
            </w:r>
            <w:r w:rsidRPr="004F3BBB">
              <w:rPr>
                <w:i/>
                <w:sz w:val="28"/>
                <w:szCs w:val="28"/>
              </w:rPr>
              <w:t>euro</w:t>
            </w:r>
            <w:r w:rsidRPr="004F3BBB">
              <w:rPr>
                <w:sz w:val="28"/>
                <w:szCs w:val="28"/>
              </w:rPr>
              <w:t xml:space="preserve"> gadā</w:t>
            </w:r>
          </w:p>
          <w:p w:rsidR="00634643" w:rsidRPr="004F3BBB" w:rsidRDefault="00634643" w:rsidP="007C6613">
            <w:pPr>
              <w:spacing w:before="240" w:after="240"/>
              <w:ind w:right="175" w:firstLine="318"/>
              <w:jc w:val="both"/>
              <w:rPr>
                <w:sz w:val="28"/>
                <w:szCs w:val="28"/>
              </w:rPr>
            </w:pPr>
            <w:r w:rsidRPr="004F3BBB">
              <w:rPr>
                <w:sz w:val="28"/>
                <w:szCs w:val="28"/>
              </w:rPr>
              <w:t xml:space="preserve">Paredzams, ka </w:t>
            </w:r>
            <w:r w:rsidR="007C6613" w:rsidRPr="004F3BBB">
              <w:rPr>
                <w:sz w:val="28"/>
                <w:szCs w:val="28"/>
              </w:rPr>
              <w:t>B</w:t>
            </w:r>
            <w:r w:rsidR="008F436B" w:rsidRPr="004F3BBB">
              <w:rPr>
                <w:sz w:val="28"/>
                <w:szCs w:val="28"/>
              </w:rPr>
              <w:t>iedrība</w:t>
            </w:r>
            <w:r w:rsidRPr="004F3BBB">
              <w:rPr>
                <w:sz w:val="28"/>
                <w:szCs w:val="28"/>
              </w:rPr>
              <w:t xml:space="preserve"> minētās izmaksas segs no tai administrēšanas izdevumiem piešķirtā finansējuma.</w:t>
            </w:r>
          </w:p>
        </w:tc>
      </w:tr>
      <w:tr w:rsidR="001A422E" w:rsidRPr="004F3BBB" w:rsidTr="004E75B9">
        <w:tc>
          <w:tcPr>
            <w:tcW w:w="394" w:type="dxa"/>
            <w:shd w:val="clear" w:color="auto" w:fill="auto"/>
          </w:tcPr>
          <w:p w:rsidR="001A422E" w:rsidRPr="004F3BBB" w:rsidRDefault="001A422E" w:rsidP="005115AA">
            <w:pPr>
              <w:rPr>
                <w:sz w:val="28"/>
                <w:szCs w:val="28"/>
              </w:rPr>
            </w:pPr>
            <w:r w:rsidRPr="004F3BBB">
              <w:rPr>
                <w:sz w:val="28"/>
                <w:szCs w:val="28"/>
              </w:rPr>
              <w:lastRenderedPageBreak/>
              <w:t xml:space="preserve">4. </w:t>
            </w:r>
          </w:p>
        </w:tc>
        <w:tc>
          <w:tcPr>
            <w:tcW w:w="1982" w:type="dxa"/>
            <w:shd w:val="clear" w:color="auto" w:fill="auto"/>
          </w:tcPr>
          <w:p w:rsidR="001A422E" w:rsidRPr="004F3BBB" w:rsidRDefault="001A422E" w:rsidP="005115AA">
            <w:pPr>
              <w:rPr>
                <w:sz w:val="28"/>
                <w:szCs w:val="28"/>
              </w:rPr>
            </w:pPr>
            <w:r w:rsidRPr="004F3BBB">
              <w:rPr>
                <w:sz w:val="28"/>
                <w:szCs w:val="28"/>
              </w:rPr>
              <w:t>Cita informācija</w:t>
            </w:r>
          </w:p>
        </w:tc>
        <w:tc>
          <w:tcPr>
            <w:tcW w:w="6237" w:type="dxa"/>
            <w:shd w:val="clear" w:color="auto" w:fill="auto"/>
          </w:tcPr>
          <w:p w:rsidR="001A422E" w:rsidRPr="004F3BBB" w:rsidRDefault="005115AA" w:rsidP="005115AA">
            <w:pPr>
              <w:jc w:val="both"/>
              <w:rPr>
                <w:sz w:val="28"/>
                <w:szCs w:val="28"/>
              </w:rPr>
            </w:pPr>
            <w:r w:rsidRPr="004F3BBB">
              <w:rPr>
                <w:sz w:val="28"/>
                <w:szCs w:val="28"/>
              </w:rPr>
              <w:t>Nav</w:t>
            </w:r>
            <w:r w:rsidR="00C176C2">
              <w:rPr>
                <w:sz w:val="28"/>
                <w:szCs w:val="28"/>
              </w:rPr>
              <w:t>.</w:t>
            </w:r>
          </w:p>
        </w:tc>
      </w:tr>
    </w:tbl>
    <w:p w:rsidR="00A97F11" w:rsidRPr="004F3BBB" w:rsidRDefault="00A97F11" w:rsidP="00A97F11">
      <w:pPr>
        <w:rPr>
          <w:sz w:val="28"/>
          <w:szCs w:val="28"/>
        </w:rPr>
      </w:pPr>
    </w:p>
    <w:tbl>
      <w:tblPr>
        <w:tblW w:w="5151"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47"/>
        <w:gridCol w:w="1429"/>
        <w:gridCol w:w="994"/>
        <w:gridCol w:w="1277"/>
        <w:gridCol w:w="1133"/>
        <w:gridCol w:w="1194"/>
      </w:tblGrid>
      <w:tr w:rsidR="005563B8" w:rsidRPr="004F3BBB" w:rsidTr="00093E5E">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5563B8" w:rsidRPr="004F3BBB" w:rsidRDefault="005563B8" w:rsidP="009B27F4">
            <w:pPr>
              <w:spacing w:before="100" w:beforeAutospacing="1"/>
              <w:ind w:firstLine="301"/>
              <w:jc w:val="center"/>
              <w:rPr>
                <w:b/>
                <w:bCs/>
                <w:noProof/>
                <w:sz w:val="28"/>
                <w:szCs w:val="28"/>
                <w:lang w:bidi="gu-IN"/>
              </w:rPr>
            </w:pPr>
            <w:r w:rsidRPr="004F3BBB">
              <w:rPr>
                <w:b/>
                <w:bCs/>
                <w:noProof/>
                <w:sz w:val="28"/>
                <w:szCs w:val="28"/>
                <w:lang w:bidi="gu-IN"/>
              </w:rPr>
              <w:br w:type="page"/>
              <w:t>III. Tiesību akta projekta ietekme uz valsts budžetu un pašvaldību budžetiem</w:t>
            </w:r>
          </w:p>
        </w:tc>
      </w:tr>
      <w:tr w:rsidR="005563B8" w:rsidRPr="004F3BBB" w:rsidTr="00093E5E">
        <w:tblPrEx>
          <w:tblCellMar>
            <w:left w:w="108" w:type="dxa"/>
            <w:right w:w="108" w:type="dxa"/>
          </w:tblCellMar>
          <w:tblLook w:val="01E0" w:firstRow="1" w:lastRow="1" w:firstColumn="1" w:lastColumn="1" w:noHBand="0" w:noVBand="0"/>
        </w:tblPrEx>
        <w:tc>
          <w:tcPr>
            <w:tcW w:w="1526" w:type="pct"/>
            <w:vMerge w:val="restart"/>
            <w:shd w:val="clear" w:color="auto" w:fill="auto"/>
            <w:vAlign w:val="center"/>
          </w:tcPr>
          <w:p w:rsidR="005563B8" w:rsidRPr="004F3BBB" w:rsidRDefault="005563B8" w:rsidP="009B27F4">
            <w:pPr>
              <w:jc w:val="center"/>
              <w:rPr>
                <w:sz w:val="28"/>
                <w:szCs w:val="28"/>
              </w:rPr>
            </w:pPr>
            <w:r w:rsidRPr="004F3BBB">
              <w:rPr>
                <w:b/>
                <w:sz w:val="28"/>
                <w:szCs w:val="28"/>
              </w:rPr>
              <w:t>Rādītāji</w:t>
            </w:r>
          </w:p>
        </w:tc>
        <w:tc>
          <w:tcPr>
            <w:tcW w:w="1397" w:type="pct"/>
            <w:gridSpan w:val="2"/>
            <w:vMerge w:val="restart"/>
            <w:shd w:val="clear" w:color="auto" w:fill="auto"/>
            <w:vAlign w:val="center"/>
          </w:tcPr>
          <w:p w:rsidR="005563B8" w:rsidRPr="004F3BBB" w:rsidRDefault="005563B8" w:rsidP="009B27F4">
            <w:pPr>
              <w:jc w:val="center"/>
              <w:rPr>
                <w:sz w:val="28"/>
                <w:szCs w:val="28"/>
              </w:rPr>
            </w:pPr>
            <w:r w:rsidRPr="004F3BBB">
              <w:rPr>
                <w:b/>
                <w:sz w:val="28"/>
                <w:szCs w:val="28"/>
              </w:rPr>
              <w:t>2017</w:t>
            </w:r>
          </w:p>
        </w:tc>
        <w:tc>
          <w:tcPr>
            <w:tcW w:w="2077" w:type="pct"/>
            <w:gridSpan w:val="3"/>
            <w:shd w:val="clear" w:color="auto" w:fill="auto"/>
            <w:vAlign w:val="center"/>
          </w:tcPr>
          <w:p w:rsidR="005563B8" w:rsidRPr="004F3BBB" w:rsidRDefault="005563B8" w:rsidP="009B27F4">
            <w:pPr>
              <w:jc w:val="center"/>
              <w:rPr>
                <w:sz w:val="28"/>
                <w:szCs w:val="28"/>
              </w:rPr>
            </w:pPr>
            <w:r w:rsidRPr="004F3BBB">
              <w:rPr>
                <w:sz w:val="28"/>
                <w:szCs w:val="28"/>
              </w:rPr>
              <w:t>Turpmākie trīs gadi (</w:t>
            </w:r>
            <w:r w:rsidRPr="004F3BBB">
              <w:rPr>
                <w:i/>
                <w:sz w:val="28"/>
                <w:szCs w:val="28"/>
              </w:rPr>
              <w:t>euro</w:t>
            </w:r>
            <w:r w:rsidRPr="004F3BBB">
              <w:rPr>
                <w:sz w:val="28"/>
                <w:szCs w:val="28"/>
              </w:rPr>
              <w:t>)</w:t>
            </w:r>
          </w:p>
        </w:tc>
      </w:tr>
      <w:tr w:rsidR="005563B8" w:rsidRPr="004F3BBB" w:rsidTr="00093E5E">
        <w:tblPrEx>
          <w:tblCellMar>
            <w:left w:w="108" w:type="dxa"/>
            <w:right w:w="108" w:type="dxa"/>
          </w:tblCellMar>
          <w:tblLook w:val="01E0" w:firstRow="1" w:lastRow="1" w:firstColumn="1" w:lastColumn="1" w:noHBand="0" w:noVBand="0"/>
        </w:tblPrEx>
        <w:tc>
          <w:tcPr>
            <w:tcW w:w="1526" w:type="pct"/>
            <w:vMerge/>
            <w:shd w:val="clear" w:color="auto" w:fill="auto"/>
          </w:tcPr>
          <w:p w:rsidR="005563B8" w:rsidRPr="004F3BBB" w:rsidRDefault="005563B8" w:rsidP="009B27F4">
            <w:pPr>
              <w:jc w:val="center"/>
              <w:rPr>
                <w:sz w:val="28"/>
                <w:szCs w:val="28"/>
              </w:rPr>
            </w:pPr>
          </w:p>
        </w:tc>
        <w:tc>
          <w:tcPr>
            <w:tcW w:w="1397" w:type="pct"/>
            <w:gridSpan w:val="2"/>
            <w:vMerge/>
            <w:shd w:val="clear" w:color="auto" w:fill="auto"/>
          </w:tcPr>
          <w:p w:rsidR="005563B8" w:rsidRPr="004F3BBB" w:rsidRDefault="005563B8" w:rsidP="009B27F4">
            <w:pPr>
              <w:jc w:val="center"/>
              <w:rPr>
                <w:b/>
                <w:sz w:val="28"/>
                <w:szCs w:val="28"/>
              </w:rPr>
            </w:pPr>
          </w:p>
        </w:tc>
        <w:tc>
          <w:tcPr>
            <w:tcW w:w="736" w:type="pct"/>
            <w:shd w:val="clear" w:color="auto" w:fill="auto"/>
            <w:vAlign w:val="bottom"/>
          </w:tcPr>
          <w:p w:rsidR="005563B8" w:rsidRPr="004F3BBB" w:rsidRDefault="005563B8" w:rsidP="009B27F4">
            <w:pPr>
              <w:spacing w:beforeAutospacing="1" w:afterAutospacing="1"/>
              <w:jc w:val="center"/>
              <w:rPr>
                <w:b/>
                <w:i/>
                <w:sz w:val="28"/>
                <w:szCs w:val="28"/>
              </w:rPr>
            </w:pPr>
            <w:r w:rsidRPr="004F3BBB">
              <w:rPr>
                <w:b/>
                <w:bCs/>
                <w:sz w:val="28"/>
                <w:szCs w:val="28"/>
              </w:rPr>
              <w:t>2018</w:t>
            </w:r>
          </w:p>
        </w:tc>
        <w:tc>
          <w:tcPr>
            <w:tcW w:w="653" w:type="pct"/>
            <w:shd w:val="clear" w:color="auto" w:fill="auto"/>
            <w:vAlign w:val="bottom"/>
          </w:tcPr>
          <w:p w:rsidR="005563B8" w:rsidRPr="004F3BBB" w:rsidRDefault="005563B8" w:rsidP="009B27F4">
            <w:pPr>
              <w:spacing w:beforeAutospacing="1" w:afterAutospacing="1"/>
              <w:jc w:val="center"/>
              <w:rPr>
                <w:b/>
                <w:i/>
                <w:sz w:val="28"/>
                <w:szCs w:val="28"/>
              </w:rPr>
            </w:pPr>
            <w:r w:rsidRPr="004F3BBB">
              <w:rPr>
                <w:b/>
                <w:bCs/>
                <w:sz w:val="28"/>
                <w:szCs w:val="28"/>
              </w:rPr>
              <w:t>2019</w:t>
            </w:r>
          </w:p>
        </w:tc>
        <w:tc>
          <w:tcPr>
            <w:tcW w:w="688" w:type="pct"/>
            <w:shd w:val="clear" w:color="auto" w:fill="auto"/>
            <w:vAlign w:val="bottom"/>
          </w:tcPr>
          <w:p w:rsidR="005563B8" w:rsidRPr="004F3BBB" w:rsidRDefault="005563B8" w:rsidP="009B27F4">
            <w:pPr>
              <w:spacing w:beforeAutospacing="1" w:afterAutospacing="1"/>
              <w:jc w:val="center"/>
              <w:rPr>
                <w:b/>
                <w:i/>
                <w:sz w:val="28"/>
                <w:szCs w:val="28"/>
              </w:rPr>
            </w:pPr>
            <w:r w:rsidRPr="004F3BBB">
              <w:rPr>
                <w:b/>
                <w:bCs/>
                <w:sz w:val="28"/>
                <w:szCs w:val="28"/>
              </w:rPr>
              <w:t>2020</w:t>
            </w:r>
          </w:p>
        </w:tc>
      </w:tr>
      <w:tr w:rsidR="005563B8" w:rsidRPr="004F3BBB" w:rsidTr="00093E5E">
        <w:tblPrEx>
          <w:tblCellMar>
            <w:left w:w="108" w:type="dxa"/>
            <w:right w:w="108" w:type="dxa"/>
          </w:tblCellMar>
          <w:tblLook w:val="01E0" w:firstRow="1" w:lastRow="1" w:firstColumn="1" w:lastColumn="1" w:noHBand="0" w:noVBand="0"/>
        </w:tblPrEx>
        <w:trPr>
          <w:trHeight w:val="1929"/>
        </w:trPr>
        <w:tc>
          <w:tcPr>
            <w:tcW w:w="1526" w:type="pct"/>
            <w:vMerge/>
            <w:shd w:val="clear" w:color="auto" w:fill="auto"/>
            <w:vAlign w:val="bottom"/>
          </w:tcPr>
          <w:p w:rsidR="005563B8" w:rsidRPr="004F3BBB" w:rsidRDefault="005563B8" w:rsidP="009B27F4">
            <w:pPr>
              <w:jc w:val="center"/>
              <w:rPr>
                <w:sz w:val="28"/>
                <w:szCs w:val="28"/>
              </w:rPr>
            </w:pPr>
          </w:p>
        </w:tc>
        <w:tc>
          <w:tcPr>
            <w:tcW w:w="824" w:type="pct"/>
            <w:shd w:val="clear" w:color="auto" w:fill="auto"/>
          </w:tcPr>
          <w:p w:rsidR="005563B8" w:rsidRPr="004F3BBB" w:rsidRDefault="005563B8" w:rsidP="009B27F4">
            <w:pPr>
              <w:jc w:val="center"/>
              <w:rPr>
                <w:sz w:val="28"/>
                <w:szCs w:val="28"/>
              </w:rPr>
            </w:pPr>
            <w:r w:rsidRPr="004F3BBB">
              <w:rPr>
                <w:sz w:val="28"/>
                <w:szCs w:val="28"/>
              </w:rPr>
              <w:t>saskaņā ar valsts budžetu kārtējam gadam</w:t>
            </w:r>
          </w:p>
        </w:tc>
        <w:tc>
          <w:tcPr>
            <w:tcW w:w="573" w:type="pct"/>
            <w:shd w:val="clear" w:color="auto" w:fill="auto"/>
          </w:tcPr>
          <w:p w:rsidR="005563B8" w:rsidRPr="004F3BBB" w:rsidRDefault="005563B8" w:rsidP="009B27F4">
            <w:pPr>
              <w:jc w:val="center"/>
              <w:rPr>
                <w:sz w:val="28"/>
                <w:szCs w:val="28"/>
              </w:rPr>
            </w:pPr>
            <w:r w:rsidRPr="004F3BBB">
              <w:rPr>
                <w:sz w:val="28"/>
                <w:szCs w:val="28"/>
              </w:rPr>
              <w:t>izmaiņas kārtējā gadā salīdzinot ar valsts budžet</w:t>
            </w:r>
            <w:r w:rsidRPr="004F3BBB">
              <w:rPr>
                <w:sz w:val="28"/>
                <w:szCs w:val="28"/>
              </w:rPr>
              <w:lastRenderedPageBreak/>
              <w:t>u kārtējam gadam</w:t>
            </w:r>
          </w:p>
        </w:tc>
        <w:tc>
          <w:tcPr>
            <w:tcW w:w="736" w:type="pct"/>
            <w:shd w:val="clear" w:color="auto" w:fill="auto"/>
          </w:tcPr>
          <w:p w:rsidR="005563B8" w:rsidRPr="004F3BBB" w:rsidRDefault="005563B8" w:rsidP="009B27F4">
            <w:pPr>
              <w:jc w:val="center"/>
              <w:rPr>
                <w:sz w:val="28"/>
                <w:szCs w:val="28"/>
              </w:rPr>
            </w:pPr>
            <w:r w:rsidRPr="004F3BBB">
              <w:rPr>
                <w:sz w:val="28"/>
                <w:szCs w:val="28"/>
              </w:rPr>
              <w:lastRenderedPageBreak/>
              <w:t>izmaiņas salīdzinot ar kārtējo gadu</w:t>
            </w:r>
          </w:p>
        </w:tc>
        <w:tc>
          <w:tcPr>
            <w:tcW w:w="653" w:type="pct"/>
            <w:shd w:val="clear" w:color="auto" w:fill="auto"/>
          </w:tcPr>
          <w:p w:rsidR="005563B8" w:rsidRPr="004F3BBB" w:rsidRDefault="005563B8" w:rsidP="009B27F4">
            <w:pPr>
              <w:jc w:val="center"/>
              <w:rPr>
                <w:sz w:val="28"/>
                <w:szCs w:val="28"/>
              </w:rPr>
            </w:pPr>
            <w:r w:rsidRPr="004F3BBB">
              <w:rPr>
                <w:sz w:val="28"/>
                <w:szCs w:val="28"/>
              </w:rPr>
              <w:t>izmaiņas salīdzinot ar kārtējo gadu</w:t>
            </w:r>
          </w:p>
        </w:tc>
        <w:tc>
          <w:tcPr>
            <w:tcW w:w="688" w:type="pct"/>
            <w:shd w:val="clear" w:color="auto" w:fill="auto"/>
          </w:tcPr>
          <w:p w:rsidR="005563B8" w:rsidRPr="004F3BBB" w:rsidRDefault="005563B8" w:rsidP="009B27F4">
            <w:pPr>
              <w:jc w:val="center"/>
              <w:rPr>
                <w:sz w:val="28"/>
                <w:szCs w:val="28"/>
              </w:rPr>
            </w:pPr>
            <w:r w:rsidRPr="004F3BBB">
              <w:rPr>
                <w:sz w:val="28"/>
                <w:szCs w:val="28"/>
              </w:rPr>
              <w:t>izmaiņas salīdzinot ar kārtējo gadu</w:t>
            </w:r>
          </w:p>
        </w:tc>
      </w:tr>
      <w:tr w:rsidR="005563B8" w:rsidRPr="004F3BBB" w:rsidTr="00093E5E">
        <w:tblPrEx>
          <w:tblCellMar>
            <w:left w:w="108" w:type="dxa"/>
            <w:right w:w="108" w:type="dxa"/>
          </w:tblCellMar>
          <w:tblLook w:val="01E0" w:firstRow="1" w:lastRow="1" w:firstColumn="1" w:lastColumn="1" w:noHBand="0" w:noVBand="0"/>
        </w:tblPrEx>
        <w:tc>
          <w:tcPr>
            <w:tcW w:w="1526" w:type="pct"/>
            <w:shd w:val="clear" w:color="auto" w:fill="auto"/>
          </w:tcPr>
          <w:p w:rsidR="005563B8" w:rsidRPr="004F3BBB" w:rsidRDefault="005563B8" w:rsidP="009B27F4">
            <w:pPr>
              <w:spacing w:beforeAutospacing="1" w:afterAutospacing="1"/>
              <w:jc w:val="center"/>
              <w:rPr>
                <w:b/>
                <w:sz w:val="28"/>
                <w:szCs w:val="28"/>
              </w:rPr>
            </w:pPr>
            <w:r w:rsidRPr="004F3BBB">
              <w:rPr>
                <w:b/>
                <w:sz w:val="28"/>
                <w:szCs w:val="28"/>
              </w:rPr>
              <w:lastRenderedPageBreak/>
              <w:t>1</w:t>
            </w:r>
          </w:p>
        </w:tc>
        <w:tc>
          <w:tcPr>
            <w:tcW w:w="824" w:type="pct"/>
            <w:shd w:val="clear" w:color="auto" w:fill="auto"/>
          </w:tcPr>
          <w:p w:rsidR="005563B8" w:rsidRPr="004F3BBB" w:rsidRDefault="005563B8" w:rsidP="009B27F4">
            <w:pPr>
              <w:spacing w:beforeAutospacing="1" w:afterAutospacing="1"/>
              <w:jc w:val="center"/>
              <w:rPr>
                <w:b/>
                <w:sz w:val="28"/>
                <w:szCs w:val="28"/>
              </w:rPr>
            </w:pPr>
            <w:r w:rsidRPr="004F3BBB">
              <w:rPr>
                <w:b/>
                <w:sz w:val="28"/>
                <w:szCs w:val="28"/>
              </w:rPr>
              <w:t>2</w:t>
            </w:r>
          </w:p>
        </w:tc>
        <w:tc>
          <w:tcPr>
            <w:tcW w:w="573" w:type="pct"/>
            <w:shd w:val="clear" w:color="auto" w:fill="auto"/>
          </w:tcPr>
          <w:p w:rsidR="005563B8" w:rsidRPr="004F3BBB" w:rsidRDefault="005563B8" w:rsidP="009B27F4">
            <w:pPr>
              <w:spacing w:beforeAutospacing="1" w:afterAutospacing="1"/>
              <w:jc w:val="center"/>
              <w:rPr>
                <w:b/>
                <w:sz w:val="28"/>
                <w:szCs w:val="28"/>
              </w:rPr>
            </w:pPr>
            <w:r w:rsidRPr="004F3BBB">
              <w:rPr>
                <w:b/>
                <w:sz w:val="28"/>
                <w:szCs w:val="28"/>
              </w:rPr>
              <w:t>3</w:t>
            </w:r>
          </w:p>
        </w:tc>
        <w:tc>
          <w:tcPr>
            <w:tcW w:w="736" w:type="pct"/>
            <w:shd w:val="clear" w:color="auto" w:fill="auto"/>
          </w:tcPr>
          <w:p w:rsidR="005563B8" w:rsidRPr="004F3BBB" w:rsidRDefault="005563B8" w:rsidP="009B27F4">
            <w:pPr>
              <w:spacing w:beforeAutospacing="1" w:afterAutospacing="1"/>
              <w:jc w:val="center"/>
              <w:rPr>
                <w:b/>
                <w:sz w:val="28"/>
                <w:szCs w:val="28"/>
              </w:rPr>
            </w:pPr>
            <w:r w:rsidRPr="004F3BBB">
              <w:rPr>
                <w:b/>
                <w:sz w:val="28"/>
                <w:szCs w:val="28"/>
              </w:rPr>
              <w:t>4</w:t>
            </w:r>
          </w:p>
        </w:tc>
        <w:tc>
          <w:tcPr>
            <w:tcW w:w="653" w:type="pct"/>
            <w:shd w:val="clear" w:color="auto" w:fill="auto"/>
          </w:tcPr>
          <w:p w:rsidR="005563B8" w:rsidRPr="004F3BBB" w:rsidRDefault="005563B8" w:rsidP="009B27F4">
            <w:pPr>
              <w:spacing w:beforeAutospacing="1" w:afterAutospacing="1"/>
              <w:jc w:val="center"/>
              <w:rPr>
                <w:b/>
                <w:sz w:val="28"/>
                <w:szCs w:val="28"/>
              </w:rPr>
            </w:pPr>
            <w:r w:rsidRPr="004F3BBB">
              <w:rPr>
                <w:b/>
                <w:sz w:val="28"/>
                <w:szCs w:val="28"/>
              </w:rPr>
              <w:t>5</w:t>
            </w:r>
          </w:p>
        </w:tc>
        <w:tc>
          <w:tcPr>
            <w:tcW w:w="688" w:type="pct"/>
            <w:shd w:val="clear" w:color="auto" w:fill="auto"/>
          </w:tcPr>
          <w:p w:rsidR="005563B8" w:rsidRPr="004F3BBB" w:rsidRDefault="005563B8" w:rsidP="009B27F4">
            <w:pPr>
              <w:spacing w:beforeAutospacing="1" w:afterAutospacing="1"/>
              <w:jc w:val="center"/>
              <w:rPr>
                <w:b/>
                <w:sz w:val="28"/>
                <w:szCs w:val="28"/>
              </w:rPr>
            </w:pPr>
            <w:r w:rsidRPr="004F3BBB">
              <w:rPr>
                <w:b/>
                <w:sz w:val="28"/>
                <w:szCs w:val="28"/>
              </w:rPr>
              <w:t>6</w:t>
            </w:r>
          </w:p>
        </w:tc>
      </w:tr>
      <w:tr w:rsidR="005563B8" w:rsidRPr="004F3BBB" w:rsidTr="00093E5E">
        <w:tblPrEx>
          <w:tblCellMar>
            <w:left w:w="108" w:type="dxa"/>
            <w:right w:w="108" w:type="dxa"/>
          </w:tblCellMar>
          <w:tblLook w:val="01E0" w:firstRow="1" w:lastRow="1" w:firstColumn="1" w:lastColumn="1" w:noHBand="0" w:noVBand="0"/>
        </w:tblPrEx>
        <w:tc>
          <w:tcPr>
            <w:tcW w:w="1526" w:type="pct"/>
            <w:shd w:val="clear" w:color="auto" w:fill="auto"/>
          </w:tcPr>
          <w:p w:rsidR="005563B8" w:rsidRPr="004F3BBB" w:rsidRDefault="005563B8" w:rsidP="009B27F4">
            <w:pPr>
              <w:rPr>
                <w:b/>
                <w:sz w:val="28"/>
                <w:szCs w:val="28"/>
              </w:rPr>
            </w:pPr>
            <w:r w:rsidRPr="004F3BBB">
              <w:rPr>
                <w:b/>
                <w:sz w:val="28"/>
                <w:szCs w:val="28"/>
              </w:rPr>
              <w:t>1. Budžeta ieņēmumi:</w:t>
            </w:r>
          </w:p>
        </w:tc>
        <w:tc>
          <w:tcPr>
            <w:tcW w:w="824" w:type="pct"/>
            <w:shd w:val="clear" w:color="auto" w:fill="auto"/>
            <w:vAlign w:val="center"/>
          </w:tcPr>
          <w:p w:rsidR="005563B8" w:rsidRPr="004F3BBB" w:rsidRDefault="005563B8" w:rsidP="009B27F4">
            <w:pPr>
              <w:rPr>
                <w:b/>
                <w:sz w:val="28"/>
                <w:szCs w:val="28"/>
              </w:rPr>
            </w:pPr>
          </w:p>
        </w:tc>
        <w:tc>
          <w:tcPr>
            <w:tcW w:w="573" w:type="pct"/>
            <w:shd w:val="clear" w:color="auto" w:fill="auto"/>
            <w:vAlign w:val="center"/>
          </w:tcPr>
          <w:p w:rsidR="005563B8" w:rsidRPr="004F3BBB" w:rsidRDefault="005563B8" w:rsidP="009B27F4">
            <w:pPr>
              <w:jc w:val="center"/>
              <w:rPr>
                <w:sz w:val="28"/>
                <w:szCs w:val="28"/>
              </w:rPr>
            </w:pPr>
          </w:p>
        </w:tc>
        <w:tc>
          <w:tcPr>
            <w:tcW w:w="736" w:type="pct"/>
            <w:shd w:val="clear" w:color="auto" w:fill="auto"/>
            <w:vAlign w:val="center"/>
          </w:tcPr>
          <w:p w:rsidR="005563B8" w:rsidRPr="004F3BBB" w:rsidRDefault="005563B8" w:rsidP="009B27F4">
            <w:pPr>
              <w:jc w:val="center"/>
              <w:rPr>
                <w:sz w:val="28"/>
                <w:szCs w:val="28"/>
              </w:rPr>
            </w:pPr>
          </w:p>
        </w:tc>
        <w:tc>
          <w:tcPr>
            <w:tcW w:w="653" w:type="pct"/>
            <w:shd w:val="clear" w:color="auto" w:fill="auto"/>
            <w:vAlign w:val="center"/>
          </w:tcPr>
          <w:p w:rsidR="005563B8" w:rsidRPr="004F3BBB" w:rsidRDefault="005563B8" w:rsidP="009B27F4">
            <w:pPr>
              <w:jc w:val="center"/>
              <w:rPr>
                <w:sz w:val="28"/>
                <w:szCs w:val="28"/>
              </w:rPr>
            </w:pPr>
          </w:p>
        </w:tc>
        <w:tc>
          <w:tcPr>
            <w:tcW w:w="688" w:type="pct"/>
            <w:shd w:val="clear" w:color="auto" w:fill="auto"/>
            <w:vAlign w:val="center"/>
          </w:tcPr>
          <w:p w:rsidR="005563B8" w:rsidRPr="004F3BBB" w:rsidRDefault="005563B8" w:rsidP="009B27F4">
            <w:pPr>
              <w:jc w:val="center"/>
              <w:rPr>
                <w:sz w:val="28"/>
                <w:szCs w:val="28"/>
              </w:rPr>
            </w:pPr>
          </w:p>
        </w:tc>
      </w:tr>
      <w:tr w:rsidR="005563B8" w:rsidRPr="004F3BBB" w:rsidTr="00093E5E">
        <w:tblPrEx>
          <w:tblCellMar>
            <w:left w:w="108" w:type="dxa"/>
            <w:right w:w="108" w:type="dxa"/>
          </w:tblCellMar>
          <w:tblLook w:val="01E0" w:firstRow="1" w:lastRow="1" w:firstColumn="1" w:lastColumn="1" w:noHBand="0" w:noVBand="0"/>
        </w:tblPrEx>
        <w:tc>
          <w:tcPr>
            <w:tcW w:w="1526" w:type="pct"/>
            <w:shd w:val="clear" w:color="auto" w:fill="auto"/>
          </w:tcPr>
          <w:p w:rsidR="005563B8" w:rsidRPr="004F3BBB" w:rsidRDefault="005563B8" w:rsidP="009B27F4">
            <w:pPr>
              <w:numPr>
                <w:ilvl w:val="1"/>
                <w:numId w:val="2"/>
              </w:numPr>
              <w:rPr>
                <w:sz w:val="28"/>
                <w:szCs w:val="28"/>
              </w:rPr>
            </w:pPr>
            <w:r w:rsidRPr="004F3BBB">
              <w:rPr>
                <w:sz w:val="28"/>
                <w:szCs w:val="28"/>
              </w:rPr>
              <w:t>valsts pamatbudžets, tai skaitā ieņēmumi no maksas pakalpojumiem un citi pašu ieņēmumi</w:t>
            </w:r>
          </w:p>
          <w:p w:rsidR="005563B8" w:rsidRPr="004F3BBB" w:rsidRDefault="005563B8" w:rsidP="009B27F4">
            <w:pPr>
              <w:rPr>
                <w:i/>
                <w:sz w:val="28"/>
                <w:szCs w:val="28"/>
              </w:rPr>
            </w:pPr>
            <w:r w:rsidRPr="004F3BBB">
              <w:rPr>
                <w:i/>
                <w:sz w:val="28"/>
                <w:szCs w:val="28"/>
              </w:rPr>
              <w:t xml:space="preserve">apakšprogrammā </w:t>
            </w:r>
          </w:p>
          <w:p w:rsidR="005563B8" w:rsidRPr="004F3BBB" w:rsidRDefault="005563B8" w:rsidP="009B27F4">
            <w:pPr>
              <w:rPr>
                <w:i/>
                <w:sz w:val="28"/>
                <w:szCs w:val="28"/>
              </w:rPr>
            </w:pPr>
            <w:r w:rsidRPr="004F3BBB">
              <w:rPr>
                <w:i/>
                <w:sz w:val="28"/>
                <w:szCs w:val="28"/>
              </w:rPr>
              <w:t xml:space="preserve">05.01.00 „Sociālās rehabilitācijas valsts programma” </w:t>
            </w:r>
          </w:p>
          <w:p w:rsidR="005563B8" w:rsidRPr="004F3BBB" w:rsidRDefault="005563B8" w:rsidP="009B27F4">
            <w:pPr>
              <w:rPr>
                <w:sz w:val="28"/>
                <w:szCs w:val="28"/>
              </w:rPr>
            </w:pPr>
            <w:r w:rsidRPr="004F3BBB">
              <w:rPr>
                <w:i/>
                <w:sz w:val="28"/>
                <w:szCs w:val="28"/>
              </w:rPr>
              <w:t>97.01.00 “</w:t>
            </w:r>
            <w:r w:rsidRPr="004F3BBB">
              <w:rPr>
                <w:i/>
                <w:color w:val="000000"/>
                <w:sz w:val="28"/>
                <w:szCs w:val="28"/>
              </w:rPr>
              <w:t>Labklājības nozares vadība un politikas plānošana</w:t>
            </w:r>
            <w:r w:rsidRPr="004F3BBB">
              <w:rPr>
                <w:i/>
                <w:sz w:val="28"/>
                <w:szCs w:val="28"/>
              </w:rPr>
              <w:t>”</w:t>
            </w:r>
          </w:p>
        </w:tc>
        <w:tc>
          <w:tcPr>
            <w:tcW w:w="824" w:type="pct"/>
            <w:shd w:val="clear" w:color="auto" w:fill="auto"/>
            <w:vAlign w:val="center"/>
          </w:tcPr>
          <w:p w:rsidR="005563B8" w:rsidRPr="004F3BBB" w:rsidRDefault="005563B8" w:rsidP="009B27F4">
            <w:pPr>
              <w:jc w:val="center"/>
              <w:rPr>
                <w:sz w:val="28"/>
                <w:szCs w:val="28"/>
              </w:rPr>
            </w:pPr>
          </w:p>
          <w:p w:rsidR="005563B8" w:rsidRPr="004F3BBB" w:rsidRDefault="005563B8" w:rsidP="009B27F4">
            <w:pPr>
              <w:jc w:val="center"/>
              <w:rPr>
                <w:sz w:val="28"/>
                <w:szCs w:val="28"/>
              </w:rPr>
            </w:pPr>
          </w:p>
          <w:p w:rsidR="005563B8" w:rsidRPr="004F3BBB" w:rsidRDefault="005563B8" w:rsidP="009B27F4">
            <w:pPr>
              <w:jc w:val="center"/>
              <w:rPr>
                <w:sz w:val="28"/>
                <w:szCs w:val="28"/>
              </w:rPr>
            </w:pPr>
          </w:p>
          <w:p w:rsidR="005563B8" w:rsidRPr="004F3BBB" w:rsidRDefault="005563B8" w:rsidP="009B27F4">
            <w:pPr>
              <w:jc w:val="center"/>
              <w:rPr>
                <w:sz w:val="28"/>
                <w:szCs w:val="28"/>
              </w:rPr>
            </w:pPr>
          </w:p>
          <w:p w:rsidR="005563B8" w:rsidRPr="004F3BBB" w:rsidRDefault="005563B8" w:rsidP="009B27F4">
            <w:pPr>
              <w:jc w:val="center"/>
              <w:rPr>
                <w:sz w:val="28"/>
                <w:szCs w:val="28"/>
              </w:rPr>
            </w:pPr>
          </w:p>
          <w:p w:rsidR="005563B8" w:rsidRPr="004F3BBB" w:rsidRDefault="005563B8" w:rsidP="009B27F4">
            <w:pPr>
              <w:jc w:val="center"/>
              <w:rPr>
                <w:color w:val="000000"/>
                <w:sz w:val="28"/>
                <w:szCs w:val="28"/>
              </w:rPr>
            </w:pPr>
          </w:p>
          <w:p w:rsidR="005563B8" w:rsidRPr="004F3BBB" w:rsidRDefault="005563B8" w:rsidP="009B27F4">
            <w:pPr>
              <w:rPr>
                <w:sz w:val="28"/>
                <w:szCs w:val="28"/>
              </w:rPr>
            </w:pPr>
          </w:p>
        </w:tc>
        <w:tc>
          <w:tcPr>
            <w:tcW w:w="573" w:type="pct"/>
            <w:shd w:val="clear" w:color="auto" w:fill="auto"/>
            <w:vAlign w:val="center"/>
          </w:tcPr>
          <w:p w:rsidR="005563B8" w:rsidRPr="004F3BBB" w:rsidRDefault="005563B8" w:rsidP="009B27F4">
            <w:pPr>
              <w:jc w:val="center"/>
              <w:rPr>
                <w:sz w:val="28"/>
                <w:szCs w:val="28"/>
              </w:rPr>
            </w:pPr>
          </w:p>
        </w:tc>
        <w:tc>
          <w:tcPr>
            <w:tcW w:w="736" w:type="pct"/>
            <w:shd w:val="clear" w:color="auto" w:fill="auto"/>
            <w:vAlign w:val="center"/>
          </w:tcPr>
          <w:p w:rsidR="005563B8" w:rsidRPr="004F3BBB" w:rsidRDefault="005563B8" w:rsidP="009B27F4">
            <w:pPr>
              <w:jc w:val="center"/>
              <w:rPr>
                <w:sz w:val="28"/>
                <w:szCs w:val="28"/>
              </w:rPr>
            </w:pPr>
          </w:p>
        </w:tc>
        <w:tc>
          <w:tcPr>
            <w:tcW w:w="653" w:type="pct"/>
            <w:shd w:val="clear" w:color="auto" w:fill="auto"/>
            <w:vAlign w:val="center"/>
          </w:tcPr>
          <w:p w:rsidR="005563B8" w:rsidRPr="004F3BBB" w:rsidRDefault="005563B8" w:rsidP="009B27F4">
            <w:pPr>
              <w:jc w:val="center"/>
              <w:rPr>
                <w:sz w:val="28"/>
                <w:szCs w:val="28"/>
              </w:rPr>
            </w:pPr>
          </w:p>
        </w:tc>
        <w:tc>
          <w:tcPr>
            <w:tcW w:w="688" w:type="pct"/>
            <w:shd w:val="clear" w:color="auto" w:fill="auto"/>
            <w:vAlign w:val="center"/>
          </w:tcPr>
          <w:p w:rsidR="005563B8" w:rsidRPr="004F3BBB" w:rsidRDefault="005563B8" w:rsidP="009B27F4">
            <w:pPr>
              <w:jc w:val="center"/>
              <w:rPr>
                <w:sz w:val="28"/>
                <w:szCs w:val="28"/>
              </w:rPr>
            </w:pPr>
          </w:p>
        </w:tc>
      </w:tr>
      <w:tr w:rsidR="005563B8" w:rsidRPr="004F3BBB" w:rsidTr="00093E5E">
        <w:tblPrEx>
          <w:tblCellMar>
            <w:left w:w="108" w:type="dxa"/>
            <w:right w:w="108" w:type="dxa"/>
          </w:tblCellMar>
          <w:tblLook w:val="01E0" w:firstRow="1" w:lastRow="1" w:firstColumn="1" w:lastColumn="1" w:noHBand="0" w:noVBand="0"/>
        </w:tblPrEx>
        <w:tc>
          <w:tcPr>
            <w:tcW w:w="1526" w:type="pct"/>
            <w:shd w:val="clear" w:color="auto" w:fill="auto"/>
          </w:tcPr>
          <w:p w:rsidR="005563B8" w:rsidRPr="004F3BBB" w:rsidRDefault="005563B8" w:rsidP="009B27F4">
            <w:pPr>
              <w:spacing w:beforeAutospacing="1" w:afterAutospacing="1"/>
              <w:rPr>
                <w:i/>
                <w:sz w:val="28"/>
                <w:szCs w:val="28"/>
              </w:rPr>
            </w:pPr>
            <w:r w:rsidRPr="004F3BBB">
              <w:rPr>
                <w:sz w:val="28"/>
                <w:szCs w:val="28"/>
              </w:rPr>
              <w:t>1.2. valsts speciālais budžets</w:t>
            </w:r>
          </w:p>
        </w:tc>
        <w:tc>
          <w:tcPr>
            <w:tcW w:w="824" w:type="pct"/>
            <w:shd w:val="clear" w:color="auto" w:fill="auto"/>
            <w:vAlign w:val="center"/>
          </w:tcPr>
          <w:p w:rsidR="005563B8" w:rsidRPr="004F3BBB" w:rsidRDefault="005563B8" w:rsidP="009B27F4">
            <w:pPr>
              <w:spacing w:beforeAutospacing="1" w:afterAutospacing="1"/>
              <w:jc w:val="center"/>
              <w:rPr>
                <w:sz w:val="28"/>
                <w:szCs w:val="28"/>
              </w:rPr>
            </w:pPr>
          </w:p>
        </w:tc>
        <w:tc>
          <w:tcPr>
            <w:tcW w:w="573" w:type="pct"/>
            <w:shd w:val="clear" w:color="auto" w:fill="auto"/>
            <w:vAlign w:val="center"/>
          </w:tcPr>
          <w:p w:rsidR="005563B8" w:rsidRPr="004F3BBB" w:rsidRDefault="005563B8" w:rsidP="009B27F4">
            <w:pPr>
              <w:spacing w:beforeAutospacing="1" w:afterAutospacing="1"/>
              <w:jc w:val="center"/>
              <w:rPr>
                <w:sz w:val="28"/>
                <w:szCs w:val="28"/>
              </w:rPr>
            </w:pPr>
          </w:p>
        </w:tc>
        <w:tc>
          <w:tcPr>
            <w:tcW w:w="736" w:type="pct"/>
            <w:shd w:val="clear" w:color="auto" w:fill="auto"/>
            <w:vAlign w:val="center"/>
          </w:tcPr>
          <w:p w:rsidR="005563B8" w:rsidRPr="004F3BBB" w:rsidRDefault="005563B8" w:rsidP="009B27F4">
            <w:pPr>
              <w:spacing w:beforeAutospacing="1" w:afterAutospacing="1"/>
              <w:jc w:val="center"/>
              <w:rPr>
                <w:sz w:val="28"/>
                <w:szCs w:val="28"/>
              </w:rPr>
            </w:pPr>
          </w:p>
        </w:tc>
        <w:tc>
          <w:tcPr>
            <w:tcW w:w="653" w:type="pct"/>
            <w:shd w:val="clear" w:color="auto" w:fill="auto"/>
            <w:vAlign w:val="center"/>
          </w:tcPr>
          <w:p w:rsidR="005563B8" w:rsidRPr="004F3BBB" w:rsidRDefault="005563B8" w:rsidP="009B27F4">
            <w:pPr>
              <w:spacing w:beforeAutospacing="1" w:afterAutospacing="1"/>
              <w:jc w:val="center"/>
              <w:rPr>
                <w:sz w:val="28"/>
                <w:szCs w:val="28"/>
              </w:rPr>
            </w:pPr>
          </w:p>
        </w:tc>
        <w:tc>
          <w:tcPr>
            <w:tcW w:w="688" w:type="pct"/>
            <w:shd w:val="clear" w:color="auto" w:fill="auto"/>
            <w:vAlign w:val="center"/>
          </w:tcPr>
          <w:p w:rsidR="005563B8" w:rsidRPr="004F3BBB" w:rsidRDefault="005563B8" w:rsidP="009B27F4">
            <w:pPr>
              <w:spacing w:beforeAutospacing="1" w:afterAutospacing="1"/>
              <w:jc w:val="center"/>
              <w:rPr>
                <w:sz w:val="28"/>
                <w:szCs w:val="28"/>
              </w:rPr>
            </w:pPr>
          </w:p>
        </w:tc>
      </w:tr>
      <w:tr w:rsidR="005563B8" w:rsidRPr="004F3BBB" w:rsidTr="00093E5E">
        <w:tblPrEx>
          <w:tblCellMar>
            <w:left w:w="108" w:type="dxa"/>
            <w:right w:w="108" w:type="dxa"/>
          </w:tblCellMar>
          <w:tblLook w:val="01E0" w:firstRow="1" w:lastRow="1" w:firstColumn="1" w:lastColumn="1" w:noHBand="0" w:noVBand="0"/>
        </w:tblPrEx>
        <w:tc>
          <w:tcPr>
            <w:tcW w:w="1526" w:type="pct"/>
            <w:shd w:val="clear" w:color="auto" w:fill="auto"/>
          </w:tcPr>
          <w:p w:rsidR="005563B8" w:rsidRPr="004F3BBB" w:rsidRDefault="005563B8" w:rsidP="009B27F4">
            <w:pPr>
              <w:rPr>
                <w:sz w:val="28"/>
                <w:szCs w:val="28"/>
              </w:rPr>
            </w:pPr>
            <w:r w:rsidRPr="004F3BBB">
              <w:rPr>
                <w:sz w:val="28"/>
                <w:szCs w:val="28"/>
              </w:rPr>
              <w:t>1.3. pašvaldību budžets</w:t>
            </w:r>
          </w:p>
        </w:tc>
        <w:tc>
          <w:tcPr>
            <w:tcW w:w="824" w:type="pct"/>
            <w:shd w:val="clear" w:color="auto" w:fill="auto"/>
            <w:vAlign w:val="center"/>
          </w:tcPr>
          <w:p w:rsidR="005563B8" w:rsidRPr="004F3BBB" w:rsidRDefault="005563B8" w:rsidP="009B27F4">
            <w:pPr>
              <w:jc w:val="center"/>
              <w:rPr>
                <w:sz w:val="28"/>
                <w:szCs w:val="28"/>
              </w:rPr>
            </w:pPr>
          </w:p>
        </w:tc>
        <w:tc>
          <w:tcPr>
            <w:tcW w:w="573" w:type="pct"/>
            <w:shd w:val="clear" w:color="auto" w:fill="auto"/>
            <w:vAlign w:val="center"/>
          </w:tcPr>
          <w:p w:rsidR="005563B8" w:rsidRPr="004F3BBB" w:rsidRDefault="005563B8" w:rsidP="009B27F4">
            <w:pPr>
              <w:jc w:val="center"/>
              <w:rPr>
                <w:sz w:val="28"/>
                <w:szCs w:val="28"/>
              </w:rPr>
            </w:pPr>
          </w:p>
        </w:tc>
        <w:tc>
          <w:tcPr>
            <w:tcW w:w="736" w:type="pct"/>
            <w:shd w:val="clear" w:color="auto" w:fill="auto"/>
            <w:vAlign w:val="center"/>
          </w:tcPr>
          <w:p w:rsidR="005563B8" w:rsidRPr="004F3BBB" w:rsidRDefault="005563B8" w:rsidP="009B27F4">
            <w:pPr>
              <w:jc w:val="center"/>
              <w:rPr>
                <w:sz w:val="28"/>
                <w:szCs w:val="28"/>
              </w:rPr>
            </w:pPr>
          </w:p>
        </w:tc>
        <w:tc>
          <w:tcPr>
            <w:tcW w:w="653" w:type="pct"/>
            <w:shd w:val="clear" w:color="auto" w:fill="auto"/>
            <w:vAlign w:val="center"/>
          </w:tcPr>
          <w:p w:rsidR="005563B8" w:rsidRPr="004F3BBB" w:rsidRDefault="005563B8" w:rsidP="009B27F4">
            <w:pPr>
              <w:jc w:val="center"/>
              <w:rPr>
                <w:sz w:val="28"/>
                <w:szCs w:val="28"/>
              </w:rPr>
            </w:pPr>
          </w:p>
        </w:tc>
        <w:tc>
          <w:tcPr>
            <w:tcW w:w="688" w:type="pct"/>
            <w:shd w:val="clear" w:color="auto" w:fill="auto"/>
            <w:vAlign w:val="center"/>
          </w:tcPr>
          <w:p w:rsidR="005563B8" w:rsidRPr="004F3BBB" w:rsidRDefault="005563B8" w:rsidP="009B27F4">
            <w:pPr>
              <w:jc w:val="center"/>
              <w:rPr>
                <w:sz w:val="28"/>
                <w:szCs w:val="28"/>
              </w:rPr>
            </w:pPr>
          </w:p>
        </w:tc>
      </w:tr>
      <w:tr w:rsidR="005563B8" w:rsidRPr="004F3BBB" w:rsidTr="00093E5E">
        <w:tblPrEx>
          <w:tblCellMar>
            <w:left w:w="108" w:type="dxa"/>
            <w:right w:w="108" w:type="dxa"/>
          </w:tblCellMar>
          <w:tblLook w:val="01E0" w:firstRow="1" w:lastRow="1" w:firstColumn="1" w:lastColumn="1" w:noHBand="0" w:noVBand="0"/>
        </w:tblPrEx>
        <w:tc>
          <w:tcPr>
            <w:tcW w:w="1526" w:type="pct"/>
            <w:shd w:val="clear" w:color="auto" w:fill="auto"/>
          </w:tcPr>
          <w:p w:rsidR="005563B8" w:rsidRPr="004F3BBB" w:rsidRDefault="005563B8" w:rsidP="009B27F4">
            <w:pPr>
              <w:rPr>
                <w:b/>
                <w:sz w:val="28"/>
                <w:szCs w:val="28"/>
              </w:rPr>
            </w:pPr>
            <w:r w:rsidRPr="004F3BBB">
              <w:rPr>
                <w:b/>
                <w:sz w:val="28"/>
                <w:szCs w:val="28"/>
              </w:rPr>
              <w:t>2. Budžeta izdevumi:</w:t>
            </w:r>
          </w:p>
        </w:tc>
        <w:tc>
          <w:tcPr>
            <w:tcW w:w="824" w:type="pct"/>
            <w:shd w:val="clear" w:color="auto" w:fill="auto"/>
            <w:vAlign w:val="center"/>
          </w:tcPr>
          <w:p w:rsidR="005563B8" w:rsidRPr="004F3BBB" w:rsidRDefault="005563B8" w:rsidP="009B27F4">
            <w:pPr>
              <w:rPr>
                <w:b/>
                <w:sz w:val="28"/>
                <w:szCs w:val="28"/>
              </w:rPr>
            </w:pPr>
          </w:p>
        </w:tc>
        <w:tc>
          <w:tcPr>
            <w:tcW w:w="573" w:type="pct"/>
            <w:shd w:val="clear" w:color="auto" w:fill="auto"/>
            <w:vAlign w:val="center"/>
          </w:tcPr>
          <w:p w:rsidR="005563B8" w:rsidRPr="004F3BBB" w:rsidRDefault="005563B8" w:rsidP="009B27F4">
            <w:pPr>
              <w:jc w:val="center"/>
              <w:rPr>
                <w:b/>
                <w:sz w:val="28"/>
                <w:szCs w:val="28"/>
              </w:rPr>
            </w:pPr>
          </w:p>
        </w:tc>
        <w:tc>
          <w:tcPr>
            <w:tcW w:w="736" w:type="pct"/>
            <w:shd w:val="clear" w:color="auto" w:fill="auto"/>
            <w:vAlign w:val="center"/>
          </w:tcPr>
          <w:p w:rsidR="005563B8" w:rsidRPr="004F3BBB" w:rsidRDefault="00545605" w:rsidP="009B27F4">
            <w:pPr>
              <w:jc w:val="center"/>
              <w:rPr>
                <w:b/>
                <w:sz w:val="28"/>
                <w:szCs w:val="28"/>
              </w:rPr>
            </w:pPr>
            <w:r w:rsidRPr="004F3BBB">
              <w:rPr>
                <w:b/>
                <w:sz w:val="28"/>
                <w:szCs w:val="28"/>
              </w:rPr>
              <w:t>599 837</w:t>
            </w:r>
          </w:p>
        </w:tc>
        <w:tc>
          <w:tcPr>
            <w:tcW w:w="653" w:type="pct"/>
            <w:shd w:val="clear" w:color="auto" w:fill="auto"/>
            <w:vAlign w:val="center"/>
          </w:tcPr>
          <w:p w:rsidR="005563B8" w:rsidRPr="004F3BBB" w:rsidRDefault="00545605" w:rsidP="009B27F4">
            <w:pPr>
              <w:jc w:val="center"/>
              <w:rPr>
                <w:b/>
                <w:sz w:val="28"/>
                <w:szCs w:val="28"/>
              </w:rPr>
            </w:pPr>
            <w:r w:rsidRPr="004F3BBB">
              <w:rPr>
                <w:b/>
                <w:sz w:val="28"/>
                <w:szCs w:val="28"/>
              </w:rPr>
              <w:t>547 587</w:t>
            </w:r>
          </w:p>
        </w:tc>
        <w:tc>
          <w:tcPr>
            <w:tcW w:w="688" w:type="pct"/>
            <w:shd w:val="clear" w:color="auto" w:fill="auto"/>
            <w:vAlign w:val="center"/>
          </w:tcPr>
          <w:p w:rsidR="005563B8" w:rsidRPr="004F3BBB" w:rsidRDefault="00545605" w:rsidP="009B27F4">
            <w:pPr>
              <w:jc w:val="center"/>
              <w:rPr>
                <w:b/>
                <w:sz w:val="28"/>
                <w:szCs w:val="28"/>
              </w:rPr>
            </w:pPr>
            <w:r w:rsidRPr="004F3BBB">
              <w:rPr>
                <w:b/>
                <w:sz w:val="28"/>
                <w:szCs w:val="28"/>
              </w:rPr>
              <w:t>547 587</w:t>
            </w:r>
          </w:p>
        </w:tc>
      </w:tr>
      <w:tr w:rsidR="005563B8" w:rsidRPr="004F3BBB" w:rsidTr="00093E5E">
        <w:tblPrEx>
          <w:tblCellMar>
            <w:left w:w="108" w:type="dxa"/>
            <w:right w:w="108" w:type="dxa"/>
          </w:tblCellMar>
          <w:tblLook w:val="01E0" w:firstRow="1" w:lastRow="1" w:firstColumn="1" w:lastColumn="1" w:noHBand="0" w:noVBand="0"/>
        </w:tblPrEx>
        <w:tc>
          <w:tcPr>
            <w:tcW w:w="1526" w:type="pct"/>
            <w:shd w:val="clear" w:color="auto" w:fill="auto"/>
          </w:tcPr>
          <w:p w:rsidR="005563B8" w:rsidRPr="004F3BBB" w:rsidRDefault="005563B8" w:rsidP="009B27F4">
            <w:pPr>
              <w:rPr>
                <w:sz w:val="28"/>
                <w:szCs w:val="28"/>
              </w:rPr>
            </w:pPr>
            <w:r w:rsidRPr="004F3BBB">
              <w:rPr>
                <w:sz w:val="28"/>
                <w:szCs w:val="28"/>
              </w:rPr>
              <w:t>2.1. valsts pamatbudžets</w:t>
            </w:r>
          </w:p>
          <w:p w:rsidR="005563B8" w:rsidRPr="004F3BBB" w:rsidRDefault="005563B8" w:rsidP="009B27F4">
            <w:pPr>
              <w:rPr>
                <w:i/>
                <w:sz w:val="28"/>
                <w:szCs w:val="28"/>
              </w:rPr>
            </w:pPr>
            <w:r w:rsidRPr="004F3BBB">
              <w:rPr>
                <w:i/>
                <w:sz w:val="28"/>
                <w:szCs w:val="28"/>
              </w:rPr>
              <w:t>05.01.00 „Sociālās rehabilitācijas valsts programma”</w:t>
            </w:r>
          </w:p>
          <w:p w:rsidR="005563B8" w:rsidRPr="004F3BBB" w:rsidRDefault="005563B8" w:rsidP="009B27F4">
            <w:pPr>
              <w:rPr>
                <w:i/>
                <w:sz w:val="28"/>
                <w:szCs w:val="28"/>
              </w:rPr>
            </w:pPr>
            <w:r w:rsidRPr="004F3BBB">
              <w:rPr>
                <w:i/>
                <w:sz w:val="28"/>
                <w:szCs w:val="28"/>
              </w:rPr>
              <w:t>97.01.00 “</w:t>
            </w:r>
            <w:r w:rsidRPr="004F3BBB">
              <w:rPr>
                <w:i/>
                <w:color w:val="000000"/>
                <w:sz w:val="28"/>
                <w:szCs w:val="28"/>
              </w:rPr>
              <w:t>Labklājības nozares vadība un politikas plānošana</w:t>
            </w:r>
            <w:r w:rsidRPr="004F3BBB">
              <w:rPr>
                <w:i/>
                <w:sz w:val="28"/>
                <w:szCs w:val="28"/>
              </w:rPr>
              <w:t>”</w:t>
            </w:r>
          </w:p>
          <w:p w:rsidR="005563B8" w:rsidRPr="004F3BBB" w:rsidRDefault="005563B8" w:rsidP="009B27F4">
            <w:pPr>
              <w:rPr>
                <w:sz w:val="28"/>
                <w:szCs w:val="28"/>
              </w:rPr>
            </w:pPr>
          </w:p>
        </w:tc>
        <w:tc>
          <w:tcPr>
            <w:tcW w:w="824" w:type="pct"/>
            <w:shd w:val="clear" w:color="auto" w:fill="auto"/>
            <w:vAlign w:val="center"/>
          </w:tcPr>
          <w:p w:rsidR="005563B8" w:rsidRPr="004F3BBB" w:rsidRDefault="005563B8" w:rsidP="009B27F4">
            <w:pPr>
              <w:jc w:val="center"/>
              <w:rPr>
                <w:sz w:val="28"/>
                <w:szCs w:val="28"/>
              </w:rPr>
            </w:pPr>
          </w:p>
          <w:p w:rsidR="005563B8" w:rsidRPr="004F3BBB" w:rsidRDefault="005563B8" w:rsidP="009B27F4">
            <w:pPr>
              <w:jc w:val="center"/>
              <w:rPr>
                <w:sz w:val="28"/>
                <w:szCs w:val="28"/>
              </w:rPr>
            </w:pPr>
          </w:p>
        </w:tc>
        <w:tc>
          <w:tcPr>
            <w:tcW w:w="573" w:type="pct"/>
            <w:shd w:val="clear" w:color="auto" w:fill="auto"/>
            <w:vAlign w:val="center"/>
          </w:tcPr>
          <w:p w:rsidR="005563B8" w:rsidRPr="004F3BBB" w:rsidRDefault="005563B8" w:rsidP="009B27F4">
            <w:pPr>
              <w:jc w:val="center"/>
              <w:rPr>
                <w:sz w:val="28"/>
                <w:szCs w:val="28"/>
              </w:rPr>
            </w:pPr>
          </w:p>
        </w:tc>
        <w:tc>
          <w:tcPr>
            <w:tcW w:w="736" w:type="pct"/>
            <w:shd w:val="clear" w:color="auto" w:fill="auto"/>
            <w:vAlign w:val="center"/>
          </w:tcPr>
          <w:p w:rsidR="005563B8" w:rsidRPr="004F3BBB" w:rsidRDefault="005563B8" w:rsidP="009B27F4">
            <w:pPr>
              <w:jc w:val="center"/>
              <w:rPr>
                <w:i/>
                <w:sz w:val="28"/>
                <w:szCs w:val="28"/>
              </w:rPr>
            </w:pPr>
          </w:p>
          <w:p w:rsidR="005563B8" w:rsidRPr="004F3BBB" w:rsidRDefault="002864A8" w:rsidP="009B27F4">
            <w:pPr>
              <w:jc w:val="center"/>
              <w:rPr>
                <w:i/>
                <w:sz w:val="28"/>
                <w:szCs w:val="28"/>
              </w:rPr>
            </w:pPr>
            <w:r w:rsidRPr="004F3BBB">
              <w:rPr>
                <w:i/>
                <w:sz w:val="28"/>
                <w:szCs w:val="28"/>
              </w:rPr>
              <w:t>523 068</w:t>
            </w:r>
          </w:p>
          <w:p w:rsidR="005563B8" w:rsidRPr="004F3BBB" w:rsidRDefault="005563B8" w:rsidP="009B27F4">
            <w:pPr>
              <w:jc w:val="center"/>
              <w:rPr>
                <w:i/>
                <w:sz w:val="28"/>
                <w:szCs w:val="28"/>
              </w:rPr>
            </w:pPr>
          </w:p>
          <w:p w:rsidR="005563B8" w:rsidRPr="004F3BBB" w:rsidRDefault="00545605" w:rsidP="009B27F4">
            <w:pPr>
              <w:jc w:val="center"/>
              <w:rPr>
                <w:i/>
                <w:sz w:val="28"/>
                <w:szCs w:val="28"/>
              </w:rPr>
            </w:pPr>
            <w:r w:rsidRPr="004F3BBB">
              <w:rPr>
                <w:i/>
                <w:sz w:val="28"/>
                <w:szCs w:val="28"/>
              </w:rPr>
              <w:t>76 769</w:t>
            </w:r>
          </w:p>
        </w:tc>
        <w:tc>
          <w:tcPr>
            <w:tcW w:w="653" w:type="pct"/>
            <w:shd w:val="clear" w:color="auto" w:fill="auto"/>
            <w:vAlign w:val="center"/>
          </w:tcPr>
          <w:p w:rsidR="005563B8" w:rsidRPr="004F3BBB" w:rsidRDefault="005563B8" w:rsidP="009B27F4">
            <w:pPr>
              <w:jc w:val="center"/>
              <w:rPr>
                <w:i/>
                <w:sz w:val="28"/>
                <w:szCs w:val="28"/>
              </w:rPr>
            </w:pPr>
          </w:p>
          <w:p w:rsidR="005563B8" w:rsidRPr="004F3BBB" w:rsidRDefault="002864A8" w:rsidP="009B27F4">
            <w:pPr>
              <w:jc w:val="center"/>
              <w:rPr>
                <w:i/>
                <w:sz w:val="28"/>
                <w:szCs w:val="28"/>
              </w:rPr>
            </w:pPr>
            <w:r w:rsidRPr="004F3BBB">
              <w:rPr>
                <w:i/>
                <w:sz w:val="28"/>
                <w:szCs w:val="28"/>
              </w:rPr>
              <w:t>523 068</w:t>
            </w:r>
          </w:p>
          <w:p w:rsidR="005563B8" w:rsidRPr="004F3BBB" w:rsidRDefault="005563B8" w:rsidP="009B27F4">
            <w:pPr>
              <w:rPr>
                <w:i/>
                <w:sz w:val="28"/>
                <w:szCs w:val="28"/>
              </w:rPr>
            </w:pPr>
          </w:p>
          <w:p w:rsidR="005563B8" w:rsidRPr="004F3BBB" w:rsidRDefault="00545605" w:rsidP="009B27F4">
            <w:pPr>
              <w:jc w:val="center"/>
              <w:rPr>
                <w:i/>
                <w:sz w:val="28"/>
                <w:szCs w:val="28"/>
              </w:rPr>
            </w:pPr>
            <w:r w:rsidRPr="004F3BBB">
              <w:rPr>
                <w:i/>
                <w:sz w:val="28"/>
                <w:szCs w:val="28"/>
              </w:rPr>
              <w:t>24 519</w:t>
            </w:r>
          </w:p>
        </w:tc>
        <w:tc>
          <w:tcPr>
            <w:tcW w:w="688" w:type="pct"/>
            <w:shd w:val="clear" w:color="auto" w:fill="auto"/>
            <w:vAlign w:val="center"/>
          </w:tcPr>
          <w:p w:rsidR="005563B8" w:rsidRPr="004F3BBB" w:rsidRDefault="005563B8" w:rsidP="009B27F4">
            <w:pPr>
              <w:jc w:val="center"/>
              <w:rPr>
                <w:i/>
                <w:sz w:val="28"/>
                <w:szCs w:val="28"/>
              </w:rPr>
            </w:pPr>
          </w:p>
          <w:p w:rsidR="005563B8" w:rsidRPr="004F3BBB" w:rsidRDefault="002864A8" w:rsidP="009B27F4">
            <w:pPr>
              <w:jc w:val="center"/>
              <w:rPr>
                <w:i/>
                <w:sz w:val="28"/>
                <w:szCs w:val="28"/>
              </w:rPr>
            </w:pPr>
            <w:r w:rsidRPr="004F3BBB">
              <w:rPr>
                <w:i/>
                <w:sz w:val="28"/>
                <w:szCs w:val="28"/>
              </w:rPr>
              <w:t>523 068</w:t>
            </w:r>
          </w:p>
          <w:p w:rsidR="005563B8" w:rsidRPr="004F3BBB" w:rsidRDefault="005563B8" w:rsidP="009B27F4">
            <w:pPr>
              <w:jc w:val="center"/>
              <w:rPr>
                <w:i/>
                <w:sz w:val="28"/>
                <w:szCs w:val="28"/>
              </w:rPr>
            </w:pPr>
          </w:p>
          <w:p w:rsidR="005563B8" w:rsidRPr="004F3BBB" w:rsidRDefault="00545605" w:rsidP="009B27F4">
            <w:pPr>
              <w:jc w:val="center"/>
              <w:rPr>
                <w:i/>
                <w:sz w:val="28"/>
                <w:szCs w:val="28"/>
              </w:rPr>
            </w:pPr>
            <w:r w:rsidRPr="004F3BBB">
              <w:rPr>
                <w:i/>
                <w:sz w:val="28"/>
                <w:szCs w:val="28"/>
              </w:rPr>
              <w:t>24 519</w:t>
            </w:r>
          </w:p>
        </w:tc>
      </w:tr>
      <w:tr w:rsidR="005563B8" w:rsidRPr="004F3BBB" w:rsidTr="00093E5E">
        <w:tblPrEx>
          <w:tblCellMar>
            <w:left w:w="108" w:type="dxa"/>
            <w:right w:w="108" w:type="dxa"/>
          </w:tblCellMar>
          <w:tblLook w:val="01E0" w:firstRow="1" w:lastRow="1" w:firstColumn="1" w:lastColumn="1" w:noHBand="0" w:noVBand="0"/>
        </w:tblPrEx>
        <w:tc>
          <w:tcPr>
            <w:tcW w:w="1526" w:type="pct"/>
            <w:shd w:val="clear" w:color="auto" w:fill="auto"/>
          </w:tcPr>
          <w:p w:rsidR="005563B8" w:rsidRPr="004F3BBB" w:rsidRDefault="005563B8" w:rsidP="009B27F4">
            <w:pPr>
              <w:rPr>
                <w:sz w:val="28"/>
                <w:szCs w:val="28"/>
              </w:rPr>
            </w:pPr>
            <w:r w:rsidRPr="004F3BBB">
              <w:rPr>
                <w:sz w:val="28"/>
                <w:szCs w:val="28"/>
              </w:rPr>
              <w:t>2.2. valsts speciālais budžets</w:t>
            </w:r>
          </w:p>
        </w:tc>
        <w:tc>
          <w:tcPr>
            <w:tcW w:w="824" w:type="pct"/>
            <w:shd w:val="clear" w:color="auto" w:fill="auto"/>
            <w:vAlign w:val="center"/>
          </w:tcPr>
          <w:p w:rsidR="005563B8" w:rsidRPr="004F3BBB" w:rsidRDefault="005563B8" w:rsidP="009B27F4">
            <w:pPr>
              <w:spacing w:beforeAutospacing="1" w:afterAutospacing="1"/>
              <w:jc w:val="center"/>
              <w:rPr>
                <w:sz w:val="28"/>
                <w:szCs w:val="28"/>
              </w:rPr>
            </w:pPr>
            <w:r w:rsidRPr="004F3BBB">
              <w:rPr>
                <w:sz w:val="28"/>
                <w:szCs w:val="28"/>
              </w:rPr>
              <w:t>0</w:t>
            </w:r>
          </w:p>
        </w:tc>
        <w:tc>
          <w:tcPr>
            <w:tcW w:w="573" w:type="pct"/>
            <w:shd w:val="clear" w:color="auto" w:fill="auto"/>
            <w:vAlign w:val="center"/>
          </w:tcPr>
          <w:p w:rsidR="005563B8" w:rsidRPr="004F3BBB" w:rsidRDefault="005563B8" w:rsidP="009B27F4">
            <w:pPr>
              <w:spacing w:beforeAutospacing="1" w:afterAutospacing="1"/>
              <w:jc w:val="center"/>
              <w:rPr>
                <w:sz w:val="28"/>
                <w:szCs w:val="28"/>
              </w:rPr>
            </w:pPr>
            <w:r w:rsidRPr="004F3BBB">
              <w:rPr>
                <w:sz w:val="28"/>
                <w:szCs w:val="28"/>
              </w:rPr>
              <w:t>0</w:t>
            </w:r>
          </w:p>
        </w:tc>
        <w:tc>
          <w:tcPr>
            <w:tcW w:w="736" w:type="pct"/>
            <w:shd w:val="clear" w:color="auto" w:fill="auto"/>
            <w:vAlign w:val="center"/>
          </w:tcPr>
          <w:p w:rsidR="005563B8" w:rsidRPr="004F3BBB" w:rsidRDefault="005563B8" w:rsidP="009B27F4">
            <w:pPr>
              <w:spacing w:beforeAutospacing="1" w:afterAutospacing="1"/>
              <w:jc w:val="center"/>
              <w:rPr>
                <w:sz w:val="28"/>
                <w:szCs w:val="28"/>
              </w:rPr>
            </w:pPr>
            <w:r w:rsidRPr="004F3BBB">
              <w:rPr>
                <w:sz w:val="28"/>
                <w:szCs w:val="28"/>
              </w:rPr>
              <w:t>0</w:t>
            </w:r>
          </w:p>
        </w:tc>
        <w:tc>
          <w:tcPr>
            <w:tcW w:w="653" w:type="pct"/>
            <w:shd w:val="clear" w:color="auto" w:fill="auto"/>
            <w:vAlign w:val="center"/>
          </w:tcPr>
          <w:p w:rsidR="005563B8" w:rsidRPr="004F3BBB" w:rsidRDefault="005563B8" w:rsidP="009B27F4">
            <w:pPr>
              <w:spacing w:beforeAutospacing="1" w:afterAutospacing="1"/>
              <w:jc w:val="center"/>
              <w:rPr>
                <w:sz w:val="28"/>
                <w:szCs w:val="28"/>
              </w:rPr>
            </w:pPr>
            <w:r w:rsidRPr="004F3BBB">
              <w:rPr>
                <w:sz w:val="28"/>
                <w:szCs w:val="28"/>
              </w:rPr>
              <w:t>0</w:t>
            </w:r>
          </w:p>
        </w:tc>
        <w:tc>
          <w:tcPr>
            <w:tcW w:w="688" w:type="pct"/>
            <w:shd w:val="clear" w:color="auto" w:fill="auto"/>
            <w:vAlign w:val="center"/>
          </w:tcPr>
          <w:p w:rsidR="005563B8" w:rsidRPr="004F3BBB" w:rsidRDefault="005563B8" w:rsidP="009B27F4">
            <w:pPr>
              <w:spacing w:beforeAutospacing="1" w:afterAutospacing="1"/>
              <w:jc w:val="center"/>
              <w:rPr>
                <w:sz w:val="28"/>
                <w:szCs w:val="28"/>
              </w:rPr>
            </w:pPr>
            <w:r w:rsidRPr="004F3BBB">
              <w:rPr>
                <w:sz w:val="28"/>
                <w:szCs w:val="28"/>
              </w:rPr>
              <w:t>0</w:t>
            </w:r>
          </w:p>
        </w:tc>
      </w:tr>
      <w:tr w:rsidR="005563B8" w:rsidRPr="004F3BBB" w:rsidTr="00093E5E">
        <w:tblPrEx>
          <w:tblCellMar>
            <w:left w:w="108" w:type="dxa"/>
            <w:right w:w="108" w:type="dxa"/>
          </w:tblCellMar>
          <w:tblLook w:val="01E0" w:firstRow="1" w:lastRow="1" w:firstColumn="1" w:lastColumn="1" w:noHBand="0" w:noVBand="0"/>
        </w:tblPrEx>
        <w:tc>
          <w:tcPr>
            <w:tcW w:w="1526" w:type="pct"/>
            <w:shd w:val="clear" w:color="auto" w:fill="auto"/>
          </w:tcPr>
          <w:p w:rsidR="005563B8" w:rsidRPr="004F3BBB" w:rsidRDefault="005563B8" w:rsidP="009B27F4">
            <w:pPr>
              <w:rPr>
                <w:sz w:val="28"/>
                <w:szCs w:val="28"/>
              </w:rPr>
            </w:pPr>
            <w:r w:rsidRPr="004F3BBB">
              <w:rPr>
                <w:sz w:val="28"/>
                <w:szCs w:val="28"/>
              </w:rPr>
              <w:t xml:space="preserve">2.3. pašvaldību </w:t>
            </w:r>
            <w:r w:rsidRPr="004F3BBB">
              <w:rPr>
                <w:sz w:val="28"/>
                <w:szCs w:val="28"/>
              </w:rPr>
              <w:lastRenderedPageBreak/>
              <w:t xml:space="preserve">budžets </w:t>
            </w:r>
          </w:p>
        </w:tc>
        <w:tc>
          <w:tcPr>
            <w:tcW w:w="824" w:type="pct"/>
            <w:shd w:val="clear" w:color="auto" w:fill="auto"/>
            <w:vAlign w:val="center"/>
          </w:tcPr>
          <w:p w:rsidR="005563B8" w:rsidRPr="004F3BBB" w:rsidRDefault="005563B8" w:rsidP="009B27F4">
            <w:pPr>
              <w:jc w:val="center"/>
              <w:rPr>
                <w:sz w:val="28"/>
                <w:szCs w:val="28"/>
              </w:rPr>
            </w:pPr>
            <w:r w:rsidRPr="004F3BBB">
              <w:rPr>
                <w:sz w:val="28"/>
                <w:szCs w:val="28"/>
              </w:rPr>
              <w:lastRenderedPageBreak/>
              <w:t>0</w:t>
            </w:r>
          </w:p>
        </w:tc>
        <w:tc>
          <w:tcPr>
            <w:tcW w:w="573" w:type="pct"/>
            <w:shd w:val="clear" w:color="auto" w:fill="auto"/>
            <w:vAlign w:val="center"/>
          </w:tcPr>
          <w:p w:rsidR="005563B8" w:rsidRPr="004F3BBB" w:rsidRDefault="005563B8" w:rsidP="009B27F4">
            <w:pPr>
              <w:jc w:val="center"/>
              <w:rPr>
                <w:sz w:val="28"/>
                <w:szCs w:val="28"/>
              </w:rPr>
            </w:pPr>
            <w:r w:rsidRPr="004F3BBB">
              <w:rPr>
                <w:sz w:val="28"/>
                <w:szCs w:val="28"/>
              </w:rPr>
              <w:t>0</w:t>
            </w:r>
          </w:p>
        </w:tc>
        <w:tc>
          <w:tcPr>
            <w:tcW w:w="736" w:type="pct"/>
            <w:shd w:val="clear" w:color="auto" w:fill="auto"/>
            <w:vAlign w:val="center"/>
          </w:tcPr>
          <w:p w:rsidR="005563B8" w:rsidRPr="004F3BBB" w:rsidRDefault="005563B8" w:rsidP="009B27F4">
            <w:pPr>
              <w:jc w:val="center"/>
              <w:rPr>
                <w:sz w:val="28"/>
                <w:szCs w:val="28"/>
              </w:rPr>
            </w:pPr>
            <w:r w:rsidRPr="004F3BBB">
              <w:rPr>
                <w:sz w:val="28"/>
                <w:szCs w:val="28"/>
              </w:rPr>
              <w:t>0</w:t>
            </w:r>
          </w:p>
        </w:tc>
        <w:tc>
          <w:tcPr>
            <w:tcW w:w="653" w:type="pct"/>
            <w:shd w:val="clear" w:color="auto" w:fill="auto"/>
            <w:vAlign w:val="center"/>
          </w:tcPr>
          <w:p w:rsidR="005563B8" w:rsidRPr="004F3BBB" w:rsidRDefault="005563B8" w:rsidP="009B27F4">
            <w:pPr>
              <w:jc w:val="center"/>
              <w:rPr>
                <w:sz w:val="28"/>
                <w:szCs w:val="28"/>
              </w:rPr>
            </w:pPr>
            <w:r w:rsidRPr="004F3BBB">
              <w:rPr>
                <w:sz w:val="28"/>
                <w:szCs w:val="28"/>
              </w:rPr>
              <w:t>0</w:t>
            </w:r>
          </w:p>
        </w:tc>
        <w:tc>
          <w:tcPr>
            <w:tcW w:w="688" w:type="pct"/>
            <w:shd w:val="clear" w:color="auto" w:fill="auto"/>
            <w:vAlign w:val="center"/>
          </w:tcPr>
          <w:p w:rsidR="005563B8" w:rsidRPr="004F3BBB" w:rsidRDefault="005563B8" w:rsidP="009B27F4">
            <w:pPr>
              <w:jc w:val="center"/>
              <w:rPr>
                <w:sz w:val="28"/>
                <w:szCs w:val="28"/>
              </w:rPr>
            </w:pPr>
            <w:r w:rsidRPr="004F3BBB">
              <w:rPr>
                <w:sz w:val="28"/>
                <w:szCs w:val="28"/>
              </w:rPr>
              <w:t>0</w:t>
            </w:r>
          </w:p>
        </w:tc>
      </w:tr>
      <w:tr w:rsidR="005563B8" w:rsidRPr="004F3BBB" w:rsidTr="00093E5E">
        <w:tblPrEx>
          <w:tblCellMar>
            <w:left w:w="108" w:type="dxa"/>
            <w:right w:w="108" w:type="dxa"/>
          </w:tblCellMar>
          <w:tblLook w:val="01E0" w:firstRow="1" w:lastRow="1" w:firstColumn="1" w:lastColumn="1" w:noHBand="0" w:noVBand="0"/>
        </w:tblPrEx>
        <w:tc>
          <w:tcPr>
            <w:tcW w:w="1526" w:type="pct"/>
            <w:shd w:val="clear" w:color="auto" w:fill="auto"/>
          </w:tcPr>
          <w:p w:rsidR="005563B8" w:rsidRPr="004F3BBB" w:rsidRDefault="005563B8" w:rsidP="009B27F4">
            <w:pPr>
              <w:rPr>
                <w:b/>
                <w:sz w:val="28"/>
                <w:szCs w:val="28"/>
              </w:rPr>
            </w:pPr>
            <w:r w:rsidRPr="004F3BBB">
              <w:rPr>
                <w:b/>
                <w:sz w:val="28"/>
                <w:szCs w:val="28"/>
              </w:rPr>
              <w:lastRenderedPageBreak/>
              <w:t>3. Finansiālā ietekme:</w:t>
            </w:r>
          </w:p>
        </w:tc>
        <w:tc>
          <w:tcPr>
            <w:tcW w:w="824" w:type="pct"/>
            <w:shd w:val="clear" w:color="auto" w:fill="auto"/>
          </w:tcPr>
          <w:p w:rsidR="005563B8" w:rsidRPr="004F3BBB" w:rsidRDefault="005563B8" w:rsidP="009B27F4">
            <w:pPr>
              <w:jc w:val="center"/>
              <w:rPr>
                <w:b/>
                <w:sz w:val="28"/>
                <w:szCs w:val="28"/>
              </w:rPr>
            </w:pPr>
            <w:r w:rsidRPr="004F3BBB">
              <w:rPr>
                <w:b/>
                <w:sz w:val="28"/>
                <w:szCs w:val="28"/>
              </w:rPr>
              <w:t>0</w:t>
            </w:r>
          </w:p>
        </w:tc>
        <w:tc>
          <w:tcPr>
            <w:tcW w:w="573" w:type="pct"/>
            <w:shd w:val="clear" w:color="auto" w:fill="auto"/>
          </w:tcPr>
          <w:p w:rsidR="005563B8" w:rsidRPr="004F3BBB" w:rsidRDefault="005563B8" w:rsidP="009B27F4">
            <w:pPr>
              <w:jc w:val="center"/>
              <w:rPr>
                <w:b/>
                <w:sz w:val="28"/>
                <w:szCs w:val="28"/>
              </w:rPr>
            </w:pPr>
            <w:r w:rsidRPr="004F3BBB">
              <w:rPr>
                <w:b/>
                <w:sz w:val="28"/>
                <w:szCs w:val="28"/>
              </w:rPr>
              <w:t>0</w:t>
            </w:r>
          </w:p>
        </w:tc>
        <w:tc>
          <w:tcPr>
            <w:tcW w:w="736" w:type="pct"/>
            <w:shd w:val="clear" w:color="auto" w:fill="auto"/>
          </w:tcPr>
          <w:p w:rsidR="005563B8" w:rsidRPr="004F3BBB" w:rsidRDefault="00545605" w:rsidP="009B27F4">
            <w:pPr>
              <w:jc w:val="center"/>
              <w:rPr>
                <w:b/>
                <w:sz w:val="28"/>
                <w:szCs w:val="28"/>
              </w:rPr>
            </w:pPr>
            <w:r w:rsidRPr="004F3BBB">
              <w:rPr>
                <w:b/>
                <w:sz w:val="28"/>
                <w:szCs w:val="28"/>
              </w:rPr>
              <w:t>- 599 837</w:t>
            </w:r>
          </w:p>
        </w:tc>
        <w:tc>
          <w:tcPr>
            <w:tcW w:w="653" w:type="pct"/>
            <w:shd w:val="clear" w:color="auto" w:fill="auto"/>
          </w:tcPr>
          <w:p w:rsidR="005563B8" w:rsidRPr="004F3BBB" w:rsidRDefault="005563B8" w:rsidP="009B27F4">
            <w:pPr>
              <w:jc w:val="center"/>
              <w:rPr>
                <w:b/>
                <w:sz w:val="28"/>
                <w:szCs w:val="28"/>
              </w:rPr>
            </w:pPr>
            <w:r w:rsidRPr="004F3BBB">
              <w:rPr>
                <w:b/>
                <w:sz w:val="28"/>
                <w:szCs w:val="28"/>
              </w:rPr>
              <w:t>-</w:t>
            </w:r>
            <w:r w:rsidR="00545605" w:rsidRPr="004F3BBB">
              <w:rPr>
                <w:b/>
                <w:sz w:val="28"/>
                <w:szCs w:val="28"/>
              </w:rPr>
              <w:t>547 587</w:t>
            </w:r>
          </w:p>
        </w:tc>
        <w:tc>
          <w:tcPr>
            <w:tcW w:w="688" w:type="pct"/>
            <w:shd w:val="clear" w:color="auto" w:fill="auto"/>
          </w:tcPr>
          <w:p w:rsidR="005563B8" w:rsidRPr="004F3BBB" w:rsidRDefault="005563B8" w:rsidP="009B27F4">
            <w:pPr>
              <w:jc w:val="center"/>
              <w:rPr>
                <w:b/>
                <w:sz w:val="28"/>
                <w:szCs w:val="28"/>
              </w:rPr>
            </w:pPr>
            <w:r w:rsidRPr="004F3BBB">
              <w:rPr>
                <w:b/>
                <w:sz w:val="28"/>
                <w:szCs w:val="28"/>
              </w:rPr>
              <w:t>-</w:t>
            </w:r>
            <w:r w:rsidR="00545605" w:rsidRPr="004F3BBB">
              <w:rPr>
                <w:b/>
                <w:sz w:val="28"/>
                <w:szCs w:val="28"/>
              </w:rPr>
              <w:t>547 587</w:t>
            </w:r>
          </w:p>
        </w:tc>
      </w:tr>
      <w:tr w:rsidR="005563B8" w:rsidRPr="004F3BBB" w:rsidTr="00093E5E">
        <w:tblPrEx>
          <w:tblCellMar>
            <w:left w:w="108" w:type="dxa"/>
            <w:right w:w="108" w:type="dxa"/>
          </w:tblCellMar>
          <w:tblLook w:val="01E0" w:firstRow="1" w:lastRow="1" w:firstColumn="1" w:lastColumn="1" w:noHBand="0" w:noVBand="0"/>
        </w:tblPrEx>
        <w:trPr>
          <w:trHeight w:val="2252"/>
        </w:trPr>
        <w:tc>
          <w:tcPr>
            <w:tcW w:w="1526" w:type="pct"/>
            <w:shd w:val="clear" w:color="auto" w:fill="auto"/>
          </w:tcPr>
          <w:p w:rsidR="005563B8" w:rsidRPr="004F3BBB" w:rsidRDefault="005563B8" w:rsidP="009B27F4">
            <w:pPr>
              <w:jc w:val="both"/>
              <w:rPr>
                <w:sz w:val="28"/>
                <w:szCs w:val="28"/>
              </w:rPr>
            </w:pPr>
            <w:r w:rsidRPr="004F3BBB">
              <w:rPr>
                <w:sz w:val="28"/>
                <w:szCs w:val="28"/>
              </w:rPr>
              <w:t>3.1. valsts pamatbudžets</w:t>
            </w:r>
          </w:p>
          <w:p w:rsidR="005563B8" w:rsidRPr="004F3BBB" w:rsidRDefault="005563B8" w:rsidP="009B27F4">
            <w:pPr>
              <w:jc w:val="both"/>
              <w:rPr>
                <w:i/>
                <w:sz w:val="28"/>
                <w:szCs w:val="28"/>
              </w:rPr>
            </w:pPr>
            <w:r w:rsidRPr="004F3BBB">
              <w:rPr>
                <w:i/>
                <w:sz w:val="28"/>
                <w:szCs w:val="28"/>
              </w:rPr>
              <w:t>05.01.00”„Sociālās rehabilitācijas valsts programma”</w:t>
            </w:r>
          </w:p>
          <w:p w:rsidR="005563B8" w:rsidRPr="004F3BBB" w:rsidRDefault="005563B8" w:rsidP="009B27F4">
            <w:pPr>
              <w:rPr>
                <w:i/>
                <w:sz w:val="28"/>
                <w:szCs w:val="28"/>
              </w:rPr>
            </w:pPr>
            <w:r w:rsidRPr="004F3BBB">
              <w:rPr>
                <w:i/>
                <w:sz w:val="28"/>
                <w:szCs w:val="28"/>
              </w:rPr>
              <w:t>97.01.00 “</w:t>
            </w:r>
            <w:r w:rsidRPr="004F3BBB">
              <w:rPr>
                <w:i/>
                <w:color w:val="000000"/>
                <w:sz w:val="28"/>
                <w:szCs w:val="28"/>
              </w:rPr>
              <w:t>Labklājības nozares vadība un politikas plānošana</w:t>
            </w:r>
            <w:r w:rsidRPr="004F3BBB">
              <w:rPr>
                <w:i/>
                <w:sz w:val="28"/>
                <w:szCs w:val="28"/>
              </w:rPr>
              <w:t>”</w:t>
            </w:r>
          </w:p>
          <w:p w:rsidR="005563B8" w:rsidRPr="004F3BBB" w:rsidRDefault="005563B8" w:rsidP="009B27F4">
            <w:pPr>
              <w:jc w:val="both"/>
              <w:rPr>
                <w:sz w:val="28"/>
                <w:szCs w:val="28"/>
              </w:rPr>
            </w:pPr>
          </w:p>
        </w:tc>
        <w:tc>
          <w:tcPr>
            <w:tcW w:w="824" w:type="pct"/>
            <w:shd w:val="clear" w:color="auto" w:fill="auto"/>
            <w:vAlign w:val="center"/>
          </w:tcPr>
          <w:p w:rsidR="005563B8" w:rsidRPr="004F3BBB" w:rsidRDefault="005563B8" w:rsidP="009B27F4">
            <w:pPr>
              <w:spacing w:beforeAutospacing="1" w:afterAutospacing="1"/>
              <w:jc w:val="center"/>
              <w:rPr>
                <w:i/>
                <w:sz w:val="28"/>
                <w:szCs w:val="28"/>
              </w:rPr>
            </w:pPr>
            <w:r w:rsidRPr="004F3BBB">
              <w:rPr>
                <w:i/>
                <w:sz w:val="28"/>
                <w:szCs w:val="28"/>
              </w:rPr>
              <w:t>0</w:t>
            </w:r>
          </w:p>
          <w:p w:rsidR="005563B8" w:rsidRPr="004F3BBB" w:rsidRDefault="005563B8" w:rsidP="009B27F4">
            <w:pPr>
              <w:spacing w:beforeAutospacing="1" w:afterAutospacing="1"/>
              <w:jc w:val="center"/>
              <w:rPr>
                <w:i/>
                <w:sz w:val="28"/>
                <w:szCs w:val="28"/>
              </w:rPr>
            </w:pPr>
          </w:p>
          <w:p w:rsidR="005563B8" w:rsidRPr="004F3BBB" w:rsidRDefault="005563B8" w:rsidP="009B27F4">
            <w:pPr>
              <w:spacing w:beforeAutospacing="1" w:afterAutospacing="1"/>
              <w:jc w:val="center"/>
              <w:rPr>
                <w:i/>
                <w:sz w:val="28"/>
                <w:szCs w:val="28"/>
              </w:rPr>
            </w:pPr>
            <w:r w:rsidRPr="004F3BBB">
              <w:rPr>
                <w:i/>
                <w:sz w:val="28"/>
                <w:szCs w:val="28"/>
              </w:rPr>
              <w:t>0</w:t>
            </w:r>
          </w:p>
        </w:tc>
        <w:tc>
          <w:tcPr>
            <w:tcW w:w="573" w:type="pct"/>
            <w:shd w:val="clear" w:color="auto" w:fill="auto"/>
            <w:vAlign w:val="center"/>
          </w:tcPr>
          <w:p w:rsidR="005563B8" w:rsidRPr="004F3BBB" w:rsidRDefault="005563B8" w:rsidP="009B27F4">
            <w:pPr>
              <w:spacing w:beforeAutospacing="1" w:afterAutospacing="1"/>
              <w:jc w:val="center"/>
              <w:rPr>
                <w:i/>
                <w:sz w:val="28"/>
                <w:szCs w:val="28"/>
              </w:rPr>
            </w:pPr>
            <w:r w:rsidRPr="004F3BBB">
              <w:rPr>
                <w:i/>
                <w:sz w:val="28"/>
                <w:szCs w:val="28"/>
              </w:rPr>
              <w:t>0</w:t>
            </w:r>
          </w:p>
          <w:p w:rsidR="005563B8" w:rsidRPr="004F3BBB" w:rsidRDefault="005563B8" w:rsidP="009B27F4">
            <w:pPr>
              <w:spacing w:beforeAutospacing="1" w:afterAutospacing="1"/>
              <w:jc w:val="center"/>
              <w:rPr>
                <w:i/>
                <w:sz w:val="28"/>
                <w:szCs w:val="28"/>
              </w:rPr>
            </w:pPr>
          </w:p>
          <w:p w:rsidR="005563B8" w:rsidRPr="004F3BBB" w:rsidRDefault="005563B8" w:rsidP="009B27F4">
            <w:pPr>
              <w:spacing w:beforeAutospacing="1" w:afterAutospacing="1"/>
              <w:jc w:val="center"/>
              <w:rPr>
                <w:i/>
                <w:sz w:val="28"/>
                <w:szCs w:val="28"/>
              </w:rPr>
            </w:pPr>
            <w:r w:rsidRPr="004F3BBB">
              <w:rPr>
                <w:i/>
                <w:sz w:val="28"/>
                <w:szCs w:val="28"/>
              </w:rPr>
              <w:t>0</w:t>
            </w:r>
          </w:p>
        </w:tc>
        <w:tc>
          <w:tcPr>
            <w:tcW w:w="736" w:type="pct"/>
            <w:shd w:val="clear" w:color="auto" w:fill="auto"/>
            <w:vAlign w:val="center"/>
          </w:tcPr>
          <w:p w:rsidR="005563B8" w:rsidRPr="004F3BBB" w:rsidRDefault="002864A8" w:rsidP="009B27F4">
            <w:pPr>
              <w:jc w:val="center"/>
              <w:rPr>
                <w:i/>
                <w:sz w:val="28"/>
                <w:szCs w:val="28"/>
              </w:rPr>
            </w:pPr>
            <w:r w:rsidRPr="004F3BBB">
              <w:rPr>
                <w:i/>
                <w:sz w:val="28"/>
                <w:szCs w:val="28"/>
              </w:rPr>
              <w:t>-523 068</w:t>
            </w:r>
          </w:p>
          <w:p w:rsidR="005563B8" w:rsidRPr="004F3BBB" w:rsidRDefault="00545605" w:rsidP="009B27F4">
            <w:pPr>
              <w:spacing w:beforeAutospacing="1" w:afterAutospacing="1"/>
              <w:jc w:val="center"/>
              <w:rPr>
                <w:i/>
                <w:sz w:val="28"/>
                <w:szCs w:val="28"/>
              </w:rPr>
            </w:pPr>
            <w:r w:rsidRPr="004F3BBB">
              <w:rPr>
                <w:i/>
                <w:sz w:val="28"/>
                <w:szCs w:val="28"/>
              </w:rPr>
              <w:t>-76 769</w:t>
            </w:r>
          </w:p>
        </w:tc>
        <w:tc>
          <w:tcPr>
            <w:tcW w:w="653" w:type="pct"/>
            <w:shd w:val="clear" w:color="auto" w:fill="auto"/>
            <w:vAlign w:val="center"/>
          </w:tcPr>
          <w:p w:rsidR="005563B8" w:rsidRPr="004F3BBB" w:rsidRDefault="002864A8" w:rsidP="009B27F4">
            <w:pPr>
              <w:rPr>
                <w:i/>
                <w:sz w:val="28"/>
                <w:szCs w:val="28"/>
              </w:rPr>
            </w:pPr>
            <w:r w:rsidRPr="004F3BBB">
              <w:rPr>
                <w:i/>
                <w:sz w:val="28"/>
                <w:szCs w:val="28"/>
              </w:rPr>
              <w:t>-523 068</w:t>
            </w:r>
          </w:p>
          <w:p w:rsidR="005563B8" w:rsidRPr="004F3BBB" w:rsidRDefault="00545605" w:rsidP="009B27F4">
            <w:pPr>
              <w:spacing w:beforeAutospacing="1" w:afterAutospacing="1"/>
              <w:jc w:val="center"/>
              <w:rPr>
                <w:i/>
                <w:sz w:val="28"/>
                <w:szCs w:val="28"/>
              </w:rPr>
            </w:pPr>
            <w:r w:rsidRPr="004F3BBB">
              <w:rPr>
                <w:i/>
                <w:sz w:val="28"/>
                <w:szCs w:val="28"/>
              </w:rPr>
              <w:t>-24 519</w:t>
            </w:r>
          </w:p>
        </w:tc>
        <w:tc>
          <w:tcPr>
            <w:tcW w:w="688" w:type="pct"/>
            <w:shd w:val="clear" w:color="auto" w:fill="auto"/>
            <w:vAlign w:val="center"/>
          </w:tcPr>
          <w:p w:rsidR="005563B8" w:rsidRPr="004F3BBB" w:rsidRDefault="002864A8" w:rsidP="009B27F4">
            <w:pPr>
              <w:rPr>
                <w:i/>
                <w:sz w:val="28"/>
                <w:szCs w:val="28"/>
              </w:rPr>
            </w:pPr>
            <w:r w:rsidRPr="004F3BBB">
              <w:rPr>
                <w:i/>
                <w:sz w:val="28"/>
                <w:szCs w:val="28"/>
              </w:rPr>
              <w:t>-523 068</w:t>
            </w:r>
          </w:p>
          <w:p w:rsidR="005563B8" w:rsidRPr="004F3BBB" w:rsidRDefault="00545605" w:rsidP="009B27F4">
            <w:pPr>
              <w:spacing w:beforeAutospacing="1" w:afterAutospacing="1"/>
              <w:rPr>
                <w:i/>
                <w:sz w:val="28"/>
                <w:szCs w:val="28"/>
              </w:rPr>
            </w:pPr>
            <w:r w:rsidRPr="004F3BBB">
              <w:rPr>
                <w:i/>
                <w:sz w:val="28"/>
                <w:szCs w:val="28"/>
              </w:rPr>
              <w:t>-24 519</w:t>
            </w:r>
          </w:p>
        </w:tc>
      </w:tr>
      <w:tr w:rsidR="005563B8" w:rsidRPr="004F3BBB" w:rsidTr="00093E5E">
        <w:tblPrEx>
          <w:tblCellMar>
            <w:left w:w="108" w:type="dxa"/>
            <w:right w:w="108" w:type="dxa"/>
          </w:tblCellMar>
          <w:tblLook w:val="01E0" w:firstRow="1" w:lastRow="1" w:firstColumn="1" w:lastColumn="1" w:noHBand="0" w:noVBand="0"/>
        </w:tblPrEx>
        <w:tc>
          <w:tcPr>
            <w:tcW w:w="1526" w:type="pct"/>
            <w:shd w:val="clear" w:color="auto" w:fill="auto"/>
          </w:tcPr>
          <w:p w:rsidR="005563B8" w:rsidRPr="004F3BBB" w:rsidRDefault="005563B8" w:rsidP="009B27F4">
            <w:pPr>
              <w:jc w:val="both"/>
              <w:rPr>
                <w:sz w:val="28"/>
                <w:szCs w:val="28"/>
              </w:rPr>
            </w:pPr>
            <w:r w:rsidRPr="004F3BBB">
              <w:rPr>
                <w:sz w:val="28"/>
                <w:szCs w:val="28"/>
              </w:rPr>
              <w:t>3.2. speciālais budžets</w:t>
            </w:r>
          </w:p>
        </w:tc>
        <w:tc>
          <w:tcPr>
            <w:tcW w:w="824" w:type="pct"/>
            <w:shd w:val="clear" w:color="auto" w:fill="auto"/>
            <w:vAlign w:val="center"/>
          </w:tcPr>
          <w:p w:rsidR="005563B8" w:rsidRPr="004F3BBB" w:rsidRDefault="005563B8" w:rsidP="009B27F4">
            <w:pPr>
              <w:spacing w:beforeAutospacing="1" w:afterAutospacing="1"/>
              <w:jc w:val="center"/>
              <w:rPr>
                <w:b/>
                <w:i/>
                <w:sz w:val="28"/>
                <w:szCs w:val="28"/>
              </w:rPr>
            </w:pPr>
            <w:r w:rsidRPr="004F3BBB">
              <w:rPr>
                <w:b/>
                <w:i/>
                <w:sz w:val="28"/>
                <w:szCs w:val="28"/>
              </w:rPr>
              <w:t>0</w:t>
            </w:r>
          </w:p>
        </w:tc>
        <w:tc>
          <w:tcPr>
            <w:tcW w:w="573" w:type="pct"/>
            <w:shd w:val="clear" w:color="auto" w:fill="auto"/>
            <w:vAlign w:val="center"/>
          </w:tcPr>
          <w:p w:rsidR="005563B8" w:rsidRPr="004F3BBB" w:rsidRDefault="005563B8" w:rsidP="009B27F4">
            <w:pPr>
              <w:spacing w:beforeAutospacing="1" w:afterAutospacing="1"/>
              <w:jc w:val="center"/>
              <w:rPr>
                <w:b/>
                <w:i/>
                <w:sz w:val="28"/>
                <w:szCs w:val="28"/>
              </w:rPr>
            </w:pPr>
            <w:r w:rsidRPr="004F3BBB">
              <w:rPr>
                <w:b/>
                <w:i/>
                <w:sz w:val="28"/>
                <w:szCs w:val="28"/>
              </w:rPr>
              <w:t>0</w:t>
            </w:r>
          </w:p>
        </w:tc>
        <w:tc>
          <w:tcPr>
            <w:tcW w:w="736" w:type="pct"/>
            <w:shd w:val="clear" w:color="auto" w:fill="auto"/>
            <w:vAlign w:val="center"/>
          </w:tcPr>
          <w:p w:rsidR="005563B8" w:rsidRPr="004F3BBB" w:rsidRDefault="005563B8" w:rsidP="009B27F4">
            <w:pPr>
              <w:spacing w:beforeAutospacing="1" w:afterAutospacing="1"/>
              <w:jc w:val="center"/>
              <w:rPr>
                <w:b/>
                <w:i/>
                <w:sz w:val="28"/>
                <w:szCs w:val="28"/>
              </w:rPr>
            </w:pPr>
            <w:r w:rsidRPr="004F3BBB">
              <w:rPr>
                <w:b/>
                <w:i/>
                <w:sz w:val="28"/>
                <w:szCs w:val="28"/>
              </w:rPr>
              <w:t>0</w:t>
            </w:r>
          </w:p>
        </w:tc>
        <w:tc>
          <w:tcPr>
            <w:tcW w:w="653" w:type="pct"/>
            <w:shd w:val="clear" w:color="auto" w:fill="auto"/>
            <w:vAlign w:val="center"/>
          </w:tcPr>
          <w:p w:rsidR="005563B8" w:rsidRPr="004F3BBB" w:rsidRDefault="005563B8" w:rsidP="009B27F4">
            <w:pPr>
              <w:spacing w:beforeAutospacing="1" w:afterAutospacing="1"/>
              <w:jc w:val="center"/>
              <w:rPr>
                <w:b/>
                <w:i/>
                <w:sz w:val="28"/>
                <w:szCs w:val="28"/>
              </w:rPr>
            </w:pPr>
            <w:r w:rsidRPr="004F3BBB">
              <w:rPr>
                <w:b/>
                <w:i/>
                <w:sz w:val="28"/>
                <w:szCs w:val="28"/>
              </w:rPr>
              <w:t>0</w:t>
            </w:r>
          </w:p>
        </w:tc>
        <w:tc>
          <w:tcPr>
            <w:tcW w:w="688" w:type="pct"/>
            <w:shd w:val="clear" w:color="auto" w:fill="auto"/>
            <w:vAlign w:val="center"/>
          </w:tcPr>
          <w:p w:rsidR="005563B8" w:rsidRPr="004F3BBB" w:rsidRDefault="005563B8" w:rsidP="009B27F4">
            <w:pPr>
              <w:spacing w:beforeAutospacing="1" w:afterAutospacing="1"/>
              <w:jc w:val="center"/>
              <w:rPr>
                <w:b/>
                <w:i/>
                <w:sz w:val="28"/>
                <w:szCs w:val="28"/>
              </w:rPr>
            </w:pPr>
            <w:r w:rsidRPr="004F3BBB">
              <w:rPr>
                <w:b/>
                <w:i/>
                <w:sz w:val="28"/>
                <w:szCs w:val="28"/>
              </w:rPr>
              <w:t>0</w:t>
            </w:r>
          </w:p>
        </w:tc>
      </w:tr>
      <w:tr w:rsidR="005563B8" w:rsidRPr="004F3BBB" w:rsidTr="00093E5E">
        <w:tblPrEx>
          <w:tblCellMar>
            <w:left w:w="108" w:type="dxa"/>
            <w:right w:w="108" w:type="dxa"/>
          </w:tblCellMar>
          <w:tblLook w:val="01E0" w:firstRow="1" w:lastRow="1" w:firstColumn="1" w:lastColumn="1" w:noHBand="0" w:noVBand="0"/>
        </w:tblPrEx>
        <w:tc>
          <w:tcPr>
            <w:tcW w:w="1526" w:type="pct"/>
            <w:shd w:val="clear" w:color="auto" w:fill="auto"/>
          </w:tcPr>
          <w:p w:rsidR="005563B8" w:rsidRPr="004F3BBB" w:rsidRDefault="005563B8" w:rsidP="009B27F4">
            <w:pPr>
              <w:jc w:val="both"/>
              <w:rPr>
                <w:sz w:val="28"/>
                <w:szCs w:val="28"/>
              </w:rPr>
            </w:pPr>
            <w:r w:rsidRPr="004F3BBB">
              <w:rPr>
                <w:sz w:val="28"/>
                <w:szCs w:val="28"/>
              </w:rPr>
              <w:t xml:space="preserve">3.3. pašvaldību budžets </w:t>
            </w:r>
          </w:p>
        </w:tc>
        <w:tc>
          <w:tcPr>
            <w:tcW w:w="824" w:type="pct"/>
            <w:shd w:val="clear" w:color="auto" w:fill="auto"/>
            <w:vAlign w:val="center"/>
          </w:tcPr>
          <w:p w:rsidR="005563B8" w:rsidRPr="004F3BBB" w:rsidRDefault="005563B8" w:rsidP="009B27F4">
            <w:pPr>
              <w:spacing w:beforeAutospacing="1" w:afterAutospacing="1"/>
              <w:jc w:val="center"/>
              <w:rPr>
                <w:b/>
                <w:i/>
                <w:sz w:val="28"/>
                <w:szCs w:val="28"/>
              </w:rPr>
            </w:pPr>
            <w:r w:rsidRPr="004F3BBB">
              <w:rPr>
                <w:b/>
                <w:i/>
                <w:sz w:val="28"/>
                <w:szCs w:val="28"/>
              </w:rPr>
              <w:t>0</w:t>
            </w:r>
          </w:p>
        </w:tc>
        <w:tc>
          <w:tcPr>
            <w:tcW w:w="573" w:type="pct"/>
            <w:shd w:val="clear" w:color="auto" w:fill="auto"/>
            <w:vAlign w:val="center"/>
          </w:tcPr>
          <w:p w:rsidR="005563B8" w:rsidRPr="004F3BBB" w:rsidRDefault="005563B8" w:rsidP="009B27F4">
            <w:pPr>
              <w:spacing w:beforeAutospacing="1" w:afterAutospacing="1"/>
              <w:jc w:val="center"/>
              <w:rPr>
                <w:b/>
                <w:i/>
                <w:sz w:val="28"/>
                <w:szCs w:val="28"/>
              </w:rPr>
            </w:pPr>
            <w:r w:rsidRPr="004F3BBB">
              <w:rPr>
                <w:b/>
                <w:i/>
                <w:sz w:val="28"/>
                <w:szCs w:val="28"/>
              </w:rPr>
              <w:t>0</w:t>
            </w:r>
          </w:p>
        </w:tc>
        <w:tc>
          <w:tcPr>
            <w:tcW w:w="736" w:type="pct"/>
            <w:shd w:val="clear" w:color="auto" w:fill="auto"/>
            <w:vAlign w:val="center"/>
          </w:tcPr>
          <w:p w:rsidR="005563B8" w:rsidRPr="004F3BBB" w:rsidRDefault="005563B8" w:rsidP="009B27F4">
            <w:pPr>
              <w:spacing w:beforeAutospacing="1" w:afterAutospacing="1"/>
              <w:jc w:val="center"/>
              <w:rPr>
                <w:b/>
                <w:i/>
                <w:sz w:val="28"/>
                <w:szCs w:val="28"/>
              </w:rPr>
            </w:pPr>
            <w:r w:rsidRPr="004F3BBB">
              <w:rPr>
                <w:b/>
                <w:i/>
                <w:sz w:val="28"/>
                <w:szCs w:val="28"/>
              </w:rPr>
              <w:t>0</w:t>
            </w:r>
          </w:p>
        </w:tc>
        <w:tc>
          <w:tcPr>
            <w:tcW w:w="653" w:type="pct"/>
            <w:shd w:val="clear" w:color="auto" w:fill="auto"/>
            <w:vAlign w:val="center"/>
          </w:tcPr>
          <w:p w:rsidR="005563B8" w:rsidRPr="004F3BBB" w:rsidRDefault="005563B8" w:rsidP="009B27F4">
            <w:pPr>
              <w:spacing w:beforeAutospacing="1" w:afterAutospacing="1"/>
              <w:jc w:val="center"/>
              <w:rPr>
                <w:b/>
                <w:i/>
                <w:sz w:val="28"/>
                <w:szCs w:val="28"/>
              </w:rPr>
            </w:pPr>
            <w:r w:rsidRPr="004F3BBB">
              <w:rPr>
                <w:b/>
                <w:i/>
                <w:sz w:val="28"/>
                <w:szCs w:val="28"/>
              </w:rPr>
              <w:t>0</w:t>
            </w:r>
          </w:p>
        </w:tc>
        <w:tc>
          <w:tcPr>
            <w:tcW w:w="688" w:type="pct"/>
            <w:shd w:val="clear" w:color="auto" w:fill="auto"/>
            <w:vAlign w:val="center"/>
          </w:tcPr>
          <w:p w:rsidR="005563B8" w:rsidRPr="004F3BBB" w:rsidRDefault="005563B8" w:rsidP="009B27F4">
            <w:pPr>
              <w:spacing w:beforeAutospacing="1" w:afterAutospacing="1"/>
              <w:jc w:val="center"/>
              <w:rPr>
                <w:b/>
                <w:i/>
                <w:sz w:val="28"/>
                <w:szCs w:val="28"/>
              </w:rPr>
            </w:pPr>
            <w:r w:rsidRPr="004F3BBB">
              <w:rPr>
                <w:b/>
                <w:i/>
                <w:sz w:val="28"/>
                <w:szCs w:val="28"/>
              </w:rPr>
              <w:t>0</w:t>
            </w:r>
          </w:p>
        </w:tc>
      </w:tr>
      <w:tr w:rsidR="005563B8" w:rsidRPr="004F3BBB" w:rsidTr="00093E5E">
        <w:tblPrEx>
          <w:tblCellMar>
            <w:left w:w="108" w:type="dxa"/>
            <w:right w:w="108" w:type="dxa"/>
          </w:tblCellMar>
          <w:tblLook w:val="01E0" w:firstRow="1" w:lastRow="1" w:firstColumn="1" w:lastColumn="1" w:noHBand="0" w:noVBand="0"/>
        </w:tblPrEx>
        <w:tc>
          <w:tcPr>
            <w:tcW w:w="1526" w:type="pct"/>
            <w:shd w:val="clear" w:color="auto" w:fill="auto"/>
          </w:tcPr>
          <w:p w:rsidR="005563B8" w:rsidRPr="004F3BBB" w:rsidRDefault="005563B8" w:rsidP="009B27F4">
            <w:pPr>
              <w:rPr>
                <w:sz w:val="28"/>
                <w:szCs w:val="28"/>
              </w:rPr>
            </w:pPr>
            <w:r w:rsidRPr="004F3BBB">
              <w:rPr>
                <w:sz w:val="28"/>
                <w:szCs w:val="28"/>
              </w:rPr>
              <w:t>4. Finanšu līdzekļi papildu izdevumu finansēšanai (kompensējošu izdevumu samazinājumu norāda ar "+" zīmi)</w:t>
            </w:r>
          </w:p>
        </w:tc>
        <w:tc>
          <w:tcPr>
            <w:tcW w:w="824" w:type="pct"/>
            <w:shd w:val="clear" w:color="auto" w:fill="auto"/>
            <w:vAlign w:val="center"/>
          </w:tcPr>
          <w:p w:rsidR="005563B8" w:rsidRPr="004F3BBB" w:rsidRDefault="005563B8" w:rsidP="009B27F4">
            <w:pPr>
              <w:jc w:val="center"/>
              <w:rPr>
                <w:sz w:val="28"/>
                <w:szCs w:val="28"/>
              </w:rPr>
            </w:pPr>
            <w:r w:rsidRPr="004F3BBB">
              <w:rPr>
                <w:sz w:val="28"/>
                <w:szCs w:val="28"/>
              </w:rPr>
              <w:t>0</w:t>
            </w:r>
          </w:p>
        </w:tc>
        <w:tc>
          <w:tcPr>
            <w:tcW w:w="573" w:type="pct"/>
            <w:shd w:val="clear" w:color="auto" w:fill="auto"/>
            <w:vAlign w:val="center"/>
          </w:tcPr>
          <w:p w:rsidR="005563B8" w:rsidRPr="004F3BBB" w:rsidRDefault="005563B8" w:rsidP="009B27F4">
            <w:pPr>
              <w:jc w:val="center"/>
              <w:rPr>
                <w:sz w:val="28"/>
                <w:szCs w:val="28"/>
              </w:rPr>
            </w:pPr>
            <w:r w:rsidRPr="004F3BBB">
              <w:rPr>
                <w:sz w:val="28"/>
                <w:szCs w:val="28"/>
              </w:rPr>
              <w:t>0</w:t>
            </w:r>
          </w:p>
        </w:tc>
        <w:tc>
          <w:tcPr>
            <w:tcW w:w="736" w:type="pct"/>
            <w:shd w:val="clear" w:color="auto" w:fill="auto"/>
            <w:vAlign w:val="center"/>
          </w:tcPr>
          <w:p w:rsidR="005563B8" w:rsidRPr="004F3BBB" w:rsidRDefault="005563B8" w:rsidP="009B27F4">
            <w:pPr>
              <w:jc w:val="center"/>
              <w:rPr>
                <w:sz w:val="28"/>
                <w:szCs w:val="28"/>
              </w:rPr>
            </w:pPr>
            <w:r w:rsidRPr="004F3BBB">
              <w:rPr>
                <w:sz w:val="28"/>
                <w:szCs w:val="28"/>
              </w:rPr>
              <w:t>0</w:t>
            </w:r>
          </w:p>
        </w:tc>
        <w:tc>
          <w:tcPr>
            <w:tcW w:w="653" w:type="pct"/>
            <w:shd w:val="clear" w:color="auto" w:fill="auto"/>
            <w:vAlign w:val="center"/>
          </w:tcPr>
          <w:p w:rsidR="005563B8" w:rsidRPr="004F3BBB" w:rsidRDefault="005563B8" w:rsidP="009B27F4">
            <w:pPr>
              <w:jc w:val="center"/>
              <w:rPr>
                <w:sz w:val="28"/>
                <w:szCs w:val="28"/>
              </w:rPr>
            </w:pPr>
            <w:r w:rsidRPr="004F3BBB">
              <w:rPr>
                <w:sz w:val="28"/>
                <w:szCs w:val="28"/>
              </w:rPr>
              <w:t>0</w:t>
            </w:r>
          </w:p>
        </w:tc>
        <w:tc>
          <w:tcPr>
            <w:tcW w:w="688" w:type="pct"/>
            <w:shd w:val="clear" w:color="auto" w:fill="auto"/>
            <w:vAlign w:val="center"/>
          </w:tcPr>
          <w:p w:rsidR="005563B8" w:rsidRPr="004F3BBB" w:rsidRDefault="005563B8" w:rsidP="009B27F4">
            <w:pPr>
              <w:jc w:val="center"/>
              <w:rPr>
                <w:sz w:val="28"/>
                <w:szCs w:val="28"/>
              </w:rPr>
            </w:pPr>
            <w:r w:rsidRPr="004F3BBB">
              <w:rPr>
                <w:sz w:val="28"/>
                <w:szCs w:val="28"/>
              </w:rPr>
              <w:t>0</w:t>
            </w:r>
          </w:p>
        </w:tc>
      </w:tr>
      <w:tr w:rsidR="005563B8" w:rsidRPr="004F3BBB" w:rsidTr="00093E5E">
        <w:tblPrEx>
          <w:tblCellMar>
            <w:left w:w="108" w:type="dxa"/>
            <w:right w:w="108" w:type="dxa"/>
          </w:tblCellMar>
          <w:tblLook w:val="01E0" w:firstRow="1" w:lastRow="1" w:firstColumn="1" w:lastColumn="1" w:noHBand="0" w:noVBand="0"/>
        </w:tblPrEx>
        <w:tc>
          <w:tcPr>
            <w:tcW w:w="1526" w:type="pct"/>
            <w:shd w:val="clear" w:color="auto" w:fill="auto"/>
          </w:tcPr>
          <w:p w:rsidR="005563B8" w:rsidRPr="004F3BBB" w:rsidRDefault="005563B8" w:rsidP="009B27F4">
            <w:pPr>
              <w:rPr>
                <w:sz w:val="28"/>
                <w:szCs w:val="28"/>
              </w:rPr>
            </w:pPr>
            <w:r w:rsidRPr="004F3BBB">
              <w:rPr>
                <w:sz w:val="28"/>
                <w:szCs w:val="28"/>
              </w:rPr>
              <w:t>5. Precizēta finansiālā ietekme:</w:t>
            </w:r>
          </w:p>
        </w:tc>
        <w:tc>
          <w:tcPr>
            <w:tcW w:w="824" w:type="pct"/>
            <w:vMerge w:val="restart"/>
            <w:shd w:val="clear" w:color="auto" w:fill="auto"/>
            <w:vAlign w:val="center"/>
          </w:tcPr>
          <w:p w:rsidR="005563B8" w:rsidRPr="004F3BBB" w:rsidRDefault="005563B8" w:rsidP="009B27F4">
            <w:pPr>
              <w:jc w:val="center"/>
              <w:rPr>
                <w:sz w:val="28"/>
                <w:szCs w:val="28"/>
              </w:rPr>
            </w:pPr>
            <w:r w:rsidRPr="004F3BBB">
              <w:rPr>
                <w:sz w:val="28"/>
                <w:szCs w:val="28"/>
              </w:rPr>
              <w:t>x</w:t>
            </w:r>
          </w:p>
        </w:tc>
        <w:tc>
          <w:tcPr>
            <w:tcW w:w="573" w:type="pct"/>
            <w:shd w:val="clear" w:color="auto" w:fill="auto"/>
            <w:vAlign w:val="center"/>
          </w:tcPr>
          <w:p w:rsidR="005563B8" w:rsidRPr="004F3BBB" w:rsidRDefault="005563B8" w:rsidP="009B27F4">
            <w:pPr>
              <w:jc w:val="center"/>
              <w:rPr>
                <w:sz w:val="28"/>
                <w:szCs w:val="28"/>
              </w:rPr>
            </w:pPr>
            <w:r w:rsidRPr="004F3BBB">
              <w:rPr>
                <w:sz w:val="28"/>
                <w:szCs w:val="28"/>
              </w:rPr>
              <w:t>0</w:t>
            </w:r>
          </w:p>
        </w:tc>
        <w:tc>
          <w:tcPr>
            <w:tcW w:w="736" w:type="pct"/>
            <w:shd w:val="clear" w:color="auto" w:fill="auto"/>
            <w:vAlign w:val="center"/>
          </w:tcPr>
          <w:p w:rsidR="005563B8" w:rsidRPr="004F3BBB" w:rsidRDefault="005563B8" w:rsidP="009B27F4">
            <w:pPr>
              <w:jc w:val="center"/>
              <w:rPr>
                <w:sz w:val="28"/>
                <w:szCs w:val="28"/>
              </w:rPr>
            </w:pPr>
            <w:r w:rsidRPr="004F3BBB">
              <w:rPr>
                <w:sz w:val="28"/>
                <w:szCs w:val="28"/>
              </w:rPr>
              <w:t>0</w:t>
            </w:r>
          </w:p>
        </w:tc>
        <w:tc>
          <w:tcPr>
            <w:tcW w:w="653" w:type="pct"/>
            <w:shd w:val="clear" w:color="auto" w:fill="auto"/>
            <w:vAlign w:val="center"/>
          </w:tcPr>
          <w:p w:rsidR="005563B8" w:rsidRPr="004F3BBB" w:rsidRDefault="005563B8" w:rsidP="009B27F4">
            <w:pPr>
              <w:jc w:val="center"/>
              <w:rPr>
                <w:sz w:val="28"/>
                <w:szCs w:val="28"/>
              </w:rPr>
            </w:pPr>
            <w:r w:rsidRPr="004F3BBB">
              <w:rPr>
                <w:sz w:val="28"/>
                <w:szCs w:val="28"/>
              </w:rPr>
              <w:t>0</w:t>
            </w:r>
          </w:p>
        </w:tc>
        <w:tc>
          <w:tcPr>
            <w:tcW w:w="688" w:type="pct"/>
            <w:shd w:val="clear" w:color="auto" w:fill="auto"/>
            <w:vAlign w:val="center"/>
          </w:tcPr>
          <w:p w:rsidR="005563B8" w:rsidRPr="004F3BBB" w:rsidRDefault="005563B8" w:rsidP="009B27F4">
            <w:pPr>
              <w:jc w:val="center"/>
              <w:rPr>
                <w:sz w:val="28"/>
                <w:szCs w:val="28"/>
              </w:rPr>
            </w:pPr>
            <w:r w:rsidRPr="004F3BBB">
              <w:rPr>
                <w:sz w:val="28"/>
                <w:szCs w:val="28"/>
              </w:rPr>
              <w:t>0</w:t>
            </w:r>
          </w:p>
        </w:tc>
      </w:tr>
      <w:tr w:rsidR="005563B8" w:rsidRPr="004F3BBB" w:rsidTr="00093E5E">
        <w:tblPrEx>
          <w:tblCellMar>
            <w:left w:w="108" w:type="dxa"/>
            <w:right w:w="108" w:type="dxa"/>
          </w:tblCellMar>
          <w:tblLook w:val="01E0" w:firstRow="1" w:lastRow="1" w:firstColumn="1" w:lastColumn="1" w:noHBand="0" w:noVBand="0"/>
        </w:tblPrEx>
        <w:tc>
          <w:tcPr>
            <w:tcW w:w="1526" w:type="pct"/>
            <w:shd w:val="clear" w:color="auto" w:fill="auto"/>
          </w:tcPr>
          <w:p w:rsidR="005563B8" w:rsidRPr="004F3BBB" w:rsidRDefault="005563B8" w:rsidP="009B27F4">
            <w:pPr>
              <w:jc w:val="both"/>
              <w:rPr>
                <w:sz w:val="28"/>
                <w:szCs w:val="28"/>
              </w:rPr>
            </w:pPr>
            <w:r w:rsidRPr="004F3BBB">
              <w:rPr>
                <w:sz w:val="28"/>
                <w:szCs w:val="28"/>
              </w:rPr>
              <w:t>5.1. valsts pamatbudžets</w:t>
            </w:r>
          </w:p>
        </w:tc>
        <w:tc>
          <w:tcPr>
            <w:tcW w:w="824" w:type="pct"/>
            <w:vMerge/>
            <w:shd w:val="clear" w:color="auto" w:fill="auto"/>
          </w:tcPr>
          <w:p w:rsidR="005563B8" w:rsidRPr="004F3BBB" w:rsidRDefault="005563B8" w:rsidP="009B27F4">
            <w:pPr>
              <w:jc w:val="center"/>
              <w:rPr>
                <w:sz w:val="28"/>
                <w:szCs w:val="28"/>
              </w:rPr>
            </w:pPr>
          </w:p>
        </w:tc>
        <w:tc>
          <w:tcPr>
            <w:tcW w:w="573" w:type="pct"/>
            <w:shd w:val="clear" w:color="auto" w:fill="auto"/>
            <w:vAlign w:val="center"/>
          </w:tcPr>
          <w:p w:rsidR="005563B8" w:rsidRPr="004F3BBB" w:rsidRDefault="005563B8" w:rsidP="009B27F4">
            <w:pPr>
              <w:jc w:val="center"/>
              <w:rPr>
                <w:sz w:val="28"/>
                <w:szCs w:val="28"/>
              </w:rPr>
            </w:pPr>
            <w:r w:rsidRPr="004F3BBB">
              <w:rPr>
                <w:sz w:val="28"/>
                <w:szCs w:val="28"/>
              </w:rPr>
              <w:t>0</w:t>
            </w:r>
          </w:p>
        </w:tc>
        <w:tc>
          <w:tcPr>
            <w:tcW w:w="736" w:type="pct"/>
            <w:shd w:val="clear" w:color="auto" w:fill="auto"/>
            <w:vAlign w:val="center"/>
          </w:tcPr>
          <w:p w:rsidR="005563B8" w:rsidRPr="004F3BBB" w:rsidRDefault="005563B8" w:rsidP="009B27F4">
            <w:pPr>
              <w:jc w:val="center"/>
              <w:rPr>
                <w:sz w:val="28"/>
                <w:szCs w:val="28"/>
              </w:rPr>
            </w:pPr>
            <w:r w:rsidRPr="004F3BBB">
              <w:rPr>
                <w:sz w:val="28"/>
                <w:szCs w:val="28"/>
              </w:rPr>
              <w:t>0</w:t>
            </w:r>
          </w:p>
        </w:tc>
        <w:tc>
          <w:tcPr>
            <w:tcW w:w="653" w:type="pct"/>
            <w:shd w:val="clear" w:color="auto" w:fill="auto"/>
            <w:vAlign w:val="center"/>
          </w:tcPr>
          <w:p w:rsidR="005563B8" w:rsidRPr="004F3BBB" w:rsidRDefault="005563B8" w:rsidP="009B27F4">
            <w:pPr>
              <w:jc w:val="center"/>
              <w:rPr>
                <w:sz w:val="28"/>
                <w:szCs w:val="28"/>
              </w:rPr>
            </w:pPr>
            <w:r w:rsidRPr="004F3BBB">
              <w:rPr>
                <w:sz w:val="28"/>
                <w:szCs w:val="28"/>
              </w:rPr>
              <w:t>0</w:t>
            </w:r>
          </w:p>
        </w:tc>
        <w:tc>
          <w:tcPr>
            <w:tcW w:w="688" w:type="pct"/>
            <w:shd w:val="clear" w:color="auto" w:fill="auto"/>
            <w:vAlign w:val="center"/>
          </w:tcPr>
          <w:p w:rsidR="005563B8" w:rsidRPr="004F3BBB" w:rsidRDefault="005563B8" w:rsidP="009B27F4">
            <w:pPr>
              <w:jc w:val="center"/>
              <w:rPr>
                <w:sz w:val="28"/>
                <w:szCs w:val="28"/>
              </w:rPr>
            </w:pPr>
            <w:r w:rsidRPr="004F3BBB">
              <w:rPr>
                <w:sz w:val="28"/>
                <w:szCs w:val="28"/>
              </w:rPr>
              <w:t>0</w:t>
            </w:r>
          </w:p>
        </w:tc>
      </w:tr>
      <w:tr w:rsidR="005563B8" w:rsidRPr="004F3BBB" w:rsidTr="00093E5E">
        <w:tblPrEx>
          <w:tblCellMar>
            <w:left w:w="108" w:type="dxa"/>
            <w:right w:w="108" w:type="dxa"/>
          </w:tblCellMar>
          <w:tblLook w:val="01E0" w:firstRow="1" w:lastRow="1" w:firstColumn="1" w:lastColumn="1" w:noHBand="0" w:noVBand="0"/>
        </w:tblPrEx>
        <w:tc>
          <w:tcPr>
            <w:tcW w:w="1526" w:type="pct"/>
            <w:shd w:val="clear" w:color="auto" w:fill="auto"/>
          </w:tcPr>
          <w:p w:rsidR="005563B8" w:rsidRPr="004F3BBB" w:rsidRDefault="005563B8" w:rsidP="009B27F4">
            <w:pPr>
              <w:jc w:val="both"/>
              <w:rPr>
                <w:sz w:val="28"/>
                <w:szCs w:val="28"/>
              </w:rPr>
            </w:pPr>
            <w:r w:rsidRPr="004F3BBB">
              <w:rPr>
                <w:sz w:val="28"/>
                <w:szCs w:val="28"/>
              </w:rPr>
              <w:t>5.2. speciālais budžets</w:t>
            </w:r>
          </w:p>
        </w:tc>
        <w:tc>
          <w:tcPr>
            <w:tcW w:w="824" w:type="pct"/>
            <w:vMerge/>
            <w:shd w:val="clear" w:color="auto" w:fill="auto"/>
          </w:tcPr>
          <w:p w:rsidR="005563B8" w:rsidRPr="004F3BBB" w:rsidRDefault="005563B8" w:rsidP="009B27F4">
            <w:pPr>
              <w:jc w:val="center"/>
              <w:rPr>
                <w:sz w:val="28"/>
                <w:szCs w:val="28"/>
              </w:rPr>
            </w:pPr>
          </w:p>
        </w:tc>
        <w:tc>
          <w:tcPr>
            <w:tcW w:w="573" w:type="pct"/>
            <w:shd w:val="clear" w:color="auto" w:fill="auto"/>
            <w:vAlign w:val="center"/>
          </w:tcPr>
          <w:p w:rsidR="005563B8" w:rsidRPr="004F3BBB" w:rsidRDefault="005563B8" w:rsidP="009B27F4">
            <w:pPr>
              <w:jc w:val="center"/>
              <w:rPr>
                <w:sz w:val="28"/>
                <w:szCs w:val="28"/>
              </w:rPr>
            </w:pPr>
            <w:r w:rsidRPr="004F3BBB">
              <w:rPr>
                <w:sz w:val="28"/>
                <w:szCs w:val="28"/>
              </w:rPr>
              <w:t>0</w:t>
            </w:r>
          </w:p>
        </w:tc>
        <w:tc>
          <w:tcPr>
            <w:tcW w:w="736" w:type="pct"/>
            <w:shd w:val="clear" w:color="auto" w:fill="auto"/>
            <w:vAlign w:val="center"/>
          </w:tcPr>
          <w:p w:rsidR="005563B8" w:rsidRPr="004F3BBB" w:rsidRDefault="005563B8" w:rsidP="009B27F4">
            <w:pPr>
              <w:jc w:val="center"/>
              <w:rPr>
                <w:sz w:val="28"/>
                <w:szCs w:val="28"/>
              </w:rPr>
            </w:pPr>
            <w:r w:rsidRPr="004F3BBB">
              <w:rPr>
                <w:sz w:val="28"/>
                <w:szCs w:val="28"/>
              </w:rPr>
              <w:t>0</w:t>
            </w:r>
          </w:p>
        </w:tc>
        <w:tc>
          <w:tcPr>
            <w:tcW w:w="653" w:type="pct"/>
            <w:shd w:val="clear" w:color="auto" w:fill="auto"/>
            <w:vAlign w:val="center"/>
          </w:tcPr>
          <w:p w:rsidR="005563B8" w:rsidRPr="004F3BBB" w:rsidRDefault="005563B8" w:rsidP="009B27F4">
            <w:pPr>
              <w:jc w:val="center"/>
              <w:rPr>
                <w:sz w:val="28"/>
                <w:szCs w:val="28"/>
              </w:rPr>
            </w:pPr>
            <w:r w:rsidRPr="004F3BBB">
              <w:rPr>
                <w:sz w:val="28"/>
                <w:szCs w:val="28"/>
              </w:rPr>
              <w:t>0</w:t>
            </w:r>
          </w:p>
        </w:tc>
        <w:tc>
          <w:tcPr>
            <w:tcW w:w="688" w:type="pct"/>
            <w:shd w:val="clear" w:color="auto" w:fill="auto"/>
            <w:vAlign w:val="center"/>
          </w:tcPr>
          <w:p w:rsidR="005563B8" w:rsidRPr="004F3BBB" w:rsidRDefault="005563B8" w:rsidP="009B27F4">
            <w:pPr>
              <w:jc w:val="center"/>
              <w:rPr>
                <w:sz w:val="28"/>
                <w:szCs w:val="28"/>
              </w:rPr>
            </w:pPr>
            <w:r w:rsidRPr="004F3BBB">
              <w:rPr>
                <w:sz w:val="28"/>
                <w:szCs w:val="28"/>
              </w:rPr>
              <w:t>0</w:t>
            </w:r>
          </w:p>
        </w:tc>
      </w:tr>
      <w:tr w:rsidR="005563B8" w:rsidRPr="004F3BBB" w:rsidTr="00093E5E">
        <w:tblPrEx>
          <w:tblCellMar>
            <w:left w:w="108" w:type="dxa"/>
            <w:right w:w="108" w:type="dxa"/>
          </w:tblCellMar>
          <w:tblLook w:val="01E0" w:firstRow="1" w:lastRow="1" w:firstColumn="1" w:lastColumn="1" w:noHBand="0" w:noVBand="0"/>
        </w:tblPrEx>
        <w:tc>
          <w:tcPr>
            <w:tcW w:w="1526" w:type="pct"/>
            <w:shd w:val="clear" w:color="auto" w:fill="auto"/>
          </w:tcPr>
          <w:p w:rsidR="005563B8" w:rsidRPr="004F3BBB" w:rsidRDefault="005563B8" w:rsidP="009B27F4">
            <w:pPr>
              <w:jc w:val="both"/>
              <w:rPr>
                <w:sz w:val="28"/>
                <w:szCs w:val="28"/>
              </w:rPr>
            </w:pPr>
            <w:r w:rsidRPr="004F3BBB">
              <w:rPr>
                <w:sz w:val="28"/>
                <w:szCs w:val="28"/>
              </w:rPr>
              <w:t xml:space="preserve">5.3. pašvaldību budžets </w:t>
            </w:r>
          </w:p>
        </w:tc>
        <w:tc>
          <w:tcPr>
            <w:tcW w:w="824" w:type="pct"/>
            <w:vMerge/>
            <w:shd w:val="clear" w:color="auto" w:fill="auto"/>
          </w:tcPr>
          <w:p w:rsidR="005563B8" w:rsidRPr="004F3BBB" w:rsidRDefault="005563B8" w:rsidP="009B27F4">
            <w:pPr>
              <w:jc w:val="center"/>
              <w:rPr>
                <w:sz w:val="28"/>
                <w:szCs w:val="28"/>
              </w:rPr>
            </w:pPr>
          </w:p>
        </w:tc>
        <w:tc>
          <w:tcPr>
            <w:tcW w:w="573" w:type="pct"/>
            <w:shd w:val="clear" w:color="auto" w:fill="auto"/>
            <w:vAlign w:val="center"/>
          </w:tcPr>
          <w:p w:rsidR="005563B8" w:rsidRPr="004F3BBB" w:rsidRDefault="005563B8" w:rsidP="009B27F4">
            <w:pPr>
              <w:jc w:val="center"/>
              <w:rPr>
                <w:sz w:val="28"/>
                <w:szCs w:val="28"/>
              </w:rPr>
            </w:pPr>
            <w:r w:rsidRPr="004F3BBB">
              <w:rPr>
                <w:sz w:val="28"/>
                <w:szCs w:val="28"/>
              </w:rPr>
              <w:t>0</w:t>
            </w:r>
          </w:p>
        </w:tc>
        <w:tc>
          <w:tcPr>
            <w:tcW w:w="736" w:type="pct"/>
            <w:shd w:val="clear" w:color="auto" w:fill="auto"/>
            <w:vAlign w:val="center"/>
          </w:tcPr>
          <w:p w:rsidR="005563B8" w:rsidRPr="004F3BBB" w:rsidRDefault="005563B8" w:rsidP="009B27F4">
            <w:pPr>
              <w:jc w:val="center"/>
              <w:rPr>
                <w:sz w:val="28"/>
                <w:szCs w:val="28"/>
              </w:rPr>
            </w:pPr>
            <w:r w:rsidRPr="004F3BBB">
              <w:rPr>
                <w:sz w:val="28"/>
                <w:szCs w:val="28"/>
              </w:rPr>
              <w:t>0</w:t>
            </w:r>
          </w:p>
        </w:tc>
        <w:tc>
          <w:tcPr>
            <w:tcW w:w="653" w:type="pct"/>
            <w:shd w:val="clear" w:color="auto" w:fill="auto"/>
            <w:vAlign w:val="center"/>
          </w:tcPr>
          <w:p w:rsidR="005563B8" w:rsidRPr="004F3BBB" w:rsidRDefault="005563B8" w:rsidP="009B27F4">
            <w:pPr>
              <w:jc w:val="center"/>
              <w:rPr>
                <w:sz w:val="28"/>
                <w:szCs w:val="28"/>
              </w:rPr>
            </w:pPr>
            <w:r w:rsidRPr="004F3BBB">
              <w:rPr>
                <w:sz w:val="28"/>
                <w:szCs w:val="28"/>
              </w:rPr>
              <w:t>0</w:t>
            </w:r>
          </w:p>
        </w:tc>
        <w:tc>
          <w:tcPr>
            <w:tcW w:w="688" w:type="pct"/>
            <w:shd w:val="clear" w:color="auto" w:fill="auto"/>
            <w:vAlign w:val="center"/>
          </w:tcPr>
          <w:p w:rsidR="005563B8" w:rsidRPr="004F3BBB" w:rsidRDefault="005563B8" w:rsidP="009B27F4">
            <w:pPr>
              <w:jc w:val="center"/>
              <w:rPr>
                <w:sz w:val="28"/>
                <w:szCs w:val="28"/>
              </w:rPr>
            </w:pPr>
            <w:r w:rsidRPr="004F3BBB">
              <w:rPr>
                <w:sz w:val="28"/>
                <w:szCs w:val="28"/>
              </w:rPr>
              <w:t>0</w:t>
            </w:r>
          </w:p>
        </w:tc>
      </w:tr>
      <w:tr w:rsidR="005563B8" w:rsidRPr="004F3BBB" w:rsidTr="00093E5E">
        <w:tblPrEx>
          <w:tblCellMar>
            <w:left w:w="108" w:type="dxa"/>
            <w:right w:w="108" w:type="dxa"/>
          </w:tblCellMar>
          <w:tblLook w:val="01E0" w:firstRow="1" w:lastRow="1" w:firstColumn="1" w:lastColumn="1" w:noHBand="0" w:noVBand="0"/>
        </w:tblPrEx>
        <w:tc>
          <w:tcPr>
            <w:tcW w:w="5000" w:type="pct"/>
            <w:gridSpan w:val="6"/>
            <w:shd w:val="clear" w:color="auto" w:fill="auto"/>
          </w:tcPr>
          <w:p w:rsidR="005563B8" w:rsidRPr="004F3BBB" w:rsidRDefault="005563B8" w:rsidP="009B27F4">
            <w:pPr>
              <w:rPr>
                <w:sz w:val="28"/>
                <w:szCs w:val="28"/>
              </w:rPr>
            </w:pPr>
            <w:r w:rsidRPr="004F3BBB">
              <w:rPr>
                <w:sz w:val="28"/>
                <w:szCs w:val="28"/>
              </w:rPr>
              <w:t>6. Detalizēts ieņēmumu un izdevumu aprēķins (ja nepieciešams, detalizētu ieņēmumu un izdevumu aprēķinu var pievienot anotācijas pielikumā):</w:t>
            </w:r>
          </w:p>
        </w:tc>
      </w:tr>
      <w:tr w:rsidR="005563B8" w:rsidRPr="004F3BBB" w:rsidTr="00093E5E">
        <w:tblPrEx>
          <w:tblCellMar>
            <w:left w:w="108" w:type="dxa"/>
            <w:right w:w="108" w:type="dxa"/>
          </w:tblCellMar>
          <w:tblLook w:val="01E0" w:firstRow="1" w:lastRow="1" w:firstColumn="1" w:lastColumn="1" w:noHBand="0" w:noVBand="0"/>
        </w:tblPrEx>
        <w:tc>
          <w:tcPr>
            <w:tcW w:w="1526" w:type="pct"/>
            <w:shd w:val="clear" w:color="auto" w:fill="auto"/>
          </w:tcPr>
          <w:p w:rsidR="005563B8" w:rsidRPr="004F3BBB" w:rsidRDefault="005563B8" w:rsidP="009B27F4">
            <w:pPr>
              <w:rPr>
                <w:sz w:val="28"/>
                <w:szCs w:val="28"/>
              </w:rPr>
            </w:pPr>
            <w:r w:rsidRPr="004F3BBB">
              <w:rPr>
                <w:sz w:val="28"/>
                <w:szCs w:val="28"/>
              </w:rPr>
              <w:t>6.1. Detalizēts ieņēmumu aprēķins</w:t>
            </w:r>
          </w:p>
        </w:tc>
        <w:tc>
          <w:tcPr>
            <w:tcW w:w="3474" w:type="pct"/>
            <w:gridSpan w:val="5"/>
            <w:shd w:val="clear" w:color="auto" w:fill="auto"/>
            <w:vAlign w:val="center"/>
          </w:tcPr>
          <w:p w:rsidR="005563B8" w:rsidRPr="00C176C2" w:rsidRDefault="005563B8" w:rsidP="009B27F4">
            <w:pPr>
              <w:spacing w:before="100" w:beforeAutospacing="1" w:after="100" w:afterAutospacing="1"/>
              <w:jc w:val="both"/>
              <w:outlineLvl w:val="2"/>
              <w:rPr>
                <w:b/>
                <w:bCs/>
                <w:sz w:val="28"/>
                <w:szCs w:val="28"/>
              </w:rPr>
            </w:pPr>
            <w:r w:rsidRPr="004F3BBB">
              <w:rPr>
                <w:i/>
                <w:sz w:val="28"/>
                <w:szCs w:val="28"/>
              </w:rPr>
              <w:t xml:space="preserve"> </w:t>
            </w:r>
            <w:r w:rsidRPr="00C176C2">
              <w:rPr>
                <w:sz w:val="28"/>
                <w:szCs w:val="28"/>
              </w:rPr>
              <w:t>Nav</w:t>
            </w:r>
            <w:r w:rsidR="00C176C2" w:rsidRPr="00C176C2">
              <w:rPr>
                <w:sz w:val="28"/>
                <w:szCs w:val="28"/>
              </w:rPr>
              <w:t>.</w:t>
            </w:r>
          </w:p>
        </w:tc>
      </w:tr>
      <w:tr w:rsidR="005563B8" w:rsidRPr="004F3BBB" w:rsidTr="00093E5E">
        <w:tblPrEx>
          <w:tblCellMar>
            <w:left w:w="108" w:type="dxa"/>
            <w:right w:w="108" w:type="dxa"/>
          </w:tblCellMar>
          <w:tblLook w:val="01E0" w:firstRow="1" w:lastRow="1" w:firstColumn="1" w:lastColumn="1" w:noHBand="0" w:noVBand="0"/>
        </w:tblPrEx>
        <w:tc>
          <w:tcPr>
            <w:tcW w:w="1526" w:type="pct"/>
            <w:shd w:val="clear" w:color="auto" w:fill="auto"/>
          </w:tcPr>
          <w:p w:rsidR="005563B8" w:rsidRPr="004F3BBB" w:rsidRDefault="005563B8" w:rsidP="009B27F4">
            <w:pPr>
              <w:rPr>
                <w:sz w:val="28"/>
                <w:szCs w:val="28"/>
              </w:rPr>
            </w:pPr>
            <w:r w:rsidRPr="004F3BBB">
              <w:rPr>
                <w:sz w:val="28"/>
                <w:szCs w:val="28"/>
              </w:rPr>
              <w:t>6.2. Detalizēts izdevumu aprēķins</w:t>
            </w:r>
          </w:p>
        </w:tc>
        <w:tc>
          <w:tcPr>
            <w:tcW w:w="3474" w:type="pct"/>
            <w:gridSpan w:val="5"/>
            <w:shd w:val="clear" w:color="auto" w:fill="auto"/>
          </w:tcPr>
          <w:p w:rsidR="005563B8" w:rsidRPr="004F3BBB" w:rsidRDefault="005563B8" w:rsidP="009B27F4">
            <w:pPr>
              <w:jc w:val="both"/>
              <w:rPr>
                <w:sz w:val="28"/>
                <w:szCs w:val="28"/>
              </w:rPr>
            </w:pPr>
            <w:r w:rsidRPr="004F3BBB">
              <w:rPr>
                <w:sz w:val="28"/>
                <w:szCs w:val="28"/>
              </w:rPr>
              <w:t xml:space="preserve">Sākot ar 2018. gada 1.janvāri tiks ieviests jauns pakalpojums “Psihosociālā rehabilitācija paliatīvajā aprūpē esošajiem bērniem un to ģimenes locekļiem”. </w:t>
            </w:r>
          </w:p>
          <w:p w:rsidR="005563B8" w:rsidRPr="004F3BBB" w:rsidRDefault="005563B8" w:rsidP="009B27F4">
            <w:pPr>
              <w:jc w:val="both"/>
              <w:rPr>
                <w:b/>
                <w:sz w:val="28"/>
                <w:szCs w:val="28"/>
                <w:u w:val="single"/>
              </w:rPr>
            </w:pPr>
            <w:r w:rsidRPr="004F3BBB">
              <w:rPr>
                <w:b/>
                <w:sz w:val="28"/>
                <w:szCs w:val="28"/>
                <w:u w:val="single"/>
              </w:rPr>
              <w:t>2018.gads</w:t>
            </w:r>
          </w:p>
          <w:p w:rsidR="005563B8" w:rsidRPr="004F3BBB" w:rsidRDefault="005563B8" w:rsidP="009B27F4">
            <w:pPr>
              <w:jc w:val="both"/>
              <w:rPr>
                <w:sz w:val="28"/>
                <w:szCs w:val="28"/>
              </w:rPr>
            </w:pPr>
            <w:r w:rsidRPr="004F3BBB">
              <w:rPr>
                <w:sz w:val="28"/>
                <w:szCs w:val="28"/>
              </w:rPr>
              <w:t xml:space="preserve">Kopējais nepieciešamais finansējums pakalpojuma </w:t>
            </w:r>
            <w:r w:rsidRPr="004F3BBB">
              <w:rPr>
                <w:sz w:val="28"/>
                <w:szCs w:val="28"/>
              </w:rPr>
              <w:lastRenderedPageBreak/>
              <w:t xml:space="preserve">ieviešanai </w:t>
            </w:r>
            <w:r w:rsidRPr="004F3BBB">
              <w:rPr>
                <w:b/>
                <w:sz w:val="28"/>
                <w:szCs w:val="28"/>
              </w:rPr>
              <w:t>gad</w:t>
            </w:r>
            <w:r w:rsidR="00545605" w:rsidRPr="004F3BBB">
              <w:rPr>
                <w:b/>
                <w:sz w:val="28"/>
                <w:szCs w:val="28"/>
              </w:rPr>
              <w:t>ā 599 837.00</w:t>
            </w:r>
            <w:r w:rsidRPr="004F3BBB">
              <w:rPr>
                <w:b/>
                <w:sz w:val="28"/>
                <w:szCs w:val="28"/>
              </w:rPr>
              <w:t xml:space="preserve"> euro:</w:t>
            </w:r>
          </w:p>
          <w:p w:rsidR="005563B8" w:rsidRPr="004F3BBB" w:rsidRDefault="005563B8" w:rsidP="00D87410">
            <w:pPr>
              <w:numPr>
                <w:ilvl w:val="0"/>
                <w:numId w:val="12"/>
              </w:numPr>
              <w:spacing w:after="200"/>
              <w:jc w:val="both"/>
              <w:rPr>
                <w:sz w:val="28"/>
                <w:szCs w:val="28"/>
              </w:rPr>
            </w:pPr>
            <w:r w:rsidRPr="004F3BBB">
              <w:rPr>
                <w:sz w:val="28"/>
                <w:szCs w:val="28"/>
              </w:rPr>
              <w:t>pakalpojumam “Psihosociālā rehabilitācija paliatīvajā aprūpē esošajiem bērniem un to ģimenes locekļiem</w:t>
            </w:r>
            <w:r w:rsidR="002864A8" w:rsidRPr="004F3BBB">
              <w:rPr>
                <w:sz w:val="28"/>
                <w:szCs w:val="28"/>
              </w:rPr>
              <w:t>” 523 068</w:t>
            </w:r>
            <w:r w:rsidRPr="004F3BBB">
              <w:rPr>
                <w:sz w:val="28"/>
                <w:szCs w:val="28"/>
              </w:rPr>
              <w:t>.00 euro. Izdevumi attiecināmi uz apakšprogrammu 05.01.00 “Sociālās rehabilitācijas valsts programma”. Detalizētu aprēķinu skat. pielikumā Nr.2 “Pakalpojuma "Psihosociālā rehabilitācija paliatīvajā aprūpē esošajiem bērniem un to ģimenes locekļiem"                                                                                                                                                               groza aprēķins”;</w:t>
            </w:r>
          </w:p>
          <w:p w:rsidR="005563B8" w:rsidRPr="004F3BBB" w:rsidRDefault="00B32A28" w:rsidP="00B32A28">
            <w:pPr>
              <w:numPr>
                <w:ilvl w:val="0"/>
                <w:numId w:val="12"/>
              </w:numPr>
              <w:spacing w:after="200"/>
              <w:jc w:val="both"/>
              <w:rPr>
                <w:sz w:val="28"/>
                <w:szCs w:val="28"/>
              </w:rPr>
            </w:pPr>
            <w:r w:rsidRPr="004F3BBB">
              <w:rPr>
                <w:sz w:val="28"/>
                <w:szCs w:val="28"/>
              </w:rPr>
              <w:t>informācijas sistēmā SPOLIS moduļa izveidošanai, kurā tiek ievadīta informācija par pakalpojuma saņēmējiem, gatavotas atskaites un tiek nodrošināta informācijas uzkrāšana par pakalpojuma rezultatīvajiem rādītājiem 51 000.00 euro. Izdevumi attiecināmi uz apakšprogrammu 97.01.00. “Labklājības nozares vadība un politikas plānošana”. Aprēķinu skat. pielikumā Nr.1. “Pakalpojuma "Psihosociālā rehabilitācija paliatīvajā aprūpē esošajiem bērniem un to ģimenes locekļiem" plānotais nepieciešamais finansējums pirmajā ieviešanas gadā un turpmākajos gados”;</w:t>
            </w:r>
          </w:p>
          <w:p w:rsidR="005563B8" w:rsidRPr="004F3BBB" w:rsidRDefault="005563B8" w:rsidP="00D87410">
            <w:pPr>
              <w:pStyle w:val="ListParagraph"/>
              <w:numPr>
                <w:ilvl w:val="0"/>
                <w:numId w:val="12"/>
              </w:numPr>
              <w:jc w:val="both"/>
              <w:rPr>
                <w:szCs w:val="28"/>
              </w:rPr>
            </w:pPr>
            <w:r w:rsidRPr="004F3BBB">
              <w:rPr>
                <w:szCs w:val="28"/>
              </w:rPr>
              <w:t>Darba vietas uzturēšanas izdevumi pakalpojuma ieviešanas gadā 3 870.00 euro, turpmākajos gados ik gadu 2 620.00 euro.</w:t>
            </w:r>
          </w:p>
          <w:p w:rsidR="005563B8" w:rsidRPr="004F3BBB" w:rsidRDefault="005563B8" w:rsidP="00D87410">
            <w:pPr>
              <w:ind w:left="720"/>
              <w:jc w:val="both"/>
              <w:rPr>
                <w:sz w:val="28"/>
                <w:szCs w:val="28"/>
              </w:rPr>
            </w:pPr>
            <w:r w:rsidRPr="004F3BBB">
              <w:rPr>
                <w:rFonts w:eastAsiaTheme="minorHAnsi"/>
                <w:color w:val="000000"/>
                <w:sz w:val="28"/>
                <w:szCs w:val="28"/>
                <w:lang w:eastAsia="en-US"/>
              </w:rPr>
              <w:t>Pakalpojuma ieviešanas gadā papildu izdevumi 1250 euro apmērā datora (sistēmbloka), monitora un programmatūras nodrošināšanai vienai amata vietai (788,92 euro (sistēmbloks)</w:t>
            </w:r>
            <w:r w:rsidR="006338BC" w:rsidRPr="004F3BBB">
              <w:rPr>
                <w:rFonts w:eastAsiaTheme="minorHAnsi"/>
                <w:color w:val="000000"/>
                <w:sz w:val="28"/>
                <w:szCs w:val="28"/>
                <w:lang w:eastAsia="en-US"/>
              </w:rPr>
              <w:t xml:space="preserve"> </w:t>
            </w:r>
            <w:r w:rsidRPr="004F3BBB">
              <w:rPr>
                <w:rFonts w:eastAsiaTheme="minorHAnsi"/>
                <w:color w:val="000000"/>
                <w:sz w:val="28"/>
                <w:szCs w:val="28"/>
                <w:lang w:eastAsia="en-US"/>
              </w:rPr>
              <w:t>+</w:t>
            </w:r>
            <w:r w:rsidR="006338BC" w:rsidRPr="004F3BBB">
              <w:rPr>
                <w:rFonts w:eastAsiaTheme="minorHAnsi"/>
                <w:color w:val="000000"/>
                <w:sz w:val="28"/>
                <w:szCs w:val="28"/>
                <w:lang w:eastAsia="en-US"/>
              </w:rPr>
              <w:t xml:space="preserve"> </w:t>
            </w:r>
            <w:r w:rsidRPr="004F3BBB">
              <w:rPr>
                <w:rFonts w:eastAsiaTheme="minorHAnsi"/>
                <w:color w:val="000000"/>
                <w:sz w:val="28"/>
                <w:szCs w:val="28"/>
                <w:lang w:eastAsia="en-US"/>
              </w:rPr>
              <w:t>170,61</w:t>
            </w:r>
            <w:r w:rsidR="006338BC" w:rsidRPr="004F3BBB">
              <w:rPr>
                <w:rFonts w:eastAsiaTheme="minorHAnsi"/>
                <w:color w:val="000000"/>
                <w:sz w:val="28"/>
                <w:szCs w:val="28"/>
                <w:lang w:eastAsia="en-US"/>
              </w:rPr>
              <w:t xml:space="preserve"> </w:t>
            </w:r>
            <w:r w:rsidRPr="004F3BBB">
              <w:rPr>
                <w:rFonts w:eastAsiaTheme="minorHAnsi"/>
                <w:color w:val="000000"/>
                <w:sz w:val="28"/>
                <w:szCs w:val="28"/>
                <w:lang w:eastAsia="en-US"/>
              </w:rPr>
              <w:t>euro (monitors)</w:t>
            </w:r>
            <w:r w:rsidR="006338BC" w:rsidRPr="004F3BBB">
              <w:rPr>
                <w:rFonts w:eastAsiaTheme="minorHAnsi"/>
                <w:color w:val="000000"/>
                <w:sz w:val="28"/>
                <w:szCs w:val="28"/>
                <w:lang w:eastAsia="en-US"/>
              </w:rPr>
              <w:t xml:space="preserve"> </w:t>
            </w:r>
            <w:r w:rsidRPr="004F3BBB">
              <w:rPr>
                <w:rFonts w:eastAsiaTheme="minorHAnsi"/>
                <w:color w:val="000000"/>
                <w:sz w:val="28"/>
                <w:szCs w:val="28"/>
                <w:lang w:eastAsia="en-US"/>
              </w:rPr>
              <w:t>+</w:t>
            </w:r>
            <w:r w:rsidR="006338BC" w:rsidRPr="004F3BBB">
              <w:rPr>
                <w:rFonts w:eastAsiaTheme="minorHAnsi"/>
                <w:color w:val="000000"/>
                <w:sz w:val="28"/>
                <w:szCs w:val="28"/>
                <w:lang w:eastAsia="en-US"/>
              </w:rPr>
              <w:t xml:space="preserve"> </w:t>
            </w:r>
            <w:r w:rsidRPr="004F3BBB">
              <w:rPr>
                <w:rFonts w:eastAsiaTheme="minorHAnsi"/>
                <w:color w:val="000000"/>
                <w:sz w:val="28"/>
                <w:szCs w:val="28"/>
                <w:lang w:eastAsia="en-US"/>
              </w:rPr>
              <w:t>235,95 euro (Microsoft Office licence)</w:t>
            </w:r>
            <w:r w:rsidR="006338BC" w:rsidRPr="004F3BBB">
              <w:rPr>
                <w:rFonts w:eastAsiaTheme="minorHAnsi"/>
                <w:color w:val="000000"/>
                <w:sz w:val="28"/>
                <w:szCs w:val="28"/>
                <w:lang w:eastAsia="en-US"/>
              </w:rPr>
              <w:t xml:space="preserve"> </w:t>
            </w:r>
            <w:r w:rsidRPr="004F3BBB">
              <w:rPr>
                <w:rFonts w:eastAsiaTheme="minorHAnsi"/>
                <w:color w:val="000000"/>
                <w:sz w:val="28"/>
                <w:szCs w:val="28"/>
                <w:lang w:eastAsia="en-US"/>
              </w:rPr>
              <w:t>+</w:t>
            </w:r>
            <w:r w:rsidR="006338BC" w:rsidRPr="004F3BBB">
              <w:rPr>
                <w:rFonts w:eastAsiaTheme="minorHAnsi"/>
                <w:color w:val="000000"/>
                <w:sz w:val="28"/>
                <w:szCs w:val="28"/>
                <w:lang w:eastAsia="en-US"/>
              </w:rPr>
              <w:t xml:space="preserve"> </w:t>
            </w:r>
            <w:r w:rsidRPr="004F3BBB">
              <w:rPr>
                <w:rFonts w:eastAsiaTheme="minorHAnsi"/>
                <w:color w:val="000000"/>
                <w:sz w:val="28"/>
                <w:szCs w:val="28"/>
                <w:lang w:eastAsia="en-US"/>
              </w:rPr>
              <w:t>54,45 (Tilde birojs licence))</w:t>
            </w:r>
            <w:r w:rsidRPr="004F3BBB">
              <w:rPr>
                <w:sz w:val="28"/>
                <w:szCs w:val="28"/>
              </w:rPr>
              <w:t>. Turpmākajos gados ik gadu 2</w:t>
            </w:r>
            <w:r w:rsidRPr="004F3BBB">
              <w:rPr>
                <w:rFonts w:eastAsiaTheme="minorHAnsi"/>
                <w:color w:val="000000"/>
                <w:sz w:val="28"/>
                <w:szCs w:val="28"/>
                <w:lang w:eastAsia="en-US"/>
              </w:rPr>
              <w:t xml:space="preserve">620 </w:t>
            </w:r>
            <w:r w:rsidRPr="004F3BBB">
              <w:rPr>
                <w:rFonts w:eastAsiaTheme="minorHAnsi"/>
                <w:iCs/>
                <w:color w:val="000000"/>
                <w:sz w:val="28"/>
                <w:szCs w:val="28"/>
                <w:lang w:eastAsia="en-US"/>
              </w:rPr>
              <w:t>euro</w:t>
            </w:r>
            <w:r w:rsidRPr="004F3BBB">
              <w:rPr>
                <w:rFonts w:eastAsiaTheme="minorHAnsi"/>
                <w:color w:val="000000"/>
                <w:sz w:val="28"/>
                <w:szCs w:val="28"/>
                <w:lang w:eastAsia="en-US"/>
              </w:rPr>
              <w:t xml:space="preserve"> </w:t>
            </w:r>
            <w:r w:rsidR="006338BC" w:rsidRPr="004F3BBB">
              <w:rPr>
                <w:rFonts w:eastAsiaTheme="minorHAnsi"/>
                <w:color w:val="000000"/>
                <w:sz w:val="28"/>
                <w:szCs w:val="28"/>
                <w:lang w:eastAsia="en-US"/>
              </w:rPr>
              <w:t>darbavietas</w:t>
            </w:r>
            <w:r w:rsidRPr="004F3BBB">
              <w:rPr>
                <w:rFonts w:eastAsiaTheme="minorHAnsi"/>
                <w:color w:val="000000"/>
                <w:sz w:val="28"/>
                <w:szCs w:val="28"/>
                <w:lang w:eastAsia="en-US"/>
              </w:rPr>
              <w:t xml:space="preserve"> uzturēšanas izdevumu segšanai (telpu apsaimniekošanas pakalpojumiem, komunāliem maksājumiem, un citām ar </w:t>
            </w:r>
            <w:r w:rsidR="006338BC" w:rsidRPr="004F3BBB">
              <w:rPr>
                <w:rFonts w:eastAsiaTheme="minorHAnsi"/>
                <w:color w:val="000000"/>
                <w:sz w:val="28"/>
                <w:szCs w:val="28"/>
                <w:lang w:eastAsia="en-US"/>
              </w:rPr>
              <w:t>darbavietu</w:t>
            </w:r>
            <w:r w:rsidRPr="004F3BBB">
              <w:rPr>
                <w:rFonts w:eastAsiaTheme="minorHAnsi"/>
                <w:color w:val="000000"/>
                <w:sz w:val="28"/>
                <w:szCs w:val="28"/>
                <w:lang w:eastAsia="en-US"/>
              </w:rPr>
              <w:t xml:space="preserve"> uzturēšanu saistītām izmaksām) (vidēji gadā 2 620 </w:t>
            </w:r>
            <w:r w:rsidRPr="004F3BBB">
              <w:rPr>
                <w:rFonts w:eastAsiaTheme="minorHAnsi"/>
                <w:iCs/>
                <w:color w:val="000000"/>
                <w:sz w:val="28"/>
                <w:szCs w:val="28"/>
                <w:lang w:eastAsia="en-US"/>
              </w:rPr>
              <w:t>euro</w:t>
            </w:r>
            <w:r w:rsidRPr="004F3BBB">
              <w:rPr>
                <w:rFonts w:eastAsiaTheme="minorHAnsi"/>
                <w:color w:val="000000"/>
                <w:sz w:val="28"/>
                <w:szCs w:val="28"/>
                <w:lang w:eastAsia="en-US"/>
              </w:rPr>
              <w:t xml:space="preserve"> uz 1 </w:t>
            </w:r>
            <w:r w:rsidR="006338BC" w:rsidRPr="004F3BBB">
              <w:rPr>
                <w:rFonts w:eastAsiaTheme="minorHAnsi"/>
                <w:color w:val="000000"/>
                <w:sz w:val="28"/>
                <w:szCs w:val="28"/>
                <w:lang w:eastAsia="en-US"/>
              </w:rPr>
              <w:t>darbavietu</w:t>
            </w:r>
            <w:r w:rsidRPr="004F3BBB">
              <w:rPr>
                <w:rFonts w:eastAsiaTheme="minorHAnsi"/>
                <w:color w:val="000000"/>
                <w:sz w:val="28"/>
                <w:szCs w:val="28"/>
                <w:lang w:eastAsia="en-US"/>
              </w:rPr>
              <w:t xml:space="preserve"> (1 (amata vieta) x 12(mēneši) x 218.33 </w:t>
            </w:r>
            <w:r w:rsidRPr="004F3BBB">
              <w:rPr>
                <w:rFonts w:eastAsiaTheme="minorHAnsi"/>
                <w:iCs/>
                <w:color w:val="000000"/>
                <w:sz w:val="28"/>
                <w:szCs w:val="28"/>
                <w:lang w:eastAsia="en-US"/>
              </w:rPr>
              <w:t>euro</w:t>
            </w:r>
            <w:r w:rsidRPr="004F3BBB">
              <w:rPr>
                <w:rFonts w:eastAsiaTheme="minorHAnsi"/>
                <w:color w:val="000000"/>
                <w:sz w:val="28"/>
                <w:szCs w:val="28"/>
                <w:lang w:eastAsia="en-US"/>
              </w:rPr>
              <w:t xml:space="preserve"> </w:t>
            </w:r>
            <w:r w:rsidRPr="004F3BBB">
              <w:rPr>
                <w:rFonts w:eastAsiaTheme="minorHAnsi"/>
                <w:color w:val="000000"/>
                <w:sz w:val="28"/>
                <w:szCs w:val="28"/>
                <w:lang w:eastAsia="en-US"/>
              </w:rPr>
              <w:lastRenderedPageBreak/>
              <w:t xml:space="preserve">mēnesī/1darbinieks = 2 619.96 </w:t>
            </w:r>
            <w:r w:rsidRPr="004F3BBB">
              <w:rPr>
                <w:rFonts w:eastAsiaTheme="minorHAnsi"/>
                <w:iCs/>
                <w:color w:val="000000"/>
                <w:sz w:val="28"/>
                <w:szCs w:val="28"/>
                <w:lang w:eastAsia="en-US"/>
              </w:rPr>
              <w:t>euro));</w:t>
            </w:r>
          </w:p>
          <w:p w:rsidR="005563B8" w:rsidRPr="004F3BBB" w:rsidRDefault="005563B8" w:rsidP="00D87410">
            <w:pPr>
              <w:numPr>
                <w:ilvl w:val="0"/>
                <w:numId w:val="12"/>
              </w:numPr>
              <w:spacing w:before="240" w:after="200"/>
              <w:jc w:val="both"/>
              <w:rPr>
                <w:sz w:val="28"/>
                <w:szCs w:val="28"/>
              </w:rPr>
            </w:pPr>
            <w:r w:rsidRPr="004F3BBB">
              <w:rPr>
                <w:sz w:val="28"/>
                <w:szCs w:val="28"/>
              </w:rPr>
              <w:t>darba samaksa</w:t>
            </w:r>
            <w:r w:rsidR="00545605" w:rsidRPr="004F3BBB">
              <w:rPr>
                <w:sz w:val="28"/>
                <w:szCs w:val="28"/>
              </w:rPr>
              <w:t xml:space="preserve"> un sociālās garantijas</w:t>
            </w:r>
            <w:r w:rsidRPr="004F3BBB">
              <w:rPr>
                <w:sz w:val="28"/>
                <w:szCs w:val="28"/>
              </w:rPr>
              <w:t xml:space="preserve"> Labklājības ministrijas speciālistiem par pakalpojuma ieviešanas uzraudzību, finansējuma plānošanu un izpildes uzraudzību, kā arī rezultatīvo rādītāju snieguma izvērtēšanu 19 087.00 euro (1.0 slodze x 1287.00 euro x 12 mēn x 23.59% (Mēnešalga atbilstoši 10.mēnešalgu grupai MK 66 "Noteikumi par valsts un pašvaldību institūciju amatpersonu un darbinieku darba samaksu un tās noteikšanas kārtību"</w:t>
            </w:r>
            <w:r w:rsidR="00545605" w:rsidRPr="004F3BBB">
              <w:rPr>
                <w:sz w:val="28"/>
                <w:szCs w:val="28"/>
              </w:rPr>
              <w:t xml:space="preserve">) un Valsts un pašvaldību institūciju amatpersonu un darbinieku atlīdzības likumā noteikto sociālo garantiju nodrošināšanai </w:t>
            </w:r>
            <w:r w:rsidR="00636B27" w:rsidRPr="004F3BBB">
              <w:rPr>
                <w:sz w:val="28"/>
                <w:szCs w:val="28"/>
              </w:rPr>
              <w:t>2</w:t>
            </w:r>
            <w:r w:rsidR="00A21BE2" w:rsidRPr="004F3BBB">
              <w:rPr>
                <w:sz w:val="28"/>
                <w:szCs w:val="28"/>
              </w:rPr>
              <w:t> </w:t>
            </w:r>
            <w:r w:rsidR="00636B27" w:rsidRPr="004F3BBB">
              <w:rPr>
                <w:sz w:val="28"/>
                <w:szCs w:val="28"/>
              </w:rPr>
              <w:t>813</w:t>
            </w:r>
            <w:r w:rsidR="00A21BE2" w:rsidRPr="004F3BBB">
              <w:rPr>
                <w:sz w:val="28"/>
                <w:szCs w:val="28"/>
              </w:rPr>
              <w:t>.00</w:t>
            </w:r>
            <w:r w:rsidR="00636B27" w:rsidRPr="004F3BBB">
              <w:rPr>
                <w:sz w:val="28"/>
                <w:szCs w:val="28"/>
              </w:rPr>
              <w:t xml:space="preserve"> euro i</w:t>
            </w:r>
            <w:r w:rsidRPr="004F3BBB">
              <w:rPr>
                <w:sz w:val="28"/>
                <w:szCs w:val="28"/>
              </w:rPr>
              <w:t xml:space="preserve">zdevumi </w:t>
            </w:r>
            <w:r w:rsidR="00636B27" w:rsidRPr="004F3BBB">
              <w:rPr>
                <w:sz w:val="28"/>
                <w:szCs w:val="28"/>
              </w:rPr>
              <w:t>attiecināmi</w:t>
            </w:r>
            <w:r w:rsidRPr="004F3BBB">
              <w:rPr>
                <w:sz w:val="28"/>
                <w:szCs w:val="28"/>
              </w:rPr>
              <w:t xml:space="preserve"> uz apakšprogrammu 97.01.00. “</w:t>
            </w:r>
            <w:r w:rsidRPr="004F3BBB">
              <w:rPr>
                <w:color w:val="000000"/>
                <w:sz w:val="28"/>
                <w:szCs w:val="28"/>
              </w:rPr>
              <w:t>Labklājības nozares vadība un politikas plānošana</w:t>
            </w:r>
            <w:r w:rsidRPr="004F3BBB">
              <w:rPr>
                <w:sz w:val="28"/>
                <w:szCs w:val="28"/>
              </w:rPr>
              <w:t>”. Detalizētu aprēķinu skat. pielikumā Nr.3 “Darba samaksa</w:t>
            </w:r>
            <w:r w:rsidR="00545605" w:rsidRPr="004F3BBB">
              <w:rPr>
                <w:sz w:val="28"/>
                <w:szCs w:val="28"/>
              </w:rPr>
              <w:t xml:space="preserve"> un sociālās garantijas</w:t>
            </w:r>
            <w:r w:rsidRPr="004F3BBB">
              <w:rPr>
                <w:sz w:val="28"/>
                <w:szCs w:val="28"/>
              </w:rPr>
              <w:t xml:space="preserve"> Labklājības ministrijas speciālistiem par pakalpojuma ieviešanas uzraudzību, finansējuma plānošanu un izpildes uzraudzību, kā arī rezultatīvo rādītāju snieguma izvērtēšanu”.</w:t>
            </w:r>
          </w:p>
          <w:p w:rsidR="005563B8" w:rsidRPr="004F3BBB" w:rsidRDefault="005563B8" w:rsidP="009B27F4">
            <w:pPr>
              <w:jc w:val="both"/>
              <w:rPr>
                <w:b/>
                <w:sz w:val="28"/>
                <w:szCs w:val="28"/>
                <w:u w:val="single"/>
              </w:rPr>
            </w:pPr>
            <w:r w:rsidRPr="004F3BBB">
              <w:rPr>
                <w:b/>
                <w:sz w:val="28"/>
                <w:szCs w:val="28"/>
                <w:u w:val="single"/>
              </w:rPr>
              <w:t>2019. gads, 2020.gads</w:t>
            </w:r>
          </w:p>
          <w:p w:rsidR="005563B8" w:rsidRPr="004F3BBB" w:rsidRDefault="005563B8" w:rsidP="009B27F4">
            <w:pPr>
              <w:jc w:val="both"/>
              <w:rPr>
                <w:b/>
                <w:sz w:val="28"/>
                <w:szCs w:val="28"/>
              </w:rPr>
            </w:pPr>
            <w:r w:rsidRPr="004F3BBB">
              <w:rPr>
                <w:sz w:val="28"/>
                <w:szCs w:val="28"/>
              </w:rPr>
              <w:t xml:space="preserve">Kopējais nepieciešamais finansējums pakalpojumam </w:t>
            </w:r>
            <w:r w:rsidRPr="004F3BBB">
              <w:rPr>
                <w:b/>
                <w:sz w:val="28"/>
                <w:szCs w:val="28"/>
              </w:rPr>
              <w:t>gad</w:t>
            </w:r>
            <w:r w:rsidR="00C332FA" w:rsidRPr="004F3BBB">
              <w:rPr>
                <w:b/>
                <w:sz w:val="28"/>
                <w:szCs w:val="28"/>
              </w:rPr>
              <w:t>ā 547 587</w:t>
            </w:r>
            <w:r w:rsidR="002864A8" w:rsidRPr="004F3BBB">
              <w:rPr>
                <w:b/>
                <w:sz w:val="28"/>
                <w:szCs w:val="28"/>
              </w:rPr>
              <w:t>.00</w:t>
            </w:r>
            <w:r w:rsidRPr="004F3BBB">
              <w:rPr>
                <w:b/>
                <w:sz w:val="28"/>
                <w:szCs w:val="28"/>
              </w:rPr>
              <w:t xml:space="preserve"> euro:</w:t>
            </w:r>
          </w:p>
          <w:p w:rsidR="005563B8" w:rsidRPr="004F3BBB" w:rsidRDefault="005563B8" w:rsidP="00762893">
            <w:pPr>
              <w:spacing w:after="200"/>
              <w:ind w:left="472" w:hanging="284"/>
              <w:jc w:val="both"/>
              <w:rPr>
                <w:sz w:val="28"/>
                <w:szCs w:val="28"/>
              </w:rPr>
            </w:pPr>
            <w:r w:rsidRPr="004F3BBB">
              <w:rPr>
                <w:sz w:val="28"/>
                <w:szCs w:val="28"/>
              </w:rPr>
              <w:t xml:space="preserve">1. pakalpojumam “Psihosociālā rehabilitācija paliatīvajā aprūpē esošajiem bērniem un </w:t>
            </w:r>
            <w:r w:rsidR="002864A8" w:rsidRPr="004F3BBB">
              <w:rPr>
                <w:sz w:val="28"/>
                <w:szCs w:val="28"/>
              </w:rPr>
              <w:t>to ģimenes locekļiem” 523 068.00</w:t>
            </w:r>
            <w:r w:rsidRPr="004F3BBB">
              <w:rPr>
                <w:sz w:val="28"/>
                <w:szCs w:val="28"/>
              </w:rPr>
              <w:t xml:space="preserve"> euro. Izdevumi attiecināmi uz apakšprogrammu 05.01.00 “Sociālās rehabilitācijas valsts programma”. Detalizētu aprēķinu skat. pielikumā Nr.2 “Pakalpojuma "Psihosociālā rehabilitācija paliatīvajā aprūpē esošajiem bērniem un to ģimenes locekļiem"</w:t>
            </w:r>
            <w:r w:rsidR="00762893">
              <w:rPr>
                <w:sz w:val="28"/>
                <w:szCs w:val="28"/>
              </w:rPr>
              <w:t xml:space="preserve"> groza aprēķins”</w:t>
            </w:r>
            <w:r w:rsidRPr="004F3BBB">
              <w:rPr>
                <w:sz w:val="28"/>
                <w:szCs w:val="28"/>
              </w:rPr>
              <w:t xml:space="preserve">                                                      ;</w:t>
            </w:r>
          </w:p>
          <w:p w:rsidR="005563B8" w:rsidRPr="004F3BBB" w:rsidRDefault="005563B8" w:rsidP="00762893">
            <w:pPr>
              <w:pStyle w:val="ListParagraph"/>
              <w:numPr>
                <w:ilvl w:val="0"/>
                <w:numId w:val="2"/>
              </w:numPr>
              <w:ind w:left="472" w:hanging="284"/>
              <w:jc w:val="both"/>
              <w:rPr>
                <w:szCs w:val="28"/>
              </w:rPr>
            </w:pPr>
            <w:r w:rsidRPr="004F3BBB">
              <w:rPr>
                <w:szCs w:val="28"/>
              </w:rPr>
              <w:t>Darba vietas uzturēšanas izdevumi 2</w:t>
            </w:r>
            <w:r w:rsidRPr="004F3BBB">
              <w:rPr>
                <w:rFonts w:eastAsiaTheme="minorHAnsi"/>
                <w:color w:val="000000"/>
                <w:szCs w:val="28"/>
                <w:lang w:eastAsia="en-US"/>
              </w:rPr>
              <w:t xml:space="preserve">620 </w:t>
            </w:r>
            <w:r w:rsidRPr="004F3BBB">
              <w:rPr>
                <w:rFonts w:eastAsiaTheme="minorHAnsi"/>
                <w:iCs/>
                <w:color w:val="000000"/>
                <w:szCs w:val="28"/>
                <w:lang w:eastAsia="en-US"/>
              </w:rPr>
              <w:t>euro</w:t>
            </w:r>
            <w:r w:rsidRPr="004F3BBB">
              <w:rPr>
                <w:rFonts w:eastAsiaTheme="minorHAnsi"/>
                <w:color w:val="000000"/>
                <w:szCs w:val="28"/>
                <w:lang w:eastAsia="en-US"/>
              </w:rPr>
              <w:t xml:space="preserve"> (telpu apsaimniekošanas pakalpojumiem, komunāliem maksājumiem, un citām ar darba </w:t>
            </w:r>
            <w:r w:rsidRPr="004F3BBB">
              <w:rPr>
                <w:rFonts w:eastAsiaTheme="minorHAnsi"/>
                <w:color w:val="000000"/>
                <w:szCs w:val="28"/>
                <w:lang w:eastAsia="en-US"/>
              </w:rPr>
              <w:lastRenderedPageBreak/>
              <w:t xml:space="preserve">vietu uzturēšanu saistītām izmaksām) (vidēji gadā 2 620 </w:t>
            </w:r>
            <w:r w:rsidRPr="004F3BBB">
              <w:rPr>
                <w:rFonts w:eastAsiaTheme="minorHAnsi"/>
                <w:iCs/>
                <w:color w:val="000000"/>
                <w:szCs w:val="28"/>
                <w:lang w:eastAsia="en-US"/>
              </w:rPr>
              <w:t>euro</w:t>
            </w:r>
            <w:r w:rsidRPr="004F3BBB">
              <w:rPr>
                <w:rFonts w:eastAsiaTheme="minorHAnsi"/>
                <w:color w:val="000000"/>
                <w:szCs w:val="28"/>
                <w:lang w:eastAsia="en-US"/>
              </w:rPr>
              <w:t xml:space="preserve"> uz 1 darba vietu (1 (amata vieta) x 12(mēneši) x 218.33 </w:t>
            </w:r>
            <w:r w:rsidRPr="004F3BBB">
              <w:rPr>
                <w:rFonts w:eastAsiaTheme="minorHAnsi"/>
                <w:iCs/>
                <w:color w:val="000000"/>
                <w:szCs w:val="28"/>
                <w:lang w:eastAsia="en-US"/>
              </w:rPr>
              <w:t>euro</w:t>
            </w:r>
            <w:r w:rsidRPr="004F3BBB">
              <w:rPr>
                <w:rFonts w:eastAsiaTheme="minorHAnsi"/>
                <w:color w:val="000000"/>
                <w:szCs w:val="28"/>
                <w:lang w:eastAsia="en-US"/>
              </w:rPr>
              <w:t xml:space="preserve"> mēnesī/1darbinieks = 2 619.96 </w:t>
            </w:r>
            <w:r w:rsidRPr="004F3BBB">
              <w:rPr>
                <w:rFonts w:eastAsiaTheme="minorHAnsi"/>
                <w:iCs/>
                <w:color w:val="000000"/>
                <w:szCs w:val="28"/>
                <w:lang w:eastAsia="en-US"/>
              </w:rPr>
              <w:t>euro));</w:t>
            </w:r>
          </w:p>
          <w:p w:rsidR="005563B8" w:rsidRPr="004F3BBB" w:rsidRDefault="005563B8" w:rsidP="00762893">
            <w:pPr>
              <w:numPr>
                <w:ilvl w:val="0"/>
                <w:numId w:val="2"/>
              </w:numPr>
              <w:spacing w:after="200"/>
              <w:ind w:left="472" w:hanging="284"/>
              <w:jc w:val="both"/>
              <w:rPr>
                <w:sz w:val="28"/>
                <w:szCs w:val="28"/>
              </w:rPr>
            </w:pPr>
            <w:r w:rsidRPr="004F3BBB">
              <w:rPr>
                <w:sz w:val="28"/>
                <w:szCs w:val="28"/>
              </w:rPr>
              <w:t>darba samaksa Labklājības ministrijas speciālistiem par pakalpojuma ieviešanas uzraudzību, finansējuma plānošanu un izpildes uzraudzību, kā arī rezultatīvo rādītāju snieguma izvērtēšanu 19 087.00 euro (1.0 slodze x 1287.00 euro x 12 mēn x 23.59% (Mēnešalga atbilstoši 10.mēnešalgu grupai MK 66 "Noteikumi par valsts un pašvaldību institūciju amatpersonu un darbinieku darba samak</w:t>
            </w:r>
            <w:r w:rsidR="00884CDB" w:rsidRPr="004F3BBB">
              <w:rPr>
                <w:sz w:val="28"/>
                <w:szCs w:val="28"/>
              </w:rPr>
              <w:t>su un tās noteikšanas kārtību") un Valsts un pašvaldību institūciju amatpersonu un darbinieku atlīdzības likumā noteikto sociālo garantiju nodrošināšanai 2</w:t>
            </w:r>
            <w:r w:rsidR="00A21BE2" w:rsidRPr="004F3BBB">
              <w:rPr>
                <w:sz w:val="28"/>
                <w:szCs w:val="28"/>
              </w:rPr>
              <w:t> </w:t>
            </w:r>
            <w:r w:rsidR="00884CDB" w:rsidRPr="004F3BBB">
              <w:rPr>
                <w:sz w:val="28"/>
                <w:szCs w:val="28"/>
              </w:rPr>
              <w:t>813</w:t>
            </w:r>
            <w:r w:rsidR="00A21BE2" w:rsidRPr="004F3BBB">
              <w:rPr>
                <w:sz w:val="28"/>
                <w:szCs w:val="28"/>
              </w:rPr>
              <w:t>.00</w:t>
            </w:r>
            <w:r w:rsidR="00884CDB" w:rsidRPr="004F3BBB">
              <w:rPr>
                <w:sz w:val="28"/>
                <w:szCs w:val="28"/>
              </w:rPr>
              <w:t xml:space="preserve"> euro izdevumi attiecināmi uz apakšprogrammu 97.01.00. “</w:t>
            </w:r>
            <w:r w:rsidR="00884CDB" w:rsidRPr="004F3BBB">
              <w:rPr>
                <w:color w:val="000000"/>
                <w:sz w:val="28"/>
                <w:szCs w:val="28"/>
              </w:rPr>
              <w:t>Labklājības nozares vadība un politikas plānošana</w:t>
            </w:r>
            <w:r w:rsidR="00884CDB" w:rsidRPr="004F3BBB">
              <w:rPr>
                <w:sz w:val="28"/>
                <w:szCs w:val="28"/>
              </w:rPr>
              <w:t>”. Detalizētu aprēķinu skat. pielikumā Nr.3 “Darba samaksa un sociālās garantijas Labklājības ministrijas speciālistiem par pakalpojuma ieviešanas uzraudzību, finansējuma plānošanu un izpildes uzraudzību, kā arī rezultatīvo rādītāju snieguma izvērtēšanu”.</w:t>
            </w:r>
            <w:r w:rsidRPr="004F3BBB">
              <w:rPr>
                <w:sz w:val="28"/>
                <w:szCs w:val="28"/>
              </w:rPr>
              <w:t xml:space="preserve"> </w:t>
            </w:r>
          </w:p>
          <w:p w:rsidR="00A21BE2" w:rsidRPr="004F3BBB" w:rsidRDefault="00A21BE2" w:rsidP="00A21BE2">
            <w:pPr>
              <w:spacing w:after="200"/>
              <w:ind w:left="472"/>
              <w:jc w:val="both"/>
              <w:rPr>
                <w:sz w:val="28"/>
                <w:szCs w:val="28"/>
              </w:rPr>
            </w:pPr>
            <w:r w:rsidRPr="004F3BBB">
              <w:rPr>
                <w:sz w:val="28"/>
                <w:szCs w:val="28"/>
              </w:rPr>
              <w:t xml:space="preserve">Amata vieta tiks nodrošināta esošo amata vietu ietvaros, veicot amata vietas pārdali nozares ietvaros, nepalielinot nozarei piešķirto kopējo amata vietu skaitu.  </w:t>
            </w:r>
          </w:p>
        </w:tc>
      </w:tr>
      <w:tr w:rsidR="005563B8" w:rsidRPr="004F3BBB" w:rsidTr="00093E5E">
        <w:tblPrEx>
          <w:tblCellMar>
            <w:left w:w="108" w:type="dxa"/>
            <w:right w:w="108" w:type="dxa"/>
          </w:tblCellMar>
          <w:tblLook w:val="01E0" w:firstRow="1" w:lastRow="1" w:firstColumn="1" w:lastColumn="1" w:noHBand="0" w:noVBand="0"/>
        </w:tblPrEx>
        <w:tc>
          <w:tcPr>
            <w:tcW w:w="1526" w:type="pct"/>
            <w:tcBorders>
              <w:bottom w:val="outset" w:sz="6" w:space="0" w:color="000000"/>
            </w:tcBorders>
            <w:shd w:val="clear" w:color="auto" w:fill="auto"/>
          </w:tcPr>
          <w:p w:rsidR="005563B8" w:rsidRPr="004F3BBB" w:rsidRDefault="005563B8" w:rsidP="009B27F4">
            <w:pPr>
              <w:jc w:val="both"/>
              <w:rPr>
                <w:sz w:val="28"/>
                <w:szCs w:val="28"/>
              </w:rPr>
            </w:pPr>
            <w:r w:rsidRPr="004F3BBB">
              <w:rPr>
                <w:sz w:val="28"/>
                <w:szCs w:val="28"/>
              </w:rPr>
              <w:lastRenderedPageBreak/>
              <w:t>7. Cita informācija</w:t>
            </w:r>
          </w:p>
        </w:tc>
        <w:tc>
          <w:tcPr>
            <w:tcW w:w="3474" w:type="pct"/>
            <w:gridSpan w:val="5"/>
            <w:tcBorders>
              <w:bottom w:val="outset" w:sz="6" w:space="0" w:color="000000"/>
            </w:tcBorders>
            <w:shd w:val="clear" w:color="auto" w:fill="auto"/>
          </w:tcPr>
          <w:p w:rsidR="005563B8" w:rsidRPr="004F3BBB" w:rsidRDefault="00A21BE2" w:rsidP="00940A07">
            <w:pPr>
              <w:ind w:firstLine="330"/>
              <w:jc w:val="both"/>
              <w:rPr>
                <w:iCs/>
                <w:sz w:val="28"/>
                <w:szCs w:val="28"/>
              </w:rPr>
            </w:pPr>
            <w:r w:rsidRPr="004F3BBB">
              <w:rPr>
                <w:iCs/>
                <w:sz w:val="28"/>
                <w:szCs w:val="28"/>
              </w:rPr>
              <w:t xml:space="preserve">Jautājums par papildu valsts budžeta līdzekļu piešķiršanu 2018., 2019. un 2020.gadam skatāms Ministru kabinetā kopā ar visu ministriju un citu centrālo valsts iestāžu </w:t>
            </w:r>
            <w:r w:rsidRPr="004F3BBB">
              <w:rPr>
                <w:rFonts w:eastAsiaTheme="minorHAnsi"/>
                <w:color w:val="000000"/>
                <w:sz w:val="28"/>
                <w:szCs w:val="28"/>
              </w:rPr>
              <w:t xml:space="preserve">papildu nepieciešamā finansējuma pieprasījumiem </w:t>
            </w:r>
            <w:r w:rsidRPr="004F3BBB">
              <w:rPr>
                <w:iCs/>
                <w:sz w:val="28"/>
                <w:szCs w:val="28"/>
              </w:rPr>
              <w:t>likumprojekta „Par valsts budžetu 2018.gadam” un likumprojekta „Par vidēja termiņa budžeta ietvaru 2018., 2019. un 2020.gadam” sagatavošanas un izskatīšanas procesā atbilstoši valsts budžeta finansiālajām iespējām.</w:t>
            </w:r>
          </w:p>
        </w:tc>
      </w:tr>
    </w:tbl>
    <w:p w:rsidR="00860337" w:rsidRPr="004F3BBB" w:rsidRDefault="00860337" w:rsidP="00A97F11">
      <w:pPr>
        <w:rPr>
          <w:sz w:val="28"/>
          <w:szCs w:val="28"/>
        </w:rPr>
      </w:pPr>
    </w:p>
    <w:p w:rsidR="00A97F11" w:rsidRPr="004F3BBB" w:rsidRDefault="00A97F11" w:rsidP="00A97F11">
      <w:pPr>
        <w:jc w:val="center"/>
        <w:rPr>
          <w:sz w:val="28"/>
          <w:szCs w:val="28"/>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825"/>
        <w:gridCol w:w="5504"/>
      </w:tblGrid>
      <w:tr w:rsidR="00A97F11" w:rsidRPr="004F3BBB" w:rsidTr="00860337">
        <w:tc>
          <w:tcPr>
            <w:tcW w:w="8755" w:type="dxa"/>
            <w:gridSpan w:val="3"/>
            <w:shd w:val="clear" w:color="auto" w:fill="auto"/>
          </w:tcPr>
          <w:p w:rsidR="00A97F11" w:rsidRPr="004F3BBB" w:rsidRDefault="00A97F11" w:rsidP="005115AA">
            <w:pPr>
              <w:jc w:val="center"/>
              <w:rPr>
                <w:b/>
                <w:sz w:val="28"/>
                <w:szCs w:val="28"/>
              </w:rPr>
            </w:pPr>
            <w:r w:rsidRPr="004F3BBB">
              <w:rPr>
                <w:b/>
                <w:sz w:val="28"/>
                <w:szCs w:val="28"/>
              </w:rPr>
              <w:lastRenderedPageBreak/>
              <w:t>VI. Sabiedrības līdzdalība un komunikācijas aktivitātes</w:t>
            </w:r>
          </w:p>
        </w:tc>
      </w:tr>
      <w:tr w:rsidR="00A97F11" w:rsidRPr="004F3BBB" w:rsidTr="00D87410">
        <w:tc>
          <w:tcPr>
            <w:tcW w:w="396" w:type="dxa"/>
            <w:shd w:val="clear" w:color="auto" w:fill="auto"/>
          </w:tcPr>
          <w:p w:rsidR="00A97F11" w:rsidRPr="004F3BBB" w:rsidRDefault="00A97F11" w:rsidP="005115AA">
            <w:pPr>
              <w:rPr>
                <w:sz w:val="28"/>
                <w:szCs w:val="28"/>
              </w:rPr>
            </w:pPr>
            <w:r w:rsidRPr="004F3BBB">
              <w:rPr>
                <w:sz w:val="28"/>
                <w:szCs w:val="28"/>
              </w:rPr>
              <w:t xml:space="preserve">1. </w:t>
            </w:r>
          </w:p>
        </w:tc>
        <w:tc>
          <w:tcPr>
            <w:tcW w:w="2831" w:type="dxa"/>
            <w:shd w:val="clear" w:color="auto" w:fill="auto"/>
          </w:tcPr>
          <w:p w:rsidR="00A97F11" w:rsidRPr="004F3BBB" w:rsidRDefault="00A97F11" w:rsidP="005115AA">
            <w:pPr>
              <w:pStyle w:val="naiskr"/>
              <w:spacing w:before="0" w:after="0"/>
              <w:ind w:left="57" w:right="57"/>
              <w:rPr>
                <w:sz w:val="28"/>
                <w:szCs w:val="28"/>
              </w:rPr>
            </w:pPr>
            <w:r w:rsidRPr="004F3BBB">
              <w:rPr>
                <w:sz w:val="28"/>
                <w:szCs w:val="28"/>
              </w:rPr>
              <w:t>Plānotās sabiedrības līdzdalības un komunikācijas aktivitātes saistībā ar projektu</w:t>
            </w:r>
          </w:p>
        </w:tc>
        <w:tc>
          <w:tcPr>
            <w:tcW w:w="5528" w:type="dxa"/>
            <w:shd w:val="clear" w:color="auto" w:fill="auto"/>
          </w:tcPr>
          <w:p w:rsidR="00A97F11" w:rsidRPr="004F3BBB" w:rsidRDefault="00644E61" w:rsidP="009F4D8F">
            <w:pPr>
              <w:rPr>
                <w:sz w:val="28"/>
                <w:szCs w:val="28"/>
              </w:rPr>
            </w:pPr>
            <w:r>
              <w:rPr>
                <w:sz w:val="28"/>
                <w:szCs w:val="28"/>
              </w:rPr>
              <w:t xml:space="preserve">Atbilstoši </w:t>
            </w:r>
            <w:r w:rsidR="009F4D8F">
              <w:rPr>
                <w:sz w:val="28"/>
                <w:szCs w:val="28"/>
              </w:rPr>
              <w:t xml:space="preserve">Ministru kabineta </w:t>
            </w:r>
            <w:r>
              <w:rPr>
                <w:sz w:val="28"/>
                <w:szCs w:val="28"/>
              </w:rPr>
              <w:t>2009.g.25.august</w:t>
            </w:r>
            <w:r w:rsidR="009F4D8F">
              <w:rPr>
                <w:sz w:val="28"/>
                <w:szCs w:val="28"/>
              </w:rPr>
              <w:t>a</w:t>
            </w:r>
            <w:r>
              <w:rPr>
                <w:sz w:val="28"/>
                <w:szCs w:val="28"/>
              </w:rPr>
              <w:t xml:space="preserve"> noteikumu Nr</w:t>
            </w:r>
            <w:r w:rsidR="009F4D8F">
              <w:rPr>
                <w:sz w:val="28"/>
                <w:szCs w:val="28"/>
              </w:rPr>
              <w:t>.</w:t>
            </w:r>
            <w:r>
              <w:rPr>
                <w:sz w:val="28"/>
                <w:szCs w:val="28"/>
              </w:rPr>
              <w:t xml:space="preserve"> 970 „ Sabi</w:t>
            </w:r>
            <w:r w:rsidR="00C176C2">
              <w:rPr>
                <w:sz w:val="28"/>
                <w:szCs w:val="28"/>
              </w:rPr>
              <w:t>e</w:t>
            </w:r>
            <w:r>
              <w:rPr>
                <w:sz w:val="28"/>
                <w:szCs w:val="28"/>
              </w:rPr>
              <w:t xml:space="preserve">drības līdzdalības kārtība attīstības plānošanas procesā” </w:t>
            </w:r>
            <w:r w:rsidR="00940A07">
              <w:rPr>
                <w:sz w:val="28"/>
                <w:szCs w:val="28"/>
              </w:rPr>
              <w:t xml:space="preserve"> 13. punktam </w:t>
            </w:r>
            <w:r w:rsidR="00C176C2">
              <w:rPr>
                <w:sz w:val="28"/>
                <w:szCs w:val="28"/>
              </w:rPr>
              <w:t xml:space="preserve"> noteikumu p</w:t>
            </w:r>
            <w:r w:rsidRPr="00644E61">
              <w:rPr>
                <w:sz w:val="28"/>
                <w:szCs w:val="28"/>
              </w:rPr>
              <w:t>rojekts ir publicēts Labklājības ministrijas tīmekļa vietnē sadaļā „LM dokumentu projekti”, tādējādi dodot iespēju sabiedrībai līdzdarboties tiesību akta izstrādes procesā.</w:t>
            </w:r>
          </w:p>
        </w:tc>
      </w:tr>
      <w:tr w:rsidR="00A97F11" w:rsidRPr="004F3BBB" w:rsidTr="00D87410">
        <w:tc>
          <w:tcPr>
            <w:tcW w:w="396" w:type="dxa"/>
            <w:shd w:val="clear" w:color="auto" w:fill="auto"/>
          </w:tcPr>
          <w:p w:rsidR="00A97F11" w:rsidRPr="004F3BBB" w:rsidRDefault="00A97F11" w:rsidP="005115AA">
            <w:pPr>
              <w:rPr>
                <w:sz w:val="28"/>
                <w:szCs w:val="28"/>
              </w:rPr>
            </w:pPr>
            <w:r w:rsidRPr="004F3BBB">
              <w:rPr>
                <w:sz w:val="28"/>
                <w:szCs w:val="28"/>
              </w:rPr>
              <w:t xml:space="preserve">2. </w:t>
            </w:r>
          </w:p>
        </w:tc>
        <w:tc>
          <w:tcPr>
            <w:tcW w:w="2831" w:type="dxa"/>
            <w:shd w:val="clear" w:color="auto" w:fill="auto"/>
          </w:tcPr>
          <w:p w:rsidR="00A97F11" w:rsidRPr="004F3BBB" w:rsidRDefault="00A97F11" w:rsidP="005115AA">
            <w:pPr>
              <w:pStyle w:val="naiskr"/>
              <w:spacing w:before="0" w:after="0"/>
              <w:ind w:left="57" w:right="57"/>
              <w:rPr>
                <w:sz w:val="28"/>
                <w:szCs w:val="28"/>
              </w:rPr>
            </w:pPr>
            <w:r w:rsidRPr="004F3BBB">
              <w:rPr>
                <w:sz w:val="28"/>
                <w:szCs w:val="28"/>
              </w:rPr>
              <w:t xml:space="preserve">Sabiedrības līdzdalība projekta izstrādē </w:t>
            </w:r>
          </w:p>
        </w:tc>
        <w:tc>
          <w:tcPr>
            <w:tcW w:w="5528" w:type="dxa"/>
            <w:shd w:val="clear" w:color="auto" w:fill="auto"/>
          </w:tcPr>
          <w:p w:rsidR="00DA556E" w:rsidRPr="00DA556E" w:rsidRDefault="00AF461B" w:rsidP="00DA556E">
            <w:pPr>
              <w:jc w:val="both"/>
              <w:rPr>
                <w:sz w:val="28"/>
                <w:szCs w:val="28"/>
              </w:rPr>
            </w:pPr>
            <w:r>
              <w:rPr>
                <w:sz w:val="28"/>
                <w:szCs w:val="28"/>
              </w:rPr>
              <w:t xml:space="preserve">Noteikumu projekts </w:t>
            </w:r>
            <w:r w:rsidR="00DA556E">
              <w:rPr>
                <w:sz w:val="28"/>
                <w:szCs w:val="28"/>
              </w:rPr>
              <w:t xml:space="preserve">un tā anotācija 18.04.2017. </w:t>
            </w:r>
            <w:r w:rsidR="00DA556E" w:rsidRPr="00DA556E">
              <w:rPr>
                <w:sz w:val="28"/>
                <w:szCs w:val="28"/>
              </w:rPr>
              <w:t xml:space="preserve">ievietots </w:t>
            </w:r>
            <w:r w:rsidR="00E85A19">
              <w:rPr>
                <w:sz w:val="28"/>
                <w:szCs w:val="28"/>
              </w:rPr>
              <w:t>m</w:t>
            </w:r>
            <w:r w:rsidR="00DA556E" w:rsidRPr="00DA556E">
              <w:rPr>
                <w:sz w:val="28"/>
                <w:szCs w:val="28"/>
              </w:rPr>
              <w:t xml:space="preserve">inistrijas tīmekļa vietnē </w:t>
            </w:r>
            <w:r w:rsidR="00DA556E">
              <w:rPr>
                <w:sz w:val="28"/>
                <w:szCs w:val="28"/>
              </w:rPr>
              <w:t>publiskajai</w:t>
            </w:r>
            <w:r w:rsidR="00DA556E" w:rsidRPr="00DA556E">
              <w:rPr>
                <w:sz w:val="28"/>
                <w:szCs w:val="28"/>
              </w:rPr>
              <w:t xml:space="preserve"> apsprie</w:t>
            </w:r>
            <w:r w:rsidR="00DA556E">
              <w:rPr>
                <w:sz w:val="28"/>
                <w:szCs w:val="28"/>
              </w:rPr>
              <w:t>šanai</w:t>
            </w:r>
            <w:r w:rsidR="00DA556E" w:rsidRPr="00DA556E">
              <w:rPr>
                <w:sz w:val="28"/>
                <w:szCs w:val="28"/>
              </w:rPr>
              <w:t xml:space="preserve">. </w:t>
            </w:r>
          </w:p>
          <w:p w:rsidR="00A97F11" w:rsidRPr="004F3BBB" w:rsidRDefault="00DA556E" w:rsidP="00E85A19">
            <w:pPr>
              <w:jc w:val="both"/>
              <w:rPr>
                <w:sz w:val="28"/>
                <w:szCs w:val="28"/>
              </w:rPr>
            </w:pPr>
            <w:r w:rsidRPr="00DA556E">
              <w:rPr>
                <w:sz w:val="28"/>
                <w:szCs w:val="28"/>
              </w:rPr>
              <w:t>P</w:t>
            </w:r>
            <w:r>
              <w:rPr>
                <w:sz w:val="28"/>
                <w:szCs w:val="28"/>
              </w:rPr>
              <w:t xml:space="preserve">apildus </w:t>
            </w:r>
            <w:r w:rsidR="00E85A19">
              <w:rPr>
                <w:sz w:val="28"/>
                <w:szCs w:val="28"/>
              </w:rPr>
              <w:t xml:space="preserve">ministrijas tīmekļa vietnē ievietotā noteikumu </w:t>
            </w:r>
            <w:r>
              <w:rPr>
                <w:sz w:val="28"/>
                <w:szCs w:val="28"/>
              </w:rPr>
              <w:t>p</w:t>
            </w:r>
            <w:r w:rsidRPr="00DA556E">
              <w:rPr>
                <w:sz w:val="28"/>
                <w:szCs w:val="28"/>
              </w:rPr>
              <w:t>rojekt</w:t>
            </w:r>
            <w:r w:rsidR="00E85A19">
              <w:rPr>
                <w:sz w:val="28"/>
                <w:szCs w:val="28"/>
              </w:rPr>
              <w:t>a</w:t>
            </w:r>
            <w:r w:rsidRPr="00DA556E">
              <w:rPr>
                <w:sz w:val="28"/>
                <w:szCs w:val="28"/>
              </w:rPr>
              <w:t xml:space="preserve"> un tā anotācija</w:t>
            </w:r>
            <w:r w:rsidR="00E85A19">
              <w:rPr>
                <w:sz w:val="28"/>
                <w:szCs w:val="28"/>
              </w:rPr>
              <w:t>s redakcija</w:t>
            </w:r>
            <w:r w:rsidRPr="00DA556E">
              <w:rPr>
                <w:sz w:val="28"/>
                <w:szCs w:val="28"/>
              </w:rPr>
              <w:t xml:space="preserve"> nosūtīta </w:t>
            </w:r>
            <w:r w:rsidR="00E85A19">
              <w:rPr>
                <w:sz w:val="28"/>
                <w:szCs w:val="28"/>
              </w:rPr>
              <w:t>Bērnu paliatīvās aprūpes biedrībai.</w:t>
            </w:r>
          </w:p>
        </w:tc>
      </w:tr>
      <w:tr w:rsidR="00A97F11" w:rsidRPr="004F3BBB" w:rsidTr="00D87410">
        <w:trPr>
          <w:trHeight w:val="238"/>
        </w:trPr>
        <w:tc>
          <w:tcPr>
            <w:tcW w:w="396" w:type="dxa"/>
            <w:shd w:val="clear" w:color="auto" w:fill="auto"/>
          </w:tcPr>
          <w:p w:rsidR="00A97F11" w:rsidRPr="004F3BBB" w:rsidRDefault="00A97F11" w:rsidP="005115AA">
            <w:pPr>
              <w:rPr>
                <w:sz w:val="28"/>
                <w:szCs w:val="28"/>
              </w:rPr>
            </w:pPr>
            <w:r w:rsidRPr="004F3BBB">
              <w:rPr>
                <w:sz w:val="28"/>
                <w:szCs w:val="28"/>
              </w:rPr>
              <w:t>3.</w:t>
            </w:r>
          </w:p>
        </w:tc>
        <w:tc>
          <w:tcPr>
            <w:tcW w:w="2831" w:type="dxa"/>
            <w:shd w:val="clear" w:color="auto" w:fill="auto"/>
          </w:tcPr>
          <w:p w:rsidR="00A97F11" w:rsidRPr="004F3BBB" w:rsidRDefault="00A97F11" w:rsidP="005115AA">
            <w:pPr>
              <w:pStyle w:val="naiskr"/>
              <w:spacing w:before="0" w:after="0"/>
              <w:ind w:left="57" w:right="57"/>
              <w:rPr>
                <w:sz w:val="28"/>
                <w:szCs w:val="28"/>
              </w:rPr>
            </w:pPr>
            <w:r w:rsidRPr="004F3BBB">
              <w:rPr>
                <w:sz w:val="28"/>
                <w:szCs w:val="28"/>
              </w:rPr>
              <w:t xml:space="preserve">Sabiedrības līdzdalības rezultāti </w:t>
            </w:r>
          </w:p>
        </w:tc>
        <w:tc>
          <w:tcPr>
            <w:tcW w:w="5528" w:type="dxa"/>
            <w:shd w:val="clear" w:color="auto" w:fill="auto"/>
          </w:tcPr>
          <w:p w:rsidR="00A97F11" w:rsidRPr="004F3BBB" w:rsidRDefault="00AF461B" w:rsidP="00AF461B">
            <w:pPr>
              <w:jc w:val="both"/>
              <w:rPr>
                <w:sz w:val="28"/>
                <w:szCs w:val="28"/>
              </w:rPr>
            </w:pPr>
            <w:r>
              <w:rPr>
                <w:sz w:val="28"/>
                <w:szCs w:val="28"/>
              </w:rPr>
              <w:t>Līdz 2017.g.</w:t>
            </w:r>
            <w:r w:rsidR="00DA556E">
              <w:rPr>
                <w:sz w:val="28"/>
                <w:szCs w:val="28"/>
              </w:rPr>
              <w:t xml:space="preserve"> </w:t>
            </w:r>
            <w:r>
              <w:rPr>
                <w:sz w:val="28"/>
                <w:szCs w:val="28"/>
              </w:rPr>
              <w:t xml:space="preserve">3. maijam iebildumi vai priekšlikumi par noteikumu projektu netika saņemti </w:t>
            </w:r>
          </w:p>
        </w:tc>
      </w:tr>
      <w:tr w:rsidR="00A97F11" w:rsidRPr="004F3BBB" w:rsidTr="00D87410">
        <w:tc>
          <w:tcPr>
            <w:tcW w:w="396" w:type="dxa"/>
            <w:shd w:val="clear" w:color="auto" w:fill="auto"/>
          </w:tcPr>
          <w:p w:rsidR="00A97F11" w:rsidRPr="004F3BBB" w:rsidRDefault="00A97F11" w:rsidP="005115AA">
            <w:pPr>
              <w:rPr>
                <w:sz w:val="28"/>
                <w:szCs w:val="28"/>
              </w:rPr>
            </w:pPr>
            <w:r w:rsidRPr="004F3BBB">
              <w:rPr>
                <w:sz w:val="28"/>
                <w:szCs w:val="28"/>
              </w:rPr>
              <w:t>4.</w:t>
            </w:r>
          </w:p>
        </w:tc>
        <w:tc>
          <w:tcPr>
            <w:tcW w:w="2831" w:type="dxa"/>
            <w:shd w:val="clear" w:color="auto" w:fill="auto"/>
          </w:tcPr>
          <w:p w:rsidR="00A97F11" w:rsidRPr="004F3BBB" w:rsidRDefault="00A97F11" w:rsidP="005115AA">
            <w:pPr>
              <w:pStyle w:val="naiskr"/>
              <w:spacing w:before="0" w:after="0"/>
              <w:ind w:left="57" w:right="57"/>
              <w:rPr>
                <w:sz w:val="28"/>
                <w:szCs w:val="28"/>
              </w:rPr>
            </w:pPr>
            <w:r w:rsidRPr="004F3BBB">
              <w:rPr>
                <w:sz w:val="28"/>
                <w:szCs w:val="28"/>
              </w:rPr>
              <w:t>Cita informācija</w:t>
            </w:r>
          </w:p>
          <w:p w:rsidR="00A97F11" w:rsidRPr="004F3BBB" w:rsidRDefault="00A97F11" w:rsidP="005115AA">
            <w:pPr>
              <w:pStyle w:val="naiskr"/>
              <w:spacing w:before="0" w:after="0"/>
              <w:ind w:left="57" w:right="57"/>
              <w:rPr>
                <w:sz w:val="28"/>
                <w:szCs w:val="28"/>
              </w:rPr>
            </w:pPr>
          </w:p>
        </w:tc>
        <w:tc>
          <w:tcPr>
            <w:tcW w:w="5528" w:type="dxa"/>
            <w:shd w:val="clear" w:color="auto" w:fill="auto"/>
          </w:tcPr>
          <w:p w:rsidR="00A97F11" w:rsidRPr="004F3BBB" w:rsidRDefault="00C176C2" w:rsidP="005115AA">
            <w:pPr>
              <w:jc w:val="both"/>
              <w:rPr>
                <w:iCs/>
                <w:sz w:val="28"/>
                <w:szCs w:val="28"/>
              </w:rPr>
            </w:pPr>
            <w:r>
              <w:rPr>
                <w:iCs/>
                <w:sz w:val="28"/>
                <w:szCs w:val="28"/>
              </w:rPr>
              <w:t>Nav.</w:t>
            </w:r>
          </w:p>
        </w:tc>
      </w:tr>
    </w:tbl>
    <w:p w:rsidR="00A97F11" w:rsidRPr="004F3BBB" w:rsidRDefault="00A97F11" w:rsidP="00A97F11">
      <w:pPr>
        <w:jc w:val="center"/>
        <w:rPr>
          <w:sz w:val="28"/>
          <w:szCs w:val="28"/>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877"/>
        <w:gridCol w:w="5452"/>
      </w:tblGrid>
      <w:tr w:rsidR="00A97F11" w:rsidRPr="004F3BBB" w:rsidTr="00860337">
        <w:tc>
          <w:tcPr>
            <w:tcW w:w="8755" w:type="dxa"/>
            <w:gridSpan w:val="3"/>
            <w:shd w:val="clear" w:color="auto" w:fill="auto"/>
          </w:tcPr>
          <w:p w:rsidR="00A97F11" w:rsidRPr="004F3BBB" w:rsidRDefault="00A97F11" w:rsidP="005115AA">
            <w:pPr>
              <w:jc w:val="center"/>
              <w:rPr>
                <w:b/>
                <w:sz w:val="28"/>
                <w:szCs w:val="28"/>
              </w:rPr>
            </w:pPr>
            <w:r w:rsidRPr="004F3BBB">
              <w:rPr>
                <w:b/>
                <w:sz w:val="28"/>
                <w:szCs w:val="28"/>
              </w:rPr>
              <w:t>VII. Tiesību akta projekta izpildes nodrošināšana un tās ietekme uz institūcijām</w:t>
            </w:r>
          </w:p>
        </w:tc>
      </w:tr>
      <w:tr w:rsidR="00452A70" w:rsidRPr="004F3BBB" w:rsidTr="00860337">
        <w:tc>
          <w:tcPr>
            <w:tcW w:w="396" w:type="dxa"/>
            <w:shd w:val="clear" w:color="auto" w:fill="auto"/>
          </w:tcPr>
          <w:p w:rsidR="00A97F11" w:rsidRPr="004F3BBB" w:rsidRDefault="00A97F11" w:rsidP="005115AA">
            <w:pPr>
              <w:rPr>
                <w:sz w:val="28"/>
                <w:szCs w:val="28"/>
              </w:rPr>
            </w:pPr>
            <w:r w:rsidRPr="004F3BBB">
              <w:rPr>
                <w:sz w:val="28"/>
                <w:szCs w:val="28"/>
              </w:rPr>
              <w:t xml:space="preserve">1. </w:t>
            </w:r>
          </w:p>
        </w:tc>
        <w:tc>
          <w:tcPr>
            <w:tcW w:w="2883" w:type="dxa"/>
            <w:shd w:val="clear" w:color="auto" w:fill="auto"/>
          </w:tcPr>
          <w:p w:rsidR="00A97F11" w:rsidRPr="004F3BBB" w:rsidRDefault="00A97F11" w:rsidP="005115AA">
            <w:pPr>
              <w:rPr>
                <w:sz w:val="28"/>
                <w:szCs w:val="28"/>
              </w:rPr>
            </w:pPr>
            <w:r w:rsidRPr="004F3BBB">
              <w:rPr>
                <w:sz w:val="28"/>
                <w:szCs w:val="28"/>
              </w:rPr>
              <w:t>Projekta izpildē iesaistītās institūcijas</w:t>
            </w:r>
          </w:p>
        </w:tc>
        <w:tc>
          <w:tcPr>
            <w:tcW w:w="5476" w:type="dxa"/>
            <w:shd w:val="clear" w:color="auto" w:fill="auto"/>
          </w:tcPr>
          <w:p w:rsidR="00A97F11" w:rsidRPr="004F3BBB" w:rsidRDefault="0082516F" w:rsidP="00D10E7D">
            <w:pPr>
              <w:spacing w:before="240" w:after="240"/>
              <w:ind w:left="414"/>
              <w:jc w:val="both"/>
              <w:rPr>
                <w:sz w:val="28"/>
                <w:szCs w:val="28"/>
              </w:rPr>
            </w:pPr>
            <w:r w:rsidRPr="004F3BBB">
              <w:rPr>
                <w:sz w:val="28"/>
                <w:szCs w:val="28"/>
              </w:rPr>
              <w:t>Biedrība</w:t>
            </w:r>
          </w:p>
          <w:p w:rsidR="00A97F11" w:rsidRPr="004F3BBB" w:rsidRDefault="00A97F11" w:rsidP="00D10E7D">
            <w:pPr>
              <w:spacing w:before="240" w:after="240"/>
              <w:ind w:left="414"/>
              <w:jc w:val="both"/>
              <w:rPr>
                <w:sz w:val="28"/>
                <w:szCs w:val="28"/>
              </w:rPr>
            </w:pPr>
            <w:r w:rsidRPr="004F3BBB">
              <w:rPr>
                <w:sz w:val="28"/>
                <w:szCs w:val="28"/>
              </w:rPr>
              <w:t>Labklājības ministrija</w:t>
            </w:r>
          </w:p>
        </w:tc>
      </w:tr>
      <w:tr w:rsidR="00452A70" w:rsidRPr="004F3BBB" w:rsidTr="00860337">
        <w:tc>
          <w:tcPr>
            <w:tcW w:w="396" w:type="dxa"/>
            <w:shd w:val="clear" w:color="auto" w:fill="auto"/>
          </w:tcPr>
          <w:p w:rsidR="00A97F11" w:rsidRPr="004F3BBB" w:rsidRDefault="00A97F11" w:rsidP="005115AA">
            <w:pPr>
              <w:rPr>
                <w:sz w:val="28"/>
                <w:szCs w:val="28"/>
              </w:rPr>
            </w:pPr>
            <w:r w:rsidRPr="004F3BBB">
              <w:rPr>
                <w:sz w:val="28"/>
                <w:szCs w:val="28"/>
              </w:rPr>
              <w:t xml:space="preserve">2. </w:t>
            </w:r>
          </w:p>
        </w:tc>
        <w:tc>
          <w:tcPr>
            <w:tcW w:w="2883" w:type="dxa"/>
            <w:shd w:val="clear" w:color="auto" w:fill="auto"/>
          </w:tcPr>
          <w:p w:rsidR="00A97F11" w:rsidRPr="004F3BBB" w:rsidRDefault="00A97F11" w:rsidP="005115AA">
            <w:pPr>
              <w:rPr>
                <w:sz w:val="28"/>
                <w:szCs w:val="28"/>
              </w:rPr>
            </w:pPr>
            <w:r w:rsidRPr="004F3BBB">
              <w:rPr>
                <w:sz w:val="28"/>
                <w:szCs w:val="28"/>
              </w:rPr>
              <w:t>Projekta izpildes ietekme uz pārvaldes funkcijām un institucionālo struktūru.</w:t>
            </w:r>
          </w:p>
          <w:p w:rsidR="00A97F11" w:rsidRPr="004F3BBB" w:rsidRDefault="00A97F11" w:rsidP="006338BC">
            <w:pPr>
              <w:rPr>
                <w:sz w:val="28"/>
                <w:szCs w:val="28"/>
              </w:rPr>
            </w:pPr>
            <w:r w:rsidRPr="004F3BBB">
              <w:rPr>
                <w:sz w:val="28"/>
                <w:szCs w:val="28"/>
              </w:rPr>
              <w:t>Jaunu institūciju izveide, esošu institūciju likvidācija vai reorganizācija, to ietekme uz institūcijas cilvēkresursiem</w:t>
            </w:r>
          </w:p>
        </w:tc>
        <w:tc>
          <w:tcPr>
            <w:tcW w:w="5476" w:type="dxa"/>
            <w:shd w:val="clear" w:color="auto" w:fill="auto"/>
          </w:tcPr>
          <w:p w:rsidR="00A97F11" w:rsidRPr="004F3BBB" w:rsidRDefault="00A97F11" w:rsidP="009F2B16">
            <w:pPr>
              <w:spacing w:before="240"/>
              <w:ind w:firstLine="420"/>
              <w:jc w:val="both"/>
              <w:rPr>
                <w:sz w:val="28"/>
                <w:szCs w:val="28"/>
              </w:rPr>
            </w:pPr>
            <w:r w:rsidRPr="004F3BBB">
              <w:rPr>
                <w:sz w:val="28"/>
                <w:szCs w:val="28"/>
              </w:rPr>
              <w:t>Noteikumiem nav ietekmes uz pārvaldes funkcijām un institucionālo struktūru, jaunu institūciju izveide</w:t>
            </w:r>
            <w:r w:rsidR="00DA6A30" w:rsidRPr="004F3BBB">
              <w:rPr>
                <w:sz w:val="28"/>
                <w:szCs w:val="28"/>
              </w:rPr>
              <w:t xml:space="preserve"> vai</w:t>
            </w:r>
            <w:r w:rsidRPr="004F3BBB">
              <w:rPr>
                <w:sz w:val="28"/>
                <w:szCs w:val="28"/>
              </w:rPr>
              <w:t xml:space="preserve"> esošu institūciju likvidācija nav nepieciešama.</w:t>
            </w:r>
          </w:p>
          <w:p w:rsidR="00A97F11" w:rsidRPr="004F3BBB" w:rsidRDefault="00A97F11" w:rsidP="005115AA">
            <w:pPr>
              <w:jc w:val="both"/>
              <w:rPr>
                <w:i/>
                <w:color w:val="FF0000"/>
                <w:sz w:val="28"/>
                <w:szCs w:val="28"/>
              </w:rPr>
            </w:pPr>
          </w:p>
        </w:tc>
      </w:tr>
      <w:tr w:rsidR="00452A70" w:rsidRPr="004F3BBB" w:rsidTr="00860337">
        <w:trPr>
          <w:trHeight w:val="166"/>
        </w:trPr>
        <w:tc>
          <w:tcPr>
            <w:tcW w:w="396" w:type="dxa"/>
            <w:shd w:val="clear" w:color="auto" w:fill="auto"/>
          </w:tcPr>
          <w:p w:rsidR="00A97F11" w:rsidRPr="004F3BBB" w:rsidRDefault="00A97F11" w:rsidP="005115AA">
            <w:pPr>
              <w:rPr>
                <w:sz w:val="28"/>
                <w:szCs w:val="28"/>
              </w:rPr>
            </w:pPr>
            <w:r w:rsidRPr="004F3BBB">
              <w:rPr>
                <w:sz w:val="28"/>
                <w:szCs w:val="28"/>
              </w:rPr>
              <w:t xml:space="preserve">3. </w:t>
            </w:r>
          </w:p>
        </w:tc>
        <w:tc>
          <w:tcPr>
            <w:tcW w:w="2883" w:type="dxa"/>
            <w:shd w:val="clear" w:color="auto" w:fill="auto"/>
          </w:tcPr>
          <w:p w:rsidR="00A97F11" w:rsidRPr="004F3BBB" w:rsidRDefault="00A97F11" w:rsidP="005115AA">
            <w:pPr>
              <w:rPr>
                <w:sz w:val="28"/>
                <w:szCs w:val="28"/>
              </w:rPr>
            </w:pPr>
            <w:r w:rsidRPr="004F3BBB">
              <w:rPr>
                <w:sz w:val="28"/>
                <w:szCs w:val="28"/>
              </w:rPr>
              <w:t>Cita informācija</w:t>
            </w:r>
          </w:p>
        </w:tc>
        <w:tc>
          <w:tcPr>
            <w:tcW w:w="5476" w:type="dxa"/>
            <w:shd w:val="clear" w:color="auto" w:fill="auto"/>
          </w:tcPr>
          <w:p w:rsidR="00A97F11" w:rsidRPr="004F3BBB" w:rsidRDefault="00A97F11" w:rsidP="005115AA">
            <w:pPr>
              <w:jc w:val="both"/>
              <w:rPr>
                <w:iCs/>
                <w:sz w:val="28"/>
                <w:szCs w:val="28"/>
              </w:rPr>
            </w:pPr>
            <w:r w:rsidRPr="004F3BBB">
              <w:rPr>
                <w:iCs/>
                <w:sz w:val="28"/>
                <w:szCs w:val="28"/>
              </w:rPr>
              <w:t>Nav.</w:t>
            </w:r>
          </w:p>
        </w:tc>
      </w:tr>
    </w:tbl>
    <w:p w:rsidR="00A97F11" w:rsidRPr="004F3BBB" w:rsidRDefault="00A97F11" w:rsidP="00A97F11">
      <w:pPr>
        <w:rPr>
          <w:sz w:val="28"/>
          <w:szCs w:val="28"/>
        </w:rPr>
      </w:pPr>
    </w:p>
    <w:p w:rsidR="00223618" w:rsidRPr="004F3BBB" w:rsidRDefault="00A97F11" w:rsidP="00A97F11">
      <w:pPr>
        <w:rPr>
          <w:sz w:val="28"/>
          <w:szCs w:val="28"/>
        </w:rPr>
      </w:pPr>
      <w:r w:rsidRPr="004F3BBB">
        <w:rPr>
          <w:sz w:val="28"/>
          <w:szCs w:val="28"/>
        </w:rPr>
        <w:t>Anotācijas IV un V sadaļa - projekts šīs jomas neskar.</w:t>
      </w:r>
    </w:p>
    <w:p w:rsidR="00A97F11" w:rsidRPr="004F3BBB" w:rsidRDefault="00A97F11">
      <w:pPr>
        <w:rPr>
          <w:sz w:val="28"/>
          <w:szCs w:val="28"/>
        </w:rPr>
      </w:pPr>
    </w:p>
    <w:p w:rsidR="006A69EC" w:rsidRPr="004F3BBB" w:rsidRDefault="006A69EC">
      <w:pPr>
        <w:rPr>
          <w:sz w:val="28"/>
          <w:szCs w:val="28"/>
        </w:rPr>
      </w:pPr>
    </w:p>
    <w:p w:rsidR="00D10E7D" w:rsidRPr="004F3BBB" w:rsidRDefault="00D10E7D" w:rsidP="00D10E7D">
      <w:pPr>
        <w:rPr>
          <w:sz w:val="28"/>
          <w:szCs w:val="28"/>
        </w:rPr>
      </w:pPr>
      <w:r w:rsidRPr="004F3BBB">
        <w:rPr>
          <w:sz w:val="28"/>
          <w:szCs w:val="28"/>
        </w:rPr>
        <w:t xml:space="preserve">Labklājības ministrs </w:t>
      </w:r>
      <w:r w:rsidRPr="004F3BBB">
        <w:rPr>
          <w:sz w:val="28"/>
          <w:szCs w:val="28"/>
        </w:rPr>
        <w:tab/>
      </w:r>
      <w:r w:rsidRPr="004F3BBB">
        <w:rPr>
          <w:sz w:val="28"/>
          <w:szCs w:val="28"/>
        </w:rPr>
        <w:tab/>
      </w:r>
      <w:r w:rsidRPr="004F3BBB">
        <w:rPr>
          <w:sz w:val="28"/>
          <w:szCs w:val="28"/>
        </w:rPr>
        <w:tab/>
      </w:r>
      <w:r w:rsidRPr="004F3BBB">
        <w:rPr>
          <w:sz w:val="28"/>
          <w:szCs w:val="28"/>
        </w:rPr>
        <w:tab/>
      </w:r>
      <w:r w:rsidRPr="004F3BBB">
        <w:rPr>
          <w:sz w:val="28"/>
          <w:szCs w:val="28"/>
        </w:rPr>
        <w:tab/>
      </w:r>
      <w:r w:rsidRPr="004F3BBB">
        <w:rPr>
          <w:sz w:val="28"/>
          <w:szCs w:val="28"/>
        </w:rPr>
        <w:tab/>
      </w:r>
      <w:r w:rsidRPr="004F3BBB">
        <w:rPr>
          <w:sz w:val="28"/>
          <w:szCs w:val="28"/>
        </w:rPr>
        <w:tab/>
        <w:t>J.Reirs</w:t>
      </w:r>
    </w:p>
    <w:p w:rsidR="00D10E7D" w:rsidRPr="004F3BBB" w:rsidRDefault="00D10E7D" w:rsidP="00D10E7D">
      <w:pPr>
        <w:rPr>
          <w:sz w:val="28"/>
          <w:szCs w:val="28"/>
        </w:rPr>
      </w:pPr>
    </w:p>
    <w:p w:rsidR="00D10E7D" w:rsidRPr="004F3BBB" w:rsidRDefault="00D10E7D" w:rsidP="00D10E7D">
      <w:pPr>
        <w:rPr>
          <w:sz w:val="28"/>
          <w:szCs w:val="28"/>
        </w:rPr>
      </w:pPr>
    </w:p>
    <w:p w:rsidR="00D10E7D" w:rsidRPr="004F3BBB" w:rsidRDefault="00D10E7D" w:rsidP="00D10E7D"/>
    <w:p w:rsidR="00D10E7D" w:rsidRPr="004F3BBB" w:rsidRDefault="00D10E7D" w:rsidP="00D10E7D">
      <w:r w:rsidRPr="004F3BBB">
        <w:t>Masejeva, 67021667</w:t>
      </w:r>
    </w:p>
    <w:p w:rsidR="00B37EB2" w:rsidRPr="004F3BBB" w:rsidRDefault="00092AEF" w:rsidP="00D10E7D">
      <w:hyperlink r:id="rId9" w:history="1">
        <w:r w:rsidR="00D10E7D" w:rsidRPr="004F3BBB">
          <w:rPr>
            <w:rStyle w:val="Hyperlink"/>
          </w:rPr>
          <w:t>Anda.Masejeva@lm.gov.lv</w:t>
        </w:r>
      </w:hyperlink>
    </w:p>
    <w:p w:rsidR="00B37EB2" w:rsidRPr="004F3BBB" w:rsidRDefault="00B37EB2"/>
    <w:p w:rsidR="00D10E7D" w:rsidRPr="004F3BBB" w:rsidRDefault="00D10E7D" w:rsidP="00D10E7D">
      <w:r w:rsidRPr="004F3BBB">
        <w:t>Strēle, 64331831</w:t>
      </w:r>
    </w:p>
    <w:p w:rsidR="00D10E7D" w:rsidRPr="004F3BBB" w:rsidRDefault="00092AEF" w:rsidP="00D10E7D">
      <w:pPr>
        <w:rPr>
          <w:sz w:val="28"/>
          <w:szCs w:val="28"/>
        </w:rPr>
      </w:pPr>
      <w:hyperlink r:id="rId10" w:history="1">
        <w:r w:rsidR="00D10E7D" w:rsidRPr="004F3BBB">
          <w:rPr>
            <w:rStyle w:val="Hyperlink"/>
          </w:rPr>
          <w:t>Sandra.Strele@lm.gov.lv</w:t>
        </w:r>
      </w:hyperlink>
    </w:p>
    <w:sectPr w:rsidR="00D10E7D" w:rsidRPr="004F3BBB" w:rsidSect="006A69EC">
      <w:headerReference w:type="default" r:id="rId11"/>
      <w:footerReference w:type="defaul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EBC" w:rsidRDefault="000D1EBC" w:rsidP="00A97F11">
      <w:r>
        <w:separator/>
      </w:r>
    </w:p>
  </w:endnote>
  <w:endnote w:type="continuationSeparator" w:id="0">
    <w:p w:rsidR="000D1EBC" w:rsidRDefault="000D1EBC" w:rsidP="00A9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AA" w:rsidRPr="004F3BBB" w:rsidRDefault="005115AA">
    <w:pPr>
      <w:pStyle w:val="Footer"/>
      <w:rPr>
        <w:sz w:val="20"/>
        <w:szCs w:val="20"/>
      </w:rPr>
    </w:pPr>
    <w:r w:rsidRPr="004F3BBB">
      <w:rPr>
        <w:sz w:val="20"/>
        <w:szCs w:val="20"/>
      </w:rPr>
      <w:t>LMAnot_PA_</w:t>
    </w:r>
    <w:r w:rsidR="00092AEF">
      <w:rPr>
        <w:sz w:val="20"/>
        <w:szCs w:val="20"/>
      </w:rPr>
      <w:t>11</w:t>
    </w:r>
    <w:r w:rsidR="00092AEF" w:rsidRPr="004F3BBB">
      <w:rPr>
        <w:sz w:val="20"/>
        <w:szCs w:val="20"/>
      </w:rPr>
      <w:t>0517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AA" w:rsidRPr="004F3BBB" w:rsidRDefault="008A6C7F">
    <w:pPr>
      <w:pStyle w:val="Footer"/>
      <w:rPr>
        <w:sz w:val="20"/>
        <w:szCs w:val="20"/>
      </w:rPr>
    </w:pPr>
    <w:r w:rsidRPr="004F3BBB">
      <w:rPr>
        <w:sz w:val="20"/>
        <w:szCs w:val="20"/>
      </w:rPr>
      <w:t>LMAnot_PA_</w:t>
    </w:r>
    <w:r w:rsidR="00092AEF">
      <w:rPr>
        <w:sz w:val="20"/>
        <w:szCs w:val="20"/>
      </w:rPr>
      <w:t>1</w:t>
    </w:r>
    <w:r w:rsidR="00092AEF">
      <w:rPr>
        <w:sz w:val="20"/>
        <w:szCs w:val="20"/>
      </w:rPr>
      <w:t>1</w:t>
    </w:r>
    <w:r w:rsidR="00092AEF" w:rsidRPr="004F3BBB">
      <w:rPr>
        <w:sz w:val="20"/>
        <w:szCs w:val="20"/>
      </w:rPr>
      <w:t xml:space="preserve">0517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EBC" w:rsidRDefault="000D1EBC" w:rsidP="00A97F11">
      <w:r>
        <w:separator/>
      </w:r>
    </w:p>
  </w:footnote>
  <w:footnote w:type="continuationSeparator" w:id="0">
    <w:p w:rsidR="000D1EBC" w:rsidRDefault="000D1EBC" w:rsidP="00A97F11">
      <w:r>
        <w:continuationSeparator/>
      </w:r>
    </w:p>
  </w:footnote>
  <w:footnote w:id="1">
    <w:p w:rsidR="005115AA" w:rsidRDefault="005115AA" w:rsidP="009F2B16">
      <w:pPr>
        <w:pStyle w:val="FootnoteText"/>
      </w:pPr>
      <w:r>
        <w:rPr>
          <w:rStyle w:val="FootnoteReference"/>
        </w:rPr>
        <w:footnoteRef/>
      </w:r>
      <w:r>
        <w:t xml:space="preserve"> Nacionālais veselības dienests, Klīnisko vadlīniju datu bāze, 2013.,  URL: </w:t>
      </w:r>
      <w:r w:rsidRPr="006F4630">
        <w:t>http://www.vmnvd.gov.lv/lv/</w:t>
      </w:r>
      <w:hyperlink r:id="rId1" w:history="1">
        <w:r w:rsidRPr="006F4630">
          <w:rPr>
            <w:rStyle w:val="Hyperlink"/>
          </w:rPr>
          <w:t>420-kliniskas-vadlinijas/klinisko-vadliniju-datu-baze/</w:t>
        </w:r>
      </w:hyperlink>
      <w:r>
        <w:t xml:space="preserve"> Skatīts 18.01.2016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141555"/>
      <w:docPartObj>
        <w:docPartGallery w:val="Page Numbers (Top of Page)"/>
        <w:docPartUnique/>
      </w:docPartObj>
    </w:sdtPr>
    <w:sdtEndPr>
      <w:rPr>
        <w:noProof/>
      </w:rPr>
    </w:sdtEndPr>
    <w:sdtContent>
      <w:p w:rsidR="005115AA" w:rsidRDefault="005115AA">
        <w:pPr>
          <w:pStyle w:val="Header"/>
          <w:jc w:val="center"/>
        </w:pPr>
        <w:r>
          <w:fldChar w:fldCharType="begin"/>
        </w:r>
        <w:r>
          <w:instrText xml:space="preserve"> PAGE   \* MERGEFORMAT </w:instrText>
        </w:r>
        <w:r>
          <w:fldChar w:fldCharType="separate"/>
        </w:r>
        <w:r w:rsidR="00092AEF">
          <w:rPr>
            <w:noProof/>
          </w:rPr>
          <w:t>3</w:t>
        </w:r>
        <w:r>
          <w:rPr>
            <w:noProof/>
          </w:rPr>
          <w:fldChar w:fldCharType="end"/>
        </w:r>
      </w:p>
    </w:sdtContent>
  </w:sdt>
  <w:p w:rsidR="005115AA" w:rsidRDefault="005115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E55"/>
    <w:multiLevelType w:val="hybridMultilevel"/>
    <w:tmpl w:val="BC0CC7A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1901D0"/>
    <w:multiLevelType w:val="hybridMultilevel"/>
    <w:tmpl w:val="8660A7A0"/>
    <w:lvl w:ilvl="0" w:tplc="1700A2C0">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1CA135F"/>
    <w:multiLevelType w:val="hybridMultilevel"/>
    <w:tmpl w:val="A942E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295052C"/>
    <w:multiLevelType w:val="hybridMultilevel"/>
    <w:tmpl w:val="7DF0E1C2"/>
    <w:lvl w:ilvl="0" w:tplc="878811CE">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4">
    <w:nsid w:val="136E1122"/>
    <w:multiLevelType w:val="hybridMultilevel"/>
    <w:tmpl w:val="FCFAAC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6F2569B"/>
    <w:multiLevelType w:val="multilevel"/>
    <w:tmpl w:val="794E3CD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26F086D"/>
    <w:multiLevelType w:val="hybridMultilevel"/>
    <w:tmpl w:val="9428319A"/>
    <w:lvl w:ilvl="0" w:tplc="62C209CA">
      <w:start w:val="1"/>
      <w:numFmt w:val="bullet"/>
      <w:lvlText w:val="-"/>
      <w:lvlJc w:val="left"/>
      <w:pPr>
        <w:ind w:left="1038" w:hanging="360"/>
      </w:pPr>
      <w:rPr>
        <w:rFonts w:ascii="Times New Roman" w:eastAsia="Times New Roman" w:hAnsi="Times New Roman" w:cs="Times New Roman"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7">
    <w:nsid w:val="381E28AF"/>
    <w:multiLevelType w:val="hybridMultilevel"/>
    <w:tmpl w:val="12FA51E0"/>
    <w:lvl w:ilvl="0" w:tplc="DD1281AC">
      <w:start w:val="1"/>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8">
    <w:nsid w:val="39D675DC"/>
    <w:multiLevelType w:val="hybridMultilevel"/>
    <w:tmpl w:val="3C4A304E"/>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B2C46E5"/>
    <w:multiLevelType w:val="hybridMultilevel"/>
    <w:tmpl w:val="E90E4B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F902762"/>
    <w:multiLevelType w:val="hybridMultilevel"/>
    <w:tmpl w:val="1C949D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E7F1442"/>
    <w:multiLevelType w:val="hybridMultilevel"/>
    <w:tmpl w:val="2C9A5B78"/>
    <w:lvl w:ilvl="0" w:tplc="4EEE57F0">
      <w:start w:val="30"/>
      <w:numFmt w:val="bullet"/>
      <w:lvlText w:val="-"/>
      <w:lvlJc w:val="left"/>
      <w:pPr>
        <w:ind w:left="894" w:hanging="360"/>
      </w:pPr>
      <w:rPr>
        <w:rFonts w:ascii="Times New Roman" w:eastAsia="Times New Roman" w:hAnsi="Times New Roman" w:cs="Times New Roman" w:hint="default"/>
      </w:rPr>
    </w:lvl>
    <w:lvl w:ilvl="1" w:tplc="04260003" w:tentative="1">
      <w:start w:val="1"/>
      <w:numFmt w:val="bullet"/>
      <w:lvlText w:val="o"/>
      <w:lvlJc w:val="left"/>
      <w:pPr>
        <w:ind w:left="1614" w:hanging="360"/>
      </w:pPr>
      <w:rPr>
        <w:rFonts w:ascii="Courier New" w:hAnsi="Courier New" w:cs="Courier New" w:hint="default"/>
      </w:rPr>
    </w:lvl>
    <w:lvl w:ilvl="2" w:tplc="04260005" w:tentative="1">
      <w:start w:val="1"/>
      <w:numFmt w:val="bullet"/>
      <w:lvlText w:val=""/>
      <w:lvlJc w:val="left"/>
      <w:pPr>
        <w:ind w:left="2334" w:hanging="360"/>
      </w:pPr>
      <w:rPr>
        <w:rFonts w:ascii="Wingdings" w:hAnsi="Wingdings" w:hint="default"/>
      </w:rPr>
    </w:lvl>
    <w:lvl w:ilvl="3" w:tplc="04260001" w:tentative="1">
      <w:start w:val="1"/>
      <w:numFmt w:val="bullet"/>
      <w:lvlText w:val=""/>
      <w:lvlJc w:val="left"/>
      <w:pPr>
        <w:ind w:left="3054" w:hanging="360"/>
      </w:pPr>
      <w:rPr>
        <w:rFonts w:ascii="Symbol" w:hAnsi="Symbol" w:hint="default"/>
      </w:rPr>
    </w:lvl>
    <w:lvl w:ilvl="4" w:tplc="04260003" w:tentative="1">
      <w:start w:val="1"/>
      <w:numFmt w:val="bullet"/>
      <w:lvlText w:val="o"/>
      <w:lvlJc w:val="left"/>
      <w:pPr>
        <w:ind w:left="3774" w:hanging="360"/>
      </w:pPr>
      <w:rPr>
        <w:rFonts w:ascii="Courier New" w:hAnsi="Courier New" w:cs="Courier New" w:hint="default"/>
      </w:rPr>
    </w:lvl>
    <w:lvl w:ilvl="5" w:tplc="04260005" w:tentative="1">
      <w:start w:val="1"/>
      <w:numFmt w:val="bullet"/>
      <w:lvlText w:val=""/>
      <w:lvlJc w:val="left"/>
      <w:pPr>
        <w:ind w:left="4494" w:hanging="360"/>
      </w:pPr>
      <w:rPr>
        <w:rFonts w:ascii="Wingdings" w:hAnsi="Wingdings" w:hint="default"/>
      </w:rPr>
    </w:lvl>
    <w:lvl w:ilvl="6" w:tplc="04260001" w:tentative="1">
      <w:start w:val="1"/>
      <w:numFmt w:val="bullet"/>
      <w:lvlText w:val=""/>
      <w:lvlJc w:val="left"/>
      <w:pPr>
        <w:ind w:left="5214" w:hanging="360"/>
      </w:pPr>
      <w:rPr>
        <w:rFonts w:ascii="Symbol" w:hAnsi="Symbol" w:hint="default"/>
      </w:rPr>
    </w:lvl>
    <w:lvl w:ilvl="7" w:tplc="04260003" w:tentative="1">
      <w:start w:val="1"/>
      <w:numFmt w:val="bullet"/>
      <w:lvlText w:val="o"/>
      <w:lvlJc w:val="left"/>
      <w:pPr>
        <w:ind w:left="5934" w:hanging="360"/>
      </w:pPr>
      <w:rPr>
        <w:rFonts w:ascii="Courier New" w:hAnsi="Courier New" w:cs="Courier New" w:hint="default"/>
      </w:rPr>
    </w:lvl>
    <w:lvl w:ilvl="8" w:tplc="04260005" w:tentative="1">
      <w:start w:val="1"/>
      <w:numFmt w:val="bullet"/>
      <w:lvlText w:val=""/>
      <w:lvlJc w:val="left"/>
      <w:pPr>
        <w:ind w:left="6654" w:hanging="360"/>
      </w:pPr>
      <w:rPr>
        <w:rFonts w:ascii="Wingdings" w:hAnsi="Wingdings" w:hint="default"/>
      </w:rPr>
    </w:lvl>
  </w:abstractNum>
  <w:abstractNum w:abstractNumId="12">
    <w:nsid w:val="59FA19D8"/>
    <w:multiLevelType w:val="hybridMultilevel"/>
    <w:tmpl w:val="6A0009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EF646B3"/>
    <w:multiLevelType w:val="hybridMultilevel"/>
    <w:tmpl w:val="413CEC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03E67B1"/>
    <w:multiLevelType w:val="hybridMultilevel"/>
    <w:tmpl w:val="EF88B2AC"/>
    <w:lvl w:ilvl="0" w:tplc="2D1C0F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6D812D07"/>
    <w:multiLevelType w:val="hybridMultilevel"/>
    <w:tmpl w:val="3642EF2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4FA5AB1"/>
    <w:multiLevelType w:val="hybridMultilevel"/>
    <w:tmpl w:val="13DC2C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5B3380B"/>
    <w:multiLevelType w:val="hybridMultilevel"/>
    <w:tmpl w:val="DB04CC5C"/>
    <w:lvl w:ilvl="0" w:tplc="2454FC6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A945112"/>
    <w:multiLevelType w:val="hybridMultilevel"/>
    <w:tmpl w:val="D684235E"/>
    <w:lvl w:ilvl="0" w:tplc="62C209CA">
      <w:start w:val="1"/>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19">
    <w:nsid w:val="7CA508D7"/>
    <w:multiLevelType w:val="hybridMultilevel"/>
    <w:tmpl w:val="68C0F968"/>
    <w:lvl w:ilvl="0" w:tplc="072EC098">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5"/>
  </w:num>
  <w:num w:numId="3">
    <w:abstractNumId w:val="13"/>
  </w:num>
  <w:num w:numId="4">
    <w:abstractNumId w:val="12"/>
  </w:num>
  <w:num w:numId="5">
    <w:abstractNumId w:val="16"/>
  </w:num>
  <w:num w:numId="6">
    <w:abstractNumId w:val="4"/>
  </w:num>
  <w:num w:numId="7">
    <w:abstractNumId w:val="10"/>
  </w:num>
  <w:num w:numId="8">
    <w:abstractNumId w:val="8"/>
  </w:num>
  <w:num w:numId="9">
    <w:abstractNumId w:val="19"/>
  </w:num>
  <w:num w:numId="10">
    <w:abstractNumId w:val="17"/>
  </w:num>
  <w:num w:numId="11">
    <w:abstractNumId w:val="9"/>
  </w:num>
  <w:num w:numId="12">
    <w:abstractNumId w:val="2"/>
  </w:num>
  <w:num w:numId="13">
    <w:abstractNumId w:val="14"/>
  </w:num>
  <w:num w:numId="14">
    <w:abstractNumId w:val="3"/>
  </w:num>
  <w:num w:numId="15">
    <w:abstractNumId w:val="7"/>
  </w:num>
  <w:num w:numId="16">
    <w:abstractNumId w:val="18"/>
  </w:num>
  <w:num w:numId="17">
    <w:abstractNumId w:val="0"/>
  </w:num>
  <w:num w:numId="18">
    <w:abstractNumId w:val="15"/>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F11"/>
    <w:rsid w:val="0000607E"/>
    <w:rsid w:val="00015D9D"/>
    <w:rsid w:val="000609BF"/>
    <w:rsid w:val="00092AEF"/>
    <w:rsid w:val="00093E5E"/>
    <w:rsid w:val="0009679E"/>
    <w:rsid w:val="000C0ECA"/>
    <w:rsid w:val="000C7DE2"/>
    <w:rsid w:val="000D1EBC"/>
    <w:rsid w:val="000D4F1F"/>
    <w:rsid w:val="000E3D1A"/>
    <w:rsid w:val="00112D04"/>
    <w:rsid w:val="001A422E"/>
    <w:rsid w:val="001B36C5"/>
    <w:rsid w:val="001C7B6E"/>
    <w:rsid w:val="001E49AA"/>
    <w:rsid w:val="00223618"/>
    <w:rsid w:val="002668B4"/>
    <w:rsid w:val="002864A8"/>
    <w:rsid w:val="00295924"/>
    <w:rsid w:val="002C39BD"/>
    <w:rsid w:val="002C5388"/>
    <w:rsid w:val="002D33C3"/>
    <w:rsid w:val="00300364"/>
    <w:rsid w:val="00303328"/>
    <w:rsid w:val="003322F5"/>
    <w:rsid w:val="003962FD"/>
    <w:rsid w:val="003C3514"/>
    <w:rsid w:val="003E332B"/>
    <w:rsid w:val="003F4E2F"/>
    <w:rsid w:val="003F6044"/>
    <w:rsid w:val="00404C64"/>
    <w:rsid w:val="004264C5"/>
    <w:rsid w:val="00452A70"/>
    <w:rsid w:val="00453536"/>
    <w:rsid w:val="00457F33"/>
    <w:rsid w:val="004A2E95"/>
    <w:rsid w:val="004A5BEB"/>
    <w:rsid w:val="004C2B31"/>
    <w:rsid w:val="004E4DA0"/>
    <w:rsid w:val="004E75B9"/>
    <w:rsid w:val="004F3BBB"/>
    <w:rsid w:val="005010FC"/>
    <w:rsid w:val="005115AA"/>
    <w:rsid w:val="00532DD2"/>
    <w:rsid w:val="00535456"/>
    <w:rsid w:val="00545605"/>
    <w:rsid w:val="005563B8"/>
    <w:rsid w:val="00573C95"/>
    <w:rsid w:val="0058304B"/>
    <w:rsid w:val="005D1698"/>
    <w:rsid w:val="005D6486"/>
    <w:rsid w:val="005F0106"/>
    <w:rsid w:val="005F1E8B"/>
    <w:rsid w:val="005F41C6"/>
    <w:rsid w:val="00600F63"/>
    <w:rsid w:val="006338BC"/>
    <w:rsid w:val="00634643"/>
    <w:rsid w:val="00636B27"/>
    <w:rsid w:val="00644E61"/>
    <w:rsid w:val="00652DEF"/>
    <w:rsid w:val="006838F9"/>
    <w:rsid w:val="006A69EC"/>
    <w:rsid w:val="006C0B4F"/>
    <w:rsid w:val="006E287E"/>
    <w:rsid w:val="006E55AA"/>
    <w:rsid w:val="006F4918"/>
    <w:rsid w:val="00710F18"/>
    <w:rsid w:val="00714113"/>
    <w:rsid w:val="00725477"/>
    <w:rsid w:val="007319C6"/>
    <w:rsid w:val="00734E9C"/>
    <w:rsid w:val="00740974"/>
    <w:rsid w:val="00762893"/>
    <w:rsid w:val="00770EAC"/>
    <w:rsid w:val="00795212"/>
    <w:rsid w:val="007A3213"/>
    <w:rsid w:val="007C5668"/>
    <w:rsid w:val="007C6613"/>
    <w:rsid w:val="00824BCC"/>
    <w:rsid w:val="0082516F"/>
    <w:rsid w:val="008261DC"/>
    <w:rsid w:val="008302E3"/>
    <w:rsid w:val="008362CD"/>
    <w:rsid w:val="008450F9"/>
    <w:rsid w:val="00860337"/>
    <w:rsid w:val="008713EB"/>
    <w:rsid w:val="00884B36"/>
    <w:rsid w:val="00884CDB"/>
    <w:rsid w:val="00891D1A"/>
    <w:rsid w:val="008A6C7F"/>
    <w:rsid w:val="008A6DD5"/>
    <w:rsid w:val="008F436B"/>
    <w:rsid w:val="00940A07"/>
    <w:rsid w:val="009570D4"/>
    <w:rsid w:val="00963C6B"/>
    <w:rsid w:val="0097204D"/>
    <w:rsid w:val="00981CB4"/>
    <w:rsid w:val="00983746"/>
    <w:rsid w:val="00984FB5"/>
    <w:rsid w:val="009A4C0D"/>
    <w:rsid w:val="009B7643"/>
    <w:rsid w:val="009D274B"/>
    <w:rsid w:val="009D32F0"/>
    <w:rsid w:val="009E5D97"/>
    <w:rsid w:val="009F2B16"/>
    <w:rsid w:val="009F4D8F"/>
    <w:rsid w:val="00A13D51"/>
    <w:rsid w:val="00A21BE2"/>
    <w:rsid w:val="00A54FCB"/>
    <w:rsid w:val="00A57C31"/>
    <w:rsid w:val="00A74361"/>
    <w:rsid w:val="00A97F11"/>
    <w:rsid w:val="00AA6A45"/>
    <w:rsid w:val="00AE5D38"/>
    <w:rsid w:val="00AF461B"/>
    <w:rsid w:val="00B11A76"/>
    <w:rsid w:val="00B16BA0"/>
    <w:rsid w:val="00B32A28"/>
    <w:rsid w:val="00B37EB2"/>
    <w:rsid w:val="00B61888"/>
    <w:rsid w:val="00B6758C"/>
    <w:rsid w:val="00B7348A"/>
    <w:rsid w:val="00BC3116"/>
    <w:rsid w:val="00BE675C"/>
    <w:rsid w:val="00BE77D4"/>
    <w:rsid w:val="00C176C2"/>
    <w:rsid w:val="00C332FA"/>
    <w:rsid w:val="00C6147D"/>
    <w:rsid w:val="00C90364"/>
    <w:rsid w:val="00CC5E59"/>
    <w:rsid w:val="00CD3F25"/>
    <w:rsid w:val="00D10E7D"/>
    <w:rsid w:val="00D120EB"/>
    <w:rsid w:val="00D16248"/>
    <w:rsid w:val="00D54574"/>
    <w:rsid w:val="00D56018"/>
    <w:rsid w:val="00D6741A"/>
    <w:rsid w:val="00D87410"/>
    <w:rsid w:val="00DA556E"/>
    <w:rsid w:val="00DA6A30"/>
    <w:rsid w:val="00DD5DD0"/>
    <w:rsid w:val="00E3419C"/>
    <w:rsid w:val="00E66F67"/>
    <w:rsid w:val="00E72105"/>
    <w:rsid w:val="00E85A19"/>
    <w:rsid w:val="00E929B8"/>
    <w:rsid w:val="00EB34E9"/>
    <w:rsid w:val="00EB7050"/>
    <w:rsid w:val="00EC239E"/>
    <w:rsid w:val="00EE59EF"/>
    <w:rsid w:val="00EF36CC"/>
    <w:rsid w:val="00F37AC5"/>
    <w:rsid w:val="00F567B8"/>
    <w:rsid w:val="00F94B63"/>
    <w:rsid w:val="00FA6F8E"/>
    <w:rsid w:val="00FB2BB3"/>
    <w:rsid w:val="00FC297D"/>
    <w:rsid w:val="00FC6B07"/>
    <w:rsid w:val="00FD012C"/>
    <w:rsid w:val="00FD2FE7"/>
    <w:rsid w:val="00FE023D"/>
    <w:rsid w:val="00FF58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F1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97F11"/>
    <w:pPr>
      <w:spacing w:before="100" w:beforeAutospacing="1" w:after="100" w:afterAutospacing="1"/>
    </w:pPr>
  </w:style>
  <w:style w:type="character" w:styleId="Hyperlink">
    <w:name w:val="Hyperlink"/>
    <w:uiPriority w:val="99"/>
    <w:rsid w:val="00A97F11"/>
    <w:rPr>
      <w:color w:val="0000FF"/>
      <w:u w:val="single"/>
    </w:rPr>
  </w:style>
  <w:style w:type="paragraph" w:customStyle="1" w:styleId="naiskr">
    <w:name w:val="naiskr"/>
    <w:basedOn w:val="Normal"/>
    <w:rsid w:val="00A97F11"/>
    <w:pPr>
      <w:spacing w:before="75" w:after="75"/>
    </w:pPr>
  </w:style>
  <w:style w:type="paragraph" w:customStyle="1" w:styleId="naisnod">
    <w:name w:val="naisnod"/>
    <w:basedOn w:val="Normal"/>
    <w:rsid w:val="00A97F11"/>
    <w:pPr>
      <w:spacing w:before="150" w:after="150"/>
      <w:jc w:val="center"/>
    </w:pPr>
    <w:rPr>
      <w:b/>
      <w:bCs/>
    </w:rPr>
  </w:style>
  <w:style w:type="paragraph" w:styleId="ListParagraph">
    <w:name w:val="List Paragraph"/>
    <w:basedOn w:val="Normal"/>
    <w:link w:val="ListParagraphChar"/>
    <w:uiPriority w:val="34"/>
    <w:qFormat/>
    <w:rsid w:val="00A97F11"/>
    <w:pPr>
      <w:suppressAutoHyphens/>
      <w:autoSpaceDN w:val="0"/>
      <w:ind w:left="720"/>
      <w:textAlignment w:val="baseline"/>
    </w:pPr>
    <w:rPr>
      <w:sz w:val="28"/>
      <w:lang w:val="x-none" w:eastAsia="x-none"/>
    </w:rPr>
  </w:style>
  <w:style w:type="character" w:customStyle="1" w:styleId="ListParagraphChar">
    <w:name w:val="List Paragraph Char"/>
    <w:link w:val="ListParagraph"/>
    <w:uiPriority w:val="34"/>
    <w:locked/>
    <w:rsid w:val="00A97F11"/>
    <w:rPr>
      <w:rFonts w:ascii="Times New Roman" w:eastAsia="Times New Roman" w:hAnsi="Times New Roman" w:cs="Times New Roman"/>
      <w:sz w:val="28"/>
      <w:szCs w:val="24"/>
      <w:lang w:val="x-none" w:eastAsia="x-none"/>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Char, Char"/>
    <w:basedOn w:val="Normal"/>
    <w:link w:val="FootnoteTextChar"/>
    <w:uiPriority w:val="99"/>
    <w:rsid w:val="00A97F11"/>
    <w:rPr>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Char Char"/>
    <w:basedOn w:val="DefaultParagraphFont"/>
    <w:link w:val="FootnoteText"/>
    <w:uiPriority w:val="99"/>
    <w:rsid w:val="00A97F11"/>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ftref,SUPERS"/>
    <w:uiPriority w:val="99"/>
    <w:rsid w:val="00A97F11"/>
    <w:rPr>
      <w:vertAlign w:val="superscript"/>
    </w:rPr>
  </w:style>
  <w:style w:type="character" w:styleId="Strong">
    <w:name w:val="Strong"/>
    <w:basedOn w:val="DefaultParagraphFont"/>
    <w:uiPriority w:val="22"/>
    <w:qFormat/>
    <w:rsid w:val="00B37EB2"/>
    <w:rPr>
      <w:b/>
      <w:bCs/>
    </w:rPr>
  </w:style>
  <w:style w:type="character" w:styleId="CommentReference">
    <w:name w:val="annotation reference"/>
    <w:basedOn w:val="DefaultParagraphFont"/>
    <w:uiPriority w:val="99"/>
    <w:semiHidden/>
    <w:unhideWhenUsed/>
    <w:rsid w:val="003E332B"/>
    <w:rPr>
      <w:sz w:val="16"/>
      <w:szCs w:val="16"/>
    </w:rPr>
  </w:style>
  <w:style w:type="paragraph" w:styleId="CommentText">
    <w:name w:val="annotation text"/>
    <w:basedOn w:val="Normal"/>
    <w:link w:val="CommentTextChar"/>
    <w:uiPriority w:val="99"/>
    <w:semiHidden/>
    <w:unhideWhenUsed/>
    <w:rsid w:val="003E332B"/>
    <w:rPr>
      <w:sz w:val="20"/>
      <w:szCs w:val="20"/>
    </w:rPr>
  </w:style>
  <w:style w:type="character" w:customStyle="1" w:styleId="CommentTextChar">
    <w:name w:val="Comment Text Char"/>
    <w:basedOn w:val="DefaultParagraphFont"/>
    <w:link w:val="CommentText"/>
    <w:uiPriority w:val="99"/>
    <w:semiHidden/>
    <w:rsid w:val="003E332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3E332B"/>
    <w:rPr>
      <w:rFonts w:ascii="Tahoma" w:hAnsi="Tahoma" w:cs="Tahoma"/>
      <w:sz w:val="16"/>
      <w:szCs w:val="16"/>
    </w:rPr>
  </w:style>
  <w:style w:type="character" w:customStyle="1" w:styleId="BalloonTextChar">
    <w:name w:val="Balloon Text Char"/>
    <w:basedOn w:val="DefaultParagraphFont"/>
    <w:link w:val="BalloonText"/>
    <w:uiPriority w:val="99"/>
    <w:semiHidden/>
    <w:rsid w:val="003E332B"/>
    <w:rPr>
      <w:rFonts w:ascii="Tahoma" w:eastAsia="Times New Roman" w:hAnsi="Tahoma" w:cs="Tahoma"/>
      <w:sz w:val="16"/>
      <w:szCs w:val="16"/>
      <w:lang w:eastAsia="lv-LV"/>
    </w:rPr>
  </w:style>
  <w:style w:type="paragraph" w:styleId="Header">
    <w:name w:val="header"/>
    <w:basedOn w:val="Normal"/>
    <w:link w:val="HeaderChar"/>
    <w:uiPriority w:val="99"/>
    <w:unhideWhenUsed/>
    <w:rsid w:val="006A69EC"/>
    <w:pPr>
      <w:tabs>
        <w:tab w:val="center" w:pos="4153"/>
        <w:tab w:val="right" w:pos="8306"/>
      </w:tabs>
    </w:pPr>
  </w:style>
  <w:style w:type="character" w:customStyle="1" w:styleId="HeaderChar">
    <w:name w:val="Header Char"/>
    <w:basedOn w:val="DefaultParagraphFont"/>
    <w:link w:val="Header"/>
    <w:uiPriority w:val="99"/>
    <w:rsid w:val="006A69E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A69EC"/>
    <w:pPr>
      <w:tabs>
        <w:tab w:val="center" w:pos="4153"/>
        <w:tab w:val="right" w:pos="8306"/>
      </w:tabs>
    </w:pPr>
  </w:style>
  <w:style w:type="character" w:customStyle="1" w:styleId="FooterChar">
    <w:name w:val="Footer Char"/>
    <w:basedOn w:val="DefaultParagraphFont"/>
    <w:link w:val="Footer"/>
    <w:uiPriority w:val="99"/>
    <w:rsid w:val="006A69EC"/>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5115AA"/>
    <w:rPr>
      <w:b/>
      <w:bCs/>
    </w:rPr>
  </w:style>
  <w:style w:type="character" w:customStyle="1" w:styleId="CommentSubjectChar">
    <w:name w:val="Comment Subject Char"/>
    <w:basedOn w:val="CommentTextChar"/>
    <w:link w:val="CommentSubject"/>
    <w:uiPriority w:val="99"/>
    <w:semiHidden/>
    <w:rsid w:val="005115AA"/>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F1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97F11"/>
    <w:pPr>
      <w:spacing w:before="100" w:beforeAutospacing="1" w:after="100" w:afterAutospacing="1"/>
    </w:pPr>
  </w:style>
  <w:style w:type="character" w:styleId="Hyperlink">
    <w:name w:val="Hyperlink"/>
    <w:uiPriority w:val="99"/>
    <w:rsid w:val="00A97F11"/>
    <w:rPr>
      <w:color w:val="0000FF"/>
      <w:u w:val="single"/>
    </w:rPr>
  </w:style>
  <w:style w:type="paragraph" w:customStyle="1" w:styleId="naiskr">
    <w:name w:val="naiskr"/>
    <w:basedOn w:val="Normal"/>
    <w:rsid w:val="00A97F11"/>
    <w:pPr>
      <w:spacing w:before="75" w:after="75"/>
    </w:pPr>
  </w:style>
  <w:style w:type="paragraph" w:customStyle="1" w:styleId="naisnod">
    <w:name w:val="naisnod"/>
    <w:basedOn w:val="Normal"/>
    <w:rsid w:val="00A97F11"/>
    <w:pPr>
      <w:spacing w:before="150" w:after="150"/>
      <w:jc w:val="center"/>
    </w:pPr>
    <w:rPr>
      <w:b/>
      <w:bCs/>
    </w:rPr>
  </w:style>
  <w:style w:type="paragraph" w:styleId="ListParagraph">
    <w:name w:val="List Paragraph"/>
    <w:basedOn w:val="Normal"/>
    <w:link w:val="ListParagraphChar"/>
    <w:uiPriority w:val="34"/>
    <w:qFormat/>
    <w:rsid w:val="00A97F11"/>
    <w:pPr>
      <w:suppressAutoHyphens/>
      <w:autoSpaceDN w:val="0"/>
      <w:ind w:left="720"/>
      <w:textAlignment w:val="baseline"/>
    </w:pPr>
    <w:rPr>
      <w:sz w:val="28"/>
      <w:lang w:val="x-none" w:eastAsia="x-none"/>
    </w:rPr>
  </w:style>
  <w:style w:type="character" w:customStyle="1" w:styleId="ListParagraphChar">
    <w:name w:val="List Paragraph Char"/>
    <w:link w:val="ListParagraph"/>
    <w:uiPriority w:val="34"/>
    <w:locked/>
    <w:rsid w:val="00A97F11"/>
    <w:rPr>
      <w:rFonts w:ascii="Times New Roman" w:eastAsia="Times New Roman" w:hAnsi="Times New Roman" w:cs="Times New Roman"/>
      <w:sz w:val="28"/>
      <w:szCs w:val="24"/>
      <w:lang w:val="x-none" w:eastAsia="x-none"/>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Char, Char"/>
    <w:basedOn w:val="Normal"/>
    <w:link w:val="FootnoteTextChar"/>
    <w:uiPriority w:val="99"/>
    <w:rsid w:val="00A97F11"/>
    <w:rPr>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Char Char"/>
    <w:basedOn w:val="DefaultParagraphFont"/>
    <w:link w:val="FootnoteText"/>
    <w:uiPriority w:val="99"/>
    <w:rsid w:val="00A97F11"/>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ftref,SUPERS"/>
    <w:uiPriority w:val="99"/>
    <w:rsid w:val="00A97F11"/>
    <w:rPr>
      <w:vertAlign w:val="superscript"/>
    </w:rPr>
  </w:style>
  <w:style w:type="character" w:styleId="Strong">
    <w:name w:val="Strong"/>
    <w:basedOn w:val="DefaultParagraphFont"/>
    <w:uiPriority w:val="22"/>
    <w:qFormat/>
    <w:rsid w:val="00B37EB2"/>
    <w:rPr>
      <w:b/>
      <w:bCs/>
    </w:rPr>
  </w:style>
  <w:style w:type="character" w:styleId="CommentReference">
    <w:name w:val="annotation reference"/>
    <w:basedOn w:val="DefaultParagraphFont"/>
    <w:uiPriority w:val="99"/>
    <w:semiHidden/>
    <w:unhideWhenUsed/>
    <w:rsid w:val="003E332B"/>
    <w:rPr>
      <w:sz w:val="16"/>
      <w:szCs w:val="16"/>
    </w:rPr>
  </w:style>
  <w:style w:type="paragraph" w:styleId="CommentText">
    <w:name w:val="annotation text"/>
    <w:basedOn w:val="Normal"/>
    <w:link w:val="CommentTextChar"/>
    <w:uiPriority w:val="99"/>
    <w:semiHidden/>
    <w:unhideWhenUsed/>
    <w:rsid w:val="003E332B"/>
    <w:rPr>
      <w:sz w:val="20"/>
      <w:szCs w:val="20"/>
    </w:rPr>
  </w:style>
  <w:style w:type="character" w:customStyle="1" w:styleId="CommentTextChar">
    <w:name w:val="Comment Text Char"/>
    <w:basedOn w:val="DefaultParagraphFont"/>
    <w:link w:val="CommentText"/>
    <w:uiPriority w:val="99"/>
    <w:semiHidden/>
    <w:rsid w:val="003E332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3E332B"/>
    <w:rPr>
      <w:rFonts w:ascii="Tahoma" w:hAnsi="Tahoma" w:cs="Tahoma"/>
      <w:sz w:val="16"/>
      <w:szCs w:val="16"/>
    </w:rPr>
  </w:style>
  <w:style w:type="character" w:customStyle="1" w:styleId="BalloonTextChar">
    <w:name w:val="Balloon Text Char"/>
    <w:basedOn w:val="DefaultParagraphFont"/>
    <w:link w:val="BalloonText"/>
    <w:uiPriority w:val="99"/>
    <w:semiHidden/>
    <w:rsid w:val="003E332B"/>
    <w:rPr>
      <w:rFonts w:ascii="Tahoma" w:eastAsia="Times New Roman" w:hAnsi="Tahoma" w:cs="Tahoma"/>
      <w:sz w:val="16"/>
      <w:szCs w:val="16"/>
      <w:lang w:eastAsia="lv-LV"/>
    </w:rPr>
  </w:style>
  <w:style w:type="paragraph" w:styleId="Header">
    <w:name w:val="header"/>
    <w:basedOn w:val="Normal"/>
    <w:link w:val="HeaderChar"/>
    <w:uiPriority w:val="99"/>
    <w:unhideWhenUsed/>
    <w:rsid w:val="006A69EC"/>
    <w:pPr>
      <w:tabs>
        <w:tab w:val="center" w:pos="4153"/>
        <w:tab w:val="right" w:pos="8306"/>
      </w:tabs>
    </w:pPr>
  </w:style>
  <w:style w:type="character" w:customStyle="1" w:styleId="HeaderChar">
    <w:name w:val="Header Char"/>
    <w:basedOn w:val="DefaultParagraphFont"/>
    <w:link w:val="Header"/>
    <w:uiPriority w:val="99"/>
    <w:rsid w:val="006A69E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A69EC"/>
    <w:pPr>
      <w:tabs>
        <w:tab w:val="center" w:pos="4153"/>
        <w:tab w:val="right" w:pos="8306"/>
      </w:tabs>
    </w:pPr>
  </w:style>
  <w:style w:type="character" w:customStyle="1" w:styleId="FooterChar">
    <w:name w:val="Footer Char"/>
    <w:basedOn w:val="DefaultParagraphFont"/>
    <w:link w:val="Footer"/>
    <w:uiPriority w:val="99"/>
    <w:rsid w:val="006A69EC"/>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5115AA"/>
    <w:rPr>
      <w:b/>
      <w:bCs/>
    </w:rPr>
  </w:style>
  <w:style w:type="character" w:customStyle="1" w:styleId="CommentSubjectChar">
    <w:name w:val="Comment Subject Char"/>
    <w:basedOn w:val="CommentTextChar"/>
    <w:link w:val="CommentSubject"/>
    <w:uiPriority w:val="99"/>
    <w:semiHidden/>
    <w:rsid w:val="005115AA"/>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andra.Strele@lm.gov.lv" TargetMode="External"/><Relationship Id="rId4" Type="http://schemas.microsoft.com/office/2007/relationships/stylesWithEffects" Target="stylesWithEffects.xml"/><Relationship Id="rId9" Type="http://schemas.openxmlformats.org/officeDocument/2006/relationships/hyperlink" Target="mailto:Anda.Masejeva@l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vmnvd.gov.lv/lv/420-kliniskas-vadlinijas/klinisko-vadliniju-datu-ba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701DD-42F5-4D01-AB15-7356F70A9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14170</Words>
  <Characters>8078</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Noteikumi par psihosociālās rehabilitācijas pakalpojumu paliatīvajā aprūpē esošajiem bērniem un viņu ģimenes locekļiem</vt:lpstr>
    </vt:vector>
  </TitlesOfParts>
  <Company>Labklājības ministrija</Company>
  <LinksUpToDate>false</LinksUpToDate>
  <CharactersWithSpaces>22204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psihosociālās rehabilitācijas pakalpojumu paliatīvajā aprūpē esošajiem bērniem un viņu ģimenes locekļiem</dc:title>
  <dc:subject>Anotācija</dc:subject>
  <dc:creator>Anda Masejeva, Sandra Strēle</dc:creator>
  <dc:description>Anda masejeva, 67021667_x000d_
Anda.Masejeva@lm.gov.lv_x000d_
_x000d_
Sandra Strēle, 64331831_x000d_
Sandra.Strele@lm.gov.lv</dc:description>
  <cp:lastModifiedBy>Anda Masejeva</cp:lastModifiedBy>
  <cp:revision>2</cp:revision>
  <dcterms:created xsi:type="dcterms:W3CDTF">2017-05-12T06:59:00Z</dcterms:created>
  <dcterms:modified xsi:type="dcterms:W3CDTF">2017-05-12T06:59:00Z</dcterms:modified>
</cp:coreProperties>
</file>