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4D44" w14:textId="77777777" w:rsidR="0088245C" w:rsidRDefault="00A4024F">
      <w:pPr>
        <w:ind w:left="720"/>
        <w:jc w:val="center"/>
        <w:rPr>
          <w:b/>
          <w:color w:val="000000"/>
          <w:sz w:val="28"/>
          <w:szCs w:val="28"/>
        </w:rPr>
      </w:pPr>
      <w:r>
        <w:rPr>
          <w:b/>
          <w:color w:val="000000"/>
          <w:sz w:val="28"/>
          <w:szCs w:val="28"/>
        </w:rPr>
        <w:t xml:space="preserve">Ministru kabineta noteikumu projekta </w:t>
      </w:r>
    </w:p>
    <w:p w14:paraId="2415DC95" w14:textId="1D31D4BB" w:rsidR="0088245C" w:rsidRDefault="00A4024F">
      <w:pPr>
        <w:jc w:val="center"/>
        <w:rPr>
          <w:b/>
          <w:bCs/>
          <w:color w:val="000000"/>
          <w:sz w:val="28"/>
          <w:szCs w:val="28"/>
        </w:rPr>
      </w:pPr>
      <w:r>
        <w:rPr>
          <w:b/>
          <w:color w:val="000000"/>
          <w:sz w:val="28"/>
          <w:szCs w:val="28"/>
        </w:rPr>
        <w:t>„</w:t>
      </w:r>
      <w:r w:rsidR="00262B5F">
        <w:rPr>
          <w:b/>
          <w:color w:val="000000"/>
          <w:sz w:val="28"/>
          <w:szCs w:val="28"/>
        </w:rPr>
        <w:t>Grozījumi Ministru kabineta 2015.gada 24.februāra noteikumos Nr.103 „</w:t>
      </w:r>
      <w:r w:rsidR="005946B9">
        <w:rPr>
          <w:b/>
          <w:bCs/>
          <w:color w:val="000000"/>
          <w:sz w:val="28"/>
          <w:szCs w:val="28"/>
        </w:rPr>
        <w:t>Bezdarbnieka</w:t>
      </w:r>
      <w:r>
        <w:rPr>
          <w:b/>
          <w:bCs/>
          <w:color w:val="000000"/>
          <w:sz w:val="28"/>
          <w:szCs w:val="28"/>
        </w:rPr>
        <w:t xml:space="preserve"> u</w:t>
      </w:r>
      <w:r w:rsidR="005946B9">
        <w:rPr>
          <w:b/>
          <w:bCs/>
          <w:color w:val="000000"/>
          <w:sz w:val="28"/>
          <w:szCs w:val="28"/>
        </w:rPr>
        <w:t>n darba meklētāja</w:t>
      </w:r>
      <w:r w:rsidR="00262B5F">
        <w:rPr>
          <w:b/>
          <w:bCs/>
          <w:color w:val="000000"/>
          <w:sz w:val="28"/>
          <w:szCs w:val="28"/>
        </w:rPr>
        <w:t xml:space="preserve"> statusa piešķiršanas kārtība un statusa piešķiršanai nepieciešamie dokumenti”</w:t>
      </w:r>
    </w:p>
    <w:p w14:paraId="75BC006A" w14:textId="77777777" w:rsidR="0088245C" w:rsidRDefault="00A4024F">
      <w:pPr>
        <w:jc w:val="center"/>
        <w:rPr>
          <w:b/>
          <w:sz w:val="28"/>
          <w:szCs w:val="28"/>
        </w:rPr>
      </w:pPr>
      <w:r>
        <w:rPr>
          <w:b/>
          <w:sz w:val="28"/>
          <w:szCs w:val="28"/>
        </w:rPr>
        <w:t xml:space="preserve">sākotnējās ietekmes novērtējuma </w:t>
      </w:r>
      <w:smartTag w:uri="schemas-tilde-lv/tildestengine" w:element="veidnes">
        <w:smartTagPr>
          <w:attr w:name="text" w:val="ziņojums"/>
          <w:attr w:name="id" w:val="-1"/>
          <w:attr w:name="baseform" w:val="ziņojum|s"/>
        </w:smartTagPr>
        <w:r>
          <w:rPr>
            <w:b/>
            <w:sz w:val="28"/>
            <w:szCs w:val="28"/>
          </w:rPr>
          <w:t>ziņojums</w:t>
        </w:r>
      </w:smartTag>
      <w:r>
        <w:rPr>
          <w:b/>
          <w:sz w:val="28"/>
          <w:szCs w:val="28"/>
        </w:rPr>
        <w:t xml:space="preserve"> (anotācija)</w:t>
      </w:r>
    </w:p>
    <w:p w14:paraId="4868DCDE" w14:textId="77777777" w:rsidR="0088245C" w:rsidRDefault="0088245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8245C" w14:paraId="39E7882C" w14:textId="77777777">
        <w:tc>
          <w:tcPr>
            <w:tcW w:w="5000" w:type="pct"/>
            <w:gridSpan w:val="3"/>
            <w:shd w:val="clear" w:color="auto" w:fill="auto"/>
          </w:tcPr>
          <w:p w14:paraId="79EDFBF3" w14:textId="77777777" w:rsidR="0088245C" w:rsidRDefault="00A4024F">
            <w:pPr>
              <w:jc w:val="center"/>
              <w:rPr>
                <w:b/>
              </w:rPr>
            </w:pPr>
            <w:r>
              <w:rPr>
                <w:b/>
              </w:rPr>
              <w:t xml:space="preserve">I. Tiesību </w:t>
            </w:r>
            <w:smartTag w:uri="schemas-tilde-lv/tildestengine" w:element="veidnes">
              <w:smartTagPr>
                <w:attr w:name="text" w:val="akta"/>
                <w:attr w:name="id" w:val="-1"/>
                <w:attr w:name="baseform" w:val="akt|s"/>
              </w:smartTagPr>
              <w:r>
                <w:rPr>
                  <w:b/>
                </w:rPr>
                <w:t>akta</w:t>
              </w:r>
            </w:smartTag>
            <w:r>
              <w:rPr>
                <w:b/>
              </w:rPr>
              <w:t xml:space="preserve"> projekta izstrādes nepieciešamība</w:t>
            </w:r>
          </w:p>
        </w:tc>
      </w:tr>
      <w:tr w:rsidR="0088245C" w14:paraId="494178C9" w14:textId="77777777">
        <w:tc>
          <w:tcPr>
            <w:tcW w:w="213" w:type="pct"/>
            <w:shd w:val="clear" w:color="auto" w:fill="auto"/>
          </w:tcPr>
          <w:p w14:paraId="025FD33C" w14:textId="77777777" w:rsidR="0088245C" w:rsidRDefault="00A4024F">
            <w:pPr>
              <w:rPr>
                <w:sz w:val="22"/>
                <w:szCs w:val="22"/>
              </w:rPr>
            </w:pPr>
            <w:r>
              <w:rPr>
                <w:sz w:val="22"/>
                <w:szCs w:val="22"/>
              </w:rPr>
              <w:t>1.</w:t>
            </w:r>
          </w:p>
        </w:tc>
        <w:tc>
          <w:tcPr>
            <w:tcW w:w="1654" w:type="pct"/>
            <w:shd w:val="clear" w:color="auto" w:fill="auto"/>
          </w:tcPr>
          <w:p w14:paraId="313750B5" w14:textId="77777777" w:rsidR="0088245C" w:rsidRDefault="00A4024F">
            <w:r>
              <w:t>Pamatojums</w:t>
            </w:r>
          </w:p>
        </w:tc>
        <w:tc>
          <w:tcPr>
            <w:tcW w:w="3133" w:type="pct"/>
            <w:shd w:val="clear" w:color="auto" w:fill="auto"/>
          </w:tcPr>
          <w:p w14:paraId="0EE6D9E2" w14:textId="6AC3828E" w:rsidR="00344952" w:rsidRDefault="00262B5F" w:rsidP="00262B5F">
            <w:pPr>
              <w:jc w:val="both"/>
            </w:pPr>
            <w:r>
              <w:t>2017.gada 31.martā stājās spēkā Ministru kabineta 2017.gada 28.marta noteikumi Nr. 172 „Bezdarbnieku uzskaites un reģistrēto vakanču informācijas sistēmas noteikumi” (turpmāk – noteikumi Nr.172)</w:t>
            </w:r>
            <w:r w:rsidR="00A4024F">
              <w:t>,</w:t>
            </w:r>
            <w:r>
              <w:t xml:space="preserve"> kas nosaka</w:t>
            </w:r>
            <w:r w:rsidR="00A4024F">
              <w:t xml:space="preserve"> </w:t>
            </w:r>
            <w:r>
              <w:t xml:space="preserve">Bezdarbnieku uzskaites un reģistrēto vakanču informācijas sistēmas (turpmāk – </w:t>
            </w:r>
            <w:r w:rsidR="00891D8F">
              <w:t>i</w:t>
            </w:r>
            <w:r>
              <w:t>nformācijas sistēma</w:t>
            </w:r>
            <w:r w:rsidR="00891D8F">
              <w:t xml:space="preserve"> BURVIS</w:t>
            </w:r>
            <w:r>
              <w:t xml:space="preserve">) </w:t>
            </w:r>
            <w:r w:rsidR="00A4024F">
              <w:t>struktūru, tajā iekļaujamos datus un to apstrādes noteikumus un kārtību. T</w:t>
            </w:r>
            <w:r w:rsidR="00526B56">
              <w:t>āpat</w:t>
            </w:r>
            <w:r w:rsidR="00A4024F">
              <w:t xml:space="preserve"> </w:t>
            </w:r>
            <w:r>
              <w:t xml:space="preserve">2018.gada 1.martā stāsies spēkā Oficiālās elektroniskās adreses likums, kas, tajā skaitā, paredz </w:t>
            </w:r>
            <w:r w:rsidRPr="00262B5F">
              <w:t>Iedzīvotāju re</w:t>
            </w:r>
            <w:r>
              <w:t>ģistrā reģistrētām</w:t>
            </w:r>
            <w:r w:rsidRPr="00262B5F">
              <w:t xml:space="preserve"> fiziskā</w:t>
            </w:r>
            <w:r>
              <w:t>m personām</w:t>
            </w:r>
            <w:r w:rsidRPr="00262B5F">
              <w:t xml:space="preserve"> no 14 gadu vecuma</w:t>
            </w:r>
            <w:r>
              <w:t xml:space="preserve"> iespēju no 2018.gada 1</w:t>
            </w:r>
            <w:r w:rsidR="005946B9">
              <w:t>.</w:t>
            </w:r>
            <w:r>
              <w:t xml:space="preserve">jūnija brīvprātīgi izmantot oficiālo elektroniskā pasta adresi saziņai ar valsts iestādēm. Saskaņā ar Ministru kabineta 2016.gada 5.janvāra sēdes </w:t>
            </w:r>
            <w:proofErr w:type="spellStart"/>
            <w:r>
              <w:t>protokollēmuma</w:t>
            </w:r>
            <w:proofErr w:type="spellEnd"/>
            <w:r>
              <w:t xml:space="preserve"> Nr.1 28.</w:t>
            </w:r>
            <w:r w:rsidRPr="00262B5F">
              <w:t>§</w:t>
            </w:r>
            <w:r>
              <w:t xml:space="preserve"> </w:t>
            </w:r>
            <w:r w:rsidRPr="00262B5F">
              <w:t>13.</w:t>
            </w:r>
            <w:r>
              <w:t>punktu v</w:t>
            </w:r>
            <w:r w:rsidRPr="00262B5F">
              <w:t xml:space="preserve">isām ministrijām </w:t>
            </w:r>
            <w:r>
              <w:t xml:space="preserve">ir uzdots </w:t>
            </w:r>
            <w:r w:rsidRPr="00262B5F">
              <w:t>izvērtēt to kompetencē esošos tiesību aktus un līdz 2017.gada 1.jūlijam iesniegt noteiktā kārtībā Ministru kabinetā grozījumus tiesību aktos, paredzot iespēju saziņas nodrošināšanai starp iestādi un privātpersonu izmantot e-adresi.</w:t>
            </w:r>
          </w:p>
        </w:tc>
      </w:tr>
      <w:tr w:rsidR="0088245C" w14:paraId="46707A1A" w14:textId="77777777">
        <w:tc>
          <w:tcPr>
            <w:tcW w:w="213" w:type="pct"/>
            <w:shd w:val="clear" w:color="auto" w:fill="auto"/>
          </w:tcPr>
          <w:p w14:paraId="6FC38E02" w14:textId="77777777" w:rsidR="0088245C" w:rsidRDefault="00A4024F">
            <w:pPr>
              <w:rPr>
                <w:sz w:val="22"/>
                <w:szCs w:val="22"/>
              </w:rPr>
            </w:pPr>
            <w:r>
              <w:rPr>
                <w:sz w:val="22"/>
                <w:szCs w:val="22"/>
              </w:rPr>
              <w:t xml:space="preserve">2. </w:t>
            </w:r>
          </w:p>
        </w:tc>
        <w:tc>
          <w:tcPr>
            <w:tcW w:w="1654" w:type="pct"/>
            <w:shd w:val="clear" w:color="auto" w:fill="auto"/>
          </w:tcPr>
          <w:p w14:paraId="3C2BDE82" w14:textId="77777777" w:rsidR="0088245C" w:rsidRDefault="00A4024F">
            <w:pPr>
              <w:rPr>
                <w:sz w:val="22"/>
                <w:szCs w:val="22"/>
              </w:rPr>
            </w:pPr>
            <w:r>
              <w:t>Pašreizējā situācija un problēmas, kuru risināšanai tiesību akta projekts izstrādāts, tiesiskā regulējuma mērķis un būtība</w:t>
            </w:r>
          </w:p>
        </w:tc>
        <w:tc>
          <w:tcPr>
            <w:tcW w:w="3133" w:type="pct"/>
            <w:shd w:val="clear" w:color="auto" w:fill="auto"/>
          </w:tcPr>
          <w:p w14:paraId="355C14D1" w14:textId="69746670" w:rsidR="0088245C" w:rsidRPr="003311C9" w:rsidRDefault="007E6062" w:rsidP="007E6062">
            <w:pPr>
              <w:shd w:val="clear" w:color="auto" w:fill="FFFFFF"/>
              <w:jc w:val="both"/>
            </w:pPr>
            <w:r>
              <w:t xml:space="preserve">   1) </w:t>
            </w:r>
            <w:r w:rsidR="00262B5F">
              <w:t xml:space="preserve">Līdz noteikumu Nr.172 spēkā stāšanās </w:t>
            </w:r>
            <w:r w:rsidR="00891D8F">
              <w:t>i</w:t>
            </w:r>
            <w:r w:rsidR="00262B5F">
              <w:t xml:space="preserve">nformācijas sistēmā </w:t>
            </w:r>
            <w:r w:rsidR="00891D8F">
              <w:t xml:space="preserve">BURVIS </w:t>
            </w:r>
            <w:r w:rsidR="00262B5F">
              <w:t xml:space="preserve">iekļaujamo bezdarbnieku un darba meklētāju personas datu apjoms bija </w:t>
            </w:r>
            <w:r>
              <w:t xml:space="preserve">daļēji </w:t>
            </w:r>
            <w:r w:rsidR="00262B5F">
              <w:t>noteikt</w:t>
            </w:r>
            <w:r>
              <w:t>s</w:t>
            </w:r>
            <w:r w:rsidR="00262B5F">
              <w:t xml:space="preserve"> Ministru </w:t>
            </w:r>
            <w:r w:rsidR="00262B5F" w:rsidRPr="003311C9">
              <w:t xml:space="preserve">kabineta 2015.gada 23.februāra noteikumos Nr.103 </w:t>
            </w:r>
            <w:r w:rsidR="005946B9" w:rsidRPr="003311C9">
              <w:t>„Bezdarbnieka un darba meklētāja</w:t>
            </w:r>
            <w:r w:rsidR="00262B5F" w:rsidRPr="003311C9">
              <w:t xml:space="preserve"> statusa piešķiršanas kārtība un statusa piešķiršanai nepieciešamie dokumenti” (turpmāk – noteikumi Nr.103)</w:t>
            </w:r>
            <w:r w:rsidRPr="003311C9">
              <w:t>. I</w:t>
            </w:r>
            <w:r w:rsidR="00262B5F" w:rsidRPr="003311C9">
              <w:t>evērojot, ka noteikumi Nr.172 precīzi nosaka informācijas sistēmā iekļaujamo personas datu apjomu, lai novērstu tiesību normu dublēšanos, nepieciešams veikt groz</w:t>
            </w:r>
            <w:r w:rsidR="00F14D13" w:rsidRPr="003311C9">
              <w:t>ījumus noteikumos Nr.103.</w:t>
            </w:r>
          </w:p>
          <w:p w14:paraId="47B76E4F" w14:textId="0869D1BE" w:rsidR="007E6062" w:rsidRPr="003311C9" w:rsidRDefault="007E6062" w:rsidP="00DC4658">
            <w:pPr>
              <w:shd w:val="clear" w:color="auto" w:fill="FFFFFF"/>
              <w:jc w:val="both"/>
            </w:pPr>
            <w:r w:rsidRPr="003311C9">
              <w:t xml:space="preserve">Ņemot vērā iepriekš minēto, noteikumu Nr.103 5. un 7.punktā tiek svītrots informācijas sistēmā </w:t>
            </w:r>
            <w:r w:rsidR="00891D8F">
              <w:t xml:space="preserve">BURVIS </w:t>
            </w:r>
            <w:r w:rsidRPr="003311C9">
              <w:t>iekļaujamo datu apjoms</w:t>
            </w:r>
            <w:r w:rsidR="00891D8F">
              <w:t xml:space="preserve"> un tiek </w:t>
            </w:r>
            <w:bookmarkStart w:id="0" w:name="_GoBack"/>
            <w:bookmarkEnd w:id="0"/>
            <w:r w:rsidRPr="003311C9">
              <w:t>notei</w:t>
            </w:r>
            <w:r w:rsidR="00891D8F">
              <w:t>kts</w:t>
            </w:r>
            <w:r w:rsidRPr="003311C9">
              <w:t xml:space="preserve">, ka informāciju par personu, kurai piešķir bezdarbnieka vai darba meklētāja statusu, Nodarbinātības valsts aģentūra apstrādā </w:t>
            </w:r>
            <w:r w:rsidR="00891D8F">
              <w:t>i</w:t>
            </w:r>
            <w:r w:rsidRPr="003311C9">
              <w:t xml:space="preserve">nformācijas sistēmā </w:t>
            </w:r>
            <w:r w:rsidR="00891D8F">
              <w:t>BURVIS</w:t>
            </w:r>
            <w:r w:rsidR="00AB6F82">
              <w:t xml:space="preserve"> </w:t>
            </w:r>
            <w:r w:rsidRPr="003311C9">
              <w:t>saskaņā ar noteikumos</w:t>
            </w:r>
            <w:r w:rsidR="00F14D13" w:rsidRPr="003311C9">
              <w:t xml:space="preserve"> Nr.172</w:t>
            </w:r>
            <w:r w:rsidRPr="003311C9">
              <w:t xml:space="preserve"> noteikto. Papildus tiek attiecīgi precizēt</w:t>
            </w:r>
            <w:r w:rsidR="00527292" w:rsidRPr="003311C9">
              <w:t>s</w:t>
            </w:r>
            <w:r w:rsidRPr="003311C9">
              <w:t xml:space="preserve"> MK noteikumu Nr.103 6.punkts.</w:t>
            </w:r>
          </w:p>
          <w:p w14:paraId="739E9B1B" w14:textId="11C5891C" w:rsidR="003311C9" w:rsidRPr="003311C9" w:rsidRDefault="003311C9" w:rsidP="003311C9">
            <w:pPr>
              <w:shd w:val="clear" w:color="auto" w:fill="FFFFFF"/>
              <w:jc w:val="both"/>
            </w:pPr>
            <w:r w:rsidRPr="003311C9">
              <w:t xml:space="preserve">   2)  Ievērojot, ka praksē rodas situācijas, kad persona, kas iesniegusi iesniegumu bezdarbnieka vai darba meklētāja statusa piešķiršanai neklātienē, noteiktajā dienā neierodas aģentūras filiālē, noteikumu Nr.103 4.punktu nepieciešams papildināt </w:t>
            </w:r>
            <w:r w:rsidR="00891D8F">
              <w:t>un noteikt, ka</w:t>
            </w:r>
            <w:r w:rsidRPr="003311C9">
              <w:t xml:space="preserve"> persona</w:t>
            </w:r>
            <w:r w:rsidR="00891D8F">
              <w:t>i ir</w:t>
            </w:r>
            <w:r w:rsidRPr="003311C9">
              <w:t xml:space="preserve"> pienākums ierasties aģentūras filiālē 5 darbdienu laikā no </w:t>
            </w:r>
            <w:r w:rsidRPr="003311C9">
              <w:lastRenderedPageBreak/>
              <w:t>uzaicinājuma saņemšanas dienas.</w:t>
            </w:r>
          </w:p>
          <w:p w14:paraId="761276FD" w14:textId="7641D46B" w:rsidR="007E6062" w:rsidRPr="003311C9" w:rsidRDefault="003311C9" w:rsidP="007E6062">
            <w:pPr>
              <w:shd w:val="clear" w:color="auto" w:fill="FFFFFF"/>
              <w:jc w:val="both"/>
            </w:pPr>
            <w:r w:rsidRPr="003311C9">
              <w:t>   3</w:t>
            </w:r>
            <w:r w:rsidR="007E6062" w:rsidRPr="003311C9">
              <w:t xml:space="preserve">) </w:t>
            </w:r>
            <w:r w:rsidR="00F14D13" w:rsidRPr="003311C9">
              <w:t xml:space="preserve">Bezdarbnieku un darba meklētāju atbalsta likuma 10.panta ceturtā daļa un 15.panta </w:t>
            </w:r>
            <w:r w:rsidR="00891D8F">
              <w:t>1.</w:t>
            </w:r>
            <w:r w:rsidR="00891D8F" w:rsidRPr="00DC4658">
              <w:rPr>
                <w:vertAlign w:val="superscript"/>
              </w:rPr>
              <w:t>1</w:t>
            </w:r>
            <w:r w:rsidR="00F14D13" w:rsidRPr="003311C9">
              <w:t xml:space="preserve"> daļa noteic, ka iesniegumu bezdarbnieka vai darba meklētāja statusa piešķiršanai persona iesniedz Nodarbinātības v</w:t>
            </w:r>
            <w:r w:rsidR="004F503E" w:rsidRPr="003311C9">
              <w:t>alsts aģentūrai. Turklāt minētajās</w:t>
            </w:r>
            <w:r w:rsidR="00555585" w:rsidRPr="003311C9">
              <w:t xml:space="preserve"> tiesību</w:t>
            </w:r>
            <w:r w:rsidR="00F14D13" w:rsidRPr="003311C9">
              <w:t xml:space="preserve"> normās personai tiek nodrošināta iespēja iesniegt iesniegumu, izmantojot vienotajā valsts un pašvaldību pakalpojumu portālā </w:t>
            </w:r>
            <w:hyperlink r:id="rId9" w:history="1">
              <w:r w:rsidR="00F14D13" w:rsidRPr="003311C9">
                <w:rPr>
                  <w:rStyle w:val="Hyperlink"/>
                  <w:color w:val="auto"/>
                </w:rPr>
                <w:t>www.latvija.lv</w:t>
              </w:r>
            </w:hyperlink>
            <w:r w:rsidR="00F14D13" w:rsidRPr="003311C9">
              <w:t xml:space="preserve"> šim nolūkam izveidotu tiešsaistes formu, lietojot portālā pieejamos autentifikācijas līdzekļus. </w:t>
            </w:r>
            <w:r w:rsidR="007E6062" w:rsidRPr="003311C9">
              <w:t>Šobrīd noteikumu Nr.103 3. un 4.punkts paredz, ka persona var pieteikties bezdarbnieka vai darba meklētāja statusa piešķiršanai, iesniedzot iesniegumu personīgi, ar drošu elektronisko parakstu parakstīt</w:t>
            </w:r>
            <w:r w:rsidR="00891D8F">
              <w:t>u</w:t>
            </w:r>
            <w:r w:rsidR="007E6062" w:rsidRPr="003311C9">
              <w:t xml:space="preserve"> iesniegumu </w:t>
            </w:r>
            <w:r w:rsidR="00891D8F">
              <w:t xml:space="preserve">ar laika zīmogu </w:t>
            </w:r>
            <w:r w:rsidR="007E6062" w:rsidRPr="003311C9">
              <w:t xml:space="preserve">vai nosūtot iesniegumu pa pastu. </w:t>
            </w:r>
          </w:p>
          <w:p w14:paraId="0283688D" w14:textId="567F0488" w:rsidR="007E6062" w:rsidRPr="003311C9" w:rsidRDefault="007E6062" w:rsidP="007E6062">
            <w:pPr>
              <w:shd w:val="clear" w:color="auto" w:fill="FFFFFF"/>
              <w:jc w:val="both"/>
            </w:pPr>
            <w:r w:rsidRPr="003311C9">
              <w:t>Ievērojot, ka tiesības iesniegt valsts iestādēs dokumentus elektroniskā veidā tiek noteiktas attiecīgi Elektronisko dokumentu likum</w:t>
            </w:r>
            <w:r w:rsidR="00527292" w:rsidRPr="003311C9">
              <w:t>ā un</w:t>
            </w:r>
            <w:r w:rsidR="00656B55" w:rsidRPr="003311C9">
              <w:t xml:space="preserve"> Oficiālās elektroniskās adreses</w:t>
            </w:r>
            <w:r w:rsidRPr="003311C9">
              <w:t xml:space="preserve"> likumā, Noteikumu Nr.103 4.punkts tiek precizēts, norādot, ka Noteikumu Nr.103 4.punktā noteiktā kārtība tiek piemērota gadījumos, kad iesniegums bezdarbnieka vai darba meklētāja statusa piešķiršanai netiek iesniegts personīgi, ierodoties kādā no Nodarbinātības valsts aģentūras filiālēm. </w:t>
            </w:r>
          </w:p>
          <w:p w14:paraId="45CC3740" w14:textId="721917EA" w:rsidR="007E6062" w:rsidRPr="007E6062" w:rsidRDefault="007E6062" w:rsidP="007E6062">
            <w:pPr>
              <w:shd w:val="clear" w:color="auto" w:fill="FFFFFF"/>
              <w:ind w:firstLine="300"/>
              <w:jc w:val="both"/>
              <w:rPr>
                <w:color w:val="414142"/>
                <w:sz w:val="28"/>
                <w:szCs w:val="28"/>
              </w:rPr>
            </w:pPr>
          </w:p>
        </w:tc>
      </w:tr>
      <w:tr w:rsidR="0088245C" w14:paraId="5425C9CD" w14:textId="77777777">
        <w:tc>
          <w:tcPr>
            <w:tcW w:w="213" w:type="pct"/>
            <w:shd w:val="clear" w:color="auto" w:fill="auto"/>
          </w:tcPr>
          <w:p w14:paraId="640907D7" w14:textId="3D6BB980" w:rsidR="0088245C" w:rsidRDefault="00A4024F">
            <w:pPr>
              <w:rPr>
                <w:sz w:val="22"/>
                <w:szCs w:val="22"/>
              </w:rPr>
            </w:pPr>
            <w:r>
              <w:rPr>
                <w:sz w:val="22"/>
                <w:szCs w:val="22"/>
              </w:rPr>
              <w:lastRenderedPageBreak/>
              <w:t>3.</w:t>
            </w:r>
          </w:p>
        </w:tc>
        <w:tc>
          <w:tcPr>
            <w:tcW w:w="1654" w:type="pct"/>
            <w:shd w:val="clear" w:color="auto" w:fill="auto"/>
          </w:tcPr>
          <w:p w14:paraId="497EBF7C" w14:textId="77777777" w:rsidR="0088245C" w:rsidRDefault="00A4024F">
            <w:r>
              <w:t>Projekta izstrādē iesaistītās institūcijas</w:t>
            </w:r>
          </w:p>
        </w:tc>
        <w:tc>
          <w:tcPr>
            <w:tcW w:w="3133" w:type="pct"/>
            <w:shd w:val="clear" w:color="auto" w:fill="auto"/>
          </w:tcPr>
          <w:p w14:paraId="6B77207A" w14:textId="2A26F3BF" w:rsidR="0088245C" w:rsidRPr="006F6F65" w:rsidRDefault="007E6062">
            <w:pPr>
              <w:jc w:val="both"/>
              <w:rPr>
                <w:iCs/>
                <w:color w:val="000000"/>
              </w:rPr>
            </w:pPr>
            <w:r>
              <w:rPr>
                <w:iCs/>
                <w:color w:val="000000"/>
              </w:rPr>
              <w:t>Nodarbinātības valsts aģentūra</w:t>
            </w:r>
          </w:p>
        </w:tc>
      </w:tr>
      <w:tr w:rsidR="0088245C" w14:paraId="5D487102" w14:textId="77777777">
        <w:tc>
          <w:tcPr>
            <w:tcW w:w="213" w:type="pct"/>
            <w:shd w:val="clear" w:color="auto" w:fill="auto"/>
          </w:tcPr>
          <w:p w14:paraId="48BBA373" w14:textId="77777777" w:rsidR="0088245C" w:rsidRDefault="00A4024F">
            <w:pPr>
              <w:rPr>
                <w:sz w:val="22"/>
                <w:szCs w:val="22"/>
              </w:rPr>
            </w:pPr>
            <w:r>
              <w:rPr>
                <w:sz w:val="22"/>
                <w:szCs w:val="22"/>
              </w:rPr>
              <w:t xml:space="preserve">4. </w:t>
            </w:r>
          </w:p>
        </w:tc>
        <w:tc>
          <w:tcPr>
            <w:tcW w:w="1654" w:type="pct"/>
            <w:shd w:val="clear" w:color="auto" w:fill="auto"/>
          </w:tcPr>
          <w:p w14:paraId="62F7C00F" w14:textId="77777777" w:rsidR="0088245C" w:rsidRDefault="00A4024F">
            <w:r>
              <w:t>Cita informācija</w:t>
            </w:r>
          </w:p>
          <w:p w14:paraId="617A54C8" w14:textId="77777777" w:rsidR="00A53731" w:rsidRDefault="00A53731"/>
        </w:tc>
        <w:tc>
          <w:tcPr>
            <w:tcW w:w="3133" w:type="pct"/>
            <w:shd w:val="clear" w:color="auto" w:fill="auto"/>
          </w:tcPr>
          <w:p w14:paraId="2D136CFA" w14:textId="77777777" w:rsidR="0088245C" w:rsidRDefault="00A4024F">
            <w:pPr>
              <w:jc w:val="both"/>
              <w:rPr>
                <w:color w:val="000000"/>
              </w:rPr>
            </w:pPr>
            <w:r>
              <w:rPr>
                <w:color w:val="000000"/>
              </w:rPr>
              <w:t>Nav.</w:t>
            </w:r>
          </w:p>
        </w:tc>
      </w:tr>
    </w:tbl>
    <w:p w14:paraId="3F2450CA" w14:textId="77777777" w:rsidR="0088245C" w:rsidRDefault="0088245C" w:rsidP="00EC135B"/>
    <w:p w14:paraId="31BC16FF" w14:textId="77777777" w:rsidR="00EC135B" w:rsidRDefault="00EC135B" w:rsidP="00EC1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8245C" w14:paraId="2CF0B496" w14:textId="77777777">
        <w:tc>
          <w:tcPr>
            <w:tcW w:w="9287" w:type="dxa"/>
            <w:gridSpan w:val="3"/>
            <w:shd w:val="clear" w:color="auto" w:fill="auto"/>
          </w:tcPr>
          <w:p w14:paraId="6F3C20E8" w14:textId="77777777" w:rsidR="0088245C" w:rsidRDefault="00A4024F">
            <w:pPr>
              <w:pStyle w:val="naisnod"/>
              <w:spacing w:before="0" w:after="0"/>
              <w:ind w:left="57" w:right="57"/>
              <w:rPr>
                <w:b w:val="0"/>
              </w:rPr>
            </w:pPr>
            <w:r>
              <w:t>II.</w:t>
            </w:r>
            <w:r>
              <w:rPr>
                <w:b w:val="0"/>
              </w:rPr>
              <w:t xml:space="preserve"> </w:t>
            </w:r>
            <w:r>
              <w:t>Tiesību akta projekta ietekme uz sabiedrību, tautsaimniecības attīstību</w:t>
            </w:r>
          </w:p>
          <w:p w14:paraId="70C76814" w14:textId="77777777" w:rsidR="0088245C" w:rsidRDefault="00A4024F">
            <w:pPr>
              <w:jc w:val="center"/>
              <w:rPr>
                <w:b/>
              </w:rPr>
            </w:pPr>
            <w:r>
              <w:rPr>
                <w:b/>
              </w:rPr>
              <w:t>un administratīvo slogu</w:t>
            </w:r>
          </w:p>
        </w:tc>
      </w:tr>
      <w:tr w:rsidR="0088245C" w14:paraId="1A536770" w14:textId="77777777">
        <w:tc>
          <w:tcPr>
            <w:tcW w:w="396" w:type="dxa"/>
            <w:shd w:val="clear" w:color="auto" w:fill="auto"/>
          </w:tcPr>
          <w:p w14:paraId="294CB8EF" w14:textId="77777777" w:rsidR="0088245C" w:rsidRDefault="00A4024F">
            <w:pPr>
              <w:rPr>
                <w:sz w:val="22"/>
                <w:szCs w:val="22"/>
              </w:rPr>
            </w:pPr>
            <w:r>
              <w:rPr>
                <w:sz w:val="22"/>
                <w:szCs w:val="22"/>
              </w:rPr>
              <w:t>1.</w:t>
            </w:r>
          </w:p>
        </w:tc>
        <w:tc>
          <w:tcPr>
            <w:tcW w:w="3072" w:type="dxa"/>
            <w:shd w:val="clear" w:color="auto" w:fill="auto"/>
          </w:tcPr>
          <w:p w14:paraId="7F5F6583" w14:textId="77777777" w:rsidR="0088245C" w:rsidRDefault="00A4024F">
            <w:pPr>
              <w:rPr>
                <w:sz w:val="22"/>
                <w:szCs w:val="22"/>
              </w:rPr>
            </w:pPr>
            <w:r>
              <w:t>Sabiedrības mērķgrupas, kuras tiesiskais regulējums ietekmē vai varētu ietekmēt</w:t>
            </w:r>
          </w:p>
        </w:tc>
        <w:tc>
          <w:tcPr>
            <w:tcW w:w="5819" w:type="dxa"/>
            <w:shd w:val="clear" w:color="auto" w:fill="auto"/>
          </w:tcPr>
          <w:p w14:paraId="09C657BE" w14:textId="77777777" w:rsidR="0088245C" w:rsidRDefault="00A4024F" w:rsidP="002B5D3B">
            <w:pPr>
              <w:jc w:val="both"/>
              <w:rPr>
                <w:iCs/>
                <w:color w:val="000000"/>
              </w:rPr>
            </w:pPr>
            <w:r>
              <w:rPr>
                <w:iCs/>
                <w:color w:val="000000"/>
              </w:rPr>
              <w:t>Noteikumu projekts attiecas uz:</w:t>
            </w:r>
          </w:p>
          <w:p w14:paraId="1920BEF6" w14:textId="1A34D698" w:rsidR="0088245C" w:rsidRPr="00527292" w:rsidRDefault="00A4024F" w:rsidP="00451338">
            <w:pPr>
              <w:pStyle w:val="ListParagraph"/>
              <w:numPr>
                <w:ilvl w:val="0"/>
                <w:numId w:val="37"/>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Aģentūrā reģistrētajiem bezdarbniekiem un darba meklētājiem (tai skaitā tiem darba meklētājiem, kas nav reģistrējušies Aģentūrā, bet iekļauj savus dzīves</w:t>
            </w:r>
            <w:r w:rsidR="00C10D35">
              <w:rPr>
                <w:rFonts w:ascii="Times New Roman" w:hAnsi="Times New Roman"/>
                <w:iCs/>
                <w:color w:val="000000"/>
                <w:sz w:val="24"/>
                <w:szCs w:val="24"/>
              </w:rPr>
              <w:t xml:space="preserve"> gājuma</w:t>
            </w:r>
            <w:r>
              <w:rPr>
                <w:rFonts w:ascii="Times New Roman" w:hAnsi="Times New Roman"/>
                <w:iCs/>
                <w:color w:val="000000"/>
                <w:sz w:val="24"/>
                <w:szCs w:val="24"/>
              </w:rPr>
              <w:t xml:space="preserve"> aprakstus (CV) informācijas </w:t>
            </w:r>
            <w:r w:rsidRPr="00527292">
              <w:rPr>
                <w:rFonts w:ascii="Times New Roman" w:hAnsi="Times New Roman"/>
                <w:iCs/>
                <w:color w:val="000000"/>
                <w:sz w:val="24"/>
                <w:szCs w:val="24"/>
              </w:rPr>
              <w:t>sistēmā BURVIS);</w:t>
            </w:r>
          </w:p>
          <w:p w14:paraId="0EACE6A3" w14:textId="77777777" w:rsidR="0088245C" w:rsidRPr="00527292" w:rsidRDefault="00A4024F" w:rsidP="002B5D3B">
            <w:pPr>
              <w:jc w:val="both"/>
              <w:rPr>
                <w:iCs/>
                <w:color w:val="000000"/>
              </w:rPr>
            </w:pPr>
            <w:r w:rsidRPr="00527292">
              <w:rPr>
                <w:iCs/>
                <w:color w:val="000000"/>
              </w:rPr>
              <w:t>Atbilstoši Aģentūras statistiskajai informācijai:</w:t>
            </w:r>
          </w:p>
          <w:p w14:paraId="1A18BE5A" w14:textId="14446288" w:rsidR="0088245C" w:rsidRPr="00527292" w:rsidRDefault="00527292" w:rsidP="00451338">
            <w:pPr>
              <w:pStyle w:val="ListParagraph"/>
              <w:numPr>
                <w:ilvl w:val="0"/>
                <w:numId w:val="39"/>
              </w:numPr>
              <w:spacing w:line="240" w:lineRule="auto"/>
              <w:jc w:val="both"/>
              <w:rPr>
                <w:rFonts w:ascii="Times New Roman" w:hAnsi="Times New Roman"/>
                <w:iCs/>
                <w:color w:val="000000"/>
                <w:sz w:val="24"/>
                <w:szCs w:val="24"/>
              </w:rPr>
            </w:pPr>
            <w:r w:rsidRPr="00527292">
              <w:rPr>
                <w:rFonts w:ascii="Times New Roman" w:hAnsi="Times New Roman"/>
                <w:iCs/>
                <w:color w:val="000000"/>
                <w:sz w:val="24"/>
                <w:szCs w:val="24"/>
              </w:rPr>
              <w:t>2017.gada aprīļa sākumā 76 435</w:t>
            </w:r>
            <w:r w:rsidR="00A4024F" w:rsidRPr="00527292">
              <w:rPr>
                <w:rFonts w:ascii="Times New Roman" w:hAnsi="Times New Roman"/>
                <w:iCs/>
                <w:color w:val="000000"/>
                <w:sz w:val="24"/>
                <w:szCs w:val="24"/>
              </w:rPr>
              <w:t xml:space="preserve"> personas atradās bezdarbnieka statusā, savukārt </w:t>
            </w:r>
            <w:r w:rsidR="00A4024F" w:rsidRPr="00527292">
              <w:rPr>
                <w:rFonts w:ascii="Times New Roman" w:hAnsi="Times New Roman"/>
                <w:iCs/>
                <w:sz w:val="24"/>
                <w:szCs w:val="24"/>
              </w:rPr>
              <w:t>1</w:t>
            </w:r>
            <w:r w:rsidRPr="00527292">
              <w:rPr>
                <w:rFonts w:ascii="Times New Roman" w:hAnsi="Times New Roman"/>
                <w:iCs/>
                <w:sz w:val="24"/>
                <w:szCs w:val="24"/>
              </w:rPr>
              <w:t>96</w:t>
            </w:r>
            <w:r w:rsidR="00A4024F" w:rsidRPr="00527292">
              <w:rPr>
                <w:rFonts w:ascii="Times New Roman" w:hAnsi="Times New Roman"/>
                <w:iCs/>
                <w:color w:val="FF0000"/>
                <w:sz w:val="24"/>
                <w:szCs w:val="24"/>
              </w:rPr>
              <w:t xml:space="preserve"> </w:t>
            </w:r>
            <w:r w:rsidR="00A4024F" w:rsidRPr="00527292">
              <w:rPr>
                <w:rFonts w:ascii="Times New Roman" w:hAnsi="Times New Roman"/>
                <w:iCs/>
                <w:color w:val="000000"/>
                <w:sz w:val="24"/>
                <w:szCs w:val="24"/>
              </w:rPr>
              <w:t>personas atradās darba meklētāja statusā;</w:t>
            </w:r>
          </w:p>
          <w:p w14:paraId="5EB9D5FE" w14:textId="3361C0C0" w:rsidR="0088245C" w:rsidRDefault="0088245C" w:rsidP="007E6062">
            <w:pPr>
              <w:pStyle w:val="ListParagraph"/>
              <w:spacing w:line="240" w:lineRule="auto"/>
              <w:ind w:left="780"/>
              <w:jc w:val="both"/>
              <w:rPr>
                <w:rFonts w:ascii="Times New Roman" w:hAnsi="Times New Roman"/>
                <w:iCs/>
                <w:color w:val="000000"/>
                <w:sz w:val="24"/>
                <w:szCs w:val="24"/>
              </w:rPr>
            </w:pPr>
          </w:p>
        </w:tc>
      </w:tr>
      <w:tr w:rsidR="0088245C" w14:paraId="152B4E02" w14:textId="77777777">
        <w:tc>
          <w:tcPr>
            <w:tcW w:w="396" w:type="dxa"/>
            <w:shd w:val="clear" w:color="auto" w:fill="auto"/>
          </w:tcPr>
          <w:p w14:paraId="0CB3F853" w14:textId="77777777" w:rsidR="0088245C" w:rsidRDefault="00A4024F">
            <w:pPr>
              <w:rPr>
                <w:sz w:val="22"/>
                <w:szCs w:val="22"/>
              </w:rPr>
            </w:pPr>
            <w:r>
              <w:rPr>
                <w:sz w:val="22"/>
                <w:szCs w:val="22"/>
              </w:rPr>
              <w:t xml:space="preserve">2. </w:t>
            </w:r>
          </w:p>
        </w:tc>
        <w:tc>
          <w:tcPr>
            <w:tcW w:w="3072" w:type="dxa"/>
            <w:shd w:val="clear" w:color="auto" w:fill="auto"/>
          </w:tcPr>
          <w:p w14:paraId="6F4A4A50" w14:textId="77777777" w:rsidR="0088245C" w:rsidRDefault="00A4024F">
            <w:r>
              <w:t>Tiesiskā regulējuma ietekme uz tautsaimniecību un administratīvo slogu</w:t>
            </w:r>
          </w:p>
        </w:tc>
        <w:tc>
          <w:tcPr>
            <w:tcW w:w="5819" w:type="dxa"/>
            <w:shd w:val="clear" w:color="auto" w:fill="auto"/>
          </w:tcPr>
          <w:p w14:paraId="1011C7D1" w14:textId="77777777" w:rsidR="0088245C" w:rsidRDefault="00A4024F">
            <w:pPr>
              <w:jc w:val="both"/>
              <w:rPr>
                <w:color w:val="000000"/>
              </w:rPr>
            </w:pPr>
            <w:r>
              <w:rPr>
                <w:iCs/>
                <w:color w:val="000000"/>
              </w:rPr>
              <w:t>Noteikumu projekts šo jomu neskar.</w:t>
            </w:r>
          </w:p>
        </w:tc>
      </w:tr>
      <w:tr w:rsidR="0088245C" w14:paraId="6A4F77FA" w14:textId="77777777">
        <w:tc>
          <w:tcPr>
            <w:tcW w:w="396" w:type="dxa"/>
            <w:shd w:val="clear" w:color="auto" w:fill="auto"/>
          </w:tcPr>
          <w:p w14:paraId="395C553B" w14:textId="77777777" w:rsidR="0088245C" w:rsidRDefault="00A4024F">
            <w:pPr>
              <w:rPr>
                <w:sz w:val="22"/>
                <w:szCs w:val="22"/>
              </w:rPr>
            </w:pPr>
            <w:r>
              <w:rPr>
                <w:sz w:val="22"/>
                <w:szCs w:val="22"/>
              </w:rPr>
              <w:t>3.</w:t>
            </w:r>
          </w:p>
        </w:tc>
        <w:tc>
          <w:tcPr>
            <w:tcW w:w="3072" w:type="dxa"/>
            <w:shd w:val="clear" w:color="auto" w:fill="auto"/>
          </w:tcPr>
          <w:p w14:paraId="263E7C3F" w14:textId="77777777" w:rsidR="0088245C" w:rsidRDefault="00A4024F">
            <w:r>
              <w:t>Administratīvo izmaksu monetārs novērtējums</w:t>
            </w:r>
          </w:p>
        </w:tc>
        <w:tc>
          <w:tcPr>
            <w:tcW w:w="5819" w:type="dxa"/>
            <w:shd w:val="clear" w:color="auto" w:fill="auto"/>
          </w:tcPr>
          <w:p w14:paraId="46313F20" w14:textId="77777777" w:rsidR="0088245C" w:rsidRDefault="00A4024F">
            <w:pPr>
              <w:jc w:val="both"/>
              <w:rPr>
                <w:i/>
                <w:color w:val="000000"/>
              </w:rPr>
            </w:pPr>
            <w:r>
              <w:rPr>
                <w:iCs/>
                <w:color w:val="000000"/>
              </w:rPr>
              <w:t>Noteikumu projekts šo jomu neskar.</w:t>
            </w:r>
          </w:p>
        </w:tc>
      </w:tr>
      <w:tr w:rsidR="0088245C" w14:paraId="2B5183AC" w14:textId="77777777">
        <w:tc>
          <w:tcPr>
            <w:tcW w:w="396" w:type="dxa"/>
            <w:shd w:val="clear" w:color="auto" w:fill="auto"/>
          </w:tcPr>
          <w:p w14:paraId="05BAAB5C" w14:textId="77777777" w:rsidR="0088245C" w:rsidRDefault="00A4024F">
            <w:pPr>
              <w:rPr>
                <w:sz w:val="22"/>
                <w:szCs w:val="22"/>
              </w:rPr>
            </w:pPr>
            <w:r>
              <w:rPr>
                <w:sz w:val="22"/>
                <w:szCs w:val="22"/>
              </w:rPr>
              <w:t xml:space="preserve">4. </w:t>
            </w:r>
          </w:p>
        </w:tc>
        <w:tc>
          <w:tcPr>
            <w:tcW w:w="3072" w:type="dxa"/>
            <w:shd w:val="clear" w:color="auto" w:fill="auto"/>
          </w:tcPr>
          <w:p w14:paraId="654C8D5C" w14:textId="77777777" w:rsidR="0088245C" w:rsidRDefault="00A4024F">
            <w:r>
              <w:t>Cita informācija</w:t>
            </w:r>
          </w:p>
        </w:tc>
        <w:tc>
          <w:tcPr>
            <w:tcW w:w="5819" w:type="dxa"/>
            <w:shd w:val="clear" w:color="auto" w:fill="auto"/>
          </w:tcPr>
          <w:p w14:paraId="44D7F151" w14:textId="77777777" w:rsidR="0088245C" w:rsidRDefault="00A4024F">
            <w:pPr>
              <w:jc w:val="both"/>
              <w:rPr>
                <w:iCs/>
                <w:color w:val="000000"/>
              </w:rPr>
            </w:pPr>
            <w:r>
              <w:rPr>
                <w:iCs/>
                <w:color w:val="000000"/>
              </w:rPr>
              <w:t>Nav.</w:t>
            </w:r>
          </w:p>
        </w:tc>
      </w:tr>
    </w:tbl>
    <w:p w14:paraId="170D27C5" w14:textId="77777777" w:rsidR="001A7FDB" w:rsidRDefault="001A7FDB"/>
    <w:p w14:paraId="0B1B829E" w14:textId="77777777" w:rsidR="00ED49FB" w:rsidRDefault="00ED49FB"/>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3056"/>
        <w:gridCol w:w="5865"/>
      </w:tblGrid>
      <w:tr w:rsidR="0088245C" w14:paraId="31077D03" w14:textId="77777777" w:rsidTr="003311C9">
        <w:trPr>
          <w:trHeight w:val="281"/>
        </w:trPr>
        <w:tc>
          <w:tcPr>
            <w:tcW w:w="9327" w:type="dxa"/>
            <w:gridSpan w:val="3"/>
            <w:shd w:val="clear" w:color="auto" w:fill="auto"/>
          </w:tcPr>
          <w:p w14:paraId="343A0611" w14:textId="77777777" w:rsidR="0088245C" w:rsidRDefault="00A4024F">
            <w:pPr>
              <w:jc w:val="center"/>
              <w:rPr>
                <w:b/>
              </w:rPr>
            </w:pPr>
            <w:r>
              <w:rPr>
                <w:b/>
              </w:rPr>
              <w:t>VI. Sabiedrības līdzdalība un komunikācijas aktivitātes</w:t>
            </w:r>
          </w:p>
        </w:tc>
      </w:tr>
      <w:tr w:rsidR="0088245C" w14:paraId="23AF7BAF" w14:textId="77777777" w:rsidTr="003311C9">
        <w:trPr>
          <w:trHeight w:val="1141"/>
        </w:trPr>
        <w:tc>
          <w:tcPr>
            <w:tcW w:w="406" w:type="dxa"/>
            <w:shd w:val="clear" w:color="auto" w:fill="auto"/>
          </w:tcPr>
          <w:p w14:paraId="0753B6D5" w14:textId="77777777" w:rsidR="0088245C" w:rsidRDefault="00A4024F">
            <w:r>
              <w:t xml:space="preserve">1. </w:t>
            </w:r>
          </w:p>
        </w:tc>
        <w:tc>
          <w:tcPr>
            <w:tcW w:w="3056" w:type="dxa"/>
            <w:shd w:val="clear" w:color="auto" w:fill="auto"/>
          </w:tcPr>
          <w:p w14:paraId="3199BB95" w14:textId="77777777" w:rsidR="0088245C" w:rsidRDefault="00A4024F">
            <w:pPr>
              <w:pStyle w:val="naiskr"/>
              <w:spacing w:before="0" w:after="0"/>
              <w:ind w:left="57" w:right="57"/>
            </w:pPr>
            <w:r>
              <w:t>Plānotās sabiedrības līdzdalības un komunikācijas aktivitātes saistībā ar projektu</w:t>
            </w:r>
          </w:p>
        </w:tc>
        <w:tc>
          <w:tcPr>
            <w:tcW w:w="5865" w:type="dxa"/>
            <w:shd w:val="clear" w:color="auto" w:fill="auto"/>
          </w:tcPr>
          <w:p w14:paraId="71BE116D" w14:textId="6EFA9AE6" w:rsidR="0088245C" w:rsidRPr="00A53731" w:rsidRDefault="007E6062">
            <w:pPr>
              <w:jc w:val="both"/>
              <w:rPr>
                <w:i/>
              </w:rPr>
            </w:pPr>
            <w:r>
              <w:rPr>
                <w:iCs/>
              </w:rPr>
              <w:t>Noteikumu projekts 2017</w:t>
            </w:r>
            <w:r w:rsidR="00135DD3">
              <w:rPr>
                <w:iCs/>
              </w:rPr>
              <w:t>.gada aprīlī</w:t>
            </w:r>
            <w:r w:rsidR="00A4024F" w:rsidRPr="00A53731">
              <w:rPr>
                <w:iCs/>
              </w:rPr>
              <w:t xml:space="preserve"> sabiedrības līdzdalības nolūkos tika ievietots L</w:t>
            </w:r>
            <w:r w:rsidR="003311C9">
              <w:rPr>
                <w:iCs/>
              </w:rPr>
              <w:t>abklājības ministrijas</w:t>
            </w:r>
            <w:r w:rsidR="00A4024F" w:rsidRPr="00A53731">
              <w:rPr>
                <w:iCs/>
              </w:rPr>
              <w:t xml:space="preserve"> tīmekļa vietnē.</w:t>
            </w:r>
          </w:p>
        </w:tc>
      </w:tr>
      <w:tr w:rsidR="0088245C" w14:paraId="62AEA701" w14:textId="77777777" w:rsidTr="003311C9">
        <w:trPr>
          <w:trHeight w:val="681"/>
        </w:trPr>
        <w:tc>
          <w:tcPr>
            <w:tcW w:w="406" w:type="dxa"/>
            <w:shd w:val="clear" w:color="auto" w:fill="auto"/>
          </w:tcPr>
          <w:p w14:paraId="1E28B06F" w14:textId="77777777" w:rsidR="0088245C" w:rsidRDefault="00A4024F">
            <w:r>
              <w:t xml:space="preserve">2. </w:t>
            </w:r>
          </w:p>
        </w:tc>
        <w:tc>
          <w:tcPr>
            <w:tcW w:w="3056" w:type="dxa"/>
            <w:shd w:val="clear" w:color="auto" w:fill="auto"/>
          </w:tcPr>
          <w:p w14:paraId="1A054D38" w14:textId="77777777" w:rsidR="0088245C" w:rsidRDefault="00A4024F">
            <w:pPr>
              <w:pStyle w:val="naiskr"/>
              <w:spacing w:before="0" w:after="0"/>
              <w:ind w:left="57" w:right="57"/>
            </w:pPr>
            <w:r>
              <w:t xml:space="preserve">Sabiedrības līdzdalība projekta izstrādē </w:t>
            </w:r>
          </w:p>
        </w:tc>
        <w:tc>
          <w:tcPr>
            <w:tcW w:w="5865" w:type="dxa"/>
            <w:shd w:val="clear" w:color="auto" w:fill="auto"/>
          </w:tcPr>
          <w:p w14:paraId="58702E57" w14:textId="77C22ED2" w:rsidR="0088245C" w:rsidRPr="00A53731" w:rsidRDefault="007E6062">
            <w:pPr>
              <w:jc w:val="both"/>
              <w:rPr>
                <w:i/>
                <w:iCs/>
              </w:rPr>
            </w:pPr>
            <w:r>
              <w:rPr>
                <w:iCs/>
              </w:rPr>
              <w:t>Noteikumu projekts 2017</w:t>
            </w:r>
            <w:r w:rsidR="00135DD3">
              <w:rPr>
                <w:iCs/>
              </w:rPr>
              <w:t>.gada aprīlī</w:t>
            </w:r>
            <w:r w:rsidR="00A4024F" w:rsidRPr="00A53731">
              <w:rPr>
                <w:iCs/>
              </w:rPr>
              <w:t xml:space="preserve"> sabiedrības līdzd</w:t>
            </w:r>
            <w:r w:rsidR="003311C9">
              <w:rPr>
                <w:iCs/>
              </w:rPr>
              <w:t>alības nolūkos tika ievietots Labklājības ministrijas</w:t>
            </w:r>
            <w:r w:rsidR="00A4024F" w:rsidRPr="00A53731">
              <w:rPr>
                <w:iCs/>
              </w:rPr>
              <w:t xml:space="preserve"> tīmekļa vietnē.</w:t>
            </w:r>
          </w:p>
        </w:tc>
      </w:tr>
      <w:tr w:rsidR="0088245C" w14:paraId="5F79099C" w14:textId="77777777" w:rsidTr="003311C9">
        <w:trPr>
          <w:trHeight w:val="1720"/>
        </w:trPr>
        <w:tc>
          <w:tcPr>
            <w:tcW w:w="406" w:type="dxa"/>
            <w:shd w:val="clear" w:color="auto" w:fill="auto"/>
          </w:tcPr>
          <w:p w14:paraId="6149C4AD" w14:textId="77777777" w:rsidR="0088245C" w:rsidRDefault="00A4024F">
            <w:r>
              <w:t>3.</w:t>
            </w:r>
          </w:p>
        </w:tc>
        <w:tc>
          <w:tcPr>
            <w:tcW w:w="3056" w:type="dxa"/>
            <w:shd w:val="clear" w:color="auto" w:fill="auto"/>
          </w:tcPr>
          <w:p w14:paraId="660B0F97" w14:textId="77777777" w:rsidR="0088245C" w:rsidRDefault="00A4024F">
            <w:pPr>
              <w:pStyle w:val="naiskr"/>
              <w:spacing w:before="0" w:after="0"/>
              <w:ind w:left="57" w:right="57"/>
            </w:pPr>
            <w:r>
              <w:t xml:space="preserve">Sabiedrības līdzdalības rezultāti </w:t>
            </w:r>
          </w:p>
        </w:tc>
        <w:tc>
          <w:tcPr>
            <w:tcW w:w="5865" w:type="dxa"/>
            <w:shd w:val="clear" w:color="auto" w:fill="auto"/>
          </w:tcPr>
          <w:p w14:paraId="5161FF87" w14:textId="77777777" w:rsidR="0088245C" w:rsidRPr="00A53731" w:rsidRDefault="00A4024F">
            <w:pPr>
              <w:suppressAutoHyphens/>
              <w:ind w:right="57"/>
              <w:jc w:val="both"/>
              <w:rPr>
                <w:iCs/>
                <w:lang w:eastAsia="ar-SA"/>
              </w:rPr>
            </w:pPr>
            <w:r w:rsidRPr="00A53731">
              <w:rPr>
                <w:iCs/>
                <w:lang w:eastAsia="ar-SA"/>
              </w:rPr>
              <w:t>Individuālie sabiedrības</w:t>
            </w:r>
            <w:r w:rsidRPr="00A53731">
              <w:rPr>
                <w:b/>
                <w:iCs/>
                <w:lang w:eastAsia="ar-SA"/>
              </w:rPr>
              <w:t xml:space="preserve"> </w:t>
            </w:r>
            <w:r w:rsidRPr="00A53731">
              <w:rPr>
                <w:iCs/>
                <w:lang w:eastAsia="ar-SA"/>
              </w:rPr>
              <w:t>locekļu vērtējumi par Noteikumu projektu nav saņemti.</w:t>
            </w:r>
          </w:p>
          <w:p w14:paraId="3794B88F" w14:textId="257405F6" w:rsidR="0088245C" w:rsidRPr="00A53731" w:rsidRDefault="00A4024F" w:rsidP="003E4771">
            <w:pPr>
              <w:suppressAutoHyphens/>
              <w:ind w:right="57"/>
              <w:jc w:val="both"/>
              <w:rPr>
                <w:iCs/>
                <w:lang w:eastAsia="ar-SA"/>
              </w:rPr>
            </w:pPr>
            <w:r w:rsidRPr="00A53731">
              <w:rPr>
                <w:iCs/>
                <w:lang w:eastAsia="ar-SA"/>
              </w:rPr>
              <w:t>Noteikumu projekts oficiālās saskaņošanas ietvaros tiks saskaņots ar Latvijas Darba devēju konfederāciju, Latvijas Brīvo arodbiedrību savienību</w:t>
            </w:r>
            <w:r w:rsidR="003E4771">
              <w:rPr>
                <w:iCs/>
                <w:lang w:eastAsia="ar-SA"/>
              </w:rPr>
              <w:t>.</w:t>
            </w:r>
          </w:p>
        </w:tc>
      </w:tr>
      <w:tr w:rsidR="0088245C" w14:paraId="62E55EB4" w14:textId="77777777" w:rsidTr="003311C9">
        <w:trPr>
          <w:trHeight w:val="578"/>
        </w:trPr>
        <w:tc>
          <w:tcPr>
            <w:tcW w:w="406" w:type="dxa"/>
            <w:shd w:val="clear" w:color="auto" w:fill="auto"/>
          </w:tcPr>
          <w:p w14:paraId="41728056" w14:textId="77777777" w:rsidR="0088245C" w:rsidRDefault="00A4024F">
            <w:r>
              <w:t>4.</w:t>
            </w:r>
          </w:p>
        </w:tc>
        <w:tc>
          <w:tcPr>
            <w:tcW w:w="3056" w:type="dxa"/>
            <w:shd w:val="clear" w:color="auto" w:fill="auto"/>
          </w:tcPr>
          <w:p w14:paraId="60B234D6" w14:textId="77777777" w:rsidR="0088245C" w:rsidRDefault="00A4024F">
            <w:pPr>
              <w:pStyle w:val="naiskr"/>
              <w:spacing w:before="0" w:after="0"/>
              <w:ind w:left="57" w:right="57"/>
            </w:pPr>
            <w:r>
              <w:t>Cita informācija</w:t>
            </w:r>
          </w:p>
          <w:p w14:paraId="2FA1EE87" w14:textId="77777777" w:rsidR="0088245C" w:rsidRDefault="0088245C">
            <w:pPr>
              <w:pStyle w:val="naiskr"/>
              <w:spacing w:before="0" w:after="0"/>
              <w:ind w:left="57" w:right="57"/>
            </w:pPr>
          </w:p>
        </w:tc>
        <w:tc>
          <w:tcPr>
            <w:tcW w:w="5865" w:type="dxa"/>
            <w:shd w:val="clear" w:color="auto" w:fill="auto"/>
          </w:tcPr>
          <w:p w14:paraId="72488363" w14:textId="77777777" w:rsidR="0088245C" w:rsidRDefault="00A4024F">
            <w:pPr>
              <w:jc w:val="both"/>
              <w:rPr>
                <w:color w:val="000000"/>
              </w:rPr>
            </w:pPr>
            <w:r>
              <w:rPr>
                <w:color w:val="000000"/>
              </w:rPr>
              <w:t>Nav.</w:t>
            </w:r>
          </w:p>
        </w:tc>
      </w:tr>
    </w:tbl>
    <w:p w14:paraId="146F1568" w14:textId="77777777" w:rsidR="0088245C" w:rsidRDefault="0088245C" w:rsidP="00EC135B"/>
    <w:p w14:paraId="17CAFE5E" w14:textId="77777777" w:rsidR="00EC135B" w:rsidRDefault="00EC135B" w:rsidP="00EC135B"/>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013"/>
        <w:gridCol w:w="5913"/>
      </w:tblGrid>
      <w:tr w:rsidR="0088245C" w14:paraId="60675216" w14:textId="77777777" w:rsidTr="003311C9">
        <w:tc>
          <w:tcPr>
            <w:tcW w:w="9327" w:type="dxa"/>
            <w:gridSpan w:val="3"/>
            <w:shd w:val="clear" w:color="auto" w:fill="auto"/>
          </w:tcPr>
          <w:p w14:paraId="0494ED7C" w14:textId="77777777" w:rsidR="0088245C" w:rsidRPr="000F7167" w:rsidRDefault="00A4024F">
            <w:pPr>
              <w:jc w:val="center"/>
              <w:rPr>
                <w:b/>
              </w:rPr>
            </w:pPr>
            <w:r w:rsidRPr="000F7167">
              <w:rPr>
                <w:b/>
              </w:rPr>
              <w:t>VII. Tiesību akta projekta izpildes nodrošināšana un tās ietekme uz institūcijām</w:t>
            </w:r>
          </w:p>
        </w:tc>
      </w:tr>
      <w:tr w:rsidR="0088245C" w14:paraId="1B4D6908" w14:textId="77777777" w:rsidTr="003311C9">
        <w:tc>
          <w:tcPr>
            <w:tcW w:w="401" w:type="dxa"/>
            <w:shd w:val="clear" w:color="auto" w:fill="auto"/>
          </w:tcPr>
          <w:p w14:paraId="76C4FDFD" w14:textId="77777777" w:rsidR="0088245C" w:rsidRPr="000F7167" w:rsidRDefault="00A4024F">
            <w:r w:rsidRPr="000F7167">
              <w:t xml:space="preserve">1. </w:t>
            </w:r>
          </w:p>
        </w:tc>
        <w:tc>
          <w:tcPr>
            <w:tcW w:w="3013" w:type="dxa"/>
            <w:shd w:val="clear" w:color="auto" w:fill="auto"/>
          </w:tcPr>
          <w:p w14:paraId="7E50D79B" w14:textId="77777777" w:rsidR="0088245C" w:rsidRPr="000F7167" w:rsidRDefault="00A4024F">
            <w:r w:rsidRPr="000F7167">
              <w:t>Projekta izpildē iesaistītās institūcijas</w:t>
            </w:r>
          </w:p>
        </w:tc>
        <w:tc>
          <w:tcPr>
            <w:tcW w:w="5913" w:type="dxa"/>
            <w:shd w:val="clear" w:color="auto" w:fill="auto"/>
          </w:tcPr>
          <w:p w14:paraId="7E6C4985" w14:textId="3B160B2E" w:rsidR="0088245C" w:rsidRPr="000F7167" w:rsidRDefault="00A4024F" w:rsidP="007E6062">
            <w:pPr>
              <w:jc w:val="both"/>
              <w:rPr>
                <w:color w:val="000000"/>
              </w:rPr>
            </w:pPr>
            <w:r w:rsidRPr="000F7167">
              <w:rPr>
                <w:iCs/>
                <w:color w:val="000000"/>
              </w:rPr>
              <w:t xml:space="preserve">Noteikuma projekta izpildi nodrošinās </w:t>
            </w:r>
            <w:r w:rsidR="007E6062" w:rsidRPr="000F7167">
              <w:rPr>
                <w:iCs/>
                <w:color w:val="000000"/>
              </w:rPr>
              <w:t>Nodarbinātības valsts aģentūra.</w:t>
            </w:r>
          </w:p>
        </w:tc>
      </w:tr>
      <w:tr w:rsidR="0088245C" w14:paraId="2BAED747" w14:textId="77777777" w:rsidTr="003311C9">
        <w:tc>
          <w:tcPr>
            <w:tcW w:w="401" w:type="dxa"/>
            <w:shd w:val="clear" w:color="auto" w:fill="auto"/>
          </w:tcPr>
          <w:p w14:paraId="03C3192C" w14:textId="77777777" w:rsidR="0088245C" w:rsidRPr="000F7167" w:rsidRDefault="00A4024F">
            <w:r w:rsidRPr="000F7167">
              <w:t xml:space="preserve">2. </w:t>
            </w:r>
          </w:p>
        </w:tc>
        <w:tc>
          <w:tcPr>
            <w:tcW w:w="3013" w:type="dxa"/>
            <w:shd w:val="clear" w:color="auto" w:fill="auto"/>
          </w:tcPr>
          <w:p w14:paraId="6EA9687A" w14:textId="77777777" w:rsidR="0088245C" w:rsidRPr="000F7167" w:rsidRDefault="00A4024F">
            <w:r w:rsidRPr="000F7167">
              <w:t>Projekta izpildes ietekme uz pār</w:t>
            </w:r>
            <w:r w:rsidRPr="000F7167">
              <w:softHyphen/>
              <w:t>valdes funkcijām un institucionālo struktūru.</w:t>
            </w:r>
          </w:p>
          <w:p w14:paraId="7419F2B3" w14:textId="77777777" w:rsidR="0088245C" w:rsidRPr="000F7167" w:rsidRDefault="00A4024F">
            <w:r w:rsidRPr="000F7167">
              <w:t>Jaunu institūciju izveide, esošu institūciju likvidācija vai reorga</w:t>
            </w:r>
            <w:r w:rsidRPr="000F7167">
              <w:softHyphen/>
              <w:t>nizācija, to ietekme uz institūcijas cilvēkresursiem</w:t>
            </w:r>
          </w:p>
        </w:tc>
        <w:tc>
          <w:tcPr>
            <w:tcW w:w="5913" w:type="dxa"/>
            <w:shd w:val="clear" w:color="auto" w:fill="auto"/>
          </w:tcPr>
          <w:p w14:paraId="6D6B7ED0" w14:textId="77777777" w:rsidR="007E6062" w:rsidRPr="000F7167" w:rsidRDefault="00A4024F">
            <w:pPr>
              <w:jc w:val="both"/>
              <w:rPr>
                <w:color w:val="000000"/>
              </w:rPr>
            </w:pPr>
            <w:r w:rsidRPr="000F7167">
              <w:rPr>
                <w:color w:val="000000"/>
              </w:rPr>
              <w:t xml:space="preserve">Noteikumu projekts </w:t>
            </w:r>
            <w:r w:rsidR="007E6062" w:rsidRPr="000F7167">
              <w:rPr>
                <w:color w:val="000000"/>
              </w:rPr>
              <w:t>neietekmē pārvaldes institūciju funkcijas un institucionālo struktūru, kā arī neparedz jaunu institūciju izveidošanu un esošu institūciju likvidāciju vai reorganizāciju.</w:t>
            </w:r>
          </w:p>
          <w:p w14:paraId="3D02B38C" w14:textId="6F8B2A98" w:rsidR="0088245C" w:rsidRPr="000F7167" w:rsidRDefault="003311C9" w:rsidP="003311C9">
            <w:pPr>
              <w:tabs>
                <w:tab w:val="left" w:pos="4230"/>
              </w:tabs>
              <w:jc w:val="both"/>
              <w:rPr>
                <w:color w:val="000000"/>
              </w:rPr>
            </w:pPr>
            <w:r w:rsidRPr="000F7167">
              <w:rPr>
                <w:color w:val="000000"/>
              </w:rPr>
              <w:tab/>
            </w:r>
          </w:p>
        </w:tc>
      </w:tr>
      <w:tr w:rsidR="0088245C" w14:paraId="354ECDCE" w14:textId="77777777" w:rsidTr="003311C9">
        <w:tc>
          <w:tcPr>
            <w:tcW w:w="401" w:type="dxa"/>
            <w:shd w:val="clear" w:color="auto" w:fill="auto"/>
          </w:tcPr>
          <w:p w14:paraId="6D859B54" w14:textId="4FECE3AD" w:rsidR="0088245C" w:rsidRPr="000F7167" w:rsidRDefault="00A4024F">
            <w:r w:rsidRPr="000F7167">
              <w:t xml:space="preserve">3. </w:t>
            </w:r>
          </w:p>
        </w:tc>
        <w:tc>
          <w:tcPr>
            <w:tcW w:w="3013" w:type="dxa"/>
            <w:shd w:val="clear" w:color="auto" w:fill="auto"/>
          </w:tcPr>
          <w:p w14:paraId="618D2BCC" w14:textId="77777777" w:rsidR="0088245C" w:rsidRPr="000F7167" w:rsidRDefault="00A4024F">
            <w:r w:rsidRPr="000F7167">
              <w:t>Cita informācija</w:t>
            </w:r>
          </w:p>
          <w:p w14:paraId="39A4CBDE" w14:textId="77777777" w:rsidR="00EC135B" w:rsidRPr="000F7167" w:rsidRDefault="00EC135B"/>
        </w:tc>
        <w:tc>
          <w:tcPr>
            <w:tcW w:w="5913" w:type="dxa"/>
            <w:shd w:val="clear" w:color="auto" w:fill="auto"/>
          </w:tcPr>
          <w:p w14:paraId="022DE249" w14:textId="77777777" w:rsidR="0088245C" w:rsidRPr="000F7167" w:rsidRDefault="00A4024F">
            <w:pPr>
              <w:jc w:val="both"/>
              <w:rPr>
                <w:color w:val="000000"/>
              </w:rPr>
            </w:pPr>
            <w:r w:rsidRPr="000F7167">
              <w:rPr>
                <w:color w:val="000000"/>
              </w:rPr>
              <w:t>Nav.</w:t>
            </w:r>
          </w:p>
        </w:tc>
      </w:tr>
    </w:tbl>
    <w:p w14:paraId="73375B05" w14:textId="77777777" w:rsidR="0088245C" w:rsidRPr="000F7167" w:rsidRDefault="0088245C">
      <w:pPr>
        <w:rPr>
          <w:i/>
          <w:sz w:val="28"/>
          <w:szCs w:val="28"/>
        </w:rPr>
      </w:pPr>
    </w:p>
    <w:p w14:paraId="2DABBCAA" w14:textId="76D12AE0" w:rsidR="0088245C" w:rsidRPr="000F7167" w:rsidRDefault="00A4024F" w:rsidP="006D45E5">
      <w:pPr>
        <w:rPr>
          <w:i/>
          <w:sz w:val="26"/>
          <w:szCs w:val="26"/>
        </w:rPr>
      </w:pPr>
      <w:r w:rsidRPr="000F7167">
        <w:rPr>
          <w:i/>
          <w:sz w:val="26"/>
          <w:szCs w:val="26"/>
        </w:rPr>
        <w:t xml:space="preserve">Noteikumu projekts anotācijas </w:t>
      </w:r>
      <w:r w:rsidR="007E6062" w:rsidRPr="000F7167">
        <w:rPr>
          <w:i/>
          <w:sz w:val="26"/>
          <w:szCs w:val="26"/>
        </w:rPr>
        <w:t xml:space="preserve">III, IV un </w:t>
      </w:r>
      <w:r w:rsidRPr="000F7167">
        <w:rPr>
          <w:i/>
          <w:sz w:val="26"/>
          <w:szCs w:val="26"/>
        </w:rPr>
        <w:t>V sadaļu neskar.</w:t>
      </w:r>
    </w:p>
    <w:p w14:paraId="30718453" w14:textId="77777777" w:rsidR="0088245C" w:rsidRDefault="0088245C" w:rsidP="006D45E5"/>
    <w:p w14:paraId="05E740CE" w14:textId="77777777" w:rsidR="0088245C" w:rsidRDefault="0088245C" w:rsidP="006D45E5"/>
    <w:p w14:paraId="13ADD7C9" w14:textId="6938487C" w:rsidR="0088245C" w:rsidRPr="000F7167" w:rsidRDefault="00A4024F">
      <w:pPr>
        <w:ind w:firstLine="720"/>
        <w:rPr>
          <w:sz w:val="28"/>
          <w:szCs w:val="28"/>
        </w:rPr>
      </w:pPr>
      <w:r w:rsidRPr="000F7167">
        <w:rPr>
          <w:sz w:val="28"/>
          <w:szCs w:val="28"/>
        </w:rPr>
        <w:t>Lab</w:t>
      </w:r>
      <w:r w:rsidR="00A53731" w:rsidRPr="000F7167">
        <w:rPr>
          <w:sz w:val="28"/>
          <w:szCs w:val="28"/>
        </w:rPr>
        <w:t>klājības ministrs</w:t>
      </w:r>
      <w:r w:rsidR="00A53731" w:rsidRPr="000F7167">
        <w:rPr>
          <w:sz w:val="28"/>
          <w:szCs w:val="28"/>
        </w:rPr>
        <w:tab/>
      </w:r>
      <w:r w:rsidR="00A53731" w:rsidRPr="000F7167">
        <w:rPr>
          <w:sz w:val="28"/>
          <w:szCs w:val="28"/>
        </w:rPr>
        <w:tab/>
      </w:r>
      <w:r w:rsidR="00A53731" w:rsidRPr="000F7167">
        <w:rPr>
          <w:sz w:val="28"/>
          <w:szCs w:val="28"/>
        </w:rPr>
        <w:tab/>
      </w:r>
      <w:r w:rsidR="00A53731" w:rsidRPr="000F7167">
        <w:rPr>
          <w:sz w:val="28"/>
          <w:szCs w:val="28"/>
        </w:rPr>
        <w:tab/>
      </w:r>
      <w:r w:rsidR="003311C9" w:rsidRPr="000F7167">
        <w:rPr>
          <w:sz w:val="28"/>
          <w:szCs w:val="28"/>
        </w:rPr>
        <w:tab/>
      </w:r>
      <w:r w:rsidR="00A53731" w:rsidRPr="000F7167">
        <w:rPr>
          <w:sz w:val="28"/>
          <w:szCs w:val="28"/>
        </w:rPr>
        <w:tab/>
      </w:r>
      <w:r w:rsidR="00A53731" w:rsidRPr="000F7167">
        <w:rPr>
          <w:sz w:val="28"/>
          <w:szCs w:val="28"/>
        </w:rPr>
        <w:tab/>
        <w:t>J.Reirs</w:t>
      </w:r>
    </w:p>
    <w:p w14:paraId="648537DB" w14:textId="77777777" w:rsidR="00D01066" w:rsidRDefault="00D01066" w:rsidP="00D01066">
      <w:pPr>
        <w:rPr>
          <w:sz w:val="20"/>
          <w:szCs w:val="20"/>
        </w:rPr>
      </w:pPr>
    </w:p>
    <w:p w14:paraId="65BCC365" w14:textId="77777777" w:rsidR="00D01066" w:rsidRDefault="00D01066" w:rsidP="00D01066">
      <w:pPr>
        <w:rPr>
          <w:sz w:val="20"/>
          <w:szCs w:val="20"/>
        </w:rPr>
      </w:pPr>
    </w:p>
    <w:p w14:paraId="69D307BF" w14:textId="77777777" w:rsidR="00DC4658" w:rsidRDefault="00DC4658" w:rsidP="00D01066">
      <w:pPr>
        <w:rPr>
          <w:sz w:val="20"/>
          <w:szCs w:val="20"/>
        </w:rPr>
      </w:pPr>
    </w:p>
    <w:p w14:paraId="5FDD0858" w14:textId="77777777" w:rsidR="00DC4658" w:rsidRDefault="00DC4658" w:rsidP="00D01066">
      <w:pPr>
        <w:rPr>
          <w:sz w:val="20"/>
          <w:szCs w:val="20"/>
        </w:rPr>
      </w:pPr>
    </w:p>
    <w:p w14:paraId="3D960FA1" w14:textId="77777777" w:rsidR="00DC4658" w:rsidRDefault="00DC4658" w:rsidP="00D01066">
      <w:pPr>
        <w:rPr>
          <w:sz w:val="20"/>
          <w:szCs w:val="20"/>
        </w:rPr>
      </w:pPr>
    </w:p>
    <w:p w14:paraId="40E27066" w14:textId="77777777" w:rsidR="00DC4658" w:rsidRDefault="00DC4658" w:rsidP="00D01066">
      <w:pPr>
        <w:rPr>
          <w:sz w:val="20"/>
          <w:szCs w:val="20"/>
        </w:rPr>
      </w:pPr>
    </w:p>
    <w:p w14:paraId="49FEDBE3" w14:textId="77777777" w:rsidR="00DC4658" w:rsidRDefault="00DC4658" w:rsidP="00D01066">
      <w:pPr>
        <w:rPr>
          <w:sz w:val="20"/>
          <w:szCs w:val="20"/>
        </w:rPr>
      </w:pPr>
    </w:p>
    <w:p w14:paraId="51465D58" w14:textId="77777777" w:rsidR="00DC4658" w:rsidRDefault="00DC4658" w:rsidP="00D01066">
      <w:pPr>
        <w:rPr>
          <w:sz w:val="20"/>
          <w:szCs w:val="20"/>
        </w:rPr>
      </w:pPr>
    </w:p>
    <w:p w14:paraId="1377D68F" w14:textId="77777777" w:rsidR="00DC4658" w:rsidRDefault="00DC4658" w:rsidP="00D01066">
      <w:pPr>
        <w:rPr>
          <w:sz w:val="20"/>
          <w:szCs w:val="20"/>
        </w:rPr>
      </w:pPr>
    </w:p>
    <w:p w14:paraId="776EDA67" w14:textId="77777777" w:rsidR="00DC4658" w:rsidRPr="00335106" w:rsidRDefault="00DC4658" w:rsidP="00D01066">
      <w:pPr>
        <w:rPr>
          <w:sz w:val="22"/>
          <w:szCs w:val="22"/>
        </w:rPr>
      </w:pPr>
    </w:p>
    <w:p w14:paraId="6C63B4F6" w14:textId="77777777" w:rsidR="00D01066" w:rsidRPr="00335106" w:rsidRDefault="00D01066" w:rsidP="00D01066">
      <w:pPr>
        <w:rPr>
          <w:sz w:val="22"/>
          <w:szCs w:val="22"/>
        </w:rPr>
      </w:pPr>
      <w:proofErr w:type="spellStart"/>
      <w:r w:rsidRPr="00335106">
        <w:rPr>
          <w:sz w:val="22"/>
          <w:szCs w:val="22"/>
        </w:rPr>
        <w:t>Iļjina</w:t>
      </w:r>
      <w:proofErr w:type="spellEnd"/>
      <w:r w:rsidRPr="00335106">
        <w:rPr>
          <w:sz w:val="22"/>
          <w:szCs w:val="22"/>
        </w:rPr>
        <w:t>, 67021616</w:t>
      </w:r>
    </w:p>
    <w:p w14:paraId="48223CD9" w14:textId="77777777" w:rsidR="00D01066" w:rsidRPr="00335106" w:rsidRDefault="00D01066" w:rsidP="00D01066">
      <w:pPr>
        <w:rPr>
          <w:sz w:val="22"/>
          <w:szCs w:val="22"/>
          <w:lang w:eastAsia="ar-SA"/>
        </w:rPr>
      </w:pPr>
      <w:r w:rsidRPr="00335106">
        <w:rPr>
          <w:sz w:val="22"/>
          <w:szCs w:val="22"/>
        </w:rPr>
        <w:t>Olga.Iljina@lm.gov.lv</w:t>
      </w:r>
    </w:p>
    <w:p w14:paraId="271ECB26" w14:textId="77777777" w:rsidR="00882129" w:rsidRPr="000F7167" w:rsidRDefault="00882129" w:rsidP="006D45E5">
      <w:pPr>
        <w:rPr>
          <w:sz w:val="28"/>
          <w:szCs w:val="28"/>
        </w:rPr>
      </w:pPr>
    </w:p>
    <w:p w14:paraId="2E87A9D6" w14:textId="77777777" w:rsidR="003311C9" w:rsidRDefault="003311C9" w:rsidP="006D45E5">
      <w:pPr>
        <w:rPr>
          <w:sz w:val="20"/>
          <w:szCs w:val="20"/>
        </w:rPr>
      </w:pPr>
    </w:p>
    <w:p w14:paraId="63A3026A" w14:textId="11119021" w:rsidR="0088245C" w:rsidRPr="003311C9" w:rsidRDefault="0088245C" w:rsidP="006D45E5">
      <w:pPr>
        <w:rPr>
          <w:sz w:val="20"/>
          <w:szCs w:val="20"/>
          <w:lang w:eastAsia="ar-SA"/>
        </w:rPr>
      </w:pPr>
    </w:p>
    <w:sectPr w:rsidR="0088245C" w:rsidRPr="003311C9" w:rsidSect="003311C9">
      <w:headerReference w:type="even" r:id="rId10"/>
      <w:headerReference w:type="default" r:id="rId11"/>
      <w:footerReference w:type="default" r:id="rId12"/>
      <w:footerReference w:type="first" r:id="rId13"/>
      <w:pgSz w:w="11906" w:h="16838"/>
      <w:pgMar w:top="1077" w:right="1134" w:bottom="1077"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86884" w15:done="0"/>
  <w15:commentEx w15:paraId="424E7CF9" w15:done="0"/>
  <w15:commentEx w15:paraId="581D414F" w15:done="0"/>
  <w15:commentEx w15:paraId="16A0B8E5" w15:done="0"/>
  <w15:commentEx w15:paraId="2EE1E1FD" w15:done="0"/>
  <w15:commentEx w15:paraId="2AA7749D" w15:done="0"/>
  <w15:commentEx w15:paraId="1E1C418B" w15:done="0"/>
  <w15:commentEx w15:paraId="3D0B39CD" w15:done="0"/>
  <w15:commentEx w15:paraId="72B5522C" w15:done="0"/>
  <w15:commentEx w15:paraId="311E66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DDEF7" w14:textId="77777777" w:rsidR="006D3A24" w:rsidRDefault="006D3A24">
      <w:r>
        <w:separator/>
      </w:r>
    </w:p>
  </w:endnote>
  <w:endnote w:type="continuationSeparator" w:id="0">
    <w:p w14:paraId="679DA6F0" w14:textId="77777777" w:rsidR="006D3A24" w:rsidRDefault="006D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6E5B" w14:textId="1A42486F" w:rsidR="00E53AAF" w:rsidRPr="00EC135B" w:rsidRDefault="00E53AAF" w:rsidP="00EC135B">
    <w:pPr>
      <w:pStyle w:val="NormalWeb"/>
      <w:spacing w:before="0" w:after="0"/>
      <w:jc w:val="both"/>
    </w:pPr>
    <w:r>
      <w:rPr>
        <w:sz w:val="20"/>
        <w:szCs w:val="20"/>
      </w:rPr>
      <w:t>LMAnot_</w:t>
    </w:r>
    <w:r w:rsidR="008F004E">
      <w:rPr>
        <w:sz w:val="20"/>
        <w:szCs w:val="20"/>
      </w:rPr>
      <w:t>MK_103_</w:t>
    </w:r>
    <w:r w:rsidR="000F7167" w:rsidRPr="000F7167">
      <w:rPr>
        <w:sz w:val="20"/>
        <w:szCs w:val="20"/>
      </w:rPr>
      <w:t>1305</w:t>
    </w:r>
    <w:r w:rsidR="00610818" w:rsidRPr="000F7167">
      <w:rPr>
        <w:sz w:val="20"/>
        <w:szCs w:val="20"/>
      </w:rPr>
      <w:t>17</w:t>
    </w:r>
    <w:r w:rsidRPr="000F7167">
      <w:rPr>
        <w:sz w:val="20"/>
        <w:szCs w:val="20"/>
      </w:rPr>
      <w:t>;</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2C9FD" w14:textId="3C20A70E" w:rsidR="00E53AAF" w:rsidRPr="00EC135B" w:rsidRDefault="00E53AAF" w:rsidP="00EC135B">
    <w:pPr>
      <w:pStyle w:val="NormalWeb"/>
      <w:spacing w:before="0" w:after="0"/>
      <w:jc w:val="both"/>
    </w:pPr>
    <w:r>
      <w:rPr>
        <w:sz w:val="20"/>
        <w:szCs w:val="20"/>
      </w:rPr>
      <w:t>L</w:t>
    </w:r>
    <w:r w:rsidR="000F7167">
      <w:rPr>
        <w:sz w:val="20"/>
        <w:szCs w:val="20"/>
      </w:rPr>
      <w:t>MAnot_</w:t>
    </w:r>
    <w:r w:rsidR="008F004E">
      <w:rPr>
        <w:sz w:val="20"/>
        <w:szCs w:val="20"/>
      </w:rPr>
      <w:t>MK_103_</w:t>
    </w:r>
    <w:r w:rsidR="000F7167">
      <w:rPr>
        <w:sz w:val="20"/>
        <w:szCs w:val="20"/>
      </w:rPr>
      <w:t>13</w:t>
    </w:r>
    <w:r>
      <w:rPr>
        <w:sz w:val="20"/>
        <w:szCs w:val="20"/>
      </w:rPr>
      <w:t>0</w:t>
    </w:r>
    <w:r w:rsidR="000F7167">
      <w:rPr>
        <w:sz w:val="20"/>
        <w:szCs w:val="20"/>
      </w:rPr>
      <w:t>5</w:t>
    </w:r>
    <w:r>
      <w:rPr>
        <w:sz w:val="20"/>
        <w:szCs w:val="20"/>
      </w:rPr>
      <w:t xml:space="preserve">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2BA79" w14:textId="77777777" w:rsidR="006D3A24" w:rsidRDefault="006D3A24">
      <w:r>
        <w:separator/>
      </w:r>
    </w:p>
  </w:footnote>
  <w:footnote w:type="continuationSeparator" w:id="0">
    <w:p w14:paraId="714146AE" w14:textId="77777777" w:rsidR="006D3A24" w:rsidRDefault="006D3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B833" w14:textId="77777777" w:rsidR="00E53AAF" w:rsidRDefault="00E53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F70D1" w14:textId="77777777" w:rsidR="00E53AAF" w:rsidRDefault="00E53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C616" w14:textId="77777777" w:rsidR="00E53AAF" w:rsidRDefault="00E53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106">
      <w:rPr>
        <w:rStyle w:val="PageNumber"/>
        <w:noProof/>
      </w:rPr>
      <w:t>3</w:t>
    </w:r>
    <w:r>
      <w:rPr>
        <w:rStyle w:val="PageNumber"/>
      </w:rPr>
      <w:fldChar w:fldCharType="end"/>
    </w:r>
  </w:p>
  <w:p w14:paraId="5AB7F329" w14:textId="77777777" w:rsidR="00E53AAF" w:rsidRDefault="00E53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CE4"/>
    <w:multiLevelType w:val="hybridMultilevel"/>
    <w:tmpl w:val="06D8F5C6"/>
    <w:lvl w:ilvl="0" w:tplc="D10A24C6">
      <w:start w:val="13"/>
      <w:numFmt w:val="bullet"/>
      <w:lvlText w:val="-"/>
      <w:lvlJc w:val="left"/>
      <w:pPr>
        <w:ind w:left="294" w:hanging="360"/>
      </w:pPr>
      <w:rPr>
        <w:rFonts w:ascii="Times New Roman" w:eastAsia="Calibri" w:hAnsi="Times New Roman" w:cs="Times New Roman"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nsid w:val="06EF1E0A"/>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2">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220E5B"/>
    <w:multiLevelType w:val="hybridMultilevel"/>
    <w:tmpl w:val="3E8CF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CF6919"/>
    <w:multiLevelType w:val="hybridMultilevel"/>
    <w:tmpl w:val="15000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84700E"/>
    <w:multiLevelType w:val="hybridMultilevel"/>
    <w:tmpl w:val="61F43F4A"/>
    <w:lvl w:ilvl="0" w:tplc="A93CDAB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9">
    <w:nsid w:val="117144B1"/>
    <w:multiLevelType w:val="hybridMultilevel"/>
    <w:tmpl w:val="D848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1">
    <w:nsid w:val="148C054F"/>
    <w:multiLevelType w:val="hybridMultilevel"/>
    <w:tmpl w:val="D68E92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6597B66"/>
    <w:multiLevelType w:val="hybridMultilevel"/>
    <w:tmpl w:val="45566152"/>
    <w:lvl w:ilvl="0" w:tplc="7FD6C2FE">
      <w:start w:val="1"/>
      <w:numFmt w:val="decimal"/>
      <w:lvlText w:val="%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4">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382764"/>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7">
    <w:nsid w:val="22025B7F"/>
    <w:multiLevelType w:val="hybridMultilevel"/>
    <w:tmpl w:val="C7F0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8CD745B"/>
    <w:multiLevelType w:val="hybridMultilevel"/>
    <w:tmpl w:val="8E70E4D6"/>
    <w:lvl w:ilvl="0" w:tplc="34040A40">
      <w:start w:val="8"/>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29EC03D7"/>
    <w:multiLevelType w:val="hybridMultilevel"/>
    <w:tmpl w:val="F35CA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670333B"/>
    <w:multiLevelType w:val="hybridMultilevel"/>
    <w:tmpl w:val="2CFAD4D2"/>
    <w:lvl w:ilvl="0" w:tplc="7DF21942">
      <w:start w:val="15"/>
      <w:numFmt w:val="bullet"/>
      <w:lvlText w:val="-"/>
      <w:lvlJc w:val="left"/>
      <w:pPr>
        <w:ind w:left="780" w:hanging="360"/>
      </w:pPr>
      <w:rPr>
        <w:rFonts w:ascii="Times New Roman" w:eastAsia="Times New Roman" w:hAnsi="Times New Roman" w:cs="Times New Roman" w:hint="default"/>
        <w:sz w:val="2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39CE5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24">
    <w:nsid w:val="3B1A15BC"/>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324043A"/>
    <w:multiLevelType w:val="multilevel"/>
    <w:tmpl w:val="E174C0A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i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7">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8">
    <w:nsid w:val="447D29A7"/>
    <w:multiLevelType w:val="hybridMultilevel"/>
    <w:tmpl w:val="3F202B7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nsid w:val="46D35CA5"/>
    <w:multiLevelType w:val="hybridMultilevel"/>
    <w:tmpl w:val="FD0658E8"/>
    <w:lvl w:ilvl="0" w:tplc="37DC6DA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EF12A55"/>
    <w:multiLevelType w:val="multilevel"/>
    <w:tmpl w:val="3A122D0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2">
    <w:nsid w:val="4FD55C0F"/>
    <w:multiLevelType w:val="multilevel"/>
    <w:tmpl w:val="EFD0A33E"/>
    <w:lvl w:ilvl="0">
      <w:start w:val="1"/>
      <w:numFmt w:val="decimal"/>
      <w:lvlText w:val="%1."/>
      <w:lvlJc w:val="left"/>
      <w:pPr>
        <w:ind w:left="720" w:firstLine="360"/>
      </w:pPr>
    </w:lvl>
    <w:lvl w:ilvl="1">
      <w:start w:val="1"/>
      <w:numFmt w:val="decimal"/>
      <w:lvlText w:val="%1.%2."/>
      <w:lvlJc w:val="left"/>
      <w:pPr>
        <w:ind w:left="-76" w:firstLine="360"/>
      </w:pPr>
    </w:lvl>
    <w:lvl w:ilvl="2">
      <w:start w:val="1"/>
      <w:numFmt w:val="bullet"/>
      <w:lvlText w:val=""/>
      <w:lvlJc w:val="left"/>
      <w:pPr>
        <w:ind w:left="1080" w:firstLine="360"/>
      </w:pPr>
      <w:rPr>
        <w:rFonts w:ascii="Symbol" w:hAnsi="Symbol" w:hint="default"/>
      </w:rPr>
    </w:lvl>
    <w:lvl w:ilvl="3">
      <w:start w:val="1"/>
      <w:numFmt w:val="decimal"/>
      <w:lvlText w:val="%1.%2.%3.%4."/>
      <w:lvlJc w:val="left"/>
      <w:pPr>
        <w:ind w:left="3752"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33">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5">
    <w:nsid w:val="5B842726"/>
    <w:multiLevelType w:val="multilevel"/>
    <w:tmpl w:val="292839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66D71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38">
    <w:nsid w:val="68387555"/>
    <w:multiLevelType w:val="hybridMultilevel"/>
    <w:tmpl w:val="7EF4CE8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0E12967"/>
    <w:multiLevelType w:val="hybridMultilevel"/>
    <w:tmpl w:val="F946965C"/>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1">
    <w:nsid w:val="74D73031"/>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75120F98"/>
    <w:multiLevelType w:val="hybridMultilevel"/>
    <w:tmpl w:val="185CF5B0"/>
    <w:lvl w:ilvl="0" w:tplc="562AF11A">
      <w:numFmt w:val="bullet"/>
      <w:lvlText w:val="•"/>
      <w:lvlJc w:val="left"/>
      <w:pPr>
        <w:ind w:left="990" w:hanging="63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586697C"/>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44">
    <w:nsid w:val="791E4CBD"/>
    <w:multiLevelType w:val="hybridMultilevel"/>
    <w:tmpl w:val="4A16915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5">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5"/>
  </w:num>
  <w:num w:numId="4">
    <w:abstractNumId w:val="26"/>
  </w:num>
  <w:num w:numId="5">
    <w:abstractNumId w:val="21"/>
  </w:num>
  <w:num w:numId="6">
    <w:abstractNumId w:val="6"/>
  </w:num>
  <w:num w:numId="7">
    <w:abstractNumId w:val="36"/>
  </w:num>
  <w:num w:numId="8">
    <w:abstractNumId w:val="10"/>
  </w:num>
  <w:num w:numId="9">
    <w:abstractNumId w:val="46"/>
  </w:num>
  <w:num w:numId="10">
    <w:abstractNumId w:val="34"/>
  </w:num>
  <w:num w:numId="11">
    <w:abstractNumId w:val="45"/>
  </w:num>
  <w:num w:numId="12">
    <w:abstractNumId w:val="5"/>
  </w:num>
  <w:num w:numId="13">
    <w:abstractNumId w:val="15"/>
  </w:num>
  <w:num w:numId="14">
    <w:abstractNumId w:val="12"/>
  </w:num>
  <w:num w:numId="15">
    <w:abstractNumId w:val="2"/>
  </w:num>
  <w:num w:numId="16">
    <w:abstractNumId w:val="17"/>
  </w:num>
  <w:num w:numId="17">
    <w:abstractNumId w:val="8"/>
  </w:num>
  <w:num w:numId="18">
    <w:abstractNumId w:val="1"/>
  </w:num>
  <w:num w:numId="19">
    <w:abstractNumId w:val="4"/>
  </w:num>
  <w:num w:numId="20">
    <w:abstractNumId w:val="41"/>
  </w:num>
  <w:num w:numId="21">
    <w:abstractNumId w:val="24"/>
  </w:num>
  <w:num w:numId="22">
    <w:abstractNumId w:val="43"/>
  </w:num>
  <w:num w:numId="23">
    <w:abstractNumId w:val="16"/>
  </w:num>
  <w:num w:numId="24">
    <w:abstractNumId w:val="18"/>
  </w:num>
  <w:num w:numId="25">
    <w:abstractNumId w:val="19"/>
  </w:num>
  <w:num w:numId="26">
    <w:abstractNumId w:val="11"/>
  </w:num>
  <w:num w:numId="27">
    <w:abstractNumId w:val="38"/>
  </w:num>
  <w:num w:numId="28">
    <w:abstractNumId w:val="27"/>
  </w:num>
  <w:num w:numId="29">
    <w:abstractNumId w:val="31"/>
  </w:num>
  <w:num w:numId="30">
    <w:abstractNumId w:val="13"/>
  </w:num>
  <w:num w:numId="31">
    <w:abstractNumId w:val="23"/>
  </w:num>
  <w:num w:numId="32">
    <w:abstractNumId w:val="7"/>
  </w:num>
  <w:num w:numId="33">
    <w:abstractNumId w:val="14"/>
  </w:num>
  <w:num w:numId="34">
    <w:abstractNumId w:val="30"/>
  </w:num>
  <w:num w:numId="35">
    <w:abstractNumId w:val="33"/>
  </w:num>
  <w:num w:numId="36">
    <w:abstractNumId w:val="37"/>
  </w:num>
  <w:num w:numId="37">
    <w:abstractNumId w:val="39"/>
  </w:num>
  <w:num w:numId="38">
    <w:abstractNumId w:val="29"/>
  </w:num>
  <w:num w:numId="39">
    <w:abstractNumId w:val="22"/>
  </w:num>
  <w:num w:numId="40">
    <w:abstractNumId w:val="35"/>
  </w:num>
  <w:num w:numId="41">
    <w:abstractNumId w:val="44"/>
  </w:num>
  <w:num w:numId="42">
    <w:abstractNumId w:val="28"/>
  </w:num>
  <w:num w:numId="43">
    <w:abstractNumId w:val="32"/>
  </w:num>
  <w:num w:numId="44">
    <w:abstractNumId w:val="3"/>
  </w:num>
  <w:num w:numId="45">
    <w:abstractNumId w:val="9"/>
  </w:num>
  <w:num w:numId="46">
    <w:abstractNumId w:val="42"/>
  </w:num>
  <w:num w:numId="4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Svence">
    <w15:presenceInfo w15:providerId="AD" w15:userId="S-1-5-21-738795142-1242532775-405837587-11590"/>
  </w15:person>
  <w15:person w15:author="Irina Leite">
    <w15:presenceInfo w15:providerId="None" w15:userId="Irina Leite"/>
  </w15:person>
  <w15:person w15:author="Normunds Abele">
    <w15:presenceInfo w15:providerId="None" w15:userId="Normunds Ab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5C"/>
    <w:rsid w:val="000006A9"/>
    <w:rsid w:val="00005528"/>
    <w:rsid w:val="0001134B"/>
    <w:rsid w:val="00036B1B"/>
    <w:rsid w:val="00060C47"/>
    <w:rsid w:val="00060DA1"/>
    <w:rsid w:val="0007441D"/>
    <w:rsid w:val="000B4FDC"/>
    <w:rsid w:val="000D1170"/>
    <w:rsid w:val="000E204C"/>
    <w:rsid w:val="000E3C30"/>
    <w:rsid w:val="000E5BE6"/>
    <w:rsid w:val="000F7167"/>
    <w:rsid w:val="00111BF0"/>
    <w:rsid w:val="00127E48"/>
    <w:rsid w:val="00135DD3"/>
    <w:rsid w:val="001378F0"/>
    <w:rsid w:val="0016691F"/>
    <w:rsid w:val="00183DBB"/>
    <w:rsid w:val="001870A4"/>
    <w:rsid w:val="001A7FDB"/>
    <w:rsid w:val="001C4C3D"/>
    <w:rsid w:val="001C5998"/>
    <w:rsid w:val="00201B15"/>
    <w:rsid w:val="00213454"/>
    <w:rsid w:val="002240C9"/>
    <w:rsid w:val="002477C7"/>
    <w:rsid w:val="00262B5F"/>
    <w:rsid w:val="00273CCE"/>
    <w:rsid w:val="002B23BE"/>
    <w:rsid w:val="002B2E1B"/>
    <w:rsid w:val="002B5D3B"/>
    <w:rsid w:val="002D6C0E"/>
    <w:rsid w:val="002E7F7A"/>
    <w:rsid w:val="00304279"/>
    <w:rsid w:val="00304C18"/>
    <w:rsid w:val="00305C09"/>
    <w:rsid w:val="0032209F"/>
    <w:rsid w:val="00326E4A"/>
    <w:rsid w:val="00330302"/>
    <w:rsid w:val="003311C9"/>
    <w:rsid w:val="00332BE4"/>
    <w:rsid w:val="00335106"/>
    <w:rsid w:val="00344952"/>
    <w:rsid w:val="00354F28"/>
    <w:rsid w:val="00367283"/>
    <w:rsid w:val="003B1260"/>
    <w:rsid w:val="003B3006"/>
    <w:rsid w:val="003C53BD"/>
    <w:rsid w:val="003D0C99"/>
    <w:rsid w:val="003E09C3"/>
    <w:rsid w:val="003E4771"/>
    <w:rsid w:val="004062CF"/>
    <w:rsid w:val="0041140E"/>
    <w:rsid w:val="00442F82"/>
    <w:rsid w:val="00451338"/>
    <w:rsid w:val="004A264E"/>
    <w:rsid w:val="004B297C"/>
    <w:rsid w:val="004B298E"/>
    <w:rsid w:val="004B2AF5"/>
    <w:rsid w:val="004C385E"/>
    <w:rsid w:val="004D437B"/>
    <w:rsid w:val="004D482C"/>
    <w:rsid w:val="004D5B73"/>
    <w:rsid w:val="004D5C31"/>
    <w:rsid w:val="004E5C1F"/>
    <w:rsid w:val="004F43A9"/>
    <w:rsid w:val="004F503E"/>
    <w:rsid w:val="004F6ABF"/>
    <w:rsid w:val="00501B15"/>
    <w:rsid w:val="00505800"/>
    <w:rsid w:val="005116BF"/>
    <w:rsid w:val="00526B56"/>
    <w:rsid w:val="00527292"/>
    <w:rsid w:val="005279E7"/>
    <w:rsid w:val="00555585"/>
    <w:rsid w:val="00564F69"/>
    <w:rsid w:val="0056677B"/>
    <w:rsid w:val="00574853"/>
    <w:rsid w:val="00580005"/>
    <w:rsid w:val="0058216F"/>
    <w:rsid w:val="00583089"/>
    <w:rsid w:val="005946B9"/>
    <w:rsid w:val="00597950"/>
    <w:rsid w:val="005A29A5"/>
    <w:rsid w:val="005A5DB9"/>
    <w:rsid w:val="005C0914"/>
    <w:rsid w:val="005C32F2"/>
    <w:rsid w:val="005D01AC"/>
    <w:rsid w:val="005E1F63"/>
    <w:rsid w:val="005E4CF2"/>
    <w:rsid w:val="005E5036"/>
    <w:rsid w:val="005E528A"/>
    <w:rsid w:val="005F7EFF"/>
    <w:rsid w:val="00610818"/>
    <w:rsid w:val="00624DE0"/>
    <w:rsid w:val="00646FCD"/>
    <w:rsid w:val="006513C6"/>
    <w:rsid w:val="00652D60"/>
    <w:rsid w:val="00656A2E"/>
    <w:rsid w:val="00656B55"/>
    <w:rsid w:val="00657D56"/>
    <w:rsid w:val="00664FDD"/>
    <w:rsid w:val="00681CBE"/>
    <w:rsid w:val="00683AA5"/>
    <w:rsid w:val="006842DC"/>
    <w:rsid w:val="00692D5E"/>
    <w:rsid w:val="006B69DC"/>
    <w:rsid w:val="006D09B9"/>
    <w:rsid w:val="006D3A24"/>
    <w:rsid w:val="006D45E5"/>
    <w:rsid w:val="006D7F80"/>
    <w:rsid w:val="006E415E"/>
    <w:rsid w:val="006F53EA"/>
    <w:rsid w:val="006F6F65"/>
    <w:rsid w:val="00700C26"/>
    <w:rsid w:val="00701538"/>
    <w:rsid w:val="00701741"/>
    <w:rsid w:val="00722411"/>
    <w:rsid w:val="00723446"/>
    <w:rsid w:val="007353BD"/>
    <w:rsid w:val="00752547"/>
    <w:rsid w:val="0076795C"/>
    <w:rsid w:val="007B13D5"/>
    <w:rsid w:val="007D02EC"/>
    <w:rsid w:val="007D31CD"/>
    <w:rsid w:val="007D6790"/>
    <w:rsid w:val="007D7367"/>
    <w:rsid w:val="007E6062"/>
    <w:rsid w:val="007F1746"/>
    <w:rsid w:val="007F6841"/>
    <w:rsid w:val="008230C5"/>
    <w:rsid w:val="00825DF7"/>
    <w:rsid w:val="00826869"/>
    <w:rsid w:val="008450A6"/>
    <w:rsid w:val="00865BF8"/>
    <w:rsid w:val="00882129"/>
    <w:rsid w:val="0088245C"/>
    <w:rsid w:val="00891D8F"/>
    <w:rsid w:val="0089453A"/>
    <w:rsid w:val="00897601"/>
    <w:rsid w:val="008A0567"/>
    <w:rsid w:val="008B5F46"/>
    <w:rsid w:val="008D3DD0"/>
    <w:rsid w:val="008D7D52"/>
    <w:rsid w:val="008E0A1E"/>
    <w:rsid w:val="008F004E"/>
    <w:rsid w:val="0090325F"/>
    <w:rsid w:val="00923C50"/>
    <w:rsid w:val="009402DA"/>
    <w:rsid w:val="00953C76"/>
    <w:rsid w:val="00973E0D"/>
    <w:rsid w:val="00991C0E"/>
    <w:rsid w:val="00996C35"/>
    <w:rsid w:val="009A62B6"/>
    <w:rsid w:val="009B0670"/>
    <w:rsid w:val="009C4648"/>
    <w:rsid w:val="009E7662"/>
    <w:rsid w:val="009F1B87"/>
    <w:rsid w:val="009F7452"/>
    <w:rsid w:val="00A076DF"/>
    <w:rsid w:val="00A07CB5"/>
    <w:rsid w:val="00A126EF"/>
    <w:rsid w:val="00A4024F"/>
    <w:rsid w:val="00A42056"/>
    <w:rsid w:val="00A53731"/>
    <w:rsid w:val="00A62F70"/>
    <w:rsid w:val="00A65351"/>
    <w:rsid w:val="00A90D0C"/>
    <w:rsid w:val="00AA2BB7"/>
    <w:rsid w:val="00AB6F82"/>
    <w:rsid w:val="00AC7201"/>
    <w:rsid w:val="00AF7D3E"/>
    <w:rsid w:val="00B216E7"/>
    <w:rsid w:val="00B26BEC"/>
    <w:rsid w:val="00B32274"/>
    <w:rsid w:val="00B34AD5"/>
    <w:rsid w:val="00B43368"/>
    <w:rsid w:val="00B512E1"/>
    <w:rsid w:val="00B814B1"/>
    <w:rsid w:val="00B93F84"/>
    <w:rsid w:val="00BA2857"/>
    <w:rsid w:val="00BA421F"/>
    <w:rsid w:val="00BC3D3E"/>
    <w:rsid w:val="00BF3369"/>
    <w:rsid w:val="00C04890"/>
    <w:rsid w:val="00C10D35"/>
    <w:rsid w:val="00C243DF"/>
    <w:rsid w:val="00C40EE9"/>
    <w:rsid w:val="00C53DDD"/>
    <w:rsid w:val="00C73139"/>
    <w:rsid w:val="00C84F6C"/>
    <w:rsid w:val="00CA75DB"/>
    <w:rsid w:val="00CB2EE7"/>
    <w:rsid w:val="00CB630B"/>
    <w:rsid w:val="00CE1C98"/>
    <w:rsid w:val="00CE7872"/>
    <w:rsid w:val="00D01066"/>
    <w:rsid w:val="00D020BA"/>
    <w:rsid w:val="00D025D7"/>
    <w:rsid w:val="00D068EE"/>
    <w:rsid w:val="00D14B78"/>
    <w:rsid w:val="00D213A4"/>
    <w:rsid w:val="00D545B4"/>
    <w:rsid w:val="00D567F1"/>
    <w:rsid w:val="00D56CE0"/>
    <w:rsid w:val="00D76426"/>
    <w:rsid w:val="00D84D49"/>
    <w:rsid w:val="00D90273"/>
    <w:rsid w:val="00D916E5"/>
    <w:rsid w:val="00D93201"/>
    <w:rsid w:val="00DC4658"/>
    <w:rsid w:val="00DD3AEA"/>
    <w:rsid w:val="00DF7885"/>
    <w:rsid w:val="00E25A94"/>
    <w:rsid w:val="00E46EA1"/>
    <w:rsid w:val="00E53AAF"/>
    <w:rsid w:val="00E76E68"/>
    <w:rsid w:val="00E83DAD"/>
    <w:rsid w:val="00EA2BCD"/>
    <w:rsid w:val="00EB4F53"/>
    <w:rsid w:val="00EC135B"/>
    <w:rsid w:val="00ED49FB"/>
    <w:rsid w:val="00F01050"/>
    <w:rsid w:val="00F14566"/>
    <w:rsid w:val="00F14D13"/>
    <w:rsid w:val="00F23BDE"/>
    <w:rsid w:val="00F3143E"/>
    <w:rsid w:val="00F436BA"/>
    <w:rsid w:val="00F44D53"/>
    <w:rsid w:val="00F462DF"/>
    <w:rsid w:val="00F52CA7"/>
    <w:rsid w:val="00F76FC6"/>
    <w:rsid w:val="00F77C53"/>
    <w:rsid w:val="00FA489A"/>
    <w:rsid w:val="00FF4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A55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120" w:after="60"/>
      <w:outlineLvl w:val="3"/>
    </w:pPr>
    <w:rPr>
      <w:bCs/>
      <w:i/>
      <w:sz w:val="20"/>
      <w:szCs w:val="28"/>
    </w:rPr>
  </w:style>
  <w:style w:type="paragraph" w:styleId="Heading5">
    <w:name w:val="heading 5"/>
    <w:basedOn w:val="Normal"/>
    <w:next w:val="Normal"/>
    <w:autoRedefine/>
    <w:qFormat/>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Pr>
      <w:rFonts w:eastAsia="HelveticaL-Book"/>
      <w:b/>
      <w:i w:val="0"/>
      <w:iCs/>
      <w:sz w:val="24"/>
    </w:rPr>
  </w:style>
  <w:style w:type="paragraph" w:customStyle="1" w:styleId="Style6">
    <w:name w:val="Style6"/>
    <w:basedOn w:val="Heading4"/>
    <w:autoRedefine/>
    <w:rPr>
      <w:b/>
    </w:rPr>
  </w:style>
  <w:style w:type="paragraph" w:customStyle="1" w:styleId="Style7">
    <w:name w:val="Style7"/>
    <w:basedOn w:val="Heading4"/>
    <w:autoRedefine/>
    <w:rPr>
      <w:b/>
    </w:rPr>
  </w:style>
  <w:style w:type="paragraph" w:customStyle="1" w:styleId="Style8">
    <w:name w:val="Style8"/>
    <w:basedOn w:val="Heading3"/>
    <w:autoRedefine/>
    <w:rPr>
      <w:i w:val="0"/>
      <w:sz w:val="28"/>
    </w:rPr>
  </w:style>
  <w:style w:type="paragraph" w:customStyle="1" w:styleId="Virsraksts11">
    <w:name w:val="Virsraksts 11"/>
    <w:rPr>
      <w:b/>
      <w:i/>
      <w:sz w:val="24"/>
      <w:szCs w:val="28"/>
    </w:rPr>
  </w:style>
  <w:style w:type="paragraph" w:customStyle="1" w:styleId="Virsraksts21">
    <w:name w:val="Virsraksts 21"/>
    <w:rPr>
      <w:b/>
      <w:i/>
      <w:sz w:val="22"/>
      <w:szCs w:val="28"/>
    </w:rPr>
  </w:style>
  <w:style w:type="paragraph" w:customStyle="1" w:styleId="Virsraksts31">
    <w:name w:val="Virsraksts 31"/>
    <w:basedOn w:val="Heading4"/>
    <w:rPr>
      <w:b/>
    </w:rPr>
  </w:style>
  <w:style w:type="paragraph" w:customStyle="1" w:styleId="Style1">
    <w:name w:val="Style1"/>
    <w:basedOn w:val="Heading2"/>
    <w:pPr>
      <w:jc w:val="both"/>
    </w:pPr>
    <w:rPr>
      <w:bCs/>
      <w:i w:val="0"/>
      <w:iCs/>
    </w:rPr>
  </w:style>
  <w:style w:type="paragraph" w:customStyle="1" w:styleId="VirsrakstsU">
    <w:name w:val="Virsraksts U"/>
    <w:basedOn w:val="Heading2"/>
    <w:rPr>
      <w:bCs/>
      <w:i w:val="0"/>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pPr>
      <w:spacing w:before="75" w:after="75"/>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sz w:val="24"/>
      <w:szCs w:val="24"/>
      <w:lang w:val="lv-LV" w:eastAsia="lv-LV" w:bidi="ar-SA"/>
    </w:rPr>
  </w:style>
  <w:style w:type="paragraph" w:customStyle="1" w:styleId="naisnod">
    <w:name w:val="naisnod"/>
    <w:basedOn w:val="Normal"/>
    <w:pPr>
      <w:spacing w:before="150" w:after="150"/>
      <w:jc w:val="center"/>
    </w:pPr>
    <w:rPr>
      <w:b/>
      <w:bCs/>
    </w:rPr>
  </w:style>
  <w:style w:type="paragraph" w:customStyle="1" w:styleId="naisf">
    <w:name w:val="naisf"/>
    <w:basedOn w:val="Normal"/>
    <w:pPr>
      <w:spacing w:before="75" w:after="75"/>
      <w:ind w:firstLine="375"/>
      <w:jc w:val="both"/>
    </w:pPr>
  </w:style>
  <w:style w:type="paragraph" w:styleId="Subtitle">
    <w:name w:val="Subtitle"/>
    <w:basedOn w:val="Normal"/>
    <w:qFormat/>
    <w:pPr>
      <w:jc w:val="center"/>
    </w:pPr>
    <w:rPr>
      <w:b/>
      <w:szCs w:val="20"/>
    </w:rPr>
  </w:style>
  <w:style w:type="character" w:customStyle="1" w:styleId="HeaderChar">
    <w:name w:val="Header Char"/>
    <w:link w:val="Header"/>
    <w:semiHidden/>
    <w:locked/>
    <w:rPr>
      <w:sz w:val="24"/>
      <w:szCs w:val="24"/>
      <w:lang w:val="lv-LV" w:eastAsia="lv-LV" w:bidi="ar-SA"/>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val="lv-LV" w:eastAsia="lv-LV" w:bidi="ar-SA"/>
    </w:rPr>
  </w:style>
  <w:style w:type="paragraph" w:customStyle="1" w:styleId="CharChar7">
    <w:name w:val="Char Char7"/>
    <w:basedOn w:val="Normal"/>
    <w:pPr>
      <w:spacing w:after="160" w:line="240" w:lineRule="exact"/>
    </w:pPr>
    <w:rPr>
      <w:rFonts w:ascii="Tahoma" w:hAnsi="Tahoma" w:cs="Tahoma"/>
      <w:sz w:val="20"/>
      <w:szCs w:val="20"/>
      <w:lang w:val="en-US" w:eastAsia="en-US"/>
    </w:rPr>
  </w:style>
  <w:style w:type="character" w:styleId="Hyperlink">
    <w:name w:val="Hyperlink"/>
    <w:uiPriority w:val="99"/>
    <w:unhideWhenUsed/>
    <w:rPr>
      <w:color w:val="0000FF"/>
      <w:u w:val="single"/>
    </w:rPr>
  </w:style>
  <w:style w:type="paragraph" w:styleId="NormalWeb">
    <w:name w:val="Normal (Web)"/>
    <w:basedOn w:val="Normal"/>
    <w:uiPriority w:val="99"/>
    <w:pPr>
      <w:suppressAutoHyphens/>
      <w:spacing w:before="280" w:after="280"/>
    </w:pPr>
    <w:rPr>
      <w:lang w:eastAsia="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bidi="ar-SA"/>
    </w:rPr>
  </w:style>
  <w:style w:type="character" w:styleId="Strong">
    <w:name w:val="Strong"/>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pPr>
      <w:spacing w:before="100" w:beforeAutospacing="1" w:after="100" w:afterAutospacing="1"/>
    </w:pPr>
  </w:style>
  <w:style w:type="character" w:styleId="IntenseEmphasis">
    <w:name w:val="Intense Emphasis"/>
    <w:qFormat/>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Pr>
      <w:lang w:eastAsia="en-US"/>
    </w:rPr>
  </w:style>
  <w:style w:type="character" w:styleId="FootnoteReference">
    <w:name w:val="footnote reference"/>
    <w:aliases w:val="Footnote Reference Number,SUPERS,Footnote symbol,Footnote Refernece,ftref,Footnote Reference Superscript"/>
    <w:uiPriority w:val="99"/>
    <w:rPr>
      <w:rFonts w:ascii="Times New Roman" w:hAnsi="Times New Roman"/>
      <w:vertAlign w:val="superscript"/>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rPr>
      <w:rFonts w:ascii="Consolas" w:hAnsi="Consolas"/>
      <w:sz w:val="21"/>
      <w:szCs w:val="21"/>
    </w:rPr>
  </w:style>
  <w:style w:type="paragraph" w:styleId="BodyText">
    <w:name w:val="Body Text"/>
    <w:basedOn w:val="Normal"/>
    <w:link w:val="BodyTextChar"/>
    <w:pPr>
      <w:spacing w:after="120" w:line="276" w:lineRule="auto"/>
      <w:jc w:val="both"/>
    </w:pPr>
    <w:rPr>
      <w:lang w:eastAsia="en-US"/>
    </w:rPr>
  </w:style>
  <w:style w:type="character" w:customStyle="1" w:styleId="BodyTextChar">
    <w:name w:val="Body Text Char"/>
    <w:basedOn w:val="DefaultParagraphFont"/>
    <w:link w:val="BodyTex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120" w:after="60"/>
      <w:outlineLvl w:val="3"/>
    </w:pPr>
    <w:rPr>
      <w:bCs/>
      <w:i/>
      <w:sz w:val="20"/>
      <w:szCs w:val="28"/>
    </w:rPr>
  </w:style>
  <w:style w:type="paragraph" w:styleId="Heading5">
    <w:name w:val="heading 5"/>
    <w:basedOn w:val="Normal"/>
    <w:next w:val="Normal"/>
    <w:autoRedefine/>
    <w:qFormat/>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Pr>
      <w:rFonts w:eastAsia="HelveticaL-Book"/>
      <w:b/>
      <w:i w:val="0"/>
      <w:iCs/>
      <w:sz w:val="24"/>
    </w:rPr>
  </w:style>
  <w:style w:type="paragraph" w:customStyle="1" w:styleId="Style6">
    <w:name w:val="Style6"/>
    <w:basedOn w:val="Heading4"/>
    <w:autoRedefine/>
    <w:rPr>
      <w:b/>
    </w:rPr>
  </w:style>
  <w:style w:type="paragraph" w:customStyle="1" w:styleId="Style7">
    <w:name w:val="Style7"/>
    <w:basedOn w:val="Heading4"/>
    <w:autoRedefine/>
    <w:rPr>
      <w:b/>
    </w:rPr>
  </w:style>
  <w:style w:type="paragraph" w:customStyle="1" w:styleId="Style8">
    <w:name w:val="Style8"/>
    <w:basedOn w:val="Heading3"/>
    <w:autoRedefine/>
    <w:rPr>
      <w:i w:val="0"/>
      <w:sz w:val="28"/>
    </w:rPr>
  </w:style>
  <w:style w:type="paragraph" w:customStyle="1" w:styleId="Virsraksts11">
    <w:name w:val="Virsraksts 11"/>
    <w:rPr>
      <w:b/>
      <w:i/>
      <w:sz w:val="24"/>
      <w:szCs w:val="28"/>
    </w:rPr>
  </w:style>
  <w:style w:type="paragraph" w:customStyle="1" w:styleId="Virsraksts21">
    <w:name w:val="Virsraksts 21"/>
    <w:rPr>
      <w:b/>
      <w:i/>
      <w:sz w:val="22"/>
      <w:szCs w:val="28"/>
    </w:rPr>
  </w:style>
  <w:style w:type="paragraph" w:customStyle="1" w:styleId="Virsraksts31">
    <w:name w:val="Virsraksts 31"/>
    <w:basedOn w:val="Heading4"/>
    <w:rPr>
      <w:b/>
    </w:rPr>
  </w:style>
  <w:style w:type="paragraph" w:customStyle="1" w:styleId="Style1">
    <w:name w:val="Style1"/>
    <w:basedOn w:val="Heading2"/>
    <w:pPr>
      <w:jc w:val="both"/>
    </w:pPr>
    <w:rPr>
      <w:bCs/>
      <w:i w:val="0"/>
      <w:iCs/>
    </w:rPr>
  </w:style>
  <w:style w:type="paragraph" w:customStyle="1" w:styleId="VirsrakstsU">
    <w:name w:val="Virsraksts U"/>
    <w:basedOn w:val="Heading2"/>
    <w:rPr>
      <w:bCs/>
      <w:i w:val="0"/>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pPr>
      <w:spacing w:before="75" w:after="75"/>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sz w:val="24"/>
      <w:szCs w:val="24"/>
      <w:lang w:val="lv-LV" w:eastAsia="lv-LV" w:bidi="ar-SA"/>
    </w:rPr>
  </w:style>
  <w:style w:type="paragraph" w:customStyle="1" w:styleId="naisnod">
    <w:name w:val="naisnod"/>
    <w:basedOn w:val="Normal"/>
    <w:pPr>
      <w:spacing w:before="150" w:after="150"/>
      <w:jc w:val="center"/>
    </w:pPr>
    <w:rPr>
      <w:b/>
      <w:bCs/>
    </w:rPr>
  </w:style>
  <w:style w:type="paragraph" w:customStyle="1" w:styleId="naisf">
    <w:name w:val="naisf"/>
    <w:basedOn w:val="Normal"/>
    <w:pPr>
      <w:spacing w:before="75" w:after="75"/>
      <w:ind w:firstLine="375"/>
      <w:jc w:val="both"/>
    </w:pPr>
  </w:style>
  <w:style w:type="paragraph" w:styleId="Subtitle">
    <w:name w:val="Subtitle"/>
    <w:basedOn w:val="Normal"/>
    <w:qFormat/>
    <w:pPr>
      <w:jc w:val="center"/>
    </w:pPr>
    <w:rPr>
      <w:b/>
      <w:szCs w:val="20"/>
    </w:rPr>
  </w:style>
  <w:style w:type="character" w:customStyle="1" w:styleId="HeaderChar">
    <w:name w:val="Header Char"/>
    <w:link w:val="Header"/>
    <w:semiHidden/>
    <w:locked/>
    <w:rPr>
      <w:sz w:val="24"/>
      <w:szCs w:val="24"/>
      <w:lang w:val="lv-LV" w:eastAsia="lv-LV" w:bidi="ar-SA"/>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val="lv-LV" w:eastAsia="lv-LV" w:bidi="ar-SA"/>
    </w:rPr>
  </w:style>
  <w:style w:type="paragraph" w:customStyle="1" w:styleId="CharChar7">
    <w:name w:val="Char Char7"/>
    <w:basedOn w:val="Normal"/>
    <w:pPr>
      <w:spacing w:after="160" w:line="240" w:lineRule="exact"/>
    </w:pPr>
    <w:rPr>
      <w:rFonts w:ascii="Tahoma" w:hAnsi="Tahoma" w:cs="Tahoma"/>
      <w:sz w:val="20"/>
      <w:szCs w:val="20"/>
      <w:lang w:val="en-US" w:eastAsia="en-US"/>
    </w:rPr>
  </w:style>
  <w:style w:type="character" w:styleId="Hyperlink">
    <w:name w:val="Hyperlink"/>
    <w:uiPriority w:val="99"/>
    <w:unhideWhenUsed/>
    <w:rPr>
      <w:color w:val="0000FF"/>
      <w:u w:val="single"/>
    </w:rPr>
  </w:style>
  <w:style w:type="paragraph" w:styleId="NormalWeb">
    <w:name w:val="Normal (Web)"/>
    <w:basedOn w:val="Normal"/>
    <w:uiPriority w:val="99"/>
    <w:pPr>
      <w:suppressAutoHyphens/>
      <w:spacing w:before="280" w:after="280"/>
    </w:pPr>
    <w:rPr>
      <w:lang w:eastAsia="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bidi="ar-SA"/>
    </w:rPr>
  </w:style>
  <w:style w:type="character" w:styleId="Strong">
    <w:name w:val="Strong"/>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pPr>
      <w:spacing w:before="100" w:beforeAutospacing="1" w:after="100" w:afterAutospacing="1"/>
    </w:pPr>
  </w:style>
  <w:style w:type="character" w:styleId="IntenseEmphasis">
    <w:name w:val="Intense Emphasis"/>
    <w:qFormat/>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Pr>
      <w:lang w:eastAsia="en-US"/>
    </w:rPr>
  </w:style>
  <w:style w:type="character" w:styleId="FootnoteReference">
    <w:name w:val="footnote reference"/>
    <w:aliases w:val="Footnote Reference Number,SUPERS,Footnote symbol,Footnote Refernece,ftref,Footnote Reference Superscript"/>
    <w:uiPriority w:val="99"/>
    <w:rPr>
      <w:rFonts w:ascii="Times New Roman" w:hAnsi="Times New Roman"/>
      <w:vertAlign w:val="superscript"/>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rPr>
      <w:rFonts w:ascii="Consolas" w:hAnsi="Consolas"/>
      <w:sz w:val="21"/>
      <w:szCs w:val="21"/>
    </w:rPr>
  </w:style>
  <w:style w:type="paragraph" w:styleId="BodyText">
    <w:name w:val="Body Text"/>
    <w:basedOn w:val="Normal"/>
    <w:link w:val="BodyTextChar"/>
    <w:pPr>
      <w:spacing w:after="120" w:line="276" w:lineRule="auto"/>
      <w:jc w:val="both"/>
    </w:pPr>
    <w:rPr>
      <w:lang w:eastAsia="en-US"/>
    </w:rPr>
  </w:style>
  <w:style w:type="character" w:customStyle="1" w:styleId="BodyTextChar">
    <w:name w:val="Body Text Char"/>
    <w:basedOn w:val="DefaultParagraphFont"/>
    <w:link w:val="BodyTex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0134564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592473205">
      <w:bodyDiv w:val="1"/>
      <w:marLeft w:val="0"/>
      <w:marRight w:val="0"/>
      <w:marTop w:val="0"/>
      <w:marBottom w:val="0"/>
      <w:divBdr>
        <w:top w:val="none" w:sz="0" w:space="0" w:color="auto"/>
        <w:left w:val="none" w:sz="0" w:space="0" w:color="auto"/>
        <w:bottom w:val="none" w:sz="0" w:space="0" w:color="auto"/>
        <w:right w:val="none" w:sz="0" w:space="0" w:color="auto"/>
      </w:divBdr>
    </w:div>
    <w:div w:id="699478414">
      <w:bodyDiv w:val="1"/>
      <w:marLeft w:val="0"/>
      <w:marRight w:val="0"/>
      <w:marTop w:val="0"/>
      <w:marBottom w:val="0"/>
      <w:divBdr>
        <w:top w:val="none" w:sz="0" w:space="0" w:color="auto"/>
        <w:left w:val="none" w:sz="0" w:space="0" w:color="auto"/>
        <w:bottom w:val="none" w:sz="0" w:space="0" w:color="auto"/>
        <w:right w:val="none" w:sz="0" w:space="0" w:color="auto"/>
      </w:divBdr>
    </w:div>
    <w:div w:id="814644616">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961">
      <w:bodyDiv w:val="1"/>
      <w:marLeft w:val="0"/>
      <w:marRight w:val="0"/>
      <w:marTop w:val="0"/>
      <w:marBottom w:val="0"/>
      <w:divBdr>
        <w:top w:val="none" w:sz="0" w:space="0" w:color="auto"/>
        <w:left w:val="none" w:sz="0" w:space="0" w:color="auto"/>
        <w:bottom w:val="none" w:sz="0" w:space="0" w:color="auto"/>
        <w:right w:val="none" w:sz="0" w:space="0" w:color="auto"/>
      </w:divBdr>
    </w:div>
    <w:div w:id="1454861870">
      <w:bodyDiv w:val="1"/>
      <w:marLeft w:val="0"/>
      <w:marRight w:val="0"/>
      <w:marTop w:val="0"/>
      <w:marBottom w:val="0"/>
      <w:divBdr>
        <w:top w:val="none" w:sz="0" w:space="0" w:color="auto"/>
        <w:left w:val="none" w:sz="0" w:space="0" w:color="auto"/>
        <w:bottom w:val="none" w:sz="0" w:space="0" w:color="auto"/>
        <w:right w:val="none" w:sz="0" w:space="0" w:color="auto"/>
      </w:divBdr>
    </w:div>
    <w:div w:id="1544750580">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62515174">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0459-2AF4-4C91-9EC8-C5DD3144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4122</Words>
  <Characters>2350</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Bezdarbnieku uzskaites un reģistrēto vakanču informācijas sistēmas noteikumi</vt:lpstr>
      <vt:lpstr>Bezdarbnieku uzskaites un reģistrēto vakanču informācijas sistēmas noteikumi</vt:lpstr>
    </vt:vector>
  </TitlesOfParts>
  <Company>LM</Company>
  <LinksUpToDate>false</LinksUpToDate>
  <CharactersWithSpaces>6460</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Bezdarbnieku uzskaites un reģistrēto vakanču informācijas sistēmas noteikumi</dc:title>
  <dc:subject>Noteikumu projekta anotācija</dc:subject>
  <dc:creator>Līga Emule-Konone</dc:creator>
  <dc:description>e-pasts: Liga.Emule-Konone@lm.gov.lv, tālr: 64331826, fakss: 67021505</dc:description>
  <cp:lastModifiedBy>Olga Iljina</cp:lastModifiedBy>
  <cp:revision>5</cp:revision>
  <cp:lastPrinted>2017-04-11T07:03:00Z</cp:lastPrinted>
  <dcterms:created xsi:type="dcterms:W3CDTF">2017-05-13T07:21:00Z</dcterms:created>
  <dcterms:modified xsi:type="dcterms:W3CDTF">2017-05-13T07:23:00Z</dcterms:modified>
</cp:coreProperties>
</file>