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0BA38" w14:textId="77777777" w:rsidR="002A27D9" w:rsidRPr="000F321C" w:rsidRDefault="002A27D9" w:rsidP="002A27D9">
      <w:pPr>
        <w:jc w:val="center"/>
        <w:rPr>
          <w:b/>
          <w:sz w:val="28"/>
          <w:szCs w:val="28"/>
          <w:lang w:eastAsia="ar-SA"/>
        </w:rPr>
      </w:pPr>
      <w:bookmarkStart w:id="0" w:name="_GoBack"/>
      <w:bookmarkEnd w:id="0"/>
      <w:r w:rsidRPr="000F321C">
        <w:rPr>
          <w:b/>
          <w:sz w:val="28"/>
          <w:szCs w:val="28"/>
        </w:rPr>
        <w:t>Informatīvais ziņojums par Satiksmes ministrijas sagatavoto nacionālo pozīciju Nr.1 “</w:t>
      </w:r>
      <w:r w:rsidRPr="002A27D9">
        <w:rPr>
          <w:b/>
          <w:sz w:val="28"/>
          <w:szCs w:val="28"/>
        </w:rPr>
        <w:t>Priekšlikums Eiropas Parlamenta un Padomes Regulai, ar ko izveido Eiropas Elektronisko sakaru regulatoru iestādi</w:t>
      </w:r>
      <w:r w:rsidRPr="000F321C">
        <w:rPr>
          <w:b/>
          <w:sz w:val="28"/>
          <w:szCs w:val="28"/>
          <w:lang w:eastAsia="ar-SA"/>
        </w:rPr>
        <w:t>”</w:t>
      </w:r>
    </w:p>
    <w:p w14:paraId="5FE4D3B4" w14:textId="77777777" w:rsidR="002A27D9" w:rsidRPr="000F321C" w:rsidRDefault="002A27D9" w:rsidP="003F1AFC">
      <w:pPr>
        <w:pStyle w:val="Prliminairetitre"/>
        <w:spacing w:before="0" w:after="0"/>
        <w:jc w:val="left"/>
        <w:rPr>
          <w:sz w:val="28"/>
          <w:szCs w:val="28"/>
        </w:rPr>
      </w:pPr>
    </w:p>
    <w:p w14:paraId="689A86AA" w14:textId="77777777" w:rsidR="002A27D9" w:rsidRPr="000F321C" w:rsidRDefault="002A27D9" w:rsidP="002A27D9">
      <w:pPr>
        <w:ind w:firstLine="720"/>
        <w:jc w:val="both"/>
        <w:rPr>
          <w:b/>
          <w:sz w:val="28"/>
          <w:szCs w:val="28"/>
          <w:lang w:eastAsia="ar-SA"/>
        </w:rPr>
      </w:pPr>
      <w:r w:rsidRPr="000F321C">
        <w:rPr>
          <w:sz w:val="28"/>
          <w:szCs w:val="28"/>
        </w:rPr>
        <w:t xml:space="preserve">Satiksmes ministrija ir sagatavojusi nacionālās pozīcijas projektu </w:t>
      </w:r>
      <w:r w:rsidRPr="002A27D9">
        <w:rPr>
          <w:b/>
          <w:sz w:val="28"/>
          <w:szCs w:val="28"/>
        </w:rPr>
        <w:t xml:space="preserve"> “Priekšlikums Eiropas Parlamenta un Padomes Regulai, ar ko izveido Eiropas Elektronisko sakaru regulatoru iestādi</w:t>
      </w:r>
      <w:r w:rsidRPr="002A27D9">
        <w:rPr>
          <w:b/>
          <w:sz w:val="28"/>
          <w:szCs w:val="28"/>
          <w:lang w:eastAsia="ar-SA"/>
        </w:rPr>
        <w:t>”.</w:t>
      </w:r>
    </w:p>
    <w:p w14:paraId="0B2D25A4" w14:textId="77777777" w:rsidR="002A27D9" w:rsidRPr="000F321C" w:rsidRDefault="002A27D9" w:rsidP="002A27D9">
      <w:pPr>
        <w:ind w:firstLine="720"/>
        <w:jc w:val="both"/>
        <w:rPr>
          <w:sz w:val="28"/>
          <w:szCs w:val="28"/>
        </w:rPr>
      </w:pPr>
      <w:r w:rsidRPr="000F321C">
        <w:rPr>
          <w:sz w:val="28"/>
          <w:szCs w:val="28"/>
        </w:rPr>
        <w:t>Pozīcijas projekts skar vairāku valsts pārvaldes iestāžu kompetenci un būtiskas Latvijas Republikas intereses, tādēļ, atbilstoši Ministru kabineta 2009.gada 6.februāra noteikumu Nr.96 „Kārtība, kādā izstrādā, saskaņo, apstiprina un aktualizē Latvijas Republikas nacionālās pozīcijas Eiropas Savienības jautājumos” prasībām, nacionālā pozīcija tiek virzīta apstiprināšanai Ministru kabinetā.</w:t>
      </w:r>
    </w:p>
    <w:p w14:paraId="5E09BE0C" w14:textId="77777777" w:rsidR="002A27D9" w:rsidRPr="00884C33" w:rsidRDefault="002A27D9" w:rsidP="00884C33">
      <w:pPr>
        <w:ind w:firstLine="720"/>
        <w:jc w:val="both"/>
        <w:rPr>
          <w:sz w:val="28"/>
          <w:szCs w:val="28"/>
        </w:rPr>
      </w:pPr>
      <w:r w:rsidRPr="000F321C">
        <w:rPr>
          <w:sz w:val="28"/>
          <w:szCs w:val="28"/>
        </w:rPr>
        <w:t xml:space="preserve">Nacionālās pozīcijas projekts, atbilstoši Ministru kabineta 2009.gada 6.februāra instrukcijā Nr.4 „Latvijas Republikas nacionālo pozīciju Eiropas Savienības jautājumos un ar tām saistīto instrukciju izstrādes un informācijas aprites kārtība” noteiktajai kārtībai, </w:t>
      </w:r>
      <w:r w:rsidRPr="00884C33">
        <w:rPr>
          <w:sz w:val="28"/>
          <w:szCs w:val="28"/>
        </w:rPr>
        <w:t xml:space="preserve">ir elektroniski saskaņots ar </w:t>
      </w:r>
      <w:r w:rsidR="00884C33" w:rsidRPr="00884C33">
        <w:rPr>
          <w:iCs/>
          <w:sz w:val="28"/>
          <w:szCs w:val="28"/>
        </w:rPr>
        <w:t xml:space="preserve">  Ārlietu ministriju,   Finanšu ministriju, Ekonomikas ministriju, Izglītības un zinātnes ministriju, Vides aizsardzības un reģionālās attīstības ministriju</w:t>
      </w:r>
      <w:r w:rsidR="00EB27ED">
        <w:rPr>
          <w:iCs/>
          <w:sz w:val="28"/>
          <w:szCs w:val="28"/>
        </w:rPr>
        <w:t xml:space="preserve">, </w:t>
      </w:r>
      <w:r w:rsidR="00884C33" w:rsidRPr="00884C33">
        <w:rPr>
          <w:iCs/>
          <w:sz w:val="28"/>
          <w:szCs w:val="28"/>
        </w:rPr>
        <w:t>Sabiedrisko pakalpojuma regulēšanas komisiju.</w:t>
      </w:r>
    </w:p>
    <w:p w14:paraId="36CCB86A" w14:textId="77777777" w:rsidR="00884C33" w:rsidRPr="00884C33" w:rsidRDefault="00884C33" w:rsidP="00884C33">
      <w:pPr>
        <w:autoSpaceDE w:val="0"/>
        <w:autoSpaceDN w:val="0"/>
        <w:adjustRightInd w:val="0"/>
        <w:ind w:firstLine="720"/>
        <w:jc w:val="both"/>
        <w:rPr>
          <w:sz w:val="28"/>
          <w:szCs w:val="28"/>
        </w:rPr>
      </w:pPr>
      <w:r w:rsidRPr="00884C33">
        <w:rPr>
          <w:sz w:val="28"/>
          <w:szCs w:val="28"/>
        </w:rPr>
        <w:t xml:space="preserve">Šis priekšlikums </w:t>
      </w:r>
      <w:r>
        <w:rPr>
          <w:sz w:val="28"/>
          <w:szCs w:val="28"/>
        </w:rPr>
        <w:t>tika izstrādāts</w:t>
      </w:r>
      <w:r w:rsidRPr="00884C33">
        <w:rPr>
          <w:sz w:val="28"/>
          <w:szCs w:val="28"/>
        </w:rPr>
        <w:t>, secīgi īstenojot pasākumu kopu, kas noteikti E</w:t>
      </w:r>
      <w:r w:rsidR="00F3725B">
        <w:rPr>
          <w:sz w:val="28"/>
          <w:szCs w:val="28"/>
        </w:rPr>
        <w:t xml:space="preserve">iropas </w:t>
      </w:r>
      <w:r w:rsidRPr="00884C33">
        <w:rPr>
          <w:sz w:val="28"/>
          <w:szCs w:val="28"/>
        </w:rPr>
        <w:t>K</w:t>
      </w:r>
      <w:r w:rsidR="00F3725B">
        <w:rPr>
          <w:sz w:val="28"/>
          <w:szCs w:val="28"/>
        </w:rPr>
        <w:t>omisijas</w:t>
      </w:r>
      <w:r w:rsidRPr="00884C33">
        <w:rPr>
          <w:sz w:val="28"/>
          <w:szCs w:val="28"/>
        </w:rPr>
        <w:t xml:space="preserve"> Digitālā vienotā tirgus stratēģijā Eiropai (turpmāk - DSM)</w:t>
      </w:r>
      <w:r w:rsidRPr="00884C33">
        <w:rPr>
          <w:rStyle w:val="FootnoteReference"/>
          <w:sz w:val="28"/>
          <w:szCs w:val="28"/>
        </w:rPr>
        <w:footnoteReference w:id="1"/>
      </w:r>
      <w:r w:rsidRPr="00884C33">
        <w:rPr>
          <w:sz w:val="28"/>
          <w:szCs w:val="28"/>
        </w:rPr>
        <w:t>. DSM mērķis ir nojaukt normatīvās barjeras un panākt, ka 28 Eiropas Savienības (turpmāk – ES) valstu tirgi kļūst par vienotu digitālo tirgu, novēršot šķēršļus iepirkumiem tiešsaistē, veicinot interneta uzņēmumu un jaunizveidotu uzņēmumu izaugsmi, un veicinot digitālo rīku izmantošanu uzņēmumos un publiskajā pārvaldē. Lai veicinātu savienojamību lielākajai daļai no ES ekonomikas sektoriem ar ātru un pieejamu interneta pieslēgumu, EK nepieciešams nodrošināt efektīvāku institucionālās sistēmas regulējumu.</w:t>
      </w:r>
    </w:p>
    <w:p w14:paraId="66CB7D1E" w14:textId="481E8DB8" w:rsidR="00884C33" w:rsidRPr="00884C33" w:rsidRDefault="00556FFC" w:rsidP="00884C33">
      <w:pPr>
        <w:ind w:firstLine="720"/>
        <w:jc w:val="both"/>
        <w:rPr>
          <w:noProof/>
          <w:sz w:val="28"/>
          <w:szCs w:val="28"/>
        </w:rPr>
      </w:pPr>
      <w:r w:rsidRPr="00796F60">
        <w:rPr>
          <w:noProof/>
          <w:sz w:val="28"/>
          <w:szCs w:val="28"/>
        </w:rPr>
        <w:t xml:space="preserve">Eiropas Elektronisko sakaru regulatoru iestāde (turpmāk – </w:t>
      </w:r>
      <w:r w:rsidR="00884C33" w:rsidRPr="00796F60">
        <w:rPr>
          <w:i/>
          <w:noProof/>
          <w:sz w:val="28"/>
          <w:szCs w:val="28"/>
        </w:rPr>
        <w:t>BEREC</w:t>
      </w:r>
      <w:r w:rsidRPr="00796F60">
        <w:rPr>
          <w:noProof/>
          <w:sz w:val="28"/>
          <w:szCs w:val="28"/>
        </w:rPr>
        <w:t>)</w:t>
      </w:r>
      <w:r w:rsidR="00884C33" w:rsidRPr="00884C33">
        <w:rPr>
          <w:noProof/>
          <w:sz w:val="28"/>
          <w:szCs w:val="28"/>
        </w:rPr>
        <w:t xml:space="preserve"> ir ES dalībvalstu regulatoru konsultatīvā grupa, kuras mērķis ir veicināt konsekventu elektronisko sakaru nozares tiesiskā regulējuma piemērošanu ES. </w:t>
      </w:r>
      <w:r w:rsidR="00884C33" w:rsidRPr="00884C33">
        <w:rPr>
          <w:i/>
          <w:noProof/>
          <w:sz w:val="28"/>
          <w:szCs w:val="28"/>
        </w:rPr>
        <w:t>BEREC</w:t>
      </w:r>
      <w:r w:rsidR="00884C33" w:rsidRPr="00884C33">
        <w:rPr>
          <w:noProof/>
          <w:sz w:val="28"/>
          <w:szCs w:val="28"/>
        </w:rPr>
        <w:t xml:space="preserve"> birojs  sniedz </w:t>
      </w:r>
      <w:r w:rsidR="00884C33" w:rsidRPr="00884C33">
        <w:rPr>
          <w:i/>
          <w:noProof/>
          <w:sz w:val="28"/>
          <w:szCs w:val="28"/>
        </w:rPr>
        <w:t>BEREC</w:t>
      </w:r>
      <w:r w:rsidR="00884C33" w:rsidRPr="00884C33">
        <w:rPr>
          <w:noProof/>
          <w:sz w:val="28"/>
          <w:szCs w:val="28"/>
        </w:rPr>
        <w:t xml:space="preserve"> profesionāla un administratīva atbalsta pakalpojumus,  ievāc informāciju no ES valstu elektronisko sakaru nozares regulējošanām iestādēm, apmainās ar informāciju, izplata regulēšanas paraugpraksi,  palīdz </w:t>
      </w:r>
      <w:r w:rsidR="00884C33" w:rsidRPr="00884C33">
        <w:rPr>
          <w:i/>
          <w:noProof/>
          <w:sz w:val="28"/>
          <w:szCs w:val="28"/>
        </w:rPr>
        <w:t>BEREC</w:t>
      </w:r>
      <w:r w:rsidR="00884C33" w:rsidRPr="00884C33">
        <w:rPr>
          <w:noProof/>
          <w:sz w:val="28"/>
          <w:szCs w:val="28"/>
        </w:rPr>
        <w:t xml:space="preserve"> priekšsēdētājam sagatavot Regulatoru padomes darbu,  pēc Regulatoru padomes pieprasījuma veido ekspertu darba grupas un sniedz atbalstu, lai nodrošinātu šo grupu sekmīgu darbu. </w:t>
      </w:r>
      <w:r w:rsidR="00884C33" w:rsidRPr="00884C33">
        <w:rPr>
          <w:i/>
          <w:noProof/>
          <w:sz w:val="28"/>
          <w:szCs w:val="28"/>
        </w:rPr>
        <w:t>BEREC</w:t>
      </w:r>
      <w:r w:rsidR="00884C33" w:rsidRPr="00884C33">
        <w:rPr>
          <w:noProof/>
          <w:sz w:val="28"/>
          <w:szCs w:val="28"/>
        </w:rPr>
        <w:t xml:space="preserve"> biroja sastāvā ir Pārvaldības komiteja un administratīvais vadītājs, kurš biroju vada. Tajā strādā tikai tik darbinieku, cik nepieciešams, lai tas veiktu savus pienākumus. Darbinieku skaitu iesaka Pārvaldības komitejas locekļi un </w:t>
      </w:r>
      <w:r w:rsidR="00884C33" w:rsidRPr="00884C33">
        <w:rPr>
          <w:noProof/>
          <w:sz w:val="28"/>
          <w:szCs w:val="28"/>
        </w:rPr>
        <w:lastRenderedPageBreak/>
        <w:t>administratīvais vadītājs. Priekšlikumu par darbinieku skaita palielināšanu var pieņemt tikai, vienbalsīgi lemjot par to Pārvaldības komitejā.</w:t>
      </w:r>
    </w:p>
    <w:p w14:paraId="278BD419" w14:textId="77777777" w:rsidR="00884C33" w:rsidRPr="00884C33" w:rsidRDefault="00884C33" w:rsidP="002A27D9">
      <w:pPr>
        <w:ind w:left="720"/>
        <w:rPr>
          <w:sz w:val="28"/>
          <w:szCs w:val="28"/>
        </w:rPr>
      </w:pPr>
    </w:p>
    <w:p w14:paraId="3A5481A6" w14:textId="77777777" w:rsidR="00884C33" w:rsidRDefault="00884C33" w:rsidP="00884C33">
      <w:pPr>
        <w:ind w:firstLine="720"/>
        <w:jc w:val="both"/>
        <w:rPr>
          <w:sz w:val="28"/>
          <w:szCs w:val="28"/>
        </w:rPr>
      </w:pPr>
      <w:r w:rsidRPr="00884C33">
        <w:rPr>
          <w:sz w:val="28"/>
          <w:szCs w:val="28"/>
        </w:rPr>
        <w:t>Priekšlikuma mērķi</w:t>
      </w:r>
      <w:r>
        <w:rPr>
          <w:sz w:val="28"/>
          <w:szCs w:val="28"/>
        </w:rPr>
        <w:t xml:space="preserve"> ir </w:t>
      </w:r>
      <w:r w:rsidRPr="00884C33">
        <w:rPr>
          <w:sz w:val="28"/>
          <w:szCs w:val="28"/>
        </w:rPr>
        <w:t>apvienot BEREC un BEREC biroja struktūras vienā pilntiesīgā aģentūrā, kurai būtu plašākas pilnvaras un, kas turpinātu BEREC darbu un ES valstu regulatīvo iestāžu īpašo zināšanu apkopošanu;</w:t>
      </w:r>
      <w:r>
        <w:rPr>
          <w:sz w:val="28"/>
          <w:szCs w:val="28"/>
        </w:rPr>
        <w:t xml:space="preserve"> </w:t>
      </w:r>
      <w:r w:rsidRPr="00884C33">
        <w:rPr>
          <w:sz w:val="28"/>
          <w:szCs w:val="28"/>
        </w:rPr>
        <w:t>nodrošināt BEREC piemērotu un efektīvu pārvaldības struktūru, pilnvaras un rīkus, kas vajadzīgi tiesiskā regulējuma konsekventas īstenošanas nodrošināšanai; nodrošināt saskaņotu tiesiskā regulējuma īstenošanu, tādējādi sekmējot elektronisko sakaru tirgus attīstību visā ES;</w:t>
      </w:r>
      <w:r>
        <w:rPr>
          <w:sz w:val="28"/>
          <w:szCs w:val="28"/>
        </w:rPr>
        <w:t xml:space="preserve"> </w:t>
      </w:r>
      <w:r w:rsidRPr="00884C33">
        <w:rPr>
          <w:sz w:val="28"/>
          <w:szCs w:val="28"/>
        </w:rPr>
        <w:t>veicināt vienotā tirgus attīstību;</w:t>
      </w:r>
      <w:r>
        <w:rPr>
          <w:sz w:val="28"/>
          <w:szCs w:val="28"/>
        </w:rPr>
        <w:t xml:space="preserve"> </w:t>
      </w:r>
      <w:r w:rsidRPr="00884C33">
        <w:rPr>
          <w:sz w:val="28"/>
          <w:szCs w:val="28"/>
        </w:rPr>
        <w:t>veicināt konkurenci elektronisko sakaru tīklu un pakalpojumu nodrošināšanā;</w:t>
      </w:r>
      <w:r>
        <w:rPr>
          <w:sz w:val="28"/>
          <w:szCs w:val="28"/>
        </w:rPr>
        <w:t xml:space="preserve"> </w:t>
      </w:r>
      <w:r w:rsidRPr="00884C33">
        <w:rPr>
          <w:sz w:val="28"/>
          <w:szCs w:val="28"/>
        </w:rPr>
        <w:t>nodrošināt nepieciešamās koordinācijas procedūras ES līmenī attiecībā uz radiofrekvenču spektra pārvaldību;</w:t>
      </w:r>
      <w:r>
        <w:rPr>
          <w:sz w:val="28"/>
          <w:szCs w:val="28"/>
        </w:rPr>
        <w:t xml:space="preserve"> </w:t>
      </w:r>
      <w:r w:rsidRPr="00884C33">
        <w:rPr>
          <w:sz w:val="28"/>
          <w:szCs w:val="28"/>
        </w:rPr>
        <w:t>nodrošināt plašu piekļuvi īpaši jaudīgai datu savienojamībai un tās izvēršanu;</w:t>
      </w:r>
      <w:r>
        <w:rPr>
          <w:sz w:val="28"/>
          <w:szCs w:val="28"/>
        </w:rPr>
        <w:t xml:space="preserve"> </w:t>
      </w:r>
      <w:r w:rsidRPr="00884C33">
        <w:rPr>
          <w:sz w:val="28"/>
          <w:szCs w:val="28"/>
        </w:rPr>
        <w:t>veicināt ES iedzīvotāju interešu aizsardzību.</w:t>
      </w:r>
    </w:p>
    <w:p w14:paraId="56FE8A7B" w14:textId="77777777" w:rsidR="00884C33" w:rsidRPr="00884C33" w:rsidRDefault="00884C33" w:rsidP="00884C33">
      <w:pPr>
        <w:ind w:firstLine="720"/>
        <w:jc w:val="both"/>
        <w:rPr>
          <w:sz w:val="28"/>
          <w:szCs w:val="28"/>
        </w:rPr>
      </w:pPr>
      <w:r w:rsidRPr="00884C33">
        <w:rPr>
          <w:sz w:val="28"/>
          <w:szCs w:val="28"/>
        </w:rPr>
        <w:t>BEREC plānots noteikt juridiskas personas statusu, savu budžetu un pilnvaras pieprasīt informāciju no elektronisko sakaru operatoriem, valstu regulatīvajām iestādēm un citām iestādēm.</w:t>
      </w:r>
      <w:r>
        <w:rPr>
          <w:sz w:val="28"/>
          <w:szCs w:val="28"/>
        </w:rPr>
        <w:t xml:space="preserve"> </w:t>
      </w:r>
      <w:r w:rsidRPr="00884C33">
        <w:rPr>
          <w:sz w:val="28"/>
          <w:szCs w:val="28"/>
        </w:rPr>
        <w:t>Priekšlikumā tiek pastiprinātas BEREC pašreizējās pilnvaras, padarot to par pilntiesīgu aģentūru, kam sniegti nepieciešamie rīki un pienācīgi resursi, lai tā sasniegtu noteiktos mērķus un veiktu uzdevumus.</w:t>
      </w:r>
    </w:p>
    <w:p w14:paraId="7E136DF7" w14:textId="77777777" w:rsidR="00884C33" w:rsidRPr="00884C33" w:rsidRDefault="00884C33" w:rsidP="00EB27ED">
      <w:pPr>
        <w:ind w:firstLine="720"/>
        <w:jc w:val="both"/>
        <w:rPr>
          <w:sz w:val="28"/>
          <w:szCs w:val="28"/>
        </w:rPr>
      </w:pPr>
      <w:r w:rsidRPr="00884C33">
        <w:rPr>
          <w:sz w:val="28"/>
          <w:szCs w:val="28"/>
        </w:rPr>
        <w:t>Priekšlikums paredz apvienotā BEREC un BEREC biroja turpmāku kapacitātes stiprināšanu.</w:t>
      </w:r>
      <w:r w:rsidR="00EB27ED">
        <w:rPr>
          <w:sz w:val="28"/>
          <w:szCs w:val="28"/>
        </w:rPr>
        <w:t xml:space="preserve"> </w:t>
      </w:r>
      <w:r w:rsidRPr="00884C33">
        <w:rPr>
          <w:sz w:val="28"/>
          <w:szCs w:val="28"/>
        </w:rPr>
        <w:t xml:space="preserve">Priekšlikums arī paredz divu gadu laikā pēc regulas spēkā stāšanās pārskatīt mītnes līgumu par BEREC izvietošanu uzņēmējā dalībvalstī, paredzot, ka dalībvalsts nodrošina nepieciešamos apstākļus netraucētai un efektīvai BEREC darbībai, starp kuriem ir </w:t>
      </w:r>
      <w:proofErr w:type="spellStart"/>
      <w:r w:rsidRPr="00884C33">
        <w:rPr>
          <w:sz w:val="28"/>
          <w:szCs w:val="28"/>
        </w:rPr>
        <w:t>daudzvalodīgas</w:t>
      </w:r>
      <w:proofErr w:type="spellEnd"/>
      <w:r w:rsidRPr="00884C33">
        <w:rPr>
          <w:sz w:val="28"/>
          <w:szCs w:val="28"/>
        </w:rPr>
        <w:t xml:space="preserve"> Eiropas ievirzes mācību iestādes un piemēroti transporta savienojumi.</w:t>
      </w:r>
    </w:p>
    <w:p w14:paraId="4A6EA267" w14:textId="77777777" w:rsidR="00884C33" w:rsidRPr="00884C33" w:rsidRDefault="00884C33" w:rsidP="00EB27ED">
      <w:pPr>
        <w:ind w:firstLine="720"/>
        <w:jc w:val="both"/>
        <w:rPr>
          <w:sz w:val="28"/>
          <w:szCs w:val="28"/>
        </w:rPr>
      </w:pPr>
      <w:r w:rsidRPr="00884C33">
        <w:rPr>
          <w:sz w:val="28"/>
          <w:szCs w:val="28"/>
        </w:rPr>
        <w:t>Latvijā elektronisko sakaru pakalpojumu sniegšanu regulē Elektronisko sakaru likums un citi normatīvie akti, kuros pārņemtas ES tiesību aktu prasības (turpmāk – normatīvie akti). Elektronisko sakaru nozari uzrauga Sabiedrisko pakalpojumu regulēšanas komisija (turpmāk – Regulators), kuras kompetence noteikta Elektronisko sakaru likumā un likumā „Par sabiedrisko pakalpojumu regulatoriem”.</w:t>
      </w:r>
      <w:r w:rsidR="00EB27ED">
        <w:rPr>
          <w:sz w:val="28"/>
          <w:szCs w:val="28"/>
        </w:rPr>
        <w:t xml:space="preserve"> </w:t>
      </w:r>
      <w:r w:rsidRPr="00884C33">
        <w:rPr>
          <w:sz w:val="28"/>
          <w:szCs w:val="28"/>
        </w:rPr>
        <w:t>Ar Regulu Nr.1211/2009 tika izveidota BEREC un tās birojs. Regulā Nr.1211/2009 ir noteiktas to funkcijas, uzdevumi, sastāvs un struktūra. Pamatojoties uz 2010.gada 31.maija lēmumu Nr.2010/349/ES, ko, savstarpēji vienojoties, pieņēma ES dalībvalstu valdību pārstāvji par BEREC biroja mītnes atrašanās vietu Rīgā, Latvijā</w:t>
      </w:r>
      <w:r w:rsidR="00EB27ED">
        <w:rPr>
          <w:rStyle w:val="FootnoteReference"/>
          <w:sz w:val="28"/>
          <w:szCs w:val="28"/>
        </w:rPr>
        <w:footnoteReference w:id="2"/>
      </w:r>
      <w:r w:rsidRPr="00884C33">
        <w:rPr>
          <w:sz w:val="28"/>
          <w:szCs w:val="28"/>
        </w:rPr>
        <w:t xml:space="preserve">, Mītnes līgumu   starp Latvijas Republikas valdību un Elektronisko sakaru regulatoru iestādes biroju (turpmāk – Mītnes līgums), kas parakstīts 2011.gada 24.februārī un  apstiprināts ar 2011.gada 29.jūnijā likumu “Par Mītnes līgumu starp Latvijas Republikas valdību un Eiropas Elektronisko sakaru regulatoru iestādes biroju” (turpmāk – likums),  un Saprašanās memorandu starp Latvijas Republikas valdību un Eiropas Elektronisko sakaru regulatoru iestādes biroju par minētas Eiropas iestādes </w:t>
      </w:r>
      <w:r w:rsidRPr="00884C33">
        <w:rPr>
          <w:sz w:val="28"/>
          <w:szCs w:val="28"/>
        </w:rPr>
        <w:lastRenderedPageBreak/>
        <w:t>mītnes izvietošanu Rīgā (turpmāk – Saprašanās memorands)</w:t>
      </w:r>
      <w:r w:rsidR="00EB27ED">
        <w:rPr>
          <w:rStyle w:val="FootnoteReference"/>
          <w:sz w:val="28"/>
          <w:szCs w:val="28"/>
        </w:rPr>
        <w:footnoteReference w:id="3"/>
      </w:r>
      <w:r w:rsidRPr="00884C33">
        <w:rPr>
          <w:sz w:val="28"/>
          <w:szCs w:val="28"/>
        </w:rPr>
        <w:t>, kas stājās spēkā  2011.gada 1.oktobrī, Rīgā, Latvijā, tika izvietots BEREC birojs. 2016.gada rudenī Satiksmes ministrijas pārstāvjiem tiekoties ar atbildīgā EK ģenerāldirektorāta pārstāvjiem (</w:t>
      </w:r>
      <w:proofErr w:type="spellStart"/>
      <w:r w:rsidRPr="00884C33">
        <w:rPr>
          <w:sz w:val="28"/>
          <w:szCs w:val="28"/>
        </w:rPr>
        <w:t>Anthony</w:t>
      </w:r>
      <w:proofErr w:type="spellEnd"/>
      <w:r w:rsidRPr="00884C33">
        <w:rPr>
          <w:sz w:val="28"/>
          <w:szCs w:val="28"/>
        </w:rPr>
        <w:t xml:space="preserve"> </w:t>
      </w:r>
      <w:proofErr w:type="spellStart"/>
      <w:r w:rsidRPr="00884C33">
        <w:rPr>
          <w:sz w:val="28"/>
          <w:szCs w:val="28"/>
        </w:rPr>
        <w:t>Whelan</w:t>
      </w:r>
      <w:proofErr w:type="spellEnd"/>
      <w:r w:rsidRPr="00884C33">
        <w:rPr>
          <w:sz w:val="28"/>
          <w:szCs w:val="28"/>
        </w:rPr>
        <w:t xml:space="preserve"> </w:t>
      </w:r>
      <w:proofErr w:type="spellStart"/>
      <w:r w:rsidRPr="00884C33">
        <w:rPr>
          <w:sz w:val="28"/>
          <w:szCs w:val="28"/>
        </w:rPr>
        <w:t>Director</w:t>
      </w:r>
      <w:proofErr w:type="spellEnd"/>
      <w:r w:rsidRPr="00884C33">
        <w:rPr>
          <w:sz w:val="28"/>
          <w:szCs w:val="28"/>
        </w:rPr>
        <w:t xml:space="preserve"> of DG CONNECT </w:t>
      </w:r>
      <w:proofErr w:type="spellStart"/>
      <w:r w:rsidRPr="00884C33">
        <w:rPr>
          <w:sz w:val="28"/>
          <w:szCs w:val="28"/>
        </w:rPr>
        <w:t>Directorate</w:t>
      </w:r>
      <w:proofErr w:type="spellEnd"/>
      <w:r w:rsidRPr="00884C33">
        <w:rPr>
          <w:sz w:val="28"/>
          <w:szCs w:val="28"/>
        </w:rPr>
        <w:t xml:space="preserve"> B, </w:t>
      </w:r>
      <w:proofErr w:type="spellStart"/>
      <w:r w:rsidRPr="00884C33">
        <w:rPr>
          <w:sz w:val="28"/>
          <w:szCs w:val="28"/>
        </w:rPr>
        <w:t>Electronic</w:t>
      </w:r>
      <w:proofErr w:type="spellEnd"/>
      <w:r w:rsidRPr="00884C33">
        <w:rPr>
          <w:sz w:val="28"/>
          <w:szCs w:val="28"/>
        </w:rPr>
        <w:t xml:space="preserve"> </w:t>
      </w:r>
      <w:proofErr w:type="spellStart"/>
      <w:r w:rsidRPr="00884C33">
        <w:rPr>
          <w:sz w:val="28"/>
          <w:szCs w:val="28"/>
        </w:rPr>
        <w:t>Communications</w:t>
      </w:r>
      <w:proofErr w:type="spellEnd"/>
      <w:r w:rsidRPr="00884C33">
        <w:rPr>
          <w:sz w:val="28"/>
          <w:szCs w:val="28"/>
        </w:rPr>
        <w:t xml:space="preserve"> </w:t>
      </w:r>
      <w:proofErr w:type="spellStart"/>
      <w:r w:rsidRPr="00884C33">
        <w:rPr>
          <w:sz w:val="28"/>
          <w:szCs w:val="28"/>
        </w:rPr>
        <w:t>Networks</w:t>
      </w:r>
      <w:proofErr w:type="spellEnd"/>
      <w:r w:rsidRPr="00884C33">
        <w:rPr>
          <w:sz w:val="28"/>
          <w:szCs w:val="28"/>
        </w:rPr>
        <w:t xml:space="preserve"> &amp; </w:t>
      </w:r>
      <w:proofErr w:type="spellStart"/>
      <w:r w:rsidRPr="00884C33">
        <w:rPr>
          <w:sz w:val="28"/>
          <w:szCs w:val="28"/>
        </w:rPr>
        <w:t>Services</w:t>
      </w:r>
      <w:proofErr w:type="spellEnd"/>
      <w:r w:rsidRPr="00884C33">
        <w:rPr>
          <w:sz w:val="28"/>
          <w:szCs w:val="28"/>
        </w:rPr>
        <w:t>) tika saņemts apliecinājums, ka EK nav nolūka BEREC biroju pārcelt uz citu mītnes valsti.</w:t>
      </w:r>
      <w:r w:rsidR="00EB27ED">
        <w:rPr>
          <w:sz w:val="28"/>
          <w:szCs w:val="28"/>
        </w:rPr>
        <w:t xml:space="preserve"> </w:t>
      </w:r>
      <w:r w:rsidRPr="00884C33">
        <w:rPr>
          <w:sz w:val="28"/>
          <w:szCs w:val="28"/>
        </w:rPr>
        <w:t>Satiksmes ministrija ir noteikta kā koordinējošā institūcija par Saprašanās memorandā noteikto saistību izpildi.</w:t>
      </w:r>
    </w:p>
    <w:p w14:paraId="1159250F" w14:textId="77777777" w:rsidR="00884C33" w:rsidRPr="00884C33" w:rsidRDefault="00884C33" w:rsidP="008B1148">
      <w:pPr>
        <w:ind w:firstLine="720"/>
        <w:jc w:val="both"/>
        <w:rPr>
          <w:sz w:val="28"/>
          <w:szCs w:val="28"/>
        </w:rPr>
      </w:pPr>
      <w:r w:rsidRPr="00EB27ED">
        <w:rPr>
          <w:b/>
          <w:sz w:val="28"/>
          <w:szCs w:val="28"/>
        </w:rPr>
        <w:t>Latvija kopumā pozitīvi vērtē</w:t>
      </w:r>
      <w:r w:rsidRPr="00884C33">
        <w:rPr>
          <w:sz w:val="28"/>
          <w:szCs w:val="28"/>
        </w:rPr>
        <w:t xml:space="preserve"> priekšlikumu harmonizēt dalībvalstu elektronisko sakaru nozares neatkarīgo regulatoru kompetenču jomas, stiprināt regulatoru neatkarības nosacījumus, kas uzlabos arī regulatoru pārstāvju iesaisti BEREC ikdienas darbā, veicinot turpmāku vienotā tirgus regulēšanas harmonizāciju.  Atbalstāms arī kopējais uzstādījums par BEREC darbības efektivitātes uzlabošanu un BEREC lomas palielināšanu.</w:t>
      </w:r>
      <w:r w:rsidR="008B1148">
        <w:rPr>
          <w:sz w:val="28"/>
          <w:szCs w:val="28"/>
        </w:rPr>
        <w:t xml:space="preserve"> </w:t>
      </w:r>
      <w:r w:rsidRPr="00884C33">
        <w:rPr>
          <w:sz w:val="28"/>
          <w:szCs w:val="28"/>
        </w:rPr>
        <w:t>Ņemot vērā to, ka BEREC birojs ir izvietots Rīgā, Latvijai ir īpašas intereses un skatījums uz piedāvātajiem grozījumiem.</w:t>
      </w:r>
    </w:p>
    <w:p w14:paraId="23EF698C" w14:textId="77777777" w:rsidR="00884C33" w:rsidRPr="00884C33" w:rsidRDefault="00884C33" w:rsidP="00884C33">
      <w:pPr>
        <w:ind w:firstLine="720"/>
        <w:jc w:val="both"/>
        <w:rPr>
          <w:sz w:val="28"/>
          <w:szCs w:val="28"/>
        </w:rPr>
      </w:pPr>
      <w:r w:rsidRPr="00EB27ED">
        <w:rPr>
          <w:b/>
          <w:sz w:val="28"/>
          <w:szCs w:val="28"/>
        </w:rPr>
        <w:t>Latvija atbalsta</w:t>
      </w:r>
      <w:r w:rsidRPr="00884C33">
        <w:rPr>
          <w:sz w:val="28"/>
          <w:szCs w:val="28"/>
        </w:rPr>
        <w:t xml:space="preserve"> BEREC pašreizējo pilnvaru pastiprināšanu, budžeta palielināšanu, tādejādi nostiprinot BEREC lomu un kapacitāti lēmumu pieņemšanas procesā. Latvija kopumā atzīmē, ka BEREC kapacitātes stiprināšana ir atbalstāma, ņemot vērā jau pieņemtajos ES tiesību aktos noteiktos BEREC uzdevumus. Paredzētajam papildus finansējumam ir jāsniedz iespējami plašs atbalsts BEREC biroja un tā funkciju nodrošināšanā.</w:t>
      </w:r>
    </w:p>
    <w:p w14:paraId="32B0E312" w14:textId="572FB8DD" w:rsidR="00884C33" w:rsidRDefault="00884C33" w:rsidP="00884C33">
      <w:pPr>
        <w:ind w:firstLine="720"/>
        <w:jc w:val="both"/>
        <w:rPr>
          <w:sz w:val="28"/>
          <w:szCs w:val="28"/>
        </w:rPr>
      </w:pPr>
      <w:r w:rsidRPr="00884C33">
        <w:rPr>
          <w:sz w:val="28"/>
          <w:szCs w:val="28"/>
        </w:rPr>
        <w:t xml:space="preserve">Latvijai nav iebildumu jaunu pienākumu uzticēšanai BEREC nolūkā turpināt ES iekšējā tirgus attīstību, vienlaikus ir svarīgi tie EK priekšlikumi, kas var palielināt regulēšanas procesa izmaksas un veicināt nevēlamu administratīvo slogu, piemēram, priekšlikums par komersantu vispārējās atļaujas saņemšanu (autorizēšanu) BEREC. Šāds piedāvājums nav pietiekami pamatots, nav skaidrs tā mērķis, kā arī tas nesamazinās administratīvo slogu un birokrātiskās procedūras elektronisko sakaru pakalpojumu sniedzējiem un operatoriem. </w:t>
      </w:r>
    </w:p>
    <w:p w14:paraId="470400C1" w14:textId="77777777" w:rsidR="00A8023A" w:rsidRPr="00884C33" w:rsidRDefault="00A8023A" w:rsidP="00884C33">
      <w:pPr>
        <w:ind w:firstLine="720"/>
        <w:jc w:val="both"/>
        <w:rPr>
          <w:sz w:val="28"/>
          <w:szCs w:val="28"/>
        </w:rPr>
      </w:pPr>
      <w:r>
        <w:rPr>
          <w:sz w:val="28"/>
          <w:szCs w:val="28"/>
        </w:rPr>
        <w:t>Darbu pie priekšlikuma plānots uzsākt šī gada jūnijā Padomes Telesakaru un informācijas sabiedrības jautājumu darba grupā.</w:t>
      </w:r>
    </w:p>
    <w:p w14:paraId="7F9DD66F" w14:textId="77777777" w:rsidR="00884C33" w:rsidRDefault="00884C33" w:rsidP="00884C33">
      <w:pPr>
        <w:pStyle w:val="NormalWeb"/>
        <w:spacing w:before="0" w:beforeAutospacing="0" w:after="0" w:afterAutospacing="0"/>
        <w:jc w:val="both"/>
        <w:rPr>
          <w:lang w:val="lv-LV"/>
        </w:rPr>
      </w:pPr>
    </w:p>
    <w:p w14:paraId="653856DC" w14:textId="77777777" w:rsidR="00884C33" w:rsidRPr="00267D1C" w:rsidRDefault="00884C33" w:rsidP="00884C33">
      <w:pPr>
        <w:pStyle w:val="NormalWeb"/>
        <w:spacing w:before="0" w:beforeAutospacing="0" w:after="0" w:afterAutospacing="0"/>
        <w:jc w:val="both"/>
        <w:rPr>
          <w:lang w:val="lv-LV"/>
        </w:rPr>
      </w:pPr>
    </w:p>
    <w:p w14:paraId="3D691D8C" w14:textId="77777777" w:rsidR="002A27D9" w:rsidRPr="000F321C" w:rsidRDefault="002A27D9" w:rsidP="002A27D9">
      <w:pPr>
        <w:ind w:left="720"/>
        <w:rPr>
          <w:sz w:val="28"/>
          <w:szCs w:val="28"/>
        </w:rPr>
      </w:pPr>
      <w:r w:rsidRPr="000F321C">
        <w:rPr>
          <w:sz w:val="28"/>
          <w:szCs w:val="28"/>
        </w:rPr>
        <w:t>Iesniedzējs: Satiksmes ministrs</w:t>
      </w:r>
      <w:r w:rsidRPr="000F321C">
        <w:rPr>
          <w:sz w:val="28"/>
          <w:szCs w:val="28"/>
        </w:rPr>
        <w:tab/>
      </w:r>
      <w:r w:rsidRPr="000F321C">
        <w:rPr>
          <w:sz w:val="28"/>
          <w:szCs w:val="28"/>
        </w:rPr>
        <w:tab/>
      </w:r>
      <w:r w:rsidRPr="000F321C">
        <w:rPr>
          <w:sz w:val="28"/>
          <w:szCs w:val="28"/>
        </w:rPr>
        <w:tab/>
      </w:r>
      <w:r w:rsidRPr="000F321C">
        <w:rPr>
          <w:sz w:val="28"/>
          <w:szCs w:val="28"/>
        </w:rPr>
        <w:tab/>
      </w:r>
      <w:r w:rsidRPr="000F321C">
        <w:rPr>
          <w:sz w:val="28"/>
          <w:szCs w:val="28"/>
        </w:rPr>
        <w:tab/>
        <w:t xml:space="preserve">U. </w:t>
      </w:r>
      <w:proofErr w:type="spellStart"/>
      <w:r w:rsidRPr="000F321C">
        <w:rPr>
          <w:sz w:val="28"/>
          <w:szCs w:val="28"/>
        </w:rPr>
        <w:t>Augulis</w:t>
      </w:r>
      <w:proofErr w:type="spellEnd"/>
      <w:r w:rsidRPr="000F321C">
        <w:rPr>
          <w:sz w:val="28"/>
          <w:szCs w:val="28"/>
        </w:rPr>
        <w:t xml:space="preserve">  </w:t>
      </w:r>
    </w:p>
    <w:p w14:paraId="720DFFDC" w14:textId="0E54C6E2" w:rsidR="002A27D9" w:rsidRPr="000F321C" w:rsidRDefault="002A27D9" w:rsidP="00014887">
      <w:pPr>
        <w:ind w:left="720"/>
        <w:rPr>
          <w:sz w:val="28"/>
          <w:szCs w:val="28"/>
        </w:rPr>
      </w:pPr>
    </w:p>
    <w:p w14:paraId="1CC9FF97" w14:textId="77777777" w:rsidR="00014887" w:rsidRDefault="00014887" w:rsidP="00014887">
      <w:pPr>
        <w:jc w:val="both"/>
        <w:rPr>
          <w:sz w:val="28"/>
          <w:szCs w:val="28"/>
          <w:highlight w:val="green"/>
        </w:rPr>
      </w:pPr>
    </w:p>
    <w:p w14:paraId="0C5F02A6" w14:textId="77777777" w:rsidR="00014887" w:rsidRPr="008A2183" w:rsidRDefault="00014887" w:rsidP="00014887">
      <w:pPr>
        <w:ind w:firstLine="720"/>
        <w:rPr>
          <w:sz w:val="28"/>
          <w:szCs w:val="28"/>
        </w:rPr>
      </w:pPr>
      <w:r w:rsidRPr="008A2183">
        <w:rPr>
          <w:sz w:val="28"/>
          <w:szCs w:val="28"/>
        </w:rPr>
        <w:t>Valsts sekretāra vietā-</w:t>
      </w:r>
    </w:p>
    <w:p w14:paraId="33F55606" w14:textId="3B953F6A" w:rsidR="00014887" w:rsidRPr="008A2183" w:rsidRDefault="00014887" w:rsidP="00014887">
      <w:pPr>
        <w:ind w:firstLine="720"/>
        <w:rPr>
          <w:sz w:val="28"/>
          <w:szCs w:val="28"/>
        </w:rPr>
      </w:pPr>
      <w:r w:rsidRPr="008A2183">
        <w:rPr>
          <w:sz w:val="28"/>
          <w:szCs w:val="28"/>
        </w:rPr>
        <w:t>Valsts sekretāra vietniece</w:t>
      </w:r>
      <w:r w:rsidRPr="008A2183">
        <w:rPr>
          <w:sz w:val="28"/>
          <w:szCs w:val="28"/>
        </w:rPr>
        <w:tab/>
      </w:r>
      <w:r w:rsidRPr="008A2183">
        <w:rPr>
          <w:sz w:val="28"/>
          <w:szCs w:val="28"/>
        </w:rPr>
        <w:tab/>
      </w:r>
      <w:r w:rsidRPr="008A2183">
        <w:rPr>
          <w:sz w:val="28"/>
          <w:szCs w:val="28"/>
        </w:rPr>
        <w:tab/>
      </w:r>
      <w:r w:rsidRPr="008A2183">
        <w:rPr>
          <w:sz w:val="28"/>
          <w:szCs w:val="28"/>
        </w:rPr>
        <w:tab/>
      </w:r>
      <w:r>
        <w:rPr>
          <w:sz w:val="28"/>
          <w:szCs w:val="28"/>
        </w:rPr>
        <w:tab/>
      </w:r>
      <w:r w:rsidRPr="008A2183">
        <w:rPr>
          <w:sz w:val="28"/>
          <w:szCs w:val="28"/>
        </w:rPr>
        <w:tab/>
      </w:r>
      <w:proofErr w:type="spellStart"/>
      <w:r w:rsidRPr="008A2183">
        <w:rPr>
          <w:sz w:val="28"/>
          <w:szCs w:val="28"/>
        </w:rPr>
        <w:t>Dž.Innusa</w:t>
      </w:r>
      <w:proofErr w:type="spellEnd"/>
      <w:r w:rsidRPr="008A2183">
        <w:rPr>
          <w:sz w:val="28"/>
          <w:szCs w:val="28"/>
        </w:rPr>
        <w:t xml:space="preserve"> </w:t>
      </w:r>
    </w:p>
    <w:p w14:paraId="6DEC6DCA" w14:textId="77777777" w:rsidR="002A27D9" w:rsidRPr="000F321C" w:rsidRDefault="002A27D9" w:rsidP="002A27D9">
      <w:pPr>
        <w:rPr>
          <w:sz w:val="28"/>
          <w:szCs w:val="28"/>
        </w:rPr>
      </w:pPr>
    </w:p>
    <w:p w14:paraId="223CD752" w14:textId="511DEBB4" w:rsidR="002A27D9" w:rsidRPr="000F321C" w:rsidRDefault="00014887" w:rsidP="002A27D9">
      <w:pPr>
        <w:autoSpaceDE w:val="0"/>
        <w:autoSpaceDN w:val="0"/>
        <w:adjustRightInd w:val="0"/>
        <w:jc w:val="both"/>
      </w:pPr>
      <w:r>
        <w:t>18</w:t>
      </w:r>
      <w:r w:rsidR="002A27D9" w:rsidRPr="000F321C">
        <w:t>.0</w:t>
      </w:r>
      <w:r w:rsidR="002A27D9">
        <w:t>5</w:t>
      </w:r>
      <w:r w:rsidR="002A27D9" w:rsidRPr="000F321C">
        <w:t>.201</w:t>
      </w:r>
      <w:r>
        <w:t>7. 10</w:t>
      </w:r>
      <w:r w:rsidR="002A27D9" w:rsidRPr="000F321C">
        <w:t>:24</w:t>
      </w:r>
    </w:p>
    <w:p w14:paraId="131D1EDD" w14:textId="07365C86" w:rsidR="002A27D9" w:rsidRPr="000F321C" w:rsidRDefault="00AB3A16" w:rsidP="002A27D9">
      <w:pPr>
        <w:autoSpaceDE w:val="0"/>
        <w:autoSpaceDN w:val="0"/>
        <w:adjustRightInd w:val="0"/>
        <w:jc w:val="both"/>
      </w:pPr>
      <w:r>
        <w:t>9</w:t>
      </w:r>
      <w:r w:rsidR="00014887">
        <w:t>71</w:t>
      </w:r>
      <w:r w:rsidR="002A27D9" w:rsidRPr="000F321C">
        <w:t xml:space="preserve"> vārdi</w:t>
      </w:r>
    </w:p>
    <w:p w14:paraId="5F35AEFE" w14:textId="77777777" w:rsidR="002A27D9" w:rsidRPr="000F321C" w:rsidRDefault="002A27D9" w:rsidP="002A27D9">
      <w:pPr>
        <w:rPr>
          <w:sz w:val="22"/>
          <w:szCs w:val="22"/>
        </w:rPr>
      </w:pPr>
      <w:r w:rsidRPr="000F321C">
        <w:rPr>
          <w:sz w:val="22"/>
          <w:szCs w:val="22"/>
        </w:rPr>
        <w:t xml:space="preserve">Elīna </w:t>
      </w:r>
      <w:proofErr w:type="spellStart"/>
      <w:r w:rsidRPr="000F321C">
        <w:rPr>
          <w:sz w:val="22"/>
          <w:szCs w:val="22"/>
        </w:rPr>
        <w:t>Šimiņa-Neverovska</w:t>
      </w:r>
      <w:proofErr w:type="spellEnd"/>
      <w:r w:rsidRPr="000F321C">
        <w:rPr>
          <w:sz w:val="22"/>
          <w:szCs w:val="22"/>
        </w:rPr>
        <w:t xml:space="preserve"> 67028254</w:t>
      </w:r>
    </w:p>
    <w:p w14:paraId="42FB66C6" w14:textId="655E76CF" w:rsidR="00E27FD6" w:rsidRPr="00014887" w:rsidRDefault="00A25D62">
      <w:pPr>
        <w:rPr>
          <w:sz w:val="22"/>
          <w:szCs w:val="22"/>
        </w:rPr>
      </w:pPr>
      <w:hyperlink r:id="rId8" w:history="1">
        <w:r w:rsidR="002A27D9" w:rsidRPr="000F321C">
          <w:rPr>
            <w:rStyle w:val="Hyperlink"/>
            <w:sz w:val="22"/>
            <w:szCs w:val="22"/>
          </w:rPr>
          <w:t>elina.simina@sam.gov.lv</w:t>
        </w:r>
      </w:hyperlink>
      <w:r w:rsidR="002A27D9">
        <w:rPr>
          <w:sz w:val="22"/>
          <w:szCs w:val="22"/>
        </w:rPr>
        <w:t xml:space="preserve"> </w:t>
      </w:r>
    </w:p>
    <w:sectPr w:rsidR="00E27FD6" w:rsidRPr="00014887" w:rsidSect="00383C4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34D8" w14:textId="77777777" w:rsidR="00A25D62" w:rsidRDefault="00A25D62" w:rsidP="002A27D9">
      <w:r>
        <w:separator/>
      </w:r>
    </w:p>
  </w:endnote>
  <w:endnote w:type="continuationSeparator" w:id="0">
    <w:p w14:paraId="71AB75E2" w14:textId="77777777" w:rsidR="00A25D62" w:rsidRDefault="00A25D62" w:rsidP="002A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1C74A" w14:textId="77777777" w:rsidR="00616801" w:rsidRDefault="008B1148" w:rsidP="00383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A72CAA" w14:textId="77777777" w:rsidR="00616801" w:rsidRDefault="00A25D62" w:rsidP="00383C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7E21B" w14:textId="2AEC2B58" w:rsidR="00616801" w:rsidRPr="004725B5" w:rsidRDefault="008B1148" w:rsidP="004725B5">
    <w:pPr>
      <w:spacing w:after="120"/>
      <w:jc w:val="both"/>
      <w:rPr>
        <w:sz w:val="22"/>
        <w:szCs w:val="22"/>
      </w:rPr>
    </w:pPr>
    <w:r w:rsidRPr="007D75C1">
      <w:rPr>
        <w:sz w:val="22"/>
        <w:szCs w:val="22"/>
      </w:rPr>
      <w:t>SAMzino_</w:t>
    </w:r>
    <w:r w:rsidR="00014887">
      <w:rPr>
        <w:sz w:val="22"/>
        <w:szCs w:val="22"/>
      </w:rPr>
      <w:t>18</w:t>
    </w:r>
    <w:r w:rsidR="002A27D9">
      <w:rPr>
        <w:sz w:val="22"/>
        <w:szCs w:val="22"/>
      </w:rPr>
      <w:t>0517</w:t>
    </w:r>
    <w:r w:rsidRPr="007D75C1">
      <w:rPr>
        <w:sz w:val="22"/>
        <w:szCs w:val="22"/>
      </w:rPr>
      <w:t>_</w:t>
    </w:r>
    <w:r w:rsidR="002A27D9">
      <w:rPr>
        <w:sz w:val="22"/>
        <w:szCs w:val="22"/>
      </w:rPr>
      <w:t>berec</w:t>
    </w:r>
    <w:r w:rsidRPr="007D75C1">
      <w:rPr>
        <w:sz w:val="22"/>
        <w:szCs w:val="22"/>
      </w:rPr>
      <w:t>; Informatīvais ziņojums par Satiksmes ministrijas sagatavoto nacionālo pozīciju “</w:t>
    </w:r>
    <w:r w:rsidR="002A27D9" w:rsidRPr="00DB7A3F">
      <w:rPr>
        <w:sz w:val="22"/>
        <w:szCs w:val="22"/>
      </w:rPr>
      <w:t>Priekšlikums Eiropas Parlamenta un Padomes Regulai, ar ko izveido Eiropas Elektronisko sakaru regulatoru iestādi</w:t>
    </w:r>
    <w:r w:rsidRPr="007D75C1">
      <w:rPr>
        <w:sz w:val="22"/>
        <w:szCs w:val="22"/>
        <w:lang w:eastAsia="ar-SA"/>
      </w:rPr>
      <w:t>”</w:t>
    </w:r>
  </w:p>
  <w:p w14:paraId="52A9F575" w14:textId="3867BBC9" w:rsidR="00616801" w:rsidRDefault="008B1148" w:rsidP="004725B5">
    <w:pPr>
      <w:pStyle w:val="Footer"/>
      <w:jc w:val="right"/>
    </w:pPr>
    <w:r>
      <w:rPr>
        <w:rStyle w:val="PageNumber"/>
      </w:rPr>
      <w:fldChar w:fldCharType="begin"/>
    </w:r>
    <w:r>
      <w:rPr>
        <w:rStyle w:val="PageNumber"/>
      </w:rPr>
      <w:instrText xml:space="preserve">PAGE  </w:instrText>
    </w:r>
    <w:r>
      <w:rPr>
        <w:rStyle w:val="PageNumber"/>
      </w:rPr>
      <w:fldChar w:fldCharType="separate"/>
    </w:r>
    <w:r w:rsidR="0095603E">
      <w:rPr>
        <w:rStyle w:val="PageNumber"/>
        <w:noProof/>
      </w:rPr>
      <w:t>3</w:t>
    </w:r>
    <w:r>
      <w:rPr>
        <w:rStyle w:val="PageNumber"/>
      </w:rPr>
      <w:fldChar w:fldCharType="end"/>
    </w:r>
    <w:r>
      <w:rPr>
        <w:rStyle w:val="PageNumber"/>
      </w:rPr>
      <w:t>-3</w:t>
    </w:r>
  </w:p>
  <w:p w14:paraId="5D3A6690" w14:textId="77777777" w:rsidR="00616801" w:rsidRDefault="008B1148" w:rsidP="004725B5">
    <w:pPr>
      <w:pStyle w:val="Header"/>
      <w:jc w:val="center"/>
    </w:pPr>
    <w:r>
      <w:t>NAV KLASIFICĒTS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548BA" w14:textId="77777777" w:rsidR="0095603E" w:rsidRDefault="00956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7925A" w14:textId="77777777" w:rsidR="00A25D62" w:rsidRDefault="00A25D62" w:rsidP="002A27D9">
      <w:r>
        <w:separator/>
      </w:r>
    </w:p>
  </w:footnote>
  <w:footnote w:type="continuationSeparator" w:id="0">
    <w:p w14:paraId="4E7B0490" w14:textId="77777777" w:rsidR="00A25D62" w:rsidRDefault="00A25D62" w:rsidP="002A27D9">
      <w:r>
        <w:continuationSeparator/>
      </w:r>
    </w:p>
  </w:footnote>
  <w:footnote w:id="1">
    <w:p w14:paraId="55476509" w14:textId="77777777" w:rsidR="00884C33" w:rsidRDefault="00884C33" w:rsidP="00884C33">
      <w:pPr>
        <w:pStyle w:val="FootnoteText"/>
      </w:pPr>
      <w:r>
        <w:rPr>
          <w:rStyle w:val="FootnoteReference"/>
        </w:rPr>
        <w:footnoteRef/>
      </w:r>
      <w:r>
        <w:t xml:space="preserve"> </w:t>
      </w:r>
      <w:r w:rsidRPr="00D22AC3">
        <w:t>http://eur-lex.europa.eu/legal-content/EN/TXT/?qid=1447773803386&amp;uri=CELEX%3A52015DC0192</w:t>
      </w:r>
    </w:p>
  </w:footnote>
  <w:footnote w:id="2">
    <w:p w14:paraId="2EFBFE69" w14:textId="77777777" w:rsidR="00EB27ED" w:rsidRDefault="00EB27ED">
      <w:pPr>
        <w:pStyle w:val="FootnoteText"/>
      </w:pPr>
      <w:r>
        <w:rPr>
          <w:rStyle w:val="FootnoteReference"/>
        </w:rPr>
        <w:footnoteRef/>
      </w:r>
      <w:r>
        <w:t xml:space="preserve"> </w:t>
      </w:r>
      <w:r w:rsidRPr="00786B22">
        <w:t>http://eur-lex.europa.eu/legal-content/LV/TXT/?uri=CELEX:42010D0349</w:t>
      </w:r>
    </w:p>
  </w:footnote>
  <w:footnote w:id="3">
    <w:p w14:paraId="145BD5EB" w14:textId="77777777" w:rsidR="00EB27ED" w:rsidRDefault="00EB27ED">
      <w:pPr>
        <w:pStyle w:val="FootnoteText"/>
      </w:pPr>
      <w:r>
        <w:rPr>
          <w:rStyle w:val="FootnoteReference"/>
        </w:rPr>
        <w:footnoteRef/>
      </w:r>
      <w:r>
        <w:t xml:space="preserve"> </w:t>
      </w:r>
      <w:r w:rsidRPr="00F65139">
        <w:t>http://likumi.lv/ta/lv/starptautiskie-ligumi/id/1682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8A529" w14:textId="0A92D22B" w:rsidR="0095603E" w:rsidRDefault="0095603E">
    <w:pPr>
      <w:pStyle w:val="Header"/>
    </w:pPr>
    <w:r>
      <w:rPr>
        <w:noProof/>
      </w:rPr>
      <w:pict w14:anchorId="3F3FB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8938" o:spid="_x0000_s2050" type="#_x0000_t136" style="position:absolute;margin-left:0;margin-top:0;width:607.9pt;height:71.5pt;rotation:315;z-index:-251655168;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AE8DA" w14:textId="1EB6B7AF" w:rsidR="00616801" w:rsidRDefault="0095603E" w:rsidP="00383C47">
    <w:pPr>
      <w:pStyle w:val="Header"/>
      <w:jc w:val="center"/>
    </w:pPr>
    <w:r>
      <w:rPr>
        <w:noProof/>
      </w:rPr>
      <w:pict w14:anchorId="46C215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8939"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Times New Roman&quot;;font-size:1pt" string="Valsts kancelejai"/>
        </v:shape>
      </w:pict>
    </w:r>
    <w:r w:rsidR="008B1148">
      <w:t>NAV KLASIFICĒTS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32924" w14:textId="35F52AE7" w:rsidR="0095603E" w:rsidRDefault="0095603E">
    <w:pPr>
      <w:pStyle w:val="Header"/>
    </w:pPr>
    <w:r>
      <w:rPr>
        <w:noProof/>
      </w:rPr>
      <w:pict w14:anchorId="7E1991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5788937" o:spid="_x0000_s2049" type="#_x0000_t136" style="position:absolute;margin-left:0;margin-top:0;width:607.9pt;height:71.5pt;rotation:315;z-index:-251657216;mso-position-horizontal:center;mso-position-horizontal-relative:margin;mso-position-vertical:center;mso-position-vertical-relative:margin" o:allowincell="f" fillcolor="silver" stroked="f">
          <v:fill opacity=".5"/>
          <v:textpath style="font-family:&quot;Times New Roman&quot;;font-size:1pt" string="Valsts kancelejai"/>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7D9"/>
    <w:rsid w:val="00002488"/>
    <w:rsid w:val="00014887"/>
    <w:rsid w:val="00015C08"/>
    <w:rsid w:val="0002742C"/>
    <w:rsid w:val="000C374C"/>
    <w:rsid w:val="000C58D3"/>
    <w:rsid w:val="00105185"/>
    <w:rsid w:val="00135589"/>
    <w:rsid w:val="001504D7"/>
    <w:rsid w:val="00164AD9"/>
    <w:rsid w:val="00170128"/>
    <w:rsid w:val="00183052"/>
    <w:rsid w:val="001A2B9D"/>
    <w:rsid w:val="001B3982"/>
    <w:rsid w:val="001D5A72"/>
    <w:rsid w:val="001D613F"/>
    <w:rsid w:val="001F1FAD"/>
    <w:rsid w:val="001F7AEF"/>
    <w:rsid w:val="002248BE"/>
    <w:rsid w:val="00233F8D"/>
    <w:rsid w:val="0023703C"/>
    <w:rsid w:val="00262239"/>
    <w:rsid w:val="0028401A"/>
    <w:rsid w:val="00286F3B"/>
    <w:rsid w:val="00292A7B"/>
    <w:rsid w:val="00292AAA"/>
    <w:rsid w:val="002A27D9"/>
    <w:rsid w:val="002D7226"/>
    <w:rsid w:val="0032506E"/>
    <w:rsid w:val="00334B24"/>
    <w:rsid w:val="00334CA8"/>
    <w:rsid w:val="00341A84"/>
    <w:rsid w:val="00345F3C"/>
    <w:rsid w:val="00387525"/>
    <w:rsid w:val="003961BD"/>
    <w:rsid w:val="003A39B2"/>
    <w:rsid w:val="003D2ABC"/>
    <w:rsid w:val="003F1AFC"/>
    <w:rsid w:val="003F5614"/>
    <w:rsid w:val="004158F3"/>
    <w:rsid w:val="00417821"/>
    <w:rsid w:val="004248D7"/>
    <w:rsid w:val="00437BE4"/>
    <w:rsid w:val="004401C6"/>
    <w:rsid w:val="00471D2E"/>
    <w:rsid w:val="004833C9"/>
    <w:rsid w:val="004C47C5"/>
    <w:rsid w:val="004C5BB6"/>
    <w:rsid w:val="00501038"/>
    <w:rsid w:val="00507F2F"/>
    <w:rsid w:val="00511462"/>
    <w:rsid w:val="00513E2B"/>
    <w:rsid w:val="00556FFC"/>
    <w:rsid w:val="00592D43"/>
    <w:rsid w:val="00594F7C"/>
    <w:rsid w:val="005B3CA6"/>
    <w:rsid w:val="005B5E6D"/>
    <w:rsid w:val="005D6A24"/>
    <w:rsid w:val="005E3B41"/>
    <w:rsid w:val="00620577"/>
    <w:rsid w:val="006205FE"/>
    <w:rsid w:val="006773A2"/>
    <w:rsid w:val="006A60A1"/>
    <w:rsid w:val="006D1B0A"/>
    <w:rsid w:val="006D36BA"/>
    <w:rsid w:val="006D3A84"/>
    <w:rsid w:val="00710C1B"/>
    <w:rsid w:val="00750824"/>
    <w:rsid w:val="00752323"/>
    <w:rsid w:val="00796F60"/>
    <w:rsid w:val="007A5ECB"/>
    <w:rsid w:val="007C4BB2"/>
    <w:rsid w:val="007D11C6"/>
    <w:rsid w:val="007D5434"/>
    <w:rsid w:val="007F212B"/>
    <w:rsid w:val="00804EC5"/>
    <w:rsid w:val="00835E29"/>
    <w:rsid w:val="0084049C"/>
    <w:rsid w:val="008463AD"/>
    <w:rsid w:val="00861B81"/>
    <w:rsid w:val="0087793F"/>
    <w:rsid w:val="00884C33"/>
    <w:rsid w:val="008A3709"/>
    <w:rsid w:val="008B0099"/>
    <w:rsid w:val="008B1148"/>
    <w:rsid w:val="008B7EDD"/>
    <w:rsid w:val="008D6999"/>
    <w:rsid w:val="008F5CA7"/>
    <w:rsid w:val="009316D3"/>
    <w:rsid w:val="0095603E"/>
    <w:rsid w:val="00967722"/>
    <w:rsid w:val="009854C3"/>
    <w:rsid w:val="009A313A"/>
    <w:rsid w:val="009B2DA1"/>
    <w:rsid w:val="009C1C8F"/>
    <w:rsid w:val="009F00CA"/>
    <w:rsid w:val="00A0190C"/>
    <w:rsid w:val="00A1392C"/>
    <w:rsid w:val="00A25D62"/>
    <w:rsid w:val="00A34AE6"/>
    <w:rsid w:val="00A425F3"/>
    <w:rsid w:val="00A61779"/>
    <w:rsid w:val="00A74483"/>
    <w:rsid w:val="00A8023A"/>
    <w:rsid w:val="00A93A05"/>
    <w:rsid w:val="00AA5FB9"/>
    <w:rsid w:val="00AB3A16"/>
    <w:rsid w:val="00AD04C0"/>
    <w:rsid w:val="00B039B2"/>
    <w:rsid w:val="00B06093"/>
    <w:rsid w:val="00B208F3"/>
    <w:rsid w:val="00B26B14"/>
    <w:rsid w:val="00B5341E"/>
    <w:rsid w:val="00B86A1E"/>
    <w:rsid w:val="00B86F02"/>
    <w:rsid w:val="00B8788E"/>
    <w:rsid w:val="00BA2CC0"/>
    <w:rsid w:val="00BA7D72"/>
    <w:rsid w:val="00BC13F6"/>
    <w:rsid w:val="00BE1035"/>
    <w:rsid w:val="00BF1AC0"/>
    <w:rsid w:val="00C15AFC"/>
    <w:rsid w:val="00C2793F"/>
    <w:rsid w:val="00C432E1"/>
    <w:rsid w:val="00C45116"/>
    <w:rsid w:val="00C46C6E"/>
    <w:rsid w:val="00C53952"/>
    <w:rsid w:val="00C611B1"/>
    <w:rsid w:val="00C706FD"/>
    <w:rsid w:val="00C81CEB"/>
    <w:rsid w:val="00CA3170"/>
    <w:rsid w:val="00CA4732"/>
    <w:rsid w:val="00CB0A65"/>
    <w:rsid w:val="00CF1CA1"/>
    <w:rsid w:val="00D23316"/>
    <w:rsid w:val="00D268E9"/>
    <w:rsid w:val="00D74646"/>
    <w:rsid w:val="00D874E5"/>
    <w:rsid w:val="00DC655A"/>
    <w:rsid w:val="00DE1D02"/>
    <w:rsid w:val="00E27FD6"/>
    <w:rsid w:val="00E32DB4"/>
    <w:rsid w:val="00E35D35"/>
    <w:rsid w:val="00EB27ED"/>
    <w:rsid w:val="00EC660A"/>
    <w:rsid w:val="00ED1B50"/>
    <w:rsid w:val="00EE7E1B"/>
    <w:rsid w:val="00F04AF8"/>
    <w:rsid w:val="00F169D6"/>
    <w:rsid w:val="00F20469"/>
    <w:rsid w:val="00F34613"/>
    <w:rsid w:val="00F3725B"/>
    <w:rsid w:val="00F42C3A"/>
    <w:rsid w:val="00F43B76"/>
    <w:rsid w:val="00F76A94"/>
    <w:rsid w:val="00F82F7C"/>
    <w:rsid w:val="00F90DD6"/>
    <w:rsid w:val="00F93EC2"/>
    <w:rsid w:val="00FA3CD5"/>
    <w:rsid w:val="00FB42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640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7D9"/>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27D9"/>
    <w:rPr>
      <w:color w:val="0000FF"/>
      <w:u w:val="single"/>
    </w:rPr>
  </w:style>
  <w:style w:type="paragraph" w:styleId="Header">
    <w:name w:val="header"/>
    <w:basedOn w:val="Normal"/>
    <w:link w:val="HeaderChar"/>
    <w:rsid w:val="002A27D9"/>
    <w:pPr>
      <w:tabs>
        <w:tab w:val="center" w:pos="4153"/>
        <w:tab w:val="right" w:pos="8306"/>
      </w:tabs>
    </w:pPr>
  </w:style>
  <w:style w:type="character" w:customStyle="1" w:styleId="HeaderChar">
    <w:name w:val="Header Char"/>
    <w:basedOn w:val="DefaultParagraphFont"/>
    <w:link w:val="Header"/>
    <w:rsid w:val="002A27D9"/>
    <w:rPr>
      <w:rFonts w:ascii="Times New Roman" w:eastAsia="Times New Roman" w:hAnsi="Times New Roman" w:cs="Times New Roman"/>
      <w:sz w:val="24"/>
      <w:szCs w:val="24"/>
      <w:lang w:eastAsia="lv-LV"/>
    </w:rPr>
  </w:style>
  <w:style w:type="paragraph" w:styleId="Footer">
    <w:name w:val="footer"/>
    <w:basedOn w:val="Normal"/>
    <w:link w:val="FooterChar"/>
    <w:rsid w:val="002A27D9"/>
    <w:pPr>
      <w:tabs>
        <w:tab w:val="center" w:pos="4153"/>
        <w:tab w:val="right" w:pos="8306"/>
      </w:tabs>
    </w:pPr>
  </w:style>
  <w:style w:type="character" w:customStyle="1" w:styleId="FooterChar">
    <w:name w:val="Footer Char"/>
    <w:basedOn w:val="DefaultParagraphFont"/>
    <w:link w:val="Footer"/>
    <w:rsid w:val="002A27D9"/>
    <w:rPr>
      <w:rFonts w:ascii="Times New Roman" w:eastAsia="Times New Roman" w:hAnsi="Times New Roman" w:cs="Times New Roman"/>
      <w:sz w:val="24"/>
      <w:szCs w:val="24"/>
      <w:lang w:eastAsia="lv-LV"/>
    </w:rPr>
  </w:style>
  <w:style w:type="character" w:styleId="PageNumber">
    <w:name w:val="page number"/>
    <w:basedOn w:val="DefaultParagraphFont"/>
    <w:rsid w:val="002A27D9"/>
  </w:style>
  <w:style w:type="paragraph" w:customStyle="1" w:styleId="Prliminairetitre">
    <w:name w:val="Préliminaire titre"/>
    <w:basedOn w:val="Normal"/>
    <w:next w:val="Normal"/>
    <w:rsid w:val="002A27D9"/>
    <w:pPr>
      <w:spacing w:before="360" w:after="360"/>
      <w:jc w:val="center"/>
    </w:pPr>
    <w:rPr>
      <w:b/>
      <w:snapToGrid w:val="0"/>
      <w:lang w:eastAsia="en-GB"/>
    </w:rPr>
  </w:style>
  <w:style w:type="paragraph" w:customStyle="1" w:styleId="naiskr">
    <w:name w:val="naiskr"/>
    <w:basedOn w:val="Normal"/>
    <w:rsid w:val="002A27D9"/>
    <w:pPr>
      <w:spacing w:before="100" w:after="100"/>
    </w:pPr>
    <w:rPr>
      <w:lang w:val="en-GB" w:eastAsia="en-US"/>
    </w:rPr>
  </w:style>
  <w:style w:type="paragraph" w:styleId="FootnoteText">
    <w:name w:val="footnote text"/>
    <w:aliases w:val="Stinking Styles23,Schriftart: 9 pt,Schriftart: 10 pt,Schriftart: 8 pt,Fußnotentext Char Char,WB-Fußnotentext,Footnote Char,fußn,Reference,Footnote text,o,Voetnoottekst Char,Voetnoottekst Char1,Voetnoottekst Char2 Char Char,Fußnote,Fußn,f"/>
    <w:basedOn w:val="Normal"/>
    <w:link w:val="FootnoteTextChar"/>
    <w:unhideWhenUsed/>
    <w:qFormat/>
    <w:rsid w:val="00884C33"/>
    <w:rPr>
      <w:sz w:val="20"/>
      <w:szCs w:val="20"/>
      <w:lang w:eastAsia="en-US"/>
    </w:rPr>
  </w:style>
  <w:style w:type="character" w:customStyle="1" w:styleId="FootnoteTextChar">
    <w:name w:val="Footnote Text Char"/>
    <w:aliases w:val="Stinking Styles23 Char,Schriftart: 9 pt Char,Schriftart: 10 pt Char,Schriftart: 8 pt Char,Fußnotentext Char Char Char,WB-Fußnotentext Char,Footnote Char Char,fußn Char,Reference Char,Footnote text Char,o Char,Voetnoottekst Char Char"/>
    <w:basedOn w:val="DefaultParagraphFont"/>
    <w:link w:val="FootnoteText"/>
    <w:rsid w:val="00884C33"/>
    <w:rPr>
      <w:rFonts w:ascii="Times New Roman" w:eastAsia="Times New Roman" w:hAnsi="Times New Roman" w:cs="Times New Roman"/>
      <w:sz w:val="20"/>
      <w:szCs w:val="20"/>
    </w:rPr>
  </w:style>
  <w:style w:type="character" w:styleId="FootnoteReference">
    <w:name w:val="footnote reference"/>
    <w:aliases w:val="Footnote Reference Number,Footnote symbol,Stinking Styles22,SUPERS,BVI fnr,Footnote,Footnote Reference Superscript,(Footnote Reference),Footnote reference number,note TESI,EN Footnote Reference,Voetnootverwijzing,Times 10 Point,No"/>
    <w:link w:val="FootnotesymbolCarZchn"/>
    <w:unhideWhenUsed/>
    <w:qFormat/>
    <w:rsid w:val="00884C33"/>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rsid w:val="00884C33"/>
    <w:pPr>
      <w:spacing w:after="160" w:line="240" w:lineRule="exact"/>
      <w:jc w:val="both"/>
    </w:pPr>
    <w:rPr>
      <w:rFonts w:asciiTheme="minorHAnsi" w:eastAsiaTheme="minorHAnsi" w:hAnsiTheme="minorHAnsi" w:cstheme="minorBidi"/>
      <w:sz w:val="22"/>
      <w:szCs w:val="22"/>
      <w:vertAlign w:val="superscript"/>
      <w:lang w:eastAsia="en-US"/>
    </w:rPr>
  </w:style>
  <w:style w:type="paragraph" w:styleId="NormalWeb">
    <w:name w:val="Normal (Web)"/>
    <w:basedOn w:val="Normal"/>
    <w:uiPriority w:val="99"/>
    <w:rsid w:val="00884C33"/>
    <w:pPr>
      <w:spacing w:before="100" w:beforeAutospacing="1" w:after="100" w:afterAutospacing="1"/>
    </w:pPr>
    <w:rPr>
      <w:rFonts w:eastAsia="Arial Unicode MS"/>
      <w:lang w:val="en-GB" w:eastAsia="en-US"/>
    </w:rPr>
  </w:style>
  <w:style w:type="character" w:styleId="CommentReference">
    <w:name w:val="annotation reference"/>
    <w:basedOn w:val="DefaultParagraphFont"/>
    <w:uiPriority w:val="99"/>
    <w:semiHidden/>
    <w:unhideWhenUsed/>
    <w:rsid w:val="00556FFC"/>
    <w:rPr>
      <w:sz w:val="16"/>
      <w:szCs w:val="16"/>
    </w:rPr>
  </w:style>
  <w:style w:type="paragraph" w:styleId="CommentText">
    <w:name w:val="annotation text"/>
    <w:basedOn w:val="Normal"/>
    <w:link w:val="CommentTextChar"/>
    <w:uiPriority w:val="99"/>
    <w:semiHidden/>
    <w:unhideWhenUsed/>
    <w:rsid w:val="00556FFC"/>
    <w:rPr>
      <w:sz w:val="20"/>
      <w:szCs w:val="20"/>
    </w:rPr>
  </w:style>
  <w:style w:type="character" w:customStyle="1" w:styleId="CommentTextChar">
    <w:name w:val="Comment Text Char"/>
    <w:basedOn w:val="DefaultParagraphFont"/>
    <w:link w:val="CommentText"/>
    <w:uiPriority w:val="99"/>
    <w:semiHidden/>
    <w:rsid w:val="00556FF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556FFC"/>
    <w:rPr>
      <w:b/>
      <w:bCs/>
    </w:rPr>
  </w:style>
  <w:style w:type="character" w:customStyle="1" w:styleId="CommentSubjectChar">
    <w:name w:val="Comment Subject Char"/>
    <w:basedOn w:val="CommentTextChar"/>
    <w:link w:val="CommentSubject"/>
    <w:uiPriority w:val="99"/>
    <w:semiHidden/>
    <w:rsid w:val="00556FF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556FFC"/>
    <w:rPr>
      <w:rFonts w:ascii="Tahoma" w:hAnsi="Tahoma" w:cs="Tahoma"/>
      <w:sz w:val="16"/>
      <w:szCs w:val="16"/>
    </w:rPr>
  </w:style>
  <w:style w:type="character" w:customStyle="1" w:styleId="BalloonTextChar">
    <w:name w:val="Balloon Text Char"/>
    <w:basedOn w:val="DefaultParagraphFont"/>
    <w:link w:val="BalloonText"/>
    <w:uiPriority w:val="99"/>
    <w:semiHidden/>
    <w:rsid w:val="00556FFC"/>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gita@sa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2587C-D146-4288-8B5A-61C8EE4F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5217</Words>
  <Characters>2975</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Satiksmes ministrijas sagatavoto nacionālo pozīciju Nr.1 “Priekšlikums Eiropas Parlamenta un Padomes Regulai, ar ko izveido Eiropas Elektronisko sakaru regulatoru iestādi”</dc:title>
  <dc:subject>Informatīvais ziņojums</dc:subject>
  <dc:creator>Elīna Šimiņa-Neverovska</dc:creator>
  <cp:keywords>Satiksmes ministrija</cp:keywords>
  <dc:description>18.05.2017. 10:24
971 vārdi
Elīna Šimiņa-Neverovska 67028254
elina.simina@sam.gov.lv </dc:description>
  <cp:lastModifiedBy>Elīna Šimina-Neverovska</cp:lastModifiedBy>
  <cp:revision>6</cp:revision>
  <cp:lastPrinted>2017-05-18T08:16:00Z</cp:lastPrinted>
  <dcterms:created xsi:type="dcterms:W3CDTF">2017-05-12T10:56:00Z</dcterms:created>
  <dcterms:modified xsi:type="dcterms:W3CDTF">2017-05-19T07:33:00Z</dcterms:modified>
</cp:coreProperties>
</file>