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9254" w14:textId="77777777" w:rsidR="00287058" w:rsidRDefault="001D64A6" w:rsidP="00924344">
      <w:pPr>
        <w:jc w:val="center"/>
        <w:rPr>
          <w:b/>
          <w:bCs/>
        </w:rPr>
      </w:pPr>
      <w:r w:rsidRPr="00E31A78">
        <w:rPr>
          <w:b/>
          <w:bCs/>
        </w:rPr>
        <w:t xml:space="preserve">Likumprojekta </w:t>
      </w:r>
      <w:r w:rsidR="00984793" w:rsidRPr="00255740">
        <w:rPr>
          <w:b/>
        </w:rPr>
        <w:t>"</w:t>
      </w:r>
      <w:r w:rsidR="00F000FA">
        <w:rPr>
          <w:b/>
          <w:bCs/>
        </w:rPr>
        <w:t xml:space="preserve">Grozījumi </w:t>
      </w:r>
      <w:r w:rsidR="00495F18">
        <w:rPr>
          <w:b/>
          <w:bCs/>
        </w:rPr>
        <w:t>Dizainparaugu likumā</w:t>
      </w:r>
      <w:r w:rsidR="00F000FA" w:rsidRPr="00255740">
        <w:rPr>
          <w:b/>
        </w:rPr>
        <w:t>"</w:t>
      </w:r>
      <w:r w:rsidR="009378B7">
        <w:rPr>
          <w:b/>
        </w:rPr>
        <w:t xml:space="preserve"> </w:t>
      </w:r>
      <w:r w:rsidRPr="00E31A78">
        <w:rPr>
          <w:b/>
          <w:bCs/>
        </w:rPr>
        <w:t>sākotnējās ietekmes novērtējuma ziņojums (anotācija)</w:t>
      </w: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8F2C79" w14:paraId="6025CA0A" w14:textId="77777777" w:rsidTr="00424092">
        <w:trPr>
          <w:trHeight w:val="1"/>
        </w:trPr>
        <w:tc>
          <w:tcPr>
            <w:tcW w:w="9077" w:type="dxa"/>
            <w:gridSpan w:val="3"/>
            <w:vAlign w:val="center"/>
          </w:tcPr>
          <w:p w14:paraId="292A8B11" w14:textId="77777777" w:rsidR="00DE5BE7" w:rsidRPr="008F2C79" w:rsidRDefault="00DE5BE7" w:rsidP="008F2C79">
            <w:pPr>
              <w:pStyle w:val="naisnod"/>
              <w:numPr>
                <w:ilvl w:val="0"/>
                <w:numId w:val="18"/>
              </w:numPr>
              <w:spacing w:before="0" w:after="0"/>
            </w:pPr>
            <w:r w:rsidRPr="008F2C79">
              <w:t>Tiesību akta projekta izstrādes nepieciešamība</w:t>
            </w:r>
          </w:p>
        </w:tc>
      </w:tr>
      <w:tr w:rsidR="00DE5BE7" w:rsidRPr="008F2C79" w14:paraId="0EBA0621" w14:textId="77777777" w:rsidTr="00424092">
        <w:trPr>
          <w:trHeight w:val="9"/>
        </w:trPr>
        <w:tc>
          <w:tcPr>
            <w:tcW w:w="425" w:type="dxa"/>
          </w:tcPr>
          <w:p w14:paraId="24C4CAAF" w14:textId="77777777" w:rsidR="00DE5BE7" w:rsidRPr="008F2C79" w:rsidRDefault="00DE5BE7" w:rsidP="008F2C79">
            <w:pPr>
              <w:pStyle w:val="naiskr"/>
              <w:spacing w:before="0" w:after="0"/>
            </w:pPr>
            <w:r w:rsidRPr="008F2C79">
              <w:t>1.</w:t>
            </w:r>
          </w:p>
        </w:tc>
        <w:tc>
          <w:tcPr>
            <w:tcW w:w="2263" w:type="dxa"/>
          </w:tcPr>
          <w:p w14:paraId="2CA06861" w14:textId="77777777" w:rsidR="00DE5BE7" w:rsidRPr="00A82691" w:rsidRDefault="00DE5BE7" w:rsidP="008F2C79">
            <w:pPr>
              <w:pStyle w:val="naiskr"/>
              <w:spacing w:before="0" w:after="0"/>
              <w:ind w:hanging="10"/>
            </w:pPr>
            <w:r w:rsidRPr="00A82691">
              <w:t>Pamatojums</w:t>
            </w:r>
          </w:p>
        </w:tc>
        <w:tc>
          <w:tcPr>
            <w:tcW w:w="6389" w:type="dxa"/>
          </w:tcPr>
          <w:p w14:paraId="20D10BAF" w14:textId="76F808B1" w:rsidR="00924344" w:rsidRPr="00924344" w:rsidRDefault="001D64A6" w:rsidP="00560852">
            <w:pPr>
              <w:jc w:val="both"/>
            </w:pPr>
            <w:bookmarkStart w:id="0" w:name="OLE_LINK4"/>
            <w:bookmarkStart w:id="1" w:name="OLE_LINK3"/>
            <w:r w:rsidRPr="00924344">
              <w:t xml:space="preserve">Likumprojekts </w:t>
            </w:r>
            <w:r w:rsidR="00A3112F" w:rsidRPr="00924344">
              <w:t>"</w:t>
            </w:r>
            <w:r w:rsidR="00AF4687" w:rsidRPr="00924344">
              <w:t>G</w:t>
            </w:r>
            <w:r w:rsidR="00A3112F" w:rsidRPr="00924344">
              <w:t>rozījumi</w:t>
            </w:r>
            <w:r w:rsidR="009378B7" w:rsidRPr="00924344">
              <w:t xml:space="preserve"> </w:t>
            </w:r>
            <w:r w:rsidR="00A3112F" w:rsidRPr="00924344">
              <w:t xml:space="preserve">Dizainparaugu likumā" (turpmāk - likumprojekts) </w:t>
            </w:r>
            <w:r w:rsidRPr="00924344">
              <w:t>izstrādāts</w:t>
            </w:r>
            <w:bookmarkEnd w:id="0"/>
            <w:bookmarkEnd w:id="1"/>
            <w:r w:rsidR="0006736D" w:rsidRPr="00924344">
              <w:t xml:space="preserve"> </w:t>
            </w:r>
            <w:r w:rsidR="00F000FA" w:rsidRPr="00924344">
              <w:t xml:space="preserve">atbilstoši </w:t>
            </w:r>
            <w:r w:rsidR="00F000FA" w:rsidRPr="00924344">
              <w:rPr>
                <w:rFonts w:eastAsia="Calibri"/>
                <w:lang w:eastAsia="en-US"/>
              </w:rPr>
              <w:t>2013.</w:t>
            </w:r>
            <w:r w:rsidR="0006736D" w:rsidRPr="00924344">
              <w:rPr>
                <w:rFonts w:eastAsia="Calibri"/>
                <w:lang w:eastAsia="en-US"/>
              </w:rPr>
              <w:t> </w:t>
            </w:r>
            <w:r w:rsidR="00F000FA" w:rsidRPr="00924344">
              <w:rPr>
                <w:rFonts w:eastAsia="Calibri"/>
                <w:lang w:eastAsia="en-US"/>
              </w:rPr>
              <w:t>gada 22.</w:t>
            </w:r>
            <w:r w:rsidR="0006736D" w:rsidRPr="00924344">
              <w:rPr>
                <w:rFonts w:eastAsia="Calibri"/>
                <w:lang w:eastAsia="en-US"/>
              </w:rPr>
              <w:t> </w:t>
            </w:r>
            <w:r w:rsidR="00F000FA" w:rsidRPr="00924344">
              <w:rPr>
                <w:rFonts w:eastAsia="Calibri"/>
                <w:lang w:eastAsia="en-US"/>
              </w:rPr>
              <w:t>janvārī Ministru kabinet</w:t>
            </w:r>
            <w:r w:rsidR="0021255C" w:rsidRPr="00924344">
              <w:rPr>
                <w:rFonts w:eastAsia="Calibri"/>
                <w:lang w:eastAsia="en-US"/>
              </w:rPr>
              <w:t xml:space="preserve">ā </w:t>
            </w:r>
            <w:r w:rsidR="00F000FA" w:rsidRPr="00924344">
              <w:rPr>
                <w:rFonts w:eastAsia="Calibri"/>
                <w:lang w:eastAsia="en-US"/>
              </w:rPr>
              <w:t>apstiprinā</w:t>
            </w:r>
            <w:r w:rsidR="0021255C" w:rsidRPr="00924344">
              <w:rPr>
                <w:rFonts w:eastAsia="Calibri"/>
                <w:lang w:eastAsia="en-US"/>
              </w:rPr>
              <w:t>tajai</w:t>
            </w:r>
            <w:r w:rsidR="00F000FA" w:rsidRPr="00924344">
              <w:rPr>
                <w:rFonts w:eastAsia="Calibri"/>
                <w:lang w:eastAsia="en-US"/>
              </w:rPr>
              <w:t xml:space="preserve"> (prot.</w:t>
            </w:r>
            <w:r w:rsidR="0006736D" w:rsidRPr="00924344">
              <w:rPr>
                <w:rFonts w:eastAsia="Calibri"/>
                <w:lang w:eastAsia="en-US"/>
              </w:rPr>
              <w:t xml:space="preserve"> </w:t>
            </w:r>
            <w:r w:rsidR="00F000FA" w:rsidRPr="00924344">
              <w:rPr>
                <w:rFonts w:eastAsia="Calibri"/>
                <w:lang w:eastAsia="en-US"/>
              </w:rPr>
              <w:t>Nr.</w:t>
            </w:r>
            <w:r w:rsidR="0006736D" w:rsidRPr="00924344">
              <w:rPr>
                <w:rFonts w:eastAsia="Calibri"/>
                <w:lang w:eastAsia="en-US"/>
              </w:rPr>
              <w:t> </w:t>
            </w:r>
            <w:r w:rsidR="00F000FA" w:rsidRPr="00924344">
              <w:rPr>
                <w:rFonts w:eastAsia="Calibri"/>
                <w:lang w:eastAsia="en-US"/>
              </w:rPr>
              <w:t>5 30</w:t>
            </w:r>
            <w:r w:rsidR="0006736D" w:rsidRPr="00924344">
              <w:rPr>
                <w:rFonts w:eastAsia="Calibri"/>
                <w:lang w:eastAsia="en-US"/>
              </w:rPr>
              <w:t>. </w:t>
            </w:r>
            <w:r w:rsidR="00F000FA" w:rsidRPr="00924344">
              <w:rPr>
                <w:rFonts w:eastAsia="Calibri"/>
                <w:lang w:eastAsia="en-US"/>
              </w:rPr>
              <w:t>§) Administratīvo sodu sistēmas attīstības koncepcij</w:t>
            </w:r>
            <w:r w:rsidR="0021255C" w:rsidRPr="00924344">
              <w:rPr>
                <w:rFonts w:eastAsia="Calibri"/>
                <w:lang w:eastAsia="en-US"/>
              </w:rPr>
              <w:t>ai</w:t>
            </w:r>
            <w:r w:rsidR="00924344" w:rsidRPr="00924344">
              <w:rPr>
                <w:rFonts w:eastAsia="Calibri"/>
                <w:lang w:eastAsia="en-US"/>
              </w:rPr>
              <w:t xml:space="preserve">, </w:t>
            </w:r>
            <w:r w:rsidR="0021255C" w:rsidRPr="00924344">
              <w:t xml:space="preserve">Ministru kabineta 2013. gada 4. februāra rīkojumā Nr. 38 </w:t>
            </w:r>
            <w:r w:rsidR="0021255C" w:rsidRPr="00924344">
              <w:rPr>
                <w:lang w:eastAsia="ru-RU"/>
              </w:rPr>
              <w:t>"</w:t>
            </w:r>
            <w:r w:rsidR="0021255C" w:rsidRPr="00924344">
              <w:t>Par Administratīvo sodu sistēmas attīstības koncepciju</w:t>
            </w:r>
            <w:r w:rsidR="0021255C" w:rsidRPr="00924344">
              <w:rPr>
                <w:lang w:eastAsia="ru-RU"/>
              </w:rPr>
              <w:t>"</w:t>
            </w:r>
            <w:r w:rsidR="0021255C" w:rsidRPr="00924344">
              <w:t xml:space="preserve"> (turpmāk – rīkojums) atbalstītajiem Administratīvo sodu sistēmas attīstības koncepcijas kopsavilkumā ietvertajiem risinājumiem, kas paredz nozaru kodifikāciju</w:t>
            </w:r>
            <w:r w:rsidR="00924344" w:rsidRPr="00924344">
              <w:t xml:space="preserve">, un Ministru kabineta </w:t>
            </w:r>
            <w:r w:rsidR="00560852" w:rsidRPr="00924344">
              <w:t xml:space="preserve">2014. gada 22. aprīļa </w:t>
            </w:r>
            <w:r w:rsidR="00924344" w:rsidRPr="00924344">
              <w:t>sēdes  protokollēmuma (prot. Nr. 24 26. §) "Informatīvais ziņojums "Nozaru administratīvo pārkāpumu kodifikācijas ieviešanas sistēma"" 2. un 3. punktam.</w:t>
            </w:r>
          </w:p>
        </w:tc>
      </w:tr>
      <w:tr w:rsidR="00DE5BE7" w:rsidRPr="008F2C79" w14:paraId="5A59A2A3" w14:textId="77777777" w:rsidTr="00424092">
        <w:trPr>
          <w:trHeight w:val="5"/>
        </w:trPr>
        <w:tc>
          <w:tcPr>
            <w:tcW w:w="425" w:type="dxa"/>
          </w:tcPr>
          <w:p w14:paraId="1189D364" w14:textId="77777777" w:rsidR="00DE5BE7" w:rsidRPr="008F2C79" w:rsidRDefault="00DE5BE7" w:rsidP="008F2C79">
            <w:pPr>
              <w:pStyle w:val="naiskr"/>
              <w:spacing w:before="0" w:after="0"/>
            </w:pPr>
            <w:r w:rsidRPr="008F2C79">
              <w:t>2.</w:t>
            </w:r>
          </w:p>
        </w:tc>
        <w:tc>
          <w:tcPr>
            <w:tcW w:w="2263" w:type="dxa"/>
          </w:tcPr>
          <w:p w14:paraId="6F7F6E07" w14:textId="77777777" w:rsidR="000F47AB" w:rsidRPr="00470E03" w:rsidRDefault="00DE5BE7" w:rsidP="00DC444E">
            <w:pPr>
              <w:pStyle w:val="naiskr"/>
              <w:tabs>
                <w:tab w:val="left" w:pos="170"/>
              </w:tabs>
              <w:spacing w:before="0" w:after="0"/>
              <w:rPr>
                <w:color w:val="000000"/>
              </w:rPr>
            </w:pPr>
            <w:r w:rsidRPr="00470E03">
              <w:rPr>
                <w:color w:val="000000"/>
              </w:rPr>
              <w:t>Pašreizējā situācija un problēmas, kuru risināšanai tiesību akta projekts izstrādāts, tiesiskā regulējuma mērķis un būtība</w:t>
            </w:r>
          </w:p>
          <w:p w14:paraId="06AD066C" w14:textId="77777777" w:rsidR="00DE5BE7" w:rsidRPr="00470E03" w:rsidRDefault="00DE5BE7" w:rsidP="000F47AB">
            <w:pPr>
              <w:ind w:firstLine="720"/>
              <w:rPr>
                <w:color w:val="000000"/>
              </w:rPr>
            </w:pPr>
          </w:p>
        </w:tc>
        <w:tc>
          <w:tcPr>
            <w:tcW w:w="6389" w:type="dxa"/>
          </w:tcPr>
          <w:p w14:paraId="36DC04B9" w14:textId="77777777" w:rsidR="00596358" w:rsidRPr="00596358" w:rsidRDefault="00596358" w:rsidP="0096793C">
            <w:pPr>
              <w:jc w:val="both"/>
            </w:pPr>
            <w:r w:rsidRPr="00596358">
              <w:t>Dizainparaugu likuma 12.</w:t>
            </w:r>
            <w:r w:rsidR="0006736D">
              <w:t> </w:t>
            </w:r>
            <w:r w:rsidRPr="00596358">
              <w:t>panta otrā daļa paredz, ka dizainparauga īpašniekam ir izņēmuma tiesības izmantot dizainparaugu un aizliegt to izmantot jebkurai citai personai. Par dizainparauga izmantošanu it īpaši uzskata tāda izstrādājuma izgatavošanu, kurā dizainparaugs īstenots vai iekļauts, kā arī šāda izstrādājuma piedāvāšanu pārdošanai, importu, eksportu, lietošanu, citāda veida izplatīšanu tirgū un uzglabāšanu minētajiem nolūkiem.</w:t>
            </w:r>
          </w:p>
          <w:p w14:paraId="31ADFC7B" w14:textId="4EA5EB78" w:rsidR="0096793C" w:rsidRDefault="0021255C" w:rsidP="0096793C">
            <w:pPr>
              <w:jc w:val="both"/>
            </w:pPr>
            <w:r w:rsidRPr="0096793C">
              <w:t xml:space="preserve">Latvijas Administratīvo pārkāpumu kodeksā (turpmāk – LAPK) </w:t>
            </w:r>
            <w:r w:rsidR="006B7A38">
              <w:t xml:space="preserve">šobrīd </w:t>
            </w:r>
            <w:r w:rsidRPr="0096793C">
              <w:t>ir paredzēta atbildība par diviem administratīvajiem pārkāpumiem rūpnieciskā īpašuma tiesību jomā. LAPK 166.</w:t>
            </w:r>
            <w:r w:rsidRPr="0096793C">
              <w:rPr>
                <w:vertAlign w:val="superscript"/>
              </w:rPr>
              <w:t>14</w:t>
            </w:r>
            <w:r w:rsidRPr="0096793C">
              <w:t xml:space="preserve"> pantā </w:t>
            </w:r>
            <w:r w:rsidR="003C1837" w:rsidRPr="0096793C">
              <w:t xml:space="preserve">ir </w:t>
            </w:r>
            <w:r w:rsidRPr="0096793C">
              <w:t>noteikt</w:t>
            </w:r>
            <w:r w:rsidR="003C1837" w:rsidRPr="0096793C">
              <w:t>a</w:t>
            </w:r>
            <w:r w:rsidRPr="0096793C">
              <w:t xml:space="preserve"> administratīv</w:t>
            </w:r>
            <w:r w:rsidR="003C1837" w:rsidRPr="0096793C">
              <w:t>ā</w:t>
            </w:r>
            <w:r w:rsidRPr="0096793C">
              <w:t xml:space="preserve"> atbildīb</w:t>
            </w:r>
            <w:r w:rsidR="003C1837" w:rsidRPr="0096793C">
              <w:t>a</w:t>
            </w:r>
            <w:r w:rsidRPr="0096793C">
              <w:t xml:space="preserve"> par viltotu preču pārdošanu</w:t>
            </w:r>
            <w:r w:rsidR="0055689E" w:rsidRPr="0096793C">
              <w:t>, savukārt LAPK 166.</w:t>
            </w:r>
            <w:r w:rsidR="0055689E" w:rsidRPr="0096793C">
              <w:rPr>
                <w:vertAlign w:val="superscript"/>
              </w:rPr>
              <w:t>17</w:t>
            </w:r>
            <w:r w:rsidR="0055689E" w:rsidRPr="0096793C">
              <w:t> pantā ir paredzēta administratīvā atbildība par preču zīmes, citas atšķirības zīmes un dizainparauga nelikumīgu izmantošanu.</w:t>
            </w:r>
          </w:p>
          <w:p w14:paraId="7ABBDB43" w14:textId="7399A3D7" w:rsidR="0096793C" w:rsidRPr="0096793C" w:rsidRDefault="0082766C" w:rsidP="0096793C">
            <w:pPr>
              <w:jc w:val="both"/>
            </w:pPr>
            <w:r w:rsidRPr="0096793C">
              <w:t xml:space="preserve">Izvērtējot abu administratīvo pārkāpumu atbilstību rīkojuma 3. punktā noteiktajiem kritērijiem, proti, nodarījuma bīstamība, sabiedriskais kaitīgums, nodarījuma sekas, nodarījuma aktualitāte, kā arī nodarījuma attiecināmība uz publiski tiesiskajām attiecībām, tika </w:t>
            </w:r>
            <w:r w:rsidR="00924344">
              <w:t>konstatēts</w:t>
            </w:r>
            <w:r w:rsidR="0096793C" w:rsidRPr="0096793C">
              <w:t>, ka</w:t>
            </w:r>
            <w:r w:rsidR="0006736D">
              <w:t xml:space="preserve"> </w:t>
            </w:r>
            <w:r w:rsidR="0096793C" w:rsidRPr="0096793C">
              <w:t>201</w:t>
            </w:r>
            <w:r w:rsidR="006B7A38">
              <w:t>6</w:t>
            </w:r>
            <w:r w:rsidR="0096793C" w:rsidRPr="0096793C">
              <w:t>.</w:t>
            </w:r>
            <w:r w:rsidR="0006736D">
              <w:t> </w:t>
            </w:r>
            <w:r w:rsidR="0096793C" w:rsidRPr="0096793C">
              <w:t>gada laikā par LAPK 166.</w:t>
            </w:r>
            <w:r w:rsidR="0096793C" w:rsidRPr="0096793C">
              <w:rPr>
                <w:vertAlign w:val="superscript"/>
              </w:rPr>
              <w:t>17</w:t>
            </w:r>
            <w:r w:rsidR="0096793C" w:rsidRPr="0096793C">
              <w:t xml:space="preserve"> pantā paredzēto administratīvo pārkāpumu par preču zīmes, citas atšķirības zīmes un dizainparauga nelikumīgu izmantošanu, zīmes viltošanu vai viltotas zīmes izmantošanu vai izplatīšanu Valsts policija ir sastādījusi </w:t>
            </w:r>
            <w:r w:rsidR="006B7A38">
              <w:t>trīs</w:t>
            </w:r>
            <w:r w:rsidR="0096793C" w:rsidRPr="0096793C">
              <w:t xml:space="preserve"> administratīvā pārkāpuma protokolus. LAPK 166.</w:t>
            </w:r>
            <w:r w:rsidR="0096793C" w:rsidRPr="0096793C">
              <w:rPr>
                <w:vertAlign w:val="superscript"/>
              </w:rPr>
              <w:t>17</w:t>
            </w:r>
            <w:r w:rsidR="0096793C" w:rsidRPr="0096793C">
              <w:t xml:space="preserve"> pants dod iespēju sabiedrībai reaģēt uz intelektuālā īpašuma tiesību pārkāpumiem un novērst preču zīmes, citas atšķirības zīmes un dizainparauga nelikumīgu izmantošanu, kā rezultātā tiek </w:t>
            </w:r>
            <w:r w:rsidR="0096793C" w:rsidRPr="0096793C">
              <w:rPr>
                <w:color w:val="000000"/>
              </w:rPr>
              <w:t>pārkāptas patiesā zīmola turētāja finansiālās intereses, vienlaicīgi nodarot zaudējumus arī zīmola prestižam</w:t>
            </w:r>
            <w:r w:rsidR="0096793C" w:rsidRPr="0096793C">
              <w:t>. Turklāt administratīvais sods ir piemērotākais risinājums gadījumos, kad ir nelikumīgi ti</w:t>
            </w:r>
            <w:r w:rsidR="00A3112F">
              <w:t>cis</w:t>
            </w:r>
            <w:r w:rsidR="0096793C" w:rsidRPr="0096793C">
              <w:t xml:space="preserve"> izmantot</w:t>
            </w:r>
            <w:r w:rsidR="00495F18">
              <w:t>s</w:t>
            </w:r>
            <w:r w:rsidR="0006736D">
              <w:t xml:space="preserve"> </w:t>
            </w:r>
            <w:r w:rsidR="00495F18">
              <w:t>dizainparaugs</w:t>
            </w:r>
            <w:r w:rsidR="0096793C" w:rsidRPr="0096793C">
              <w:t>, jo LAPK 166.</w:t>
            </w:r>
            <w:r w:rsidR="0096793C" w:rsidRPr="0096793C">
              <w:rPr>
                <w:vertAlign w:val="superscript"/>
              </w:rPr>
              <w:t>17</w:t>
            </w:r>
            <w:r w:rsidR="0006736D">
              <w:t> </w:t>
            </w:r>
            <w:r w:rsidR="0096793C" w:rsidRPr="0096793C">
              <w:t xml:space="preserve">pantā noteiktās atbildības gadījumā tiek reaģēts uz jau izdarītu pārkāpumu, kurš vairs nav novēršams, proti, dizainparaugs </w:t>
            </w:r>
            <w:r w:rsidR="00495F18">
              <w:t xml:space="preserve">jau </w:t>
            </w:r>
            <w:r w:rsidR="0096793C" w:rsidRPr="0096793C">
              <w:t>ir ticis nelikumīgi izmantots, viltots vai viltota zīme ir tikusi izmantota vai izplatīta. Ievērojot minēto, prioritāte saglabājama administratīvā soda piemērošanai.</w:t>
            </w:r>
          </w:p>
          <w:p w14:paraId="13D79EB7" w14:textId="7C533205" w:rsidR="0096793C" w:rsidRDefault="0096793C" w:rsidP="0096793C">
            <w:pPr>
              <w:jc w:val="both"/>
            </w:pPr>
            <w:r w:rsidRPr="0096793C">
              <w:lastRenderedPageBreak/>
              <w:t>Attiecībā uz LAPK 166.</w:t>
            </w:r>
            <w:r w:rsidRPr="0096793C">
              <w:rPr>
                <w:vertAlign w:val="superscript"/>
              </w:rPr>
              <w:t>14</w:t>
            </w:r>
            <w:r w:rsidRPr="0096793C">
              <w:t> pantā noteikto administratīvo atbildību par viltotu preču pārdošanu, norādāms, ka 201</w:t>
            </w:r>
            <w:r w:rsidR="006B7A38">
              <w:t>6</w:t>
            </w:r>
            <w:r w:rsidRPr="0096793C">
              <w:t>.</w:t>
            </w:r>
            <w:r w:rsidR="0006736D">
              <w:t> </w:t>
            </w:r>
            <w:r w:rsidRPr="0096793C">
              <w:t>gada laikā par LAPK 166.</w:t>
            </w:r>
            <w:r w:rsidRPr="0096793C">
              <w:rPr>
                <w:vertAlign w:val="superscript"/>
              </w:rPr>
              <w:t>14</w:t>
            </w:r>
            <w:r w:rsidRPr="0096793C">
              <w:t> pantā paredzēto administratīvo pārkāpumu</w:t>
            </w:r>
            <w:r w:rsidR="004D11EA">
              <w:t xml:space="preserve"> </w:t>
            </w:r>
            <w:r w:rsidR="006B7A38" w:rsidRPr="0096793C">
              <w:t xml:space="preserve">Valsts policija ir sastādījusi </w:t>
            </w:r>
            <w:r w:rsidR="006B7A38">
              <w:t>57</w:t>
            </w:r>
            <w:r w:rsidR="006B7A38" w:rsidRPr="0096793C">
              <w:t xml:space="preserve"> administratīvā pārkāpuma protokolus</w:t>
            </w:r>
            <w:r w:rsidR="006B7A38">
              <w:t xml:space="preserve">, uz kuru pamata </w:t>
            </w:r>
            <w:r w:rsidR="006B7A38" w:rsidRPr="0096793C">
              <w:t xml:space="preserve">Valsts ieņēmumu dienesta </w:t>
            </w:r>
            <w:r w:rsidR="00314340" w:rsidRPr="00616488">
              <w:rPr>
                <w:color w:val="000000"/>
              </w:rPr>
              <w:t xml:space="preserve">(turpmāk – VID) </w:t>
            </w:r>
            <w:r w:rsidR="006B7A38" w:rsidRPr="0096793C">
              <w:t xml:space="preserve">Muitas pārvalde šajā pašā laika posmā ir pieņēmusi </w:t>
            </w:r>
            <w:r w:rsidR="006B7A38">
              <w:t>57</w:t>
            </w:r>
            <w:r w:rsidR="006B7A38" w:rsidRPr="0096793C">
              <w:t xml:space="preserve"> lēmumus </w:t>
            </w:r>
            <w:r w:rsidR="006B7A38">
              <w:t>administratīvo pārkāpumu lietās</w:t>
            </w:r>
            <w:r w:rsidR="006B7A38" w:rsidRPr="0096793C">
              <w:t>.</w:t>
            </w:r>
            <w:r w:rsidR="004A6728">
              <w:t xml:space="preserve"> </w:t>
            </w:r>
            <w:r w:rsidR="00DB1CFC">
              <w:t>I</w:t>
            </w:r>
            <w:r w:rsidR="00DB1CFC" w:rsidRPr="007E3F65">
              <w:t>ntelektu</w:t>
            </w:r>
            <w:r w:rsidR="00DB1CFC">
              <w:t>ālā īpašuma tiesību aizsardzība ir</w:t>
            </w:r>
            <w:r w:rsidR="00DB1CFC" w:rsidRPr="007E3F65">
              <w:t xml:space="preserve"> b</w:t>
            </w:r>
            <w:r w:rsidR="00DB1CFC">
              <w:t>ūtiska arī no personas tiesisko interešu aizsardzības aspekta</w:t>
            </w:r>
            <w:r w:rsidR="00DB1CFC" w:rsidRPr="007E3F65">
              <w:t>,</w:t>
            </w:r>
            <w:r w:rsidR="004A6728">
              <w:t xml:space="preserve"> </w:t>
            </w:r>
            <w:r w:rsidR="00DB1CFC">
              <w:t>jo i</w:t>
            </w:r>
            <w:r w:rsidR="00DB1CFC" w:rsidRPr="00400840">
              <w:t>ntelektuālā īpašuma tiesību īpašniekam ir izņēmuma tiesības lietot radītos nemateriālos objektus un saņemt no citām personām par šo objektu atļautu lietošanu noteiktu atlīdzību.</w:t>
            </w:r>
            <w:r w:rsidR="00CC6F1D">
              <w:t xml:space="preserve"> </w:t>
            </w:r>
            <w:r w:rsidRPr="0096793C">
              <w:t xml:space="preserve">Ņemot vērā </w:t>
            </w:r>
            <w:r w:rsidR="00DB1CFC">
              <w:t>minē</w:t>
            </w:r>
            <w:r w:rsidRPr="0096793C">
              <w:t>to, nepieciešams saglabāt administratīvo atbildību par viltotu preču piedāvā</w:t>
            </w:r>
            <w:r w:rsidR="00DB1CFC">
              <w:t>šanu vai pārdošanu arī turpmāk.</w:t>
            </w:r>
          </w:p>
          <w:p w14:paraId="51F0923E" w14:textId="77777777" w:rsidR="00B164A7" w:rsidRDefault="00DB1CFC" w:rsidP="00CF32C3">
            <w:pPr>
              <w:jc w:val="both"/>
            </w:pPr>
            <w:r>
              <w:t xml:space="preserve">Vienlaikus, </w:t>
            </w:r>
            <w:r w:rsidR="00CF32C3">
              <w:t>piemērojot</w:t>
            </w:r>
            <w:r>
              <w:t xml:space="preserve"> praks</w:t>
            </w:r>
            <w:r w:rsidR="00CF32C3">
              <w:t xml:space="preserve">ē minētās LAPK </w:t>
            </w:r>
            <w:r w:rsidR="00CF32C3" w:rsidRPr="00A00BF9">
              <w:t>166.</w:t>
            </w:r>
            <w:r w:rsidR="00CF32C3">
              <w:rPr>
                <w:vertAlign w:val="superscript"/>
              </w:rPr>
              <w:t>14</w:t>
            </w:r>
            <w:r w:rsidR="00CF32C3" w:rsidRPr="00A00BF9">
              <w:t> pant</w:t>
            </w:r>
            <w:r w:rsidR="00CF32C3">
              <w:t>a</w:t>
            </w:r>
            <w:r w:rsidR="004A6728">
              <w:t xml:space="preserve"> </w:t>
            </w:r>
            <w:r w:rsidR="00CF32C3">
              <w:t xml:space="preserve">un </w:t>
            </w:r>
            <w:r w:rsidR="00CF32C3" w:rsidRPr="00A00BF9">
              <w:t>166.</w:t>
            </w:r>
            <w:r w:rsidR="00CF32C3">
              <w:rPr>
                <w:vertAlign w:val="superscript"/>
              </w:rPr>
              <w:t>17</w:t>
            </w:r>
            <w:r w:rsidR="00CF32C3" w:rsidRPr="00A00BF9">
              <w:t> pant</w:t>
            </w:r>
            <w:r w:rsidR="00CF32C3">
              <w:t>a</w:t>
            </w:r>
            <w:r w:rsidR="004A6728">
              <w:t xml:space="preserve"> </w:t>
            </w:r>
            <w:r w:rsidR="00CF32C3">
              <w:t>normas, kuras pēc būtības ir līdzīgas, nav noteik</w:t>
            </w:r>
            <w:r w:rsidR="00730B06">
              <w:t xml:space="preserve">ta vienota piemērošanas kārtība, </w:t>
            </w:r>
            <w:r w:rsidR="00CF32C3">
              <w:t xml:space="preserve">kā arī ir izveidojusies prakse, ka </w:t>
            </w:r>
            <w:r w:rsidR="00CF32C3" w:rsidRPr="00A00BF9">
              <w:t>166.</w:t>
            </w:r>
            <w:r w:rsidR="00CF32C3">
              <w:rPr>
                <w:vertAlign w:val="superscript"/>
              </w:rPr>
              <w:t>17</w:t>
            </w:r>
            <w:r w:rsidR="00CF32C3">
              <w:t xml:space="preserve"> pants tiek piemērots gadījumos, kad konstatēti licencēšanas pārkāpumi, kā arī gadījumos, kad pārkāpumu izdara komersants ar lielu preču apgrozījumu, savukārt </w:t>
            </w:r>
            <w:r w:rsidR="00CF32C3" w:rsidRPr="00A00BF9">
              <w:t>166.</w:t>
            </w:r>
            <w:r w:rsidR="00CF32C3">
              <w:rPr>
                <w:vertAlign w:val="superscript"/>
              </w:rPr>
              <w:t>14</w:t>
            </w:r>
            <w:r w:rsidR="00CF32C3">
              <w:t xml:space="preserve"> pants tiek piemērots attiecībā pret fiziskām personām, reģistrētiem nodokļu maksātājiem, individuālajiem komersantiem (pārsvarā attiecībā pret komersantiem ar nelieliem ienākumiem). Ņemot vērā minēto, lai veicinātu skaidru un vienotu normu piemērošanu tika secināta nepieciešamība apvienot abus iepriekš LAPK </w:t>
            </w:r>
            <w:r w:rsidR="00CF32C3" w:rsidRPr="00A00BF9">
              <w:t>166.</w:t>
            </w:r>
            <w:r w:rsidR="00CF32C3">
              <w:rPr>
                <w:vertAlign w:val="superscript"/>
              </w:rPr>
              <w:t>14</w:t>
            </w:r>
            <w:r w:rsidR="00CF32C3" w:rsidRPr="00A00BF9">
              <w:t> pantā</w:t>
            </w:r>
            <w:r w:rsidR="00CF32C3">
              <w:t xml:space="preserve"> un </w:t>
            </w:r>
            <w:r w:rsidR="00CF32C3" w:rsidRPr="00A00BF9">
              <w:t>166.</w:t>
            </w:r>
            <w:r w:rsidR="00CF32C3">
              <w:rPr>
                <w:vertAlign w:val="superscript"/>
              </w:rPr>
              <w:t>17</w:t>
            </w:r>
            <w:r w:rsidR="00CF32C3" w:rsidRPr="00A00BF9">
              <w:t> pantā</w:t>
            </w:r>
            <w:r w:rsidR="00CF32C3">
              <w:t xml:space="preserve"> paredzētos administratīvos pārkāpumus vienā pantā, precizējot jaunā panta saturu un tvērumu.</w:t>
            </w:r>
          </w:p>
          <w:p w14:paraId="15274478" w14:textId="35B193E9" w:rsidR="00874F5A" w:rsidRPr="00FA08C5" w:rsidRDefault="00CF32C3" w:rsidP="009B3B77">
            <w:pPr>
              <w:jc w:val="both"/>
              <w:rPr>
                <w:color w:val="000000"/>
              </w:rPr>
            </w:pPr>
            <w:r w:rsidRPr="00F55533">
              <w:t xml:space="preserve">Likumprojekts paredz papildināt </w:t>
            </w:r>
            <w:r w:rsidR="00495F18">
              <w:t xml:space="preserve">Dizainparaugu </w:t>
            </w:r>
            <w:r w:rsidRPr="00F55533">
              <w:t xml:space="preserve">likumu </w:t>
            </w:r>
            <w:r w:rsidRPr="00F55533">
              <w:rPr>
                <w:lang w:eastAsia="ru-RU"/>
              </w:rPr>
              <w:t>ar jaunu nodaļu</w:t>
            </w:r>
            <w:r w:rsidR="00874F5A" w:rsidRPr="00F55533">
              <w:rPr>
                <w:lang w:eastAsia="ru-RU"/>
              </w:rPr>
              <w:t xml:space="preserve"> par a</w:t>
            </w:r>
            <w:r w:rsidR="00495F18">
              <w:rPr>
                <w:bCs/>
              </w:rPr>
              <w:t>dministratīvo atbildību</w:t>
            </w:r>
            <w:r w:rsidR="004A6728">
              <w:rPr>
                <w:bCs/>
              </w:rPr>
              <w:t xml:space="preserve"> </w:t>
            </w:r>
            <w:r w:rsidR="009B3B77">
              <w:rPr>
                <w:bCs/>
              </w:rPr>
              <w:t xml:space="preserve">dizainparaugu </w:t>
            </w:r>
            <w:r w:rsidR="00874F5A" w:rsidRPr="00F55533">
              <w:rPr>
                <w:bCs/>
              </w:rPr>
              <w:t xml:space="preserve">aizsardzības jomā </w:t>
            </w:r>
            <w:r w:rsidR="00FA08C5">
              <w:rPr>
                <w:bCs/>
              </w:rPr>
              <w:t xml:space="preserve">un kompetenci sodu piemērošanā. </w:t>
            </w:r>
            <w:r w:rsidR="006B7A38">
              <w:rPr>
                <w:color w:val="000000"/>
              </w:rPr>
              <w:t xml:space="preserve">Salīdzinot ar līdzšinējo LAPK </w:t>
            </w:r>
            <w:r w:rsidR="006B7A38" w:rsidRPr="00A00BF9">
              <w:t>166.</w:t>
            </w:r>
            <w:r w:rsidR="006B7A38">
              <w:rPr>
                <w:vertAlign w:val="superscript"/>
              </w:rPr>
              <w:t>17</w:t>
            </w:r>
            <w:r w:rsidR="006B7A38" w:rsidRPr="00A00BF9">
              <w:t> pantā</w:t>
            </w:r>
            <w:r w:rsidR="006B7A38">
              <w:t xml:space="preserve"> paredzēto administratīvā pārkāpuma par dizainparauga nelikumīgu izmantošanu sastāv</w:t>
            </w:r>
            <w:r w:rsidR="00924344">
              <w:t>u, likumprojekts precizē administratīvās atbildības</w:t>
            </w:r>
            <w:r w:rsidR="006B7A38">
              <w:t xml:space="preserve"> </w:t>
            </w:r>
            <w:r w:rsidR="00924344">
              <w:t xml:space="preserve">par </w:t>
            </w:r>
            <w:r w:rsidR="006B7A38">
              <w:t>dizainparauga nelikumīgu izmantošanu</w:t>
            </w:r>
            <w:r w:rsidR="00924344">
              <w:t xml:space="preserve"> sastāvu</w:t>
            </w:r>
            <w:r w:rsidR="006B7A38">
              <w:t>, tostarp</w:t>
            </w:r>
            <w:r w:rsidR="00FA08C5">
              <w:t>,</w:t>
            </w:r>
            <w:r w:rsidR="006B7A38">
              <w:t xml:space="preserve"> ietverot norādi uz dizainparaugam atbilstošu izstrādājumu,</w:t>
            </w:r>
            <w:r w:rsidR="004A6728">
              <w:t xml:space="preserve"> </w:t>
            </w:r>
            <w:r w:rsidR="00FA08C5">
              <w:t>lai tādējādi administratīvās atbildības piemērotājam atvieglotu administratīvā pārkāpuma fakta konstatēšanu, neparedzot pienākumu vērtēt izstrādājuma atbilstību reģistrētam dizainparaugam.</w:t>
            </w:r>
            <w:r w:rsidR="004A6728">
              <w:t xml:space="preserve"> </w:t>
            </w:r>
            <w:r w:rsidR="00616488" w:rsidRPr="00616488">
              <w:rPr>
                <w:color w:val="000000"/>
              </w:rPr>
              <w:t>Kompetence soda piemērošanā par administratīvo pārkāpumu ir Valsts policijai. Saistībā ar to, ka paredzētais administratīvais pārkāpums skar tikai darbības, kas veiktas iekšējā tirgū, VID tiek svītrots no kompetento iestāžu soda piemērošanā saraksta</w:t>
            </w:r>
            <w:r w:rsidR="00616488">
              <w:rPr>
                <w:color w:val="000000"/>
              </w:rPr>
              <w:t xml:space="preserve">. </w:t>
            </w:r>
            <w:r w:rsidR="00616488" w:rsidRPr="00616488">
              <w:rPr>
                <w:color w:val="000000"/>
              </w:rPr>
              <w:t xml:space="preserve">VID </w:t>
            </w:r>
            <w:r w:rsidR="00616488">
              <w:rPr>
                <w:color w:val="000000"/>
              </w:rPr>
              <w:t xml:space="preserve">turpinās </w:t>
            </w:r>
            <w:r w:rsidR="00616488" w:rsidRPr="00616488">
              <w:rPr>
                <w:color w:val="000000"/>
              </w:rPr>
              <w:t>veik</w:t>
            </w:r>
            <w:r w:rsidR="00616488">
              <w:rPr>
                <w:color w:val="000000"/>
              </w:rPr>
              <w:t>t</w:t>
            </w:r>
            <w:r w:rsidR="00616488" w:rsidRPr="00616488">
              <w:rPr>
                <w:color w:val="000000"/>
              </w:rPr>
              <w:t xml:space="preserve"> administratīvā pārkāpuma procesu par </w:t>
            </w:r>
            <w:r w:rsidR="00616488" w:rsidRPr="00616488">
              <w:t>LAPK 201.</w:t>
            </w:r>
            <w:r w:rsidR="00616488" w:rsidRPr="00616488">
              <w:rPr>
                <w:vertAlign w:val="superscript"/>
              </w:rPr>
              <w:t>10</w:t>
            </w:r>
            <w:r w:rsidR="00616488" w:rsidRPr="00616488">
              <w:t> pantā paredzēto administratīvo pārkāpumu par muitas režīma piemērošanu kontrafaktām un pirātiskām precēm vai šo preču pagaidu uzglabāšanu.</w:t>
            </w:r>
          </w:p>
          <w:p w14:paraId="1E7A714F" w14:textId="77777777" w:rsidR="00AE060B" w:rsidRPr="00AE060B" w:rsidRDefault="00AE060B" w:rsidP="009B3B77">
            <w:pPr>
              <w:jc w:val="both"/>
              <w:rPr>
                <w:rFonts w:eastAsia="Calibri"/>
                <w:iCs/>
                <w:color w:val="000000"/>
                <w:lang w:eastAsia="en-US"/>
              </w:rPr>
            </w:pPr>
            <w:r>
              <w:t>Tāpat arī norādāms, ka</w:t>
            </w:r>
            <w:r w:rsidR="00A3112F">
              <w:t xml:space="preserve"> likumprojekts</w:t>
            </w:r>
            <w:r w:rsidR="004A6728">
              <w:t xml:space="preserve"> </w:t>
            </w:r>
            <w:r w:rsidR="00A3112F">
              <w:t>"</w:t>
            </w:r>
            <w:r>
              <w:t>Administratīvo pārkāpumu procesa likums</w:t>
            </w:r>
            <w:r w:rsidR="00A3112F">
              <w:t>"</w:t>
            </w:r>
            <w:r>
              <w:t xml:space="preserve"> paredz </w:t>
            </w:r>
            <w:r w:rsidRPr="00AE060B">
              <w:rPr>
                <w:rFonts w:eastAsia="Calibri"/>
                <w:iCs/>
                <w:color w:val="000000"/>
                <w:lang w:eastAsia="en-US"/>
              </w:rPr>
              <w:t>būtiskas izmaiņ</w:t>
            </w:r>
            <w:r>
              <w:rPr>
                <w:rFonts w:eastAsia="Calibri"/>
                <w:iCs/>
                <w:color w:val="000000"/>
                <w:lang w:eastAsia="en-US"/>
              </w:rPr>
              <w:t xml:space="preserve">as administratīvo sodu sistēmā, </w:t>
            </w:r>
            <w:r w:rsidRPr="00AE060B">
              <w:rPr>
                <w:rFonts w:eastAsia="Calibri"/>
                <w:iCs/>
                <w:color w:val="000000"/>
                <w:lang w:eastAsia="en-US"/>
              </w:rPr>
              <w:t>no sod</w:t>
            </w:r>
            <w:r w:rsidR="00256370">
              <w:rPr>
                <w:rFonts w:eastAsia="Calibri"/>
                <w:iCs/>
                <w:color w:val="000000"/>
                <w:lang w:eastAsia="en-US"/>
              </w:rPr>
              <w:t>u veidiem</w:t>
            </w:r>
            <w:r w:rsidRPr="00AE060B">
              <w:rPr>
                <w:rFonts w:eastAsia="Calibri"/>
                <w:iCs/>
                <w:color w:val="000000"/>
                <w:lang w:eastAsia="en-US"/>
              </w:rPr>
              <w:t xml:space="preserve"> izslē</w:t>
            </w:r>
            <w:r>
              <w:rPr>
                <w:rFonts w:eastAsia="Calibri"/>
                <w:iCs/>
                <w:color w:val="000000"/>
                <w:lang w:eastAsia="en-US"/>
              </w:rPr>
              <w:t>dzot</w:t>
            </w:r>
            <w:r w:rsidRPr="00AE060B">
              <w:rPr>
                <w:rFonts w:eastAsia="Calibri"/>
                <w:iCs/>
                <w:color w:val="000000"/>
                <w:lang w:eastAsia="en-US"/>
              </w:rPr>
              <w:t xml:space="preserve"> administratīvā pārkāpuma priekšmeta va</w:t>
            </w:r>
            <w:r>
              <w:rPr>
                <w:rFonts w:eastAsia="Calibri"/>
                <w:iCs/>
                <w:color w:val="000000"/>
                <w:lang w:eastAsia="en-US"/>
              </w:rPr>
              <w:t>i izdarīšanas rīka konfiskāciju. Vienlaikus, ievērojot intelektuālā īpašuma tiesību jomas specifiku un nepieciešamību</w:t>
            </w:r>
            <w:r>
              <w:rPr>
                <w:rFonts w:eastAsia="Calibri"/>
                <w:lang w:eastAsia="en-US"/>
              </w:rPr>
              <w:t xml:space="preserve"> nodrošināt amatpersonām iespēju atsevišķos gadījumos atsavināt </w:t>
            </w:r>
            <w:r>
              <w:rPr>
                <w:rFonts w:eastAsia="Calibri"/>
                <w:lang w:eastAsia="en-US"/>
              </w:rPr>
              <w:lastRenderedPageBreak/>
              <w:t>personu mantas</w:t>
            </w:r>
            <w:r>
              <w:rPr>
                <w:rFonts w:eastAsia="Calibri"/>
                <w:iCs/>
                <w:color w:val="000000"/>
                <w:lang w:eastAsia="en-US"/>
              </w:rPr>
              <w:t xml:space="preserve">, turpmāk tiek saglabāta iespēja </w:t>
            </w:r>
            <w:r>
              <w:rPr>
                <w:rFonts w:eastAsia="Calibri"/>
                <w:lang w:eastAsia="en-US"/>
              </w:rPr>
              <w:t>administratīvā pārkāpuma priekšmeta vai izdarīšanas rīka konfiskāciju veikt procesuālo darbību izpildes ietvaros (procesuālā konfiskācija). Amatpersona varēs arī turpmāk izņemt mantas un dokumentus, kas ir pārkāpuma priekšmets vai izdarīšanas rīks, un, pieņemot galīgo lēmumu administratīvā pārkāpuma lietā, amatpersona varēs lemt par izņemto priekšmetu konfiskāciju.</w:t>
            </w:r>
          </w:p>
        </w:tc>
      </w:tr>
      <w:tr w:rsidR="00DE5BE7" w:rsidRPr="008F2C79" w14:paraId="4008D239" w14:textId="77777777" w:rsidTr="00424092">
        <w:trPr>
          <w:trHeight w:val="8"/>
        </w:trPr>
        <w:tc>
          <w:tcPr>
            <w:tcW w:w="425" w:type="dxa"/>
          </w:tcPr>
          <w:p w14:paraId="3BC1373C" w14:textId="77777777" w:rsidR="00DE5BE7" w:rsidRPr="008F2C79" w:rsidRDefault="00DE5BE7" w:rsidP="008F2C79">
            <w:pPr>
              <w:pStyle w:val="naiskr"/>
              <w:spacing w:before="0" w:after="0"/>
            </w:pPr>
            <w:r w:rsidRPr="008F2C79">
              <w:lastRenderedPageBreak/>
              <w:t>3.</w:t>
            </w:r>
          </w:p>
        </w:tc>
        <w:tc>
          <w:tcPr>
            <w:tcW w:w="2263" w:type="dxa"/>
          </w:tcPr>
          <w:p w14:paraId="7E70C179" w14:textId="77777777" w:rsidR="00DE5BE7" w:rsidRPr="008F2C79" w:rsidRDefault="00DE5BE7" w:rsidP="008F2C79">
            <w:pPr>
              <w:pStyle w:val="naiskr"/>
              <w:spacing w:before="0" w:after="0"/>
            </w:pPr>
            <w:r w:rsidRPr="008F2C79">
              <w:t>Projekta izstrādē iesaistītās institūcijas</w:t>
            </w:r>
          </w:p>
        </w:tc>
        <w:tc>
          <w:tcPr>
            <w:tcW w:w="6389" w:type="dxa"/>
          </w:tcPr>
          <w:p w14:paraId="46BB4681" w14:textId="77777777" w:rsidR="00DE5BE7" w:rsidRPr="000A075F" w:rsidRDefault="00925E5C" w:rsidP="00830E22">
            <w:pPr>
              <w:pStyle w:val="naiskr"/>
              <w:spacing w:before="0" w:after="0"/>
            </w:pPr>
            <w:r w:rsidRPr="000A075F">
              <w:t>Patentu valde</w:t>
            </w:r>
            <w:r w:rsidR="00616488" w:rsidRPr="000A075F">
              <w:t>, Valsts policija, Valsts ieņēmumu dienests</w:t>
            </w:r>
            <w:r w:rsidR="00DE5BE7" w:rsidRPr="000A075F">
              <w:t>.</w:t>
            </w:r>
          </w:p>
          <w:p w14:paraId="198C8CF8" w14:textId="375F9C09" w:rsidR="000A075F" w:rsidRPr="008F2C79" w:rsidRDefault="000A075F" w:rsidP="000A075F">
            <w:pPr>
              <w:pStyle w:val="naiskr"/>
              <w:spacing w:before="0" w:after="0"/>
              <w:jc w:val="both"/>
            </w:pPr>
            <w:r w:rsidRPr="000A075F">
              <w:t>Likumprojekts tika izskatīts un atbalstīts ar Tieslietu ministrijas 2010. gada 19. janvāra rīkojumu Nr. 1-1/25 izveidotās Latvijas Administratīvo pārkāpumu kodeksa pastāvīgās darba grupas 2017. gada 16. februāra sēdē.</w:t>
            </w:r>
          </w:p>
        </w:tc>
      </w:tr>
      <w:tr w:rsidR="00DE5BE7" w:rsidRPr="008F2C79" w14:paraId="1A12554C" w14:textId="77777777" w:rsidTr="00424092">
        <w:trPr>
          <w:trHeight w:val="246"/>
        </w:trPr>
        <w:tc>
          <w:tcPr>
            <w:tcW w:w="425" w:type="dxa"/>
          </w:tcPr>
          <w:p w14:paraId="2D759D2A" w14:textId="77777777" w:rsidR="00DE5BE7" w:rsidRPr="008F2C79" w:rsidRDefault="00DE5BE7" w:rsidP="008F2C79">
            <w:pPr>
              <w:pStyle w:val="naiskr"/>
              <w:spacing w:before="0" w:after="0"/>
            </w:pPr>
            <w:r w:rsidRPr="008F2C79">
              <w:t>4.</w:t>
            </w:r>
          </w:p>
        </w:tc>
        <w:tc>
          <w:tcPr>
            <w:tcW w:w="2263" w:type="dxa"/>
          </w:tcPr>
          <w:p w14:paraId="141B208A" w14:textId="77777777" w:rsidR="00DE5BE7" w:rsidRPr="008F2C79" w:rsidRDefault="00DE5BE7" w:rsidP="008F2C79">
            <w:pPr>
              <w:pStyle w:val="naiskr"/>
              <w:spacing w:before="0" w:after="0"/>
            </w:pPr>
            <w:r w:rsidRPr="008F2C79">
              <w:t>Cita informācija</w:t>
            </w:r>
          </w:p>
        </w:tc>
        <w:tc>
          <w:tcPr>
            <w:tcW w:w="6389" w:type="dxa"/>
          </w:tcPr>
          <w:p w14:paraId="6FBBFE29" w14:textId="77777777" w:rsidR="0058508C" w:rsidRPr="008F2C79" w:rsidRDefault="00616488" w:rsidP="0058508C">
            <w:pPr>
              <w:jc w:val="both"/>
              <w:rPr>
                <w:lang w:eastAsia="ru-RU"/>
              </w:rPr>
            </w:pPr>
            <w:r>
              <w:rPr>
                <w:lang w:eastAsia="ru-RU"/>
              </w:rPr>
              <w:t>Nav</w:t>
            </w:r>
            <w:r w:rsidR="0058508C">
              <w:rPr>
                <w:lang w:eastAsia="ru-RU"/>
              </w:rPr>
              <w:t>.</w:t>
            </w:r>
          </w:p>
        </w:tc>
      </w:tr>
    </w:tbl>
    <w:p w14:paraId="4C5EF563" w14:textId="77777777" w:rsidR="00AF0579" w:rsidRPr="008F2C79" w:rsidRDefault="00AF0579" w:rsidP="008F2C79">
      <w:pPr>
        <w:pStyle w:val="naisf"/>
        <w:spacing w:before="0" w:after="0"/>
        <w:ind w:firstLine="0"/>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4D0AE7" w:rsidRPr="008F2C79" w14:paraId="6E10B015" w14:textId="77777777" w:rsidTr="004D2D15">
        <w:trPr>
          <w:trHeight w:val="195"/>
        </w:trPr>
        <w:tc>
          <w:tcPr>
            <w:tcW w:w="9077" w:type="dxa"/>
            <w:gridSpan w:val="3"/>
            <w:vAlign w:val="center"/>
          </w:tcPr>
          <w:p w14:paraId="71F8BA51" w14:textId="77777777" w:rsidR="004D0AE7" w:rsidRPr="008F2C79" w:rsidRDefault="004D0AE7" w:rsidP="004D2D15">
            <w:pPr>
              <w:pStyle w:val="naisnod"/>
              <w:numPr>
                <w:ilvl w:val="0"/>
                <w:numId w:val="18"/>
              </w:numPr>
              <w:spacing w:before="0" w:after="0"/>
            </w:pPr>
            <w:r w:rsidRPr="008F2C79">
              <w:t>Tiesību akta projekta ietekme uz sabiedrību, tautsaimniecības attīstību un administratīvo slogu</w:t>
            </w:r>
          </w:p>
        </w:tc>
      </w:tr>
      <w:tr w:rsidR="004D0AE7" w:rsidRPr="008F2C79" w14:paraId="58C0D6ED" w14:textId="77777777" w:rsidTr="004D2D15">
        <w:trPr>
          <w:trHeight w:val="331"/>
        </w:trPr>
        <w:tc>
          <w:tcPr>
            <w:tcW w:w="431" w:type="dxa"/>
          </w:tcPr>
          <w:p w14:paraId="113FFCCF" w14:textId="77777777" w:rsidR="004D0AE7" w:rsidRPr="008F2C79" w:rsidRDefault="004D0AE7" w:rsidP="004D2D15">
            <w:pPr>
              <w:pStyle w:val="naiskr"/>
              <w:spacing w:before="0" w:after="0"/>
            </w:pPr>
            <w:r w:rsidRPr="008F2C79">
              <w:t>1.</w:t>
            </w:r>
          </w:p>
        </w:tc>
        <w:tc>
          <w:tcPr>
            <w:tcW w:w="2409" w:type="dxa"/>
          </w:tcPr>
          <w:p w14:paraId="5ED24952" w14:textId="77777777" w:rsidR="004D0AE7" w:rsidRPr="008F2C79" w:rsidRDefault="004D0AE7" w:rsidP="004D2D15">
            <w:pPr>
              <w:pStyle w:val="naiskr"/>
              <w:spacing w:before="0" w:after="0"/>
            </w:pPr>
            <w:r w:rsidRPr="008F2C79">
              <w:t>Sabiedrības mērķgrupas, kuras tiesiskais regulējums ietekmē vai varētu ietekmēt</w:t>
            </w:r>
          </w:p>
        </w:tc>
        <w:tc>
          <w:tcPr>
            <w:tcW w:w="6237" w:type="dxa"/>
          </w:tcPr>
          <w:p w14:paraId="4453AA80" w14:textId="77777777" w:rsidR="0039516F" w:rsidRPr="008749D4" w:rsidRDefault="007D6823" w:rsidP="00D0306A">
            <w:pPr>
              <w:pStyle w:val="naiskr"/>
              <w:spacing w:before="0" w:after="0"/>
              <w:ind w:left="57" w:right="57"/>
              <w:jc w:val="both"/>
            </w:pPr>
            <w:r w:rsidRPr="00E31A78">
              <w:t>Fiziskā</w:t>
            </w:r>
            <w:r>
              <w:t>s</w:t>
            </w:r>
            <w:r w:rsidRPr="00E31A78">
              <w:t xml:space="preserve"> un juridiskā</w:t>
            </w:r>
            <w:r>
              <w:t>s</w:t>
            </w:r>
            <w:r w:rsidRPr="00E31A78">
              <w:t xml:space="preserve"> person</w:t>
            </w:r>
            <w:r w:rsidR="00D0306A">
              <w:t>as</w:t>
            </w:r>
            <w:bookmarkStart w:id="2" w:name="_GoBack"/>
            <w:bookmarkEnd w:id="2"/>
            <w:r w:rsidR="00E523B1">
              <w:t>, Valsts policija.</w:t>
            </w:r>
          </w:p>
        </w:tc>
      </w:tr>
      <w:tr w:rsidR="004D0AE7" w:rsidRPr="008F2C79" w14:paraId="1F12B697" w14:textId="77777777" w:rsidTr="004D2D15">
        <w:trPr>
          <w:trHeight w:val="367"/>
        </w:trPr>
        <w:tc>
          <w:tcPr>
            <w:tcW w:w="431" w:type="dxa"/>
          </w:tcPr>
          <w:p w14:paraId="7902278C" w14:textId="77777777" w:rsidR="004D0AE7" w:rsidRPr="008F2C79" w:rsidRDefault="004D0AE7" w:rsidP="004D2D15">
            <w:pPr>
              <w:pStyle w:val="naiskr"/>
              <w:spacing w:before="0" w:after="0"/>
            </w:pPr>
            <w:r w:rsidRPr="008F2C79">
              <w:t>2.</w:t>
            </w:r>
          </w:p>
        </w:tc>
        <w:tc>
          <w:tcPr>
            <w:tcW w:w="2409" w:type="dxa"/>
          </w:tcPr>
          <w:p w14:paraId="62B423D0" w14:textId="77777777" w:rsidR="004D0AE7" w:rsidRPr="008F2C79" w:rsidRDefault="004D0AE7" w:rsidP="004D2D15">
            <w:pPr>
              <w:pStyle w:val="naiskr"/>
              <w:spacing w:before="0" w:after="0"/>
            </w:pPr>
            <w:r w:rsidRPr="008F2C79">
              <w:t>Tiesiskā regulējuma ietekme uz tautsaimniecību un administratīvo slogu</w:t>
            </w:r>
          </w:p>
        </w:tc>
        <w:tc>
          <w:tcPr>
            <w:tcW w:w="6237" w:type="dxa"/>
            <w:shd w:val="clear" w:color="auto" w:fill="auto"/>
          </w:tcPr>
          <w:p w14:paraId="33CEC971" w14:textId="2DFAE1AE" w:rsidR="00E07BAF" w:rsidRPr="00E07BAF" w:rsidRDefault="000A075F" w:rsidP="00D0306A">
            <w:pPr>
              <w:pStyle w:val="naiskr"/>
              <w:spacing w:before="0" w:after="0"/>
              <w:jc w:val="both"/>
              <w:rPr>
                <w:color w:val="000000"/>
              </w:rPr>
            </w:pPr>
            <w:r w:rsidRPr="000A075F">
              <w:rPr>
                <w:szCs w:val="26"/>
              </w:rPr>
              <w:t>Likumprojekts šo jomu neskar.</w:t>
            </w:r>
          </w:p>
        </w:tc>
      </w:tr>
      <w:tr w:rsidR="004D0AE7" w:rsidRPr="008F2C79" w14:paraId="109F7E16" w14:textId="77777777" w:rsidTr="004D2D15">
        <w:trPr>
          <w:trHeight w:val="253"/>
        </w:trPr>
        <w:tc>
          <w:tcPr>
            <w:tcW w:w="431" w:type="dxa"/>
          </w:tcPr>
          <w:p w14:paraId="2BF37DB9" w14:textId="77777777" w:rsidR="004D0AE7" w:rsidRPr="008F2C79" w:rsidRDefault="004D0AE7" w:rsidP="004D2D15">
            <w:pPr>
              <w:pStyle w:val="naiskr"/>
              <w:spacing w:before="0" w:after="0"/>
            </w:pPr>
            <w:r w:rsidRPr="008F2C79">
              <w:t>3.</w:t>
            </w:r>
          </w:p>
        </w:tc>
        <w:tc>
          <w:tcPr>
            <w:tcW w:w="2409" w:type="dxa"/>
          </w:tcPr>
          <w:p w14:paraId="372AE4E5" w14:textId="77777777" w:rsidR="004D0AE7" w:rsidRPr="00425355" w:rsidRDefault="004D0AE7" w:rsidP="004D2D15">
            <w:pPr>
              <w:pStyle w:val="naiskr"/>
              <w:spacing w:before="0" w:after="0"/>
              <w:rPr>
                <w:highlight w:val="yellow"/>
              </w:rPr>
            </w:pPr>
            <w:r w:rsidRPr="00783AE2">
              <w:t>Administratīvo izmaksu monetārs novērtējums</w:t>
            </w:r>
          </w:p>
        </w:tc>
        <w:tc>
          <w:tcPr>
            <w:tcW w:w="6237" w:type="dxa"/>
          </w:tcPr>
          <w:p w14:paraId="039BF1FF" w14:textId="77777777" w:rsidR="00A72806" w:rsidRPr="00B164A7" w:rsidRDefault="004754DB" w:rsidP="00CB4A33">
            <w:pPr>
              <w:jc w:val="both"/>
              <w:rPr>
                <w:highlight w:val="yellow"/>
              </w:rPr>
            </w:pPr>
            <w:r>
              <w:t>Likump</w:t>
            </w:r>
            <w:r w:rsidR="00B164A7" w:rsidRPr="00B164A7">
              <w:t>rojekts šo jomu neskar.</w:t>
            </w:r>
          </w:p>
        </w:tc>
      </w:tr>
      <w:tr w:rsidR="004D0AE7" w:rsidRPr="008F2C79" w14:paraId="6DFF75B0" w14:textId="77777777" w:rsidTr="004D2D15">
        <w:trPr>
          <w:trHeight w:val="204"/>
        </w:trPr>
        <w:tc>
          <w:tcPr>
            <w:tcW w:w="431" w:type="dxa"/>
          </w:tcPr>
          <w:p w14:paraId="51B4B92E" w14:textId="77777777" w:rsidR="004D0AE7" w:rsidRPr="008F2C79" w:rsidRDefault="004D0AE7" w:rsidP="004D2D15">
            <w:pPr>
              <w:pStyle w:val="naiskr"/>
              <w:spacing w:before="0" w:after="0"/>
            </w:pPr>
            <w:r w:rsidRPr="008F2C79">
              <w:t>4.</w:t>
            </w:r>
          </w:p>
        </w:tc>
        <w:tc>
          <w:tcPr>
            <w:tcW w:w="2409" w:type="dxa"/>
          </w:tcPr>
          <w:p w14:paraId="1D30F37A" w14:textId="77777777" w:rsidR="004D0AE7" w:rsidRPr="008F2C79" w:rsidRDefault="004D0AE7" w:rsidP="004D2D15">
            <w:pPr>
              <w:pStyle w:val="naiskr"/>
              <w:spacing w:before="0" w:after="0"/>
            </w:pPr>
            <w:r w:rsidRPr="008F2C79">
              <w:t>Cita informācija</w:t>
            </w:r>
          </w:p>
        </w:tc>
        <w:tc>
          <w:tcPr>
            <w:tcW w:w="6237" w:type="dxa"/>
          </w:tcPr>
          <w:p w14:paraId="79F95A05" w14:textId="77777777" w:rsidR="004D0AE7" w:rsidRPr="008F2C79" w:rsidRDefault="004D0AE7" w:rsidP="004D2D15">
            <w:pPr>
              <w:pStyle w:val="naiskr"/>
              <w:spacing w:before="0" w:after="0"/>
            </w:pPr>
            <w:r w:rsidRPr="008F2C79">
              <w:t>Nav.</w:t>
            </w:r>
          </w:p>
        </w:tc>
      </w:tr>
    </w:tbl>
    <w:p w14:paraId="7C52D526" w14:textId="291327CE" w:rsidR="00041713" w:rsidRDefault="00041713"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A680E" w:rsidRPr="00E31A78" w14:paraId="3419D3A8" w14:textId="77777777" w:rsidTr="00180292">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E0CCB2" w14:textId="7386F4A6" w:rsidR="004A680E" w:rsidRPr="00E31A78" w:rsidRDefault="004A680E" w:rsidP="004A680E">
            <w:pPr>
              <w:ind w:firstLine="300"/>
              <w:jc w:val="center"/>
              <w:rPr>
                <w:b/>
                <w:bCs/>
              </w:rPr>
            </w:pPr>
            <w:r>
              <w:rPr>
                <w:b/>
                <w:bCs/>
              </w:rPr>
              <w:t>III</w:t>
            </w:r>
            <w:r w:rsidRPr="00E31A78">
              <w:rPr>
                <w:b/>
                <w:bCs/>
              </w:rPr>
              <w:t xml:space="preserve">. Tiesību akta projekta ietekme uz </w:t>
            </w:r>
            <w:r>
              <w:rPr>
                <w:b/>
                <w:bCs/>
              </w:rPr>
              <w:t>valsts budžetu un pašvaldību budžetiem</w:t>
            </w:r>
          </w:p>
        </w:tc>
      </w:tr>
      <w:tr w:rsidR="004A680E" w:rsidRPr="007D725A" w14:paraId="029F994F" w14:textId="77777777" w:rsidTr="00180292">
        <w:tc>
          <w:tcPr>
            <w:tcW w:w="5000" w:type="pct"/>
            <w:tcBorders>
              <w:top w:val="outset" w:sz="6" w:space="0" w:color="414142"/>
              <w:left w:val="outset" w:sz="6" w:space="0" w:color="414142"/>
              <w:bottom w:val="outset" w:sz="6" w:space="0" w:color="414142"/>
              <w:right w:val="outset" w:sz="6" w:space="0" w:color="414142"/>
            </w:tcBorders>
            <w:hideMark/>
          </w:tcPr>
          <w:p w14:paraId="5DD9ABC5" w14:textId="77777777" w:rsidR="004A680E" w:rsidRPr="007D725A" w:rsidRDefault="004A680E" w:rsidP="00180292">
            <w:pPr>
              <w:jc w:val="center"/>
            </w:pPr>
            <w:r w:rsidRPr="007D725A">
              <w:t>Likumprojekts šo jomu neskar.</w:t>
            </w:r>
          </w:p>
        </w:tc>
      </w:tr>
    </w:tbl>
    <w:p w14:paraId="5EEAE240" w14:textId="707579FF" w:rsidR="004A680E" w:rsidRDefault="004A680E"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A680E" w:rsidRPr="00E31A78" w14:paraId="3224652C" w14:textId="77777777" w:rsidTr="00180292">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3F6E7B9" w14:textId="0264341F" w:rsidR="004A680E" w:rsidRPr="00E31A78" w:rsidRDefault="004A680E" w:rsidP="00180292">
            <w:pPr>
              <w:ind w:firstLine="300"/>
              <w:jc w:val="center"/>
              <w:rPr>
                <w:b/>
                <w:bCs/>
              </w:rPr>
            </w:pPr>
            <w:r>
              <w:rPr>
                <w:b/>
                <w:bCs/>
              </w:rPr>
              <w:t>IV</w:t>
            </w:r>
            <w:r w:rsidRPr="00E31A78">
              <w:rPr>
                <w:b/>
                <w:bCs/>
              </w:rPr>
              <w:t>. Tiesību akta projekta ietekme uz spēkā esošo tiesību normu sistēmu</w:t>
            </w:r>
          </w:p>
        </w:tc>
      </w:tr>
      <w:tr w:rsidR="004A680E" w:rsidRPr="007D725A" w14:paraId="692D0C98" w14:textId="77777777" w:rsidTr="00180292">
        <w:tc>
          <w:tcPr>
            <w:tcW w:w="5000" w:type="pct"/>
            <w:tcBorders>
              <w:top w:val="outset" w:sz="6" w:space="0" w:color="414142"/>
              <w:left w:val="outset" w:sz="6" w:space="0" w:color="414142"/>
              <w:bottom w:val="outset" w:sz="6" w:space="0" w:color="414142"/>
              <w:right w:val="outset" w:sz="6" w:space="0" w:color="414142"/>
            </w:tcBorders>
            <w:hideMark/>
          </w:tcPr>
          <w:p w14:paraId="394A0EF8" w14:textId="77777777" w:rsidR="004A680E" w:rsidRPr="007D725A" w:rsidRDefault="004A680E" w:rsidP="00180292">
            <w:pPr>
              <w:jc w:val="center"/>
            </w:pPr>
            <w:r w:rsidRPr="007D725A">
              <w:t>Likumprojekts šo jomu neskar.</w:t>
            </w:r>
          </w:p>
        </w:tc>
      </w:tr>
    </w:tbl>
    <w:p w14:paraId="42C5DBD3" w14:textId="77777777" w:rsidR="004A680E" w:rsidRDefault="004A680E"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164A7" w:rsidRPr="00E31A78" w14:paraId="64FB9794" w14:textId="77777777" w:rsidTr="00353111">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0C80885" w14:textId="1F59FC31" w:rsidR="00B164A7" w:rsidRPr="00E31A78" w:rsidRDefault="00B164A7" w:rsidP="004A680E">
            <w:pPr>
              <w:ind w:firstLine="300"/>
              <w:jc w:val="center"/>
              <w:rPr>
                <w:b/>
                <w:bCs/>
              </w:rPr>
            </w:pPr>
            <w:r w:rsidRPr="00E31A78">
              <w:rPr>
                <w:b/>
                <w:bCs/>
              </w:rPr>
              <w:t xml:space="preserve">V. Tiesību akta projekta </w:t>
            </w:r>
            <w:r w:rsidR="004A680E">
              <w:rPr>
                <w:b/>
                <w:bCs/>
              </w:rPr>
              <w:t>atbilstība Latvijas Republikas starptautiskajām saistībām</w:t>
            </w:r>
          </w:p>
        </w:tc>
      </w:tr>
      <w:tr w:rsidR="004A680E" w:rsidRPr="00E31A78" w14:paraId="309B4653" w14:textId="77777777" w:rsidTr="004A680E">
        <w:tc>
          <w:tcPr>
            <w:tcW w:w="5000" w:type="pct"/>
            <w:tcBorders>
              <w:top w:val="outset" w:sz="6" w:space="0" w:color="414142"/>
              <w:left w:val="outset" w:sz="6" w:space="0" w:color="414142"/>
              <w:bottom w:val="outset" w:sz="6" w:space="0" w:color="414142"/>
              <w:right w:val="outset" w:sz="6" w:space="0" w:color="414142"/>
            </w:tcBorders>
            <w:hideMark/>
          </w:tcPr>
          <w:p w14:paraId="47E829E0" w14:textId="4DF56459" w:rsidR="004A680E" w:rsidRPr="007D725A" w:rsidRDefault="004A680E" w:rsidP="004E5B45">
            <w:pPr>
              <w:jc w:val="center"/>
            </w:pPr>
            <w:r w:rsidRPr="007D725A">
              <w:t>Likumprojekts šo jomu neskar.</w:t>
            </w:r>
          </w:p>
        </w:tc>
      </w:tr>
    </w:tbl>
    <w:p w14:paraId="7EDCB8D9" w14:textId="77777777" w:rsidR="002A7D2C" w:rsidRPr="008F2C79" w:rsidRDefault="002A7D2C" w:rsidP="008F2C79">
      <w:pPr>
        <w:jc w:val="both"/>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270"/>
        <w:gridCol w:w="6554"/>
      </w:tblGrid>
      <w:tr w:rsidR="00B10543" w14:paraId="14238C77" w14:textId="77777777" w:rsidTr="00B10543">
        <w:trPr>
          <w:trHeight w:val="421"/>
          <w:jc w:val="center"/>
        </w:trPr>
        <w:tc>
          <w:tcPr>
            <w:tcW w:w="9146" w:type="dxa"/>
            <w:gridSpan w:val="3"/>
            <w:tcBorders>
              <w:top w:val="single" w:sz="4" w:space="0" w:color="auto"/>
              <w:left w:val="single" w:sz="4" w:space="0" w:color="auto"/>
              <w:bottom w:val="single" w:sz="4" w:space="0" w:color="auto"/>
              <w:right w:val="single" w:sz="4" w:space="0" w:color="auto"/>
            </w:tcBorders>
            <w:vAlign w:val="center"/>
            <w:hideMark/>
          </w:tcPr>
          <w:p w14:paraId="74AC6174" w14:textId="77777777" w:rsidR="00B10543" w:rsidRDefault="00B10543">
            <w:pPr>
              <w:pStyle w:val="naisnod"/>
              <w:spacing w:before="0" w:after="0"/>
              <w:ind w:left="57" w:right="57"/>
            </w:pPr>
            <w:r>
              <w:t>VI. Sabiedrības līdzdalība un komunikācijas aktivitātes</w:t>
            </w:r>
          </w:p>
        </w:tc>
      </w:tr>
      <w:tr w:rsidR="00B10543" w14:paraId="1324F44B" w14:textId="77777777" w:rsidTr="005E1B93">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32D0654F" w14:textId="77777777" w:rsidR="00B10543" w:rsidRDefault="00B10543">
            <w:pPr>
              <w:ind w:left="57" w:right="57"/>
              <w:jc w:val="both"/>
              <w:rPr>
                <w:bCs/>
              </w:rPr>
            </w:pPr>
            <w:r>
              <w:rPr>
                <w:bCs/>
              </w:rPr>
              <w:t>1.</w:t>
            </w:r>
          </w:p>
        </w:tc>
        <w:tc>
          <w:tcPr>
            <w:tcW w:w="2270" w:type="dxa"/>
            <w:tcBorders>
              <w:top w:val="single" w:sz="4" w:space="0" w:color="auto"/>
              <w:left w:val="single" w:sz="4" w:space="0" w:color="auto"/>
              <w:bottom w:val="single" w:sz="4" w:space="0" w:color="auto"/>
              <w:right w:val="single" w:sz="4" w:space="0" w:color="auto"/>
            </w:tcBorders>
            <w:hideMark/>
          </w:tcPr>
          <w:p w14:paraId="7FCB4463" w14:textId="77777777" w:rsidR="00B10543" w:rsidRDefault="00B10543">
            <w:pPr>
              <w:tabs>
                <w:tab w:val="left" w:pos="170"/>
              </w:tabs>
              <w:ind w:left="57" w:right="57"/>
            </w:pPr>
            <w:r>
              <w:t>Plānotās sabiedrības līdzdalības un komunikācijas aktivitātes saistībā ar projektu</w:t>
            </w:r>
          </w:p>
        </w:tc>
        <w:tc>
          <w:tcPr>
            <w:tcW w:w="6554" w:type="dxa"/>
            <w:tcBorders>
              <w:top w:val="single" w:sz="4" w:space="0" w:color="auto"/>
              <w:left w:val="single" w:sz="4" w:space="0" w:color="auto"/>
              <w:bottom w:val="single" w:sz="4" w:space="0" w:color="auto"/>
              <w:right w:val="single" w:sz="4" w:space="0" w:color="auto"/>
            </w:tcBorders>
          </w:tcPr>
          <w:p w14:paraId="418E0C47" w14:textId="50369F1B" w:rsidR="000A075F" w:rsidRPr="000A075F" w:rsidRDefault="007D725A" w:rsidP="000A075F">
            <w:pPr>
              <w:spacing w:after="120"/>
              <w:ind w:left="57" w:right="57"/>
              <w:jc w:val="both"/>
            </w:pPr>
            <w:bookmarkStart w:id="3" w:name="p61"/>
            <w:bookmarkEnd w:id="3"/>
            <w:r>
              <w:t>Likumprojekta izstrādes gaitā tika organizētas 2 sanāksmes (2016.</w:t>
            </w:r>
            <w:r w:rsidR="004A680E">
              <w:t> </w:t>
            </w:r>
            <w:r>
              <w:t>gada 6.</w:t>
            </w:r>
            <w:r w:rsidR="004A680E">
              <w:t> </w:t>
            </w:r>
            <w:r>
              <w:t>decembrī un 2017.</w:t>
            </w:r>
            <w:r w:rsidR="004A680E">
              <w:t> </w:t>
            </w:r>
            <w:r>
              <w:t>gada 23.</w:t>
            </w:r>
            <w:r w:rsidR="004A680E">
              <w:t> </w:t>
            </w:r>
            <w:r>
              <w:t xml:space="preserve">martā), uz kuru tika uzaicināti </w:t>
            </w:r>
            <w:r w:rsidRPr="000A075F">
              <w:t>biedrīb</w:t>
            </w:r>
            <w:r>
              <w:t>as</w:t>
            </w:r>
            <w:r w:rsidRPr="000A075F">
              <w:t xml:space="preserve"> "Latvijas Profesionālo patentpilnvarnieku asociācija"</w:t>
            </w:r>
            <w:r>
              <w:t xml:space="preserve"> pārstāvji.</w:t>
            </w:r>
          </w:p>
          <w:p w14:paraId="3A7E1CD5" w14:textId="77777777" w:rsidR="00B10543" w:rsidRDefault="00B10543">
            <w:pPr>
              <w:ind w:right="57"/>
              <w:jc w:val="both"/>
            </w:pPr>
          </w:p>
        </w:tc>
      </w:tr>
      <w:tr w:rsidR="00B10543" w14:paraId="314D438C" w14:textId="77777777" w:rsidTr="005E1B93">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0BBC9DB7" w14:textId="77777777" w:rsidR="00B10543" w:rsidRDefault="00B10543">
            <w:pPr>
              <w:ind w:left="57" w:right="57"/>
              <w:jc w:val="both"/>
              <w:rPr>
                <w:bCs/>
              </w:rPr>
            </w:pPr>
            <w:r>
              <w:rPr>
                <w:bCs/>
              </w:rPr>
              <w:t>2.</w:t>
            </w:r>
          </w:p>
        </w:tc>
        <w:tc>
          <w:tcPr>
            <w:tcW w:w="2270" w:type="dxa"/>
            <w:tcBorders>
              <w:top w:val="single" w:sz="4" w:space="0" w:color="auto"/>
              <w:left w:val="single" w:sz="4" w:space="0" w:color="auto"/>
              <w:bottom w:val="single" w:sz="4" w:space="0" w:color="auto"/>
              <w:right w:val="single" w:sz="4" w:space="0" w:color="auto"/>
            </w:tcBorders>
            <w:hideMark/>
          </w:tcPr>
          <w:p w14:paraId="5DFB3F5C" w14:textId="77777777" w:rsidR="00B10543" w:rsidRDefault="00B10543">
            <w:pPr>
              <w:ind w:left="57" w:right="57"/>
            </w:pPr>
            <w:r>
              <w:t>Sabiedrības līdzdalība projekta izstrādē</w:t>
            </w:r>
          </w:p>
        </w:tc>
        <w:tc>
          <w:tcPr>
            <w:tcW w:w="6554" w:type="dxa"/>
            <w:tcBorders>
              <w:top w:val="single" w:sz="4" w:space="0" w:color="auto"/>
              <w:left w:val="single" w:sz="4" w:space="0" w:color="auto"/>
              <w:bottom w:val="single" w:sz="4" w:space="0" w:color="auto"/>
              <w:right w:val="single" w:sz="4" w:space="0" w:color="auto"/>
            </w:tcBorders>
            <w:hideMark/>
          </w:tcPr>
          <w:p w14:paraId="0ABA8A03" w14:textId="4B30FCD3" w:rsidR="00EB62A1" w:rsidRDefault="00D0306A" w:rsidP="000A075F">
            <w:pPr>
              <w:spacing w:after="120"/>
              <w:ind w:left="57" w:right="57"/>
              <w:jc w:val="both"/>
            </w:pPr>
            <w:bookmarkStart w:id="4" w:name="p62"/>
            <w:bookmarkEnd w:id="4"/>
            <w:r>
              <w:t>L</w:t>
            </w:r>
            <w:r w:rsidR="000A075F">
              <w:t>ikumprojekta izstrādes laikā tika organizētas vairākas sanāksmes ar</w:t>
            </w:r>
            <w:r>
              <w:t xml:space="preserve"> </w:t>
            </w:r>
            <w:r w:rsidR="00F07163">
              <w:t xml:space="preserve">praktizējošiem profesionālajiem patentpilnvarniekiem un </w:t>
            </w:r>
            <w:r>
              <w:lastRenderedPageBreak/>
              <w:t>eksperti</w:t>
            </w:r>
            <w:r w:rsidR="000A075F">
              <w:t>em</w:t>
            </w:r>
            <w:r>
              <w:t xml:space="preserve"> no biedrības </w:t>
            </w:r>
            <w:r w:rsidR="000E59E8">
              <w:t>"</w:t>
            </w:r>
            <w:r>
              <w:t>Latvijas Profesionālo patentpilnvarnieku asociācija</w:t>
            </w:r>
            <w:r w:rsidR="000E59E8">
              <w:t>"</w:t>
            </w:r>
            <w:r w:rsidR="00F07163">
              <w:t>.</w:t>
            </w:r>
          </w:p>
        </w:tc>
      </w:tr>
      <w:tr w:rsidR="00B10543" w14:paraId="2F2C4619" w14:textId="77777777" w:rsidTr="005E1B93">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7C251D02" w14:textId="77777777" w:rsidR="00B10543" w:rsidRDefault="00B10543">
            <w:pPr>
              <w:ind w:left="57" w:right="57"/>
              <w:jc w:val="both"/>
              <w:rPr>
                <w:bCs/>
              </w:rPr>
            </w:pPr>
            <w:r>
              <w:rPr>
                <w:bCs/>
              </w:rPr>
              <w:lastRenderedPageBreak/>
              <w:t>3.</w:t>
            </w:r>
          </w:p>
        </w:tc>
        <w:tc>
          <w:tcPr>
            <w:tcW w:w="2270" w:type="dxa"/>
            <w:tcBorders>
              <w:top w:val="single" w:sz="4" w:space="0" w:color="auto"/>
              <w:left w:val="single" w:sz="4" w:space="0" w:color="auto"/>
              <w:bottom w:val="single" w:sz="4" w:space="0" w:color="auto"/>
              <w:right w:val="single" w:sz="4" w:space="0" w:color="auto"/>
            </w:tcBorders>
            <w:hideMark/>
          </w:tcPr>
          <w:p w14:paraId="36D6DD0C" w14:textId="77777777" w:rsidR="00B10543" w:rsidRDefault="00B10543">
            <w:pPr>
              <w:ind w:left="57" w:right="57"/>
            </w:pPr>
            <w:r>
              <w:t>Sabiedrības līdzdalības rezultāti</w:t>
            </w:r>
          </w:p>
        </w:tc>
        <w:tc>
          <w:tcPr>
            <w:tcW w:w="6554" w:type="dxa"/>
            <w:tcBorders>
              <w:top w:val="single" w:sz="4" w:space="0" w:color="auto"/>
              <w:left w:val="single" w:sz="4" w:space="0" w:color="auto"/>
              <w:bottom w:val="single" w:sz="4" w:space="0" w:color="auto"/>
              <w:right w:val="single" w:sz="4" w:space="0" w:color="auto"/>
            </w:tcBorders>
            <w:hideMark/>
          </w:tcPr>
          <w:p w14:paraId="6BEAF0FF" w14:textId="3D9464EA" w:rsidR="00B10543" w:rsidRDefault="00F07163">
            <w:pPr>
              <w:shd w:val="clear" w:color="auto" w:fill="FFFFFF"/>
              <w:ind w:left="57" w:right="57"/>
              <w:jc w:val="both"/>
            </w:pPr>
            <w:r>
              <w:t>Biedrība "Latvijas Profesionālo patentpilnvarnieku asociācija" atbalsta izstrādāto likumprojektu.</w:t>
            </w:r>
          </w:p>
        </w:tc>
      </w:tr>
      <w:tr w:rsidR="00B10543" w14:paraId="255DC162" w14:textId="77777777" w:rsidTr="005E1B93">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5089F071" w14:textId="77777777" w:rsidR="00B10543" w:rsidRDefault="00B10543">
            <w:pPr>
              <w:ind w:left="57" w:right="57"/>
              <w:jc w:val="both"/>
              <w:rPr>
                <w:bCs/>
              </w:rPr>
            </w:pPr>
            <w:r>
              <w:rPr>
                <w:bCs/>
              </w:rPr>
              <w:t>4.</w:t>
            </w:r>
          </w:p>
        </w:tc>
        <w:tc>
          <w:tcPr>
            <w:tcW w:w="2270" w:type="dxa"/>
            <w:tcBorders>
              <w:top w:val="single" w:sz="4" w:space="0" w:color="auto"/>
              <w:left w:val="single" w:sz="4" w:space="0" w:color="auto"/>
              <w:bottom w:val="single" w:sz="4" w:space="0" w:color="auto"/>
              <w:right w:val="single" w:sz="4" w:space="0" w:color="auto"/>
            </w:tcBorders>
            <w:hideMark/>
          </w:tcPr>
          <w:p w14:paraId="56DA0434" w14:textId="77777777" w:rsidR="00B10543" w:rsidRDefault="00B10543">
            <w:pPr>
              <w:ind w:left="57" w:right="57"/>
            </w:pPr>
            <w:r>
              <w:t>Cita informācija</w:t>
            </w:r>
          </w:p>
        </w:tc>
        <w:tc>
          <w:tcPr>
            <w:tcW w:w="6554" w:type="dxa"/>
            <w:tcBorders>
              <w:top w:val="single" w:sz="4" w:space="0" w:color="auto"/>
              <w:left w:val="single" w:sz="4" w:space="0" w:color="auto"/>
              <w:bottom w:val="single" w:sz="4" w:space="0" w:color="auto"/>
              <w:right w:val="single" w:sz="4" w:space="0" w:color="auto"/>
            </w:tcBorders>
            <w:hideMark/>
          </w:tcPr>
          <w:p w14:paraId="04E020FA" w14:textId="77777777" w:rsidR="00B10543" w:rsidRDefault="00B10543">
            <w:pPr>
              <w:ind w:left="57" w:right="57"/>
              <w:jc w:val="both"/>
            </w:pPr>
            <w:r>
              <w:t>Nav.</w:t>
            </w:r>
          </w:p>
        </w:tc>
      </w:tr>
    </w:tbl>
    <w:tbl>
      <w:tblPr>
        <w:tblpPr w:leftFromText="180" w:rightFromText="180" w:vertAnchor="text"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CC1175" w:rsidRPr="003F71FB" w14:paraId="1B3846F5" w14:textId="77777777" w:rsidTr="004D2D15">
        <w:trPr>
          <w:trHeight w:val="231"/>
        </w:trPr>
        <w:tc>
          <w:tcPr>
            <w:tcW w:w="5000" w:type="pct"/>
            <w:gridSpan w:val="3"/>
            <w:tcBorders>
              <w:top w:val="single" w:sz="4" w:space="0" w:color="auto"/>
            </w:tcBorders>
          </w:tcPr>
          <w:p w14:paraId="12CB458F" w14:textId="77777777" w:rsidR="00CC1175" w:rsidRPr="003F71FB" w:rsidRDefault="00CC1175" w:rsidP="004D2D15">
            <w:pPr>
              <w:pStyle w:val="naisnod"/>
              <w:spacing w:before="0" w:after="0"/>
              <w:ind w:left="57" w:right="57"/>
            </w:pPr>
            <w:r w:rsidRPr="003F71FB">
              <w:t>VII. Tiesību akta projekta izpildes nodrošināšana un tās ietekme uz institūcijām</w:t>
            </w:r>
          </w:p>
        </w:tc>
      </w:tr>
      <w:tr w:rsidR="00CC1175" w:rsidRPr="003F71FB" w14:paraId="49C5D7F1" w14:textId="77777777" w:rsidTr="007D725A">
        <w:trPr>
          <w:trHeight w:val="42"/>
        </w:trPr>
        <w:tc>
          <w:tcPr>
            <w:tcW w:w="245" w:type="pct"/>
          </w:tcPr>
          <w:p w14:paraId="5906EDD5" w14:textId="77777777" w:rsidR="00CC1175" w:rsidRPr="003F71FB" w:rsidRDefault="00CC1175" w:rsidP="004D2D15">
            <w:pPr>
              <w:pStyle w:val="naisnod"/>
              <w:spacing w:before="0" w:after="0"/>
              <w:ind w:left="57" w:right="57"/>
              <w:rPr>
                <w:b w:val="0"/>
              </w:rPr>
            </w:pPr>
            <w:r w:rsidRPr="003F71FB">
              <w:rPr>
                <w:b w:val="0"/>
              </w:rPr>
              <w:t>1.</w:t>
            </w:r>
          </w:p>
        </w:tc>
        <w:tc>
          <w:tcPr>
            <w:tcW w:w="1942" w:type="pct"/>
          </w:tcPr>
          <w:p w14:paraId="79DEF37F" w14:textId="77777777" w:rsidR="00CC1175" w:rsidRPr="003F71FB" w:rsidRDefault="00CC1175" w:rsidP="004D2D15">
            <w:pPr>
              <w:pStyle w:val="naisf"/>
              <w:spacing w:before="0" w:after="0"/>
              <w:ind w:firstLine="0"/>
              <w:jc w:val="left"/>
            </w:pPr>
            <w:r w:rsidRPr="003F71FB">
              <w:t xml:space="preserve">Projekta izpildē iesaistītās institūcijas </w:t>
            </w:r>
          </w:p>
        </w:tc>
        <w:tc>
          <w:tcPr>
            <w:tcW w:w="2813" w:type="pct"/>
          </w:tcPr>
          <w:p w14:paraId="79303749" w14:textId="0FCA99C5" w:rsidR="00CC1175" w:rsidRPr="001D63EE" w:rsidRDefault="009B3B77" w:rsidP="009B3B77">
            <w:pPr>
              <w:pStyle w:val="naisnod"/>
              <w:spacing w:before="0" w:after="0"/>
              <w:jc w:val="both"/>
              <w:rPr>
                <w:b w:val="0"/>
              </w:rPr>
            </w:pPr>
            <w:r>
              <w:rPr>
                <w:b w:val="0"/>
                <w:color w:val="000000"/>
              </w:rPr>
              <w:t>Valsts policija</w:t>
            </w:r>
            <w:r w:rsidR="001D63EE" w:rsidRPr="001D63EE">
              <w:rPr>
                <w:b w:val="0"/>
                <w:color w:val="000000"/>
              </w:rPr>
              <w:t>.</w:t>
            </w:r>
          </w:p>
        </w:tc>
      </w:tr>
      <w:tr w:rsidR="00CC1175" w:rsidRPr="003F71FB" w14:paraId="0B55070A" w14:textId="77777777" w:rsidTr="007D725A">
        <w:trPr>
          <w:trHeight w:val="373"/>
        </w:trPr>
        <w:tc>
          <w:tcPr>
            <w:tcW w:w="245" w:type="pct"/>
          </w:tcPr>
          <w:p w14:paraId="45FA0C19" w14:textId="77777777" w:rsidR="00CC1175" w:rsidRPr="003F71FB" w:rsidRDefault="00CC1175" w:rsidP="004D2D15">
            <w:pPr>
              <w:pStyle w:val="naisnod"/>
              <w:spacing w:before="0" w:after="0"/>
              <w:ind w:left="57" w:right="57"/>
              <w:rPr>
                <w:b w:val="0"/>
              </w:rPr>
            </w:pPr>
            <w:r w:rsidRPr="003F71FB">
              <w:rPr>
                <w:b w:val="0"/>
              </w:rPr>
              <w:t>2.</w:t>
            </w:r>
          </w:p>
        </w:tc>
        <w:tc>
          <w:tcPr>
            <w:tcW w:w="1942" w:type="pct"/>
          </w:tcPr>
          <w:p w14:paraId="24AEE2DE" w14:textId="77777777" w:rsidR="00CC1175" w:rsidRPr="003F71FB" w:rsidRDefault="00CC1175" w:rsidP="004D2D15">
            <w:r w:rsidRPr="003F71FB">
              <w:t xml:space="preserve">Projekta izpildes ietekme uz pārvaldes funkcijām un institucionālo struktūru. </w:t>
            </w:r>
          </w:p>
          <w:p w14:paraId="64421292" w14:textId="77777777" w:rsidR="00CC1175" w:rsidRPr="003F71FB" w:rsidRDefault="00CC1175" w:rsidP="004D2D15"/>
          <w:p w14:paraId="55CF6685" w14:textId="77777777" w:rsidR="00CC1175" w:rsidRPr="003F71FB" w:rsidRDefault="00CC1175" w:rsidP="004D2D15">
            <w:pPr>
              <w:pStyle w:val="naisf"/>
              <w:spacing w:before="0" w:after="0"/>
              <w:ind w:firstLine="0"/>
              <w:jc w:val="left"/>
            </w:pPr>
            <w:r w:rsidRPr="003F71FB">
              <w:t>Jaunu institūciju izveide, esošu institūciju likvidācija vai reorganizācija, to ietekme uz institūcijas cilvēkresursiem</w:t>
            </w:r>
          </w:p>
        </w:tc>
        <w:tc>
          <w:tcPr>
            <w:tcW w:w="2813" w:type="pct"/>
          </w:tcPr>
          <w:p w14:paraId="109CE359" w14:textId="77777777" w:rsidR="00CC1175" w:rsidRDefault="00C843FB" w:rsidP="004D2D15">
            <w:pPr>
              <w:jc w:val="both"/>
            </w:pPr>
            <w:r>
              <w:t>Likump</w:t>
            </w:r>
            <w:r w:rsidR="00CC1175" w:rsidRPr="003F71FB">
              <w:t>rojekta izpilde neietekmēs pārvaldes funkcijas vai institucionālo struktūru.</w:t>
            </w:r>
          </w:p>
          <w:p w14:paraId="6DCA7770" w14:textId="050597C2" w:rsidR="00596358" w:rsidRPr="00F07163" w:rsidRDefault="00596358" w:rsidP="00F07163">
            <w:pPr>
              <w:jc w:val="both"/>
            </w:pPr>
            <w:r>
              <w:t xml:space="preserve">Vienlaikus, </w:t>
            </w:r>
            <w:r w:rsidR="001D0FD2">
              <w:t xml:space="preserve">ņemot vērā to, ka līdz šim </w:t>
            </w:r>
            <w:r w:rsidRPr="00596358">
              <w:rPr>
                <w:rFonts w:eastAsia="Calibri"/>
                <w:color w:val="000000"/>
                <w:lang w:eastAsia="en-US"/>
              </w:rPr>
              <w:t>lēmumu p</w:t>
            </w:r>
            <w:r w:rsidR="001D0FD2">
              <w:rPr>
                <w:rFonts w:eastAsia="Calibri"/>
                <w:color w:val="000000"/>
                <w:lang w:eastAsia="en-US"/>
              </w:rPr>
              <w:t>ar</w:t>
            </w:r>
            <w:r w:rsidR="00F07163">
              <w:rPr>
                <w:rFonts w:eastAsia="Calibri"/>
                <w:color w:val="000000"/>
                <w:lang w:eastAsia="en-US"/>
              </w:rPr>
              <w:t xml:space="preserve"> </w:t>
            </w:r>
            <w:r w:rsidR="00F07163" w:rsidRPr="0096793C">
              <w:t>LAPK 166.</w:t>
            </w:r>
            <w:r w:rsidR="00F07163" w:rsidRPr="0096793C">
              <w:rPr>
                <w:vertAlign w:val="superscript"/>
              </w:rPr>
              <w:t>17</w:t>
            </w:r>
            <w:r w:rsidR="00F07163" w:rsidRPr="0096793C">
              <w:t xml:space="preserve"> pantā </w:t>
            </w:r>
            <w:r w:rsidR="00F07163">
              <w:t xml:space="preserve">paredzēto pārkāpumu </w:t>
            </w:r>
            <w:r w:rsidR="00F07163" w:rsidRPr="0096793C">
              <w:t>par preču zīmes, citas atšķirības zīmes un dizai</w:t>
            </w:r>
            <w:r w:rsidR="00F07163">
              <w:t xml:space="preserve">nparauga nelikumīgu izmantošanu </w:t>
            </w:r>
            <w:r w:rsidR="001D0FD2">
              <w:rPr>
                <w:rFonts w:eastAsia="Calibri"/>
                <w:color w:val="000000"/>
                <w:lang w:eastAsia="en-US"/>
              </w:rPr>
              <w:t>pieņē</w:t>
            </w:r>
            <w:r w:rsidRPr="00596358">
              <w:rPr>
                <w:rFonts w:eastAsia="Calibri"/>
                <w:color w:val="000000"/>
                <w:lang w:eastAsia="en-US"/>
              </w:rPr>
              <w:t>m</w:t>
            </w:r>
            <w:r w:rsidR="001D0FD2">
              <w:rPr>
                <w:rFonts w:eastAsia="Calibri"/>
                <w:color w:val="000000"/>
                <w:lang w:eastAsia="en-US"/>
              </w:rPr>
              <w:t>a</w:t>
            </w:r>
            <w:r w:rsidRPr="00596358">
              <w:rPr>
                <w:rFonts w:eastAsia="Calibri"/>
                <w:color w:val="000000"/>
                <w:lang w:eastAsia="en-US"/>
              </w:rPr>
              <w:t xml:space="preserve"> rajona (pilsētas) tiesa</w:t>
            </w:r>
            <w:r w:rsidR="001D0FD2">
              <w:rPr>
                <w:rFonts w:eastAsia="Calibri"/>
                <w:color w:val="000000"/>
                <w:lang w:eastAsia="en-US"/>
              </w:rPr>
              <w:t>s</w:t>
            </w:r>
            <w:r w:rsidRPr="00596358">
              <w:rPr>
                <w:rFonts w:eastAsia="Calibri"/>
                <w:color w:val="000000"/>
                <w:lang w:eastAsia="en-US"/>
              </w:rPr>
              <w:t>, pildot k</w:t>
            </w:r>
            <w:r w:rsidR="001D0FD2">
              <w:rPr>
                <w:rFonts w:eastAsia="Calibri"/>
                <w:color w:val="000000"/>
                <w:lang w:eastAsia="en-US"/>
              </w:rPr>
              <w:t xml:space="preserve">ontrolējošās iestādes funkcijas, sagaidāms, ka </w:t>
            </w:r>
            <w:r w:rsidRPr="00596358">
              <w:rPr>
                <w:rFonts w:eastAsia="Calibri"/>
                <w:color w:val="000000"/>
                <w:lang w:eastAsia="en-US"/>
              </w:rPr>
              <w:t>samazinā</w:t>
            </w:r>
            <w:r w:rsidR="001D0FD2">
              <w:rPr>
                <w:rFonts w:eastAsia="Calibri"/>
                <w:color w:val="000000"/>
                <w:lang w:eastAsia="en-US"/>
              </w:rPr>
              <w:t>sie</w:t>
            </w:r>
            <w:r w:rsidRPr="00596358">
              <w:rPr>
                <w:rFonts w:eastAsia="Calibri"/>
                <w:color w:val="000000"/>
                <w:lang w:eastAsia="en-US"/>
              </w:rPr>
              <w:t>s rajona (pilsētas) tiesā izskatāmo administratīvo pārkāpumu lietu skaits, jo tiesā tādā gadījumā nonāktu tikai tās lietas, kas tiktu pārsūdzētas</w:t>
            </w:r>
            <w:r w:rsidR="00F07163">
              <w:rPr>
                <w:rFonts w:eastAsia="Calibri"/>
                <w:color w:val="000000"/>
                <w:lang w:eastAsia="en-US"/>
              </w:rPr>
              <w:t xml:space="preserve">, savukārt Valsts policijas cilvēkresursi netiks ietekmēti, jo iestāde turpinās konstatēt pārkāpumus par </w:t>
            </w:r>
            <w:r w:rsidR="00F07163" w:rsidRPr="0096793C">
              <w:t>dizai</w:t>
            </w:r>
            <w:r w:rsidR="00F07163">
              <w:t>nparauga nelikumīgu izmantošanu un piemēros par to administratīvo atbildību.</w:t>
            </w:r>
          </w:p>
        </w:tc>
      </w:tr>
      <w:tr w:rsidR="00CC1175" w:rsidRPr="003F71FB" w14:paraId="7D7CDD9C" w14:textId="77777777" w:rsidTr="007D725A">
        <w:trPr>
          <w:trHeight w:val="201"/>
        </w:trPr>
        <w:tc>
          <w:tcPr>
            <w:tcW w:w="245" w:type="pct"/>
          </w:tcPr>
          <w:p w14:paraId="57FBCE24" w14:textId="77777777" w:rsidR="00CC1175" w:rsidRPr="003F71FB" w:rsidRDefault="00CC1175" w:rsidP="004D2D15">
            <w:pPr>
              <w:pStyle w:val="naiskr"/>
              <w:spacing w:before="0" w:after="0"/>
              <w:ind w:left="57" w:right="57"/>
              <w:jc w:val="center"/>
            </w:pPr>
            <w:r w:rsidRPr="003F71FB">
              <w:t>3.</w:t>
            </w:r>
          </w:p>
        </w:tc>
        <w:tc>
          <w:tcPr>
            <w:tcW w:w="1942" w:type="pct"/>
          </w:tcPr>
          <w:p w14:paraId="72202E2A" w14:textId="77777777" w:rsidR="00CC1175" w:rsidRPr="003F71FB" w:rsidRDefault="00CC1175" w:rsidP="004D2D15">
            <w:pPr>
              <w:pStyle w:val="naiskr"/>
              <w:spacing w:before="0" w:after="0"/>
            </w:pPr>
            <w:r w:rsidRPr="003F71FB">
              <w:t>Cita informācija</w:t>
            </w:r>
          </w:p>
        </w:tc>
        <w:tc>
          <w:tcPr>
            <w:tcW w:w="2813" w:type="pct"/>
          </w:tcPr>
          <w:p w14:paraId="57980176" w14:textId="77777777" w:rsidR="00CC1175" w:rsidRPr="003F71FB" w:rsidRDefault="00B317F2" w:rsidP="004D2D15">
            <w:pPr>
              <w:jc w:val="both"/>
            </w:pPr>
            <w:r w:rsidRPr="003F71FB">
              <w:t>Nav.</w:t>
            </w:r>
          </w:p>
        </w:tc>
      </w:tr>
    </w:tbl>
    <w:p w14:paraId="3A4EB065" w14:textId="46B32932" w:rsidR="00D0306A" w:rsidRDefault="00D0306A" w:rsidP="00E216A1">
      <w:pPr>
        <w:pStyle w:val="tvhtml"/>
        <w:spacing w:before="0" w:beforeAutospacing="0" w:after="0" w:afterAutospacing="0"/>
      </w:pPr>
    </w:p>
    <w:p w14:paraId="491609FA" w14:textId="77777777" w:rsidR="00E446B1" w:rsidRPr="003F71FB" w:rsidRDefault="00E446B1" w:rsidP="00BA5EB9">
      <w:pPr>
        <w:pStyle w:val="StyleRight"/>
        <w:spacing w:after="0"/>
        <w:ind w:firstLine="0"/>
        <w:jc w:val="both"/>
        <w:rPr>
          <w:sz w:val="24"/>
          <w:szCs w:val="24"/>
        </w:rPr>
      </w:pPr>
    </w:p>
    <w:p w14:paraId="6D89A28B" w14:textId="77777777" w:rsidR="00BA5EB9" w:rsidRPr="003F71FB" w:rsidRDefault="00BA5EB9" w:rsidP="00BA5EB9">
      <w:pPr>
        <w:pStyle w:val="StyleRight"/>
        <w:spacing w:after="0"/>
        <w:ind w:firstLine="0"/>
        <w:jc w:val="both"/>
        <w:rPr>
          <w:sz w:val="24"/>
          <w:szCs w:val="24"/>
        </w:rPr>
      </w:pPr>
      <w:r w:rsidRPr="003F71FB">
        <w:rPr>
          <w:sz w:val="24"/>
          <w:szCs w:val="24"/>
        </w:rPr>
        <w:t>Iesniedzējs:</w:t>
      </w:r>
    </w:p>
    <w:p w14:paraId="542DAFD2" w14:textId="213B7BC0" w:rsidR="00BA5EB9" w:rsidRPr="003F71FB" w:rsidRDefault="003D7FBD" w:rsidP="00BA5EB9">
      <w:pPr>
        <w:pStyle w:val="StyleRight"/>
        <w:spacing w:after="0"/>
        <w:ind w:firstLine="0"/>
        <w:jc w:val="both"/>
        <w:rPr>
          <w:sz w:val="24"/>
          <w:szCs w:val="24"/>
        </w:rPr>
      </w:pPr>
      <w:r>
        <w:rPr>
          <w:sz w:val="24"/>
          <w:szCs w:val="24"/>
        </w:rPr>
        <w:t>Tieslietu ministrijas valsts sekretārs</w:t>
      </w:r>
      <w:r w:rsidR="007B4C01">
        <w:rPr>
          <w:sz w:val="24"/>
          <w:szCs w:val="24"/>
        </w:rPr>
        <w:tab/>
      </w:r>
      <w:r w:rsidR="007B4C01">
        <w:rPr>
          <w:sz w:val="24"/>
          <w:szCs w:val="24"/>
        </w:rPr>
        <w:tab/>
      </w:r>
      <w:r w:rsidR="007B4C01">
        <w:rPr>
          <w:sz w:val="24"/>
          <w:szCs w:val="24"/>
        </w:rPr>
        <w:tab/>
      </w:r>
      <w:r w:rsidR="007B4C01">
        <w:rPr>
          <w:sz w:val="24"/>
          <w:szCs w:val="24"/>
        </w:rPr>
        <w:tab/>
      </w:r>
      <w:r w:rsidR="00BF7F45">
        <w:rPr>
          <w:sz w:val="24"/>
          <w:szCs w:val="24"/>
        </w:rPr>
        <w:tab/>
      </w:r>
      <w:r w:rsidR="007B4C01">
        <w:rPr>
          <w:sz w:val="24"/>
          <w:szCs w:val="24"/>
        </w:rPr>
        <w:tab/>
      </w:r>
      <w:r>
        <w:rPr>
          <w:sz w:val="24"/>
          <w:szCs w:val="24"/>
        </w:rPr>
        <w:t>Raivi</w:t>
      </w:r>
      <w:r w:rsidR="00831F0E">
        <w:rPr>
          <w:sz w:val="24"/>
          <w:szCs w:val="24"/>
        </w:rPr>
        <w:t>s</w:t>
      </w:r>
      <w:r>
        <w:rPr>
          <w:sz w:val="24"/>
          <w:szCs w:val="24"/>
        </w:rPr>
        <w:t xml:space="preserve"> Kronbergs</w:t>
      </w:r>
    </w:p>
    <w:p w14:paraId="77BEF8E8" w14:textId="77777777" w:rsidR="00287058" w:rsidRDefault="00287058" w:rsidP="00F07163">
      <w:pPr>
        <w:pStyle w:val="naisf"/>
        <w:tabs>
          <w:tab w:val="left" w:pos="6804"/>
        </w:tabs>
        <w:spacing w:before="0" w:after="0"/>
        <w:ind w:firstLine="0"/>
        <w:rPr>
          <w:sz w:val="20"/>
          <w:szCs w:val="20"/>
        </w:rPr>
      </w:pPr>
    </w:p>
    <w:p w14:paraId="745FD284" w14:textId="77777777" w:rsidR="003B39E7" w:rsidRPr="003F71FB" w:rsidRDefault="003B39E7" w:rsidP="00B10543">
      <w:pPr>
        <w:pStyle w:val="naisf"/>
        <w:tabs>
          <w:tab w:val="left" w:pos="6804"/>
        </w:tabs>
        <w:spacing w:before="0" w:after="0"/>
        <w:ind w:firstLine="0"/>
        <w:rPr>
          <w:sz w:val="20"/>
          <w:szCs w:val="20"/>
        </w:rPr>
      </w:pPr>
    </w:p>
    <w:p w14:paraId="251C5A27" w14:textId="6C1DC4DC" w:rsidR="003D7FBD" w:rsidRPr="00F07163" w:rsidRDefault="008D6FA3" w:rsidP="00A83488">
      <w:r w:rsidRPr="00F07163">
        <w:t>Mantiņa 67036739</w:t>
      </w:r>
    </w:p>
    <w:p w14:paraId="4BBB602F" w14:textId="5EE558B5" w:rsidR="00823BAC" w:rsidRPr="00F07163" w:rsidRDefault="008D6FA3" w:rsidP="00A83488">
      <w:r w:rsidRPr="00F07163">
        <w:t>Luize.Mantina@tm.gov.lv</w:t>
      </w:r>
    </w:p>
    <w:sectPr w:rsidR="00823BAC" w:rsidRPr="00F07163" w:rsidSect="003D7FBD">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FC99" w14:textId="77777777" w:rsidR="00821EEC" w:rsidRDefault="00821EEC">
      <w:r>
        <w:separator/>
      </w:r>
    </w:p>
  </w:endnote>
  <w:endnote w:type="continuationSeparator" w:id="0">
    <w:p w14:paraId="78AAF613" w14:textId="77777777" w:rsidR="00821EEC" w:rsidRDefault="0082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302" w14:textId="19EFC3FB" w:rsidR="00810704" w:rsidRPr="0036795F" w:rsidRDefault="005C30B9" w:rsidP="0036795F">
    <w:pPr>
      <w:jc w:val="both"/>
      <w:rPr>
        <w:sz w:val="20"/>
        <w:szCs w:val="20"/>
      </w:rPr>
    </w:pPr>
    <w:r w:rsidRPr="005C30B9">
      <w:rPr>
        <w:color w:val="000000"/>
        <w:sz w:val="20"/>
        <w:szCs w:val="20"/>
      </w:rPr>
      <w:t>TM</w:t>
    </w:r>
    <w:r w:rsidR="003D7FBD">
      <w:rPr>
        <w:color w:val="000000"/>
        <w:sz w:val="20"/>
        <w:szCs w:val="20"/>
      </w:rPr>
      <w:t>a</w:t>
    </w:r>
    <w:r w:rsidRPr="005C30B9">
      <w:rPr>
        <w:color w:val="000000"/>
        <w:sz w:val="20"/>
        <w:szCs w:val="20"/>
      </w:rPr>
      <w:t>not_</w:t>
    </w:r>
    <w:r w:rsidR="003D7FBD">
      <w:rPr>
        <w:color w:val="000000"/>
        <w:sz w:val="20"/>
        <w:szCs w:val="20"/>
      </w:rPr>
      <w:t>08</w:t>
    </w:r>
    <w:r w:rsidRPr="005C30B9">
      <w:rPr>
        <w:color w:val="000000"/>
        <w:sz w:val="20"/>
        <w:szCs w:val="20"/>
      </w:rPr>
      <w:t>0517_DZ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437F" w14:textId="76475E2B" w:rsidR="00810704" w:rsidRPr="009B3B77" w:rsidRDefault="005C30B9" w:rsidP="009B3B77">
    <w:pPr>
      <w:jc w:val="both"/>
      <w:rPr>
        <w:sz w:val="20"/>
        <w:szCs w:val="20"/>
      </w:rPr>
    </w:pPr>
    <w:r w:rsidRPr="005C30B9">
      <w:rPr>
        <w:color w:val="000000"/>
        <w:sz w:val="20"/>
        <w:szCs w:val="20"/>
      </w:rPr>
      <w:t>TM</w:t>
    </w:r>
    <w:r w:rsidR="003D7FBD">
      <w:rPr>
        <w:color w:val="000000"/>
        <w:sz w:val="20"/>
        <w:szCs w:val="20"/>
      </w:rPr>
      <w:t>a</w:t>
    </w:r>
    <w:r w:rsidRPr="005C30B9">
      <w:rPr>
        <w:color w:val="000000"/>
        <w:sz w:val="20"/>
        <w:szCs w:val="20"/>
      </w:rPr>
      <w:t>not_</w:t>
    </w:r>
    <w:r w:rsidR="003D7FBD">
      <w:rPr>
        <w:color w:val="000000"/>
        <w:sz w:val="20"/>
        <w:szCs w:val="20"/>
      </w:rPr>
      <w:t>08</w:t>
    </w:r>
    <w:r w:rsidRPr="005C30B9">
      <w:rPr>
        <w:color w:val="000000"/>
        <w:sz w:val="20"/>
        <w:szCs w:val="20"/>
      </w:rPr>
      <w:t>0517_DZ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00D0" w14:textId="77777777" w:rsidR="00821EEC" w:rsidRDefault="00821EEC">
      <w:r>
        <w:separator/>
      </w:r>
    </w:p>
  </w:footnote>
  <w:footnote w:type="continuationSeparator" w:id="0">
    <w:p w14:paraId="6560BB25" w14:textId="77777777" w:rsidR="00821EEC" w:rsidRDefault="0082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F5B8" w14:textId="77777777" w:rsidR="00810704" w:rsidRDefault="008D6FA3" w:rsidP="003C449B">
    <w:pPr>
      <w:pStyle w:val="Galvene"/>
      <w:framePr w:wrap="around" w:vAnchor="text" w:hAnchor="margin" w:xAlign="center" w:y="1"/>
      <w:rPr>
        <w:rStyle w:val="Lappusesnumurs"/>
      </w:rPr>
    </w:pPr>
    <w:r>
      <w:rPr>
        <w:rStyle w:val="Lappusesnumurs"/>
      </w:rPr>
      <w:fldChar w:fldCharType="begin"/>
    </w:r>
    <w:r w:rsidR="00810704">
      <w:rPr>
        <w:rStyle w:val="Lappusesnumurs"/>
      </w:rPr>
      <w:instrText xml:space="preserve">PAGE  </w:instrText>
    </w:r>
    <w:r>
      <w:rPr>
        <w:rStyle w:val="Lappusesnumurs"/>
      </w:rPr>
      <w:fldChar w:fldCharType="end"/>
    </w:r>
  </w:p>
  <w:p w14:paraId="1C7F5D93" w14:textId="77777777" w:rsidR="00810704" w:rsidRDefault="0081070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EFC8" w14:textId="04B22E33" w:rsidR="00810704" w:rsidRDefault="008D6FA3" w:rsidP="003C449B">
    <w:pPr>
      <w:pStyle w:val="Galvene"/>
      <w:framePr w:wrap="around" w:vAnchor="text" w:hAnchor="margin" w:xAlign="center" w:y="1"/>
      <w:rPr>
        <w:rStyle w:val="Lappusesnumurs"/>
      </w:rPr>
    </w:pPr>
    <w:r>
      <w:rPr>
        <w:rStyle w:val="Lappusesnumurs"/>
      </w:rPr>
      <w:fldChar w:fldCharType="begin"/>
    </w:r>
    <w:r w:rsidR="00810704">
      <w:rPr>
        <w:rStyle w:val="Lappusesnumurs"/>
      </w:rPr>
      <w:instrText xml:space="preserve">PAGE  </w:instrText>
    </w:r>
    <w:r>
      <w:rPr>
        <w:rStyle w:val="Lappusesnumurs"/>
      </w:rPr>
      <w:fldChar w:fldCharType="separate"/>
    </w:r>
    <w:r w:rsidR="004E5B45">
      <w:rPr>
        <w:rStyle w:val="Lappusesnumurs"/>
        <w:noProof/>
      </w:rPr>
      <w:t>4</w:t>
    </w:r>
    <w:r>
      <w:rPr>
        <w:rStyle w:val="Lappusesnumurs"/>
      </w:rPr>
      <w:fldChar w:fldCharType="end"/>
    </w:r>
  </w:p>
  <w:p w14:paraId="4880BC6C" w14:textId="77777777" w:rsidR="00810704" w:rsidRPr="00DC444E" w:rsidRDefault="00810704"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6"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4"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38"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3"/>
  </w:num>
  <w:num w:numId="2">
    <w:abstractNumId w:val="30"/>
  </w:num>
  <w:num w:numId="3">
    <w:abstractNumId w:val="10"/>
  </w:num>
  <w:num w:numId="4">
    <w:abstractNumId w:val="6"/>
  </w:num>
  <w:num w:numId="5">
    <w:abstractNumId w:val="2"/>
  </w:num>
  <w:num w:numId="6">
    <w:abstractNumId w:val="25"/>
  </w:num>
  <w:num w:numId="7">
    <w:abstractNumId w:val="32"/>
  </w:num>
  <w:num w:numId="8">
    <w:abstractNumId w:val="17"/>
  </w:num>
  <w:num w:numId="9">
    <w:abstractNumId w:val="7"/>
  </w:num>
  <w:num w:numId="10">
    <w:abstractNumId w:val="18"/>
  </w:num>
  <w:num w:numId="11">
    <w:abstractNumId w:val="20"/>
  </w:num>
  <w:num w:numId="12">
    <w:abstractNumId w:val="27"/>
  </w:num>
  <w:num w:numId="13">
    <w:abstractNumId w:val="29"/>
  </w:num>
  <w:num w:numId="14">
    <w:abstractNumId w:val="38"/>
  </w:num>
  <w:num w:numId="15">
    <w:abstractNumId w:val="8"/>
  </w:num>
  <w:num w:numId="16">
    <w:abstractNumId w:val="15"/>
  </w:num>
  <w:num w:numId="17">
    <w:abstractNumId w:val="1"/>
  </w:num>
  <w:num w:numId="18">
    <w:abstractNumId w:val="12"/>
  </w:num>
  <w:num w:numId="19">
    <w:abstractNumId w:val="33"/>
  </w:num>
  <w:num w:numId="20">
    <w:abstractNumId w:val="9"/>
  </w:num>
  <w:num w:numId="21">
    <w:abstractNumId w:val="16"/>
  </w:num>
  <w:num w:numId="22">
    <w:abstractNumId w:val="26"/>
  </w:num>
  <w:num w:numId="23">
    <w:abstractNumId w:val="11"/>
  </w:num>
  <w:num w:numId="24">
    <w:abstractNumId w:val="21"/>
  </w:num>
  <w:num w:numId="25">
    <w:abstractNumId w:val="28"/>
  </w:num>
  <w:num w:numId="26">
    <w:abstractNumId w:val="35"/>
  </w:num>
  <w:num w:numId="27">
    <w:abstractNumId w:val="3"/>
  </w:num>
  <w:num w:numId="28">
    <w:abstractNumId w:val="14"/>
  </w:num>
  <w:num w:numId="29">
    <w:abstractNumId w:val="5"/>
  </w:num>
  <w:num w:numId="30">
    <w:abstractNumId w:val="24"/>
  </w:num>
  <w:num w:numId="31">
    <w:abstractNumId w:val="19"/>
  </w:num>
  <w:num w:numId="32">
    <w:abstractNumId w:val="4"/>
  </w:num>
  <w:num w:numId="33">
    <w:abstractNumId w:val="34"/>
  </w:num>
  <w:num w:numId="34">
    <w:abstractNumId w:val="23"/>
  </w:num>
  <w:num w:numId="35">
    <w:abstractNumId w:val="36"/>
  </w:num>
  <w:num w:numId="36">
    <w:abstractNumId w:val="31"/>
  </w:num>
  <w:num w:numId="37">
    <w:abstractNumId w:val="0"/>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4B39"/>
    <w:rsid w:val="000453FA"/>
    <w:rsid w:val="00047B81"/>
    <w:rsid w:val="00047D4D"/>
    <w:rsid w:val="00052210"/>
    <w:rsid w:val="000524AA"/>
    <w:rsid w:val="00054D80"/>
    <w:rsid w:val="0005553B"/>
    <w:rsid w:val="00057062"/>
    <w:rsid w:val="000604D2"/>
    <w:rsid w:val="00063BE2"/>
    <w:rsid w:val="00064FAF"/>
    <w:rsid w:val="0006550E"/>
    <w:rsid w:val="00065979"/>
    <w:rsid w:val="0006710B"/>
    <w:rsid w:val="0006736D"/>
    <w:rsid w:val="00070C1D"/>
    <w:rsid w:val="00072781"/>
    <w:rsid w:val="00072A2A"/>
    <w:rsid w:val="00072E85"/>
    <w:rsid w:val="0007404F"/>
    <w:rsid w:val="00081403"/>
    <w:rsid w:val="00084880"/>
    <w:rsid w:val="000848A1"/>
    <w:rsid w:val="00084ED2"/>
    <w:rsid w:val="0009005E"/>
    <w:rsid w:val="00090F27"/>
    <w:rsid w:val="0009189E"/>
    <w:rsid w:val="00093162"/>
    <w:rsid w:val="000941C5"/>
    <w:rsid w:val="00094466"/>
    <w:rsid w:val="000947D6"/>
    <w:rsid w:val="00094B78"/>
    <w:rsid w:val="00094FB6"/>
    <w:rsid w:val="000A04D2"/>
    <w:rsid w:val="000A075F"/>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C14"/>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59E8"/>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140C8"/>
    <w:rsid w:val="001146B9"/>
    <w:rsid w:val="001151EE"/>
    <w:rsid w:val="0011729F"/>
    <w:rsid w:val="00120D4B"/>
    <w:rsid w:val="001213DD"/>
    <w:rsid w:val="00121665"/>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3788"/>
    <w:rsid w:val="00193801"/>
    <w:rsid w:val="001A1354"/>
    <w:rsid w:val="001A3367"/>
    <w:rsid w:val="001A4066"/>
    <w:rsid w:val="001A4321"/>
    <w:rsid w:val="001A4581"/>
    <w:rsid w:val="001A4FD0"/>
    <w:rsid w:val="001A517E"/>
    <w:rsid w:val="001A5975"/>
    <w:rsid w:val="001A5D6B"/>
    <w:rsid w:val="001A60C6"/>
    <w:rsid w:val="001A6AE4"/>
    <w:rsid w:val="001A730B"/>
    <w:rsid w:val="001A7460"/>
    <w:rsid w:val="001B001D"/>
    <w:rsid w:val="001B01FD"/>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0FD2"/>
    <w:rsid w:val="001D1470"/>
    <w:rsid w:val="001D1A4C"/>
    <w:rsid w:val="001D3984"/>
    <w:rsid w:val="001D3D55"/>
    <w:rsid w:val="001D41FA"/>
    <w:rsid w:val="001D50B2"/>
    <w:rsid w:val="001D514B"/>
    <w:rsid w:val="001D5B54"/>
    <w:rsid w:val="001D63EE"/>
    <w:rsid w:val="001D64A6"/>
    <w:rsid w:val="001D672F"/>
    <w:rsid w:val="001D7DE1"/>
    <w:rsid w:val="001E1DBF"/>
    <w:rsid w:val="001E29EF"/>
    <w:rsid w:val="001E2AA3"/>
    <w:rsid w:val="001E3FA7"/>
    <w:rsid w:val="001E4639"/>
    <w:rsid w:val="001E4A7D"/>
    <w:rsid w:val="001E57BA"/>
    <w:rsid w:val="001E598F"/>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64D3"/>
    <w:rsid w:val="00217706"/>
    <w:rsid w:val="00220360"/>
    <w:rsid w:val="002225DB"/>
    <w:rsid w:val="00222D76"/>
    <w:rsid w:val="00223196"/>
    <w:rsid w:val="00223858"/>
    <w:rsid w:val="00223B6F"/>
    <w:rsid w:val="00223BEB"/>
    <w:rsid w:val="00223EB1"/>
    <w:rsid w:val="002246B0"/>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3ACD"/>
    <w:rsid w:val="0025402D"/>
    <w:rsid w:val="00255740"/>
    <w:rsid w:val="0025637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344B"/>
    <w:rsid w:val="00283B82"/>
    <w:rsid w:val="002846E9"/>
    <w:rsid w:val="00284C34"/>
    <w:rsid w:val="00286B25"/>
    <w:rsid w:val="00287058"/>
    <w:rsid w:val="002877DC"/>
    <w:rsid w:val="0029066C"/>
    <w:rsid w:val="00294C7C"/>
    <w:rsid w:val="0029573C"/>
    <w:rsid w:val="00296536"/>
    <w:rsid w:val="00296D69"/>
    <w:rsid w:val="00297248"/>
    <w:rsid w:val="002A1578"/>
    <w:rsid w:val="002A24EA"/>
    <w:rsid w:val="002A2B73"/>
    <w:rsid w:val="002A3250"/>
    <w:rsid w:val="002A3DC7"/>
    <w:rsid w:val="002A5143"/>
    <w:rsid w:val="002A53DB"/>
    <w:rsid w:val="002A5A8D"/>
    <w:rsid w:val="002A7D2C"/>
    <w:rsid w:val="002B01CD"/>
    <w:rsid w:val="002B0BAD"/>
    <w:rsid w:val="002B25AD"/>
    <w:rsid w:val="002B2EC6"/>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498"/>
    <w:rsid w:val="002D48AA"/>
    <w:rsid w:val="002D4FCF"/>
    <w:rsid w:val="002D7AD7"/>
    <w:rsid w:val="002D7BAA"/>
    <w:rsid w:val="002D7F54"/>
    <w:rsid w:val="002E09AB"/>
    <w:rsid w:val="002E13A9"/>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51DD"/>
    <w:rsid w:val="002F5D18"/>
    <w:rsid w:val="002F6D9F"/>
    <w:rsid w:val="002F78C8"/>
    <w:rsid w:val="00300415"/>
    <w:rsid w:val="00300F7E"/>
    <w:rsid w:val="00301CF3"/>
    <w:rsid w:val="003024E0"/>
    <w:rsid w:val="00302743"/>
    <w:rsid w:val="00303EB0"/>
    <w:rsid w:val="00306B00"/>
    <w:rsid w:val="003119E6"/>
    <w:rsid w:val="003124BA"/>
    <w:rsid w:val="00312D7A"/>
    <w:rsid w:val="00314340"/>
    <w:rsid w:val="00315C09"/>
    <w:rsid w:val="00317C87"/>
    <w:rsid w:val="00320F33"/>
    <w:rsid w:val="00322F64"/>
    <w:rsid w:val="00324274"/>
    <w:rsid w:val="00324B3B"/>
    <w:rsid w:val="00326779"/>
    <w:rsid w:val="0032715C"/>
    <w:rsid w:val="00327507"/>
    <w:rsid w:val="00330722"/>
    <w:rsid w:val="00330849"/>
    <w:rsid w:val="00332069"/>
    <w:rsid w:val="003339DD"/>
    <w:rsid w:val="0033411E"/>
    <w:rsid w:val="00337CA5"/>
    <w:rsid w:val="00337FA6"/>
    <w:rsid w:val="00340DE9"/>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6373"/>
    <w:rsid w:val="00366662"/>
    <w:rsid w:val="0036795F"/>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A25"/>
    <w:rsid w:val="003A7F0C"/>
    <w:rsid w:val="003A7F79"/>
    <w:rsid w:val="003B01D2"/>
    <w:rsid w:val="003B09EC"/>
    <w:rsid w:val="003B10BF"/>
    <w:rsid w:val="003B39E7"/>
    <w:rsid w:val="003B3E23"/>
    <w:rsid w:val="003B48FC"/>
    <w:rsid w:val="003B506D"/>
    <w:rsid w:val="003B6251"/>
    <w:rsid w:val="003B6404"/>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D7FBD"/>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7279"/>
    <w:rsid w:val="00410630"/>
    <w:rsid w:val="00411513"/>
    <w:rsid w:val="004164BD"/>
    <w:rsid w:val="0041678F"/>
    <w:rsid w:val="0041749E"/>
    <w:rsid w:val="004178F8"/>
    <w:rsid w:val="00417A61"/>
    <w:rsid w:val="004207DA"/>
    <w:rsid w:val="00420870"/>
    <w:rsid w:val="00420D7E"/>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44AC"/>
    <w:rsid w:val="00445B79"/>
    <w:rsid w:val="0045018F"/>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0C1D"/>
    <w:rsid w:val="00481887"/>
    <w:rsid w:val="00481F92"/>
    <w:rsid w:val="00482FD3"/>
    <w:rsid w:val="004837D7"/>
    <w:rsid w:val="00483DCB"/>
    <w:rsid w:val="00484032"/>
    <w:rsid w:val="00485DE1"/>
    <w:rsid w:val="0049134A"/>
    <w:rsid w:val="00491B59"/>
    <w:rsid w:val="00495440"/>
    <w:rsid w:val="00495603"/>
    <w:rsid w:val="00495F18"/>
    <w:rsid w:val="00496EAD"/>
    <w:rsid w:val="004A0123"/>
    <w:rsid w:val="004A38FE"/>
    <w:rsid w:val="004A58CB"/>
    <w:rsid w:val="004A6728"/>
    <w:rsid w:val="004A680E"/>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11EA"/>
    <w:rsid w:val="004D2128"/>
    <w:rsid w:val="004D2397"/>
    <w:rsid w:val="004D2D15"/>
    <w:rsid w:val="004D3169"/>
    <w:rsid w:val="004D7149"/>
    <w:rsid w:val="004D71F4"/>
    <w:rsid w:val="004D7A18"/>
    <w:rsid w:val="004D7BDA"/>
    <w:rsid w:val="004D7FCD"/>
    <w:rsid w:val="004E1917"/>
    <w:rsid w:val="004E225E"/>
    <w:rsid w:val="004E264C"/>
    <w:rsid w:val="004E5901"/>
    <w:rsid w:val="004E5B45"/>
    <w:rsid w:val="004E5D7F"/>
    <w:rsid w:val="004E60EC"/>
    <w:rsid w:val="004E6187"/>
    <w:rsid w:val="004E6EE8"/>
    <w:rsid w:val="004F1F88"/>
    <w:rsid w:val="004F22F8"/>
    <w:rsid w:val="004F3039"/>
    <w:rsid w:val="004F366D"/>
    <w:rsid w:val="004F5674"/>
    <w:rsid w:val="004F5CFA"/>
    <w:rsid w:val="004F5F1B"/>
    <w:rsid w:val="004F6CA5"/>
    <w:rsid w:val="00501960"/>
    <w:rsid w:val="00502374"/>
    <w:rsid w:val="00503505"/>
    <w:rsid w:val="0050602F"/>
    <w:rsid w:val="005060A1"/>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DA8"/>
    <w:rsid w:val="00530DC8"/>
    <w:rsid w:val="005314AB"/>
    <w:rsid w:val="00531DE0"/>
    <w:rsid w:val="00532775"/>
    <w:rsid w:val="005332EC"/>
    <w:rsid w:val="005339C4"/>
    <w:rsid w:val="00533F52"/>
    <w:rsid w:val="00533F8F"/>
    <w:rsid w:val="00534418"/>
    <w:rsid w:val="00534B1E"/>
    <w:rsid w:val="00534C34"/>
    <w:rsid w:val="005353AB"/>
    <w:rsid w:val="00536BF2"/>
    <w:rsid w:val="00537889"/>
    <w:rsid w:val="00537D2A"/>
    <w:rsid w:val="00540FAF"/>
    <w:rsid w:val="00541C34"/>
    <w:rsid w:val="00543DF4"/>
    <w:rsid w:val="00544034"/>
    <w:rsid w:val="0054507F"/>
    <w:rsid w:val="00546339"/>
    <w:rsid w:val="00547A14"/>
    <w:rsid w:val="0055171F"/>
    <w:rsid w:val="005526DA"/>
    <w:rsid w:val="005543B5"/>
    <w:rsid w:val="0055499B"/>
    <w:rsid w:val="00554B31"/>
    <w:rsid w:val="005560BC"/>
    <w:rsid w:val="0055689E"/>
    <w:rsid w:val="005573BE"/>
    <w:rsid w:val="0055740A"/>
    <w:rsid w:val="00560852"/>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358"/>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606"/>
    <w:rsid w:val="005C30B9"/>
    <w:rsid w:val="005C331E"/>
    <w:rsid w:val="005C4827"/>
    <w:rsid w:val="005C66D3"/>
    <w:rsid w:val="005C6AE2"/>
    <w:rsid w:val="005C7774"/>
    <w:rsid w:val="005C7C8E"/>
    <w:rsid w:val="005D0558"/>
    <w:rsid w:val="005D2E13"/>
    <w:rsid w:val="005D3AE6"/>
    <w:rsid w:val="005D492D"/>
    <w:rsid w:val="005D4B60"/>
    <w:rsid w:val="005D5D27"/>
    <w:rsid w:val="005D7584"/>
    <w:rsid w:val="005D7B27"/>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0F02"/>
    <w:rsid w:val="005F17AF"/>
    <w:rsid w:val="005F2166"/>
    <w:rsid w:val="005F4ADF"/>
    <w:rsid w:val="005F5411"/>
    <w:rsid w:val="00600343"/>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DAE"/>
    <w:rsid w:val="006413A8"/>
    <w:rsid w:val="00641DCD"/>
    <w:rsid w:val="00642030"/>
    <w:rsid w:val="00642E56"/>
    <w:rsid w:val="0064486A"/>
    <w:rsid w:val="00647A8B"/>
    <w:rsid w:val="00651A05"/>
    <w:rsid w:val="00651E00"/>
    <w:rsid w:val="006533F5"/>
    <w:rsid w:val="0065416C"/>
    <w:rsid w:val="00655E09"/>
    <w:rsid w:val="00656814"/>
    <w:rsid w:val="00660B25"/>
    <w:rsid w:val="00660E44"/>
    <w:rsid w:val="00662833"/>
    <w:rsid w:val="00664C5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B7A38"/>
    <w:rsid w:val="006C0B26"/>
    <w:rsid w:val="006C0DB3"/>
    <w:rsid w:val="006C13CE"/>
    <w:rsid w:val="006C1579"/>
    <w:rsid w:val="006C21D4"/>
    <w:rsid w:val="006C2DD0"/>
    <w:rsid w:val="006C30E1"/>
    <w:rsid w:val="006C4607"/>
    <w:rsid w:val="006C51EC"/>
    <w:rsid w:val="006C58A4"/>
    <w:rsid w:val="006C6989"/>
    <w:rsid w:val="006C6C82"/>
    <w:rsid w:val="006D1282"/>
    <w:rsid w:val="006D1821"/>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7E02"/>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D725A"/>
    <w:rsid w:val="007E02DB"/>
    <w:rsid w:val="007E17F0"/>
    <w:rsid w:val="007E2664"/>
    <w:rsid w:val="007E3ABF"/>
    <w:rsid w:val="007E4561"/>
    <w:rsid w:val="007E4DD1"/>
    <w:rsid w:val="007E5111"/>
    <w:rsid w:val="007E5BFA"/>
    <w:rsid w:val="007E6689"/>
    <w:rsid w:val="007E7173"/>
    <w:rsid w:val="007E731C"/>
    <w:rsid w:val="007F0A03"/>
    <w:rsid w:val="007F2047"/>
    <w:rsid w:val="007F2F90"/>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EEC"/>
    <w:rsid w:val="00821F0C"/>
    <w:rsid w:val="00821FC1"/>
    <w:rsid w:val="00823244"/>
    <w:rsid w:val="00823BAC"/>
    <w:rsid w:val="008253F8"/>
    <w:rsid w:val="00827358"/>
    <w:rsid w:val="0082766C"/>
    <w:rsid w:val="00830E22"/>
    <w:rsid w:val="00831410"/>
    <w:rsid w:val="00831840"/>
    <w:rsid w:val="00831F0E"/>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4475"/>
    <w:rsid w:val="008749D4"/>
    <w:rsid w:val="00874F5A"/>
    <w:rsid w:val="0087510C"/>
    <w:rsid w:val="00880239"/>
    <w:rsid w:val="008804E0"/>
    <w:rsid w:val="00880C9B"/>
    <w:rsid w:val="0088187E"/>
    <w:rsid w:val="00881D19"/>
    <w:rsid w:val="00882B88"/>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D6FA3"/>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344"/>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8B7"/>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1B79"/>
    <w:rsid w:val="00965897"/>
    <w:rsid w:val="0096671F"/>
    <w:rsid w:val="0096765C"/>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B77"/>
    <w:rsid w:val="009B499D"/>
    <w:rsid w:val="009B616B"/>
    <w:rsid w:val="009B72A4"/>
    <w:rsid w:val="009B72ED"/>
    <w:rsid w:val="009B7BD8"/>
    <w:rsid w:val="009C1619"/>
    <w:rsid w:val="009C35F9"/>
    <w:rsid w:val="009C4C29"/>
    <w:rsid w:val="009C6D55"/>
    <w:rsid w:val="009C6DEB"/>
    <w:rsid w:val="009D0485"/>
    <w:rsid w:val="009D096C"/>
    <w:rsid w:val="009D6046"/>
    <w:rsid w:val="009D6504"/>
    <w:rsid w:val="009D6C00"/>
    <w:rsid w:val="009E12D7"/>
    <w:rsid w:val="009E16B2"/>
    <w:rsid w:val="009E1CE1"/>
    <w:rsid w:val="009E247C"/>
    <w:rsid w:val="009E2701"/>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12F"/>
    <w:rsid w:val="00A31744"/>
    <w:rsid w:val="00A32534"/>
    <w:rsid w:val="00A34260"/>
    <w:rsid w:val="00A35B73"/>
    <w:rsid w:val="00A3631C"/>
    <w:rsid w:val="00A3646B"/>
    <w:rsid w:val="00A372C5"/>
    <w:rsid w:val="00A377BC"/>
    <w:rsid w:val="00A43E39"/>
    <w:rsid w:val="00A4607F"/>
    <w:rsid w:val="00A477BA"/>
    <w:rsid w:val="00A50F88"/>
    <w:rsid w:val="00A52F31"/>
    <w:rsid w:val="00A5646A"/>
    <w:rsid w:val="00A56B20"/>
    <w:rsid w:val="00A60162"/>
    <w:rsid w:val="00A61358"/>
    <w:rsid w:val="00A63B5D"/>
    <w:rsid w:val="00A642CB"/>
    <w:rsid w:val="00A66798"/>
    <w:rsid w:val="00A667C2"/>
    <w:rsid w:val="00A67E98"/>
    <w:rsid w:val="00A70198"/>
    <w:rsid w:val="00A70CFD"/>
    <w:rsid w:val="00A72806"/>
    <w:rsid w:val="00A72A0B"/>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7326"/>
    <w:rsid w:val="00AD7446"/>
    <w:rsid w:val="00AD77C1"/>
    <w:rsid w:val="00AE060B"/>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35E4"/>
    <w:rsid w:val="00AF3774"/>
    <w:rsid w:val="00AF4687"/>
    <w:rsid w:val="00AF5911"/>
    <w:rsid w:val="00AF5CDE"/>
    <w:rsid w:val="00AF5E16"/>
    <w:rsid w:val="00AF64F9"/>
    <w:rsid w:val="00AF7384"/>
    <w:rsid w:val="00AF7666"/>
    <w:rsid w:val="00B00001"/>
    <w:rsid w:val="00B009A4"/>
    <w:rsid w:val="00B00B04"/>
    <w:rsid w:val="00B02F5A"/>
    <w:rsid w:val="00B03DD2"/>
    <w:rsid w:val="00B06A96"/>
    <w:rsid w:val="00B07678"/>
    <w:rsid w:val="00B07BCE"/>
    <w:rsid w:val="00B10543"/>
    <w:rsid w:val="00B11A57"/>
    <w:rsid w:val="00B11CEB"/>
    <w:rsid w:val="00B128A3"/>
    <w:rsid w:val="00B13D1E"/>
    <w:rsid w:val="00B14517"/>
    <w:rsid w:val="00B15166"/>
    <w:rsid w:val="00B159D9"/>
    <w:rsid w:val="00B15A33"/>
    <w:rsid w:val="00B164A7"/>
    <w:rsid w:val="00B20DAE"/>
    <w:rsid w:val="00B211C3"/>
    <w:rsid w:val="00B25597"/>
    <w:rsid w:val="00B25756"/>
    <w:rsid w:val="00B2590F"/>
    <w:rsid w:val="00B25A1A"/>
    <w:rsid w:val="00B267B9"/>
    <w:rsid w:val="00B317F2"/>
    <w:rsid w:val="00B31942"/>
    <w:rsid w:val="00B32F11"/>
    <w:rsid w:val="00B331CC"/>
    <w:rsid w:val="00B33E09"/>
    <w:rsid w:val="00B350F1"/>
    <w:rsid w:val="00B35407"/>
    <w:rsid w:val="00B36F5D"/>
    <w:rsid w:val="00B374D0"/>
    <w:rsid w:val="00B37FAF"/>
    <w:rsid w:val="00B4128F"/>
    <w:rsid w:val="00B41712"/>
    <w:rsid w:val="00B47BE9"/>
    <w:rsid w:val="00B50708"/>
    <w:rsid w:val="00B50C68"/>
    <w:rsid w:val="00B51293"/>
    <w:rsid w:val="00B52B1E"/>
    <w:rsid w:val="00B5537A"/>
    <w:rsid w:val="00B5545D"/>
    <w:rsid w:val="00B55481"/>
    <w:rsid w:val="00B56C32"/>
    <w:rsid w:val="00B57385"/>
    <w:rsid w:val="00B57ACF"/>
    <w:rsid w:val="00B63CCC"/>
    <w:rsid w:val="00B63F07"/>
    <w:rsid w:val="00B64699"/>
    <w:rsid w:val="00B64BB1"/>
    <w:rsid w:val="00B661E4"/>
    <w:rsid w:val="00B66339"/>
    <w:rsid w:val="00B70507"/>
    <w:rsid w:val="00B73166"/>
    <w:rsid w:val="00B735AB"/>
    <w:rsid w:val="00B7372B"/>
    <w:rsid w:val="00B73A39"/>
    <w:rsid w:val="00B75A68"/>
    <w:rsid w:val="00B75B37"/>
    <w:rsid w:val="00B779F4"/>
    <w:rsid w:val="00B80D50"/>
    <w:rsid w:val="00B817CB"/>
    <w:rsid w:val="00B8235E"/>
    <w:rsid w:val="00B8426C"/>
    <w:rsid w:val="00B85E79"/>
    <w:rsid w:val="00B91B8D"/>
    <w:rsid w:val="00B93265"/>
    <w:rsid w:val="00B94418"/>
    <w:rsid w:val="00B94E90"/>
    <w:rsid w:val="00B97672"/>
    <w:rsid w:val="00B97C36"/>
    <w:rsid w:val="00BA23A6"/>
    <w:rsid w:val="00BA3ED0"/>
    <w:rsid w:val="00BA529F"/>
    <w:rsid w:val="00BA5EB9"/>
    <w:rsid w:val="00BB0A82"/>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E0BD2"/>
    <w:rsid w:val="00BE2BCF"/>
    <w:rsid w:val="00BE394D"/>
    <w:rsid w:val="00BE44F9"/>
    <w:rsid w:val="00BE4CF2"/>
    <w:rsid w:val="00BE6541"/>
    <w:rsid w:val="00BE6A8C"/>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76"/>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789F"/>
    <w:rsid w:val="00C478DB"/>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20BD"/>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0E0F"/>
    <w:rsid w:val="00CC1175"/>
    <w:rsid w:val="00CC1692"/>
    <w:rsid w:val="00CC382A"/>
    <w:rsid w:val="00CC3AAC"/>
    <w:rsid w:val="00CC3B8C"/>
    <w:rsid w:val="00CC3FA8"/>
    <w:rsid w:val="00CC5CF5"/>
    <w:rsid w:val="00CC6F1D"/>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6D7B"/>
    <w:rsid w:val="00D81A7F"/>
    <w:rsid w:val="00D83030"/>
    <w:rsid w:val="00D865A2"/>
    <w:rsid w:val="00D8741E"/>
    <w:rsid w:val="00D8790F"/>
    <w:rsid w:val="00D87A5D"/>
    <w:rsid w:val="00D907B9"/>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C0CEA"/>
    <w:rsid w:val="00DC0CF2"/>
    <w:rsid w:val="00DC2E43"/>
    <w:rsid w:val="00DC444E"/>
    <w:rsid w:val="00DC5090"/>
    <w:rsid w:val="00DC6F60"/>
    <w:rsid w:val="00DC7FA6"/>
    <w:rsid w:val="00DD095C"/>
    <w:rsid w:val="00DD1020"/>
    <w:rsid w:val="00DD1330"/>
    <w:rsid w:val="00DD2D5F"/>
    <w:rsid w:val="00DD3299"/>
    <w:rsid w:val="00DD4017"/>
    <w:rsid w:val="00DD42FB"/>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D07"/>
    <w:rsid w:val="00E3393D"/>
    <w:rsid w:val="00E33A4B"/>
    <w:rsid w:val="00E348FC"/>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3B1"/>
    <w:rsid w:val="00E52D1E"/>
    <w:rsid w:val="00E55BFF"/>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71A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489B"/>
    <w:rsid w:val="00EF52D8"/>
    <w:rsid w:val="00EF53BF"/>
    <w:rsid w:val="00F000FA"/>
    <w:rsid w:val="00F0055A"/>
    <w:rsid w:val="00F02AB1"/>
    <w:rsid w:val="00F02B16"/>
    <w:rsid w:val="00F07163"/>
    <w:rsid w:val="00F10E94"/>
    <w:rsid w:val="00F10F66"/>
    <w:rsid w:val="00F10F75"/>
    <w:rsid w:val="00F11D8F"/>
    <w:rsid w:val="00F1246B"/>
    <w:rsid w:val="00F14CD7"/>
    <w:rsid w:val="00F16E30"/>
    <w:rsid w:val="00F201EC"/>
    <w:rsid w:val="00F208A9"/>
    <w:rsid w:val="00F21364"/>
    <w:rsid w:val="00F241AA"/>
    <w:rsid w:val="00F244FC"/>
    <w:rsid w:val="00F2556A"/>
    <w:rsid w:val="00F26787"/>
    <w:rsid w:val="00F27E9D"/>
    <w:rsid w:val="00F35FDE"/>
    <w:rsid w:val="00F36388"/>
    <w:rsid w:val="00F37BD2"/>
    <w:rsid w:val="00F40198"/>
    <w:rsid w:val="00F408F4"/>
    <w:rsid w:val="00F41D75"/>
    <w:rsid w:val="00F42FC7"/>
    <w:rsid w:val="00F43DE6"/>
    <w:rsid w:val="00F45D7F"/>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B30"/>
    <w:rsid w:val="00F83B94"/>
    <w:rsid w:val="00F83BF4"/>
    <w:rsid w:val="00F8427E"/>
    <w:rsid w:val="00F85FB7"/>
    <w:rsid w:val="00F87AB6"/>
    <w:rsid w:val="00F9370E"/>
    <w:rsid w:val="00F937D8"/>
    <w:rsid w:val="00F95184"/>
    <w:rsid w:val="00F95759"/>
    <w:rsid w:val="00F95AAA"/>
    <w:rsid w:val="00F96F51"/>
    <w:rsid w:val="00F976B4"/>
    <w:rsid w:val="00F97D97"/>
    <w:rsid w:val="00FA0388"/>
    <w:rsid w:val="00FA08C5"/>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1B2E"/>
    <w:rsid w:val="00FC2644"/>
    <w:rsid w:val="00FC5176"/>
    <w:rsid w:val="00FC5B20"/>
    <w:rsid w:val="00FC5CBE"/>
    <w:rsid w:val="00FD1314"/>
    <w:rsid w:val="00FD2387"/>
    <w:rsid w:val="00FD27C6"/>
    <w:rsid w:val="00FD2A68"/>
    <w:rsid w:val="00FD2A8A"/>
    <w:rsid w:val="00FD36AE"/>
    <w:rsid w:val="00FD4505"/>
    <w:rsid w:val="00FD608C"/>
    <w:rsid w:val="00FD63BF"/>
    <w:rsid w:val="00FD6CEC"/>
    <w:rsid w:val="00FD7492"/>
    <w:rsid w:val="00FE4557"/>
    <w:rsid w:val="00FE49C5"/>
    <w:rsid w:val="00FE4BEF"/>
    <w:rsid w:val="00FE4FB3"/>
    <w:rsid w:val="00FE5A37"/>
    <w:rsid w:val="00FE607A"/>
    <w:rsid w:val="00FE716D"/>
    <w:rsid w:val="00FE781F"/>
    <w:rsid w:val="00FF027D"/>
    <w:rsid w:val="00FF107D"/>
    <w:rsid w:val="00FF14EC"/>
    <w:rsid w:val="00FF1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7DACE"/>
  <w15:docId w15:val="{C4B9EB8F-B1D7-4B9A-B9B0-DB81DFF2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Vienkrsteksts">
    <w:name w:val="Plain Text"/>
    <w:basedOn w:val="Parasts"/>
    <w:unhideWhenUsed/>
    <w:rsid w:val="00823BAC"/>
    <w:rPr>
      <w:rFonts w:eastAsia="Calibri"/>
    </w:rPr>
  </w:style>
  <w:style w:type="paragraph" w:styleId="Pamattekstsaratkpi">
    <w:name w:val="Body Text Indent"/>
    <w:basedOn w:val="Parasts"/>
    <w:rsid w:val="00823BAC"/>
    <w:pPr>
      <w:spacing w:after="120"/>
      <w:ind w:left="283"/>
    </w:pPr>
    <w:rPr>
      <w:rFonts w:eastAsia="Calibri"/>
      <w:lang w:eastAsia="en-US"/>
    </w:rPr>
  </w:style>
  <w:style w:type="paragraph" w:customStyle="1" w:styleId="RakstzCharCharRakstzCharCharRakstz">
    <w:name w:val="Rakstz. Char Char Rakstz. Char Char Rakstz."/>
    <w:basedOn w:val="Parasts"/>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iepriekformattais">
    <w:name w:val="HTML Preformatted"/>
    <w:basedOn w:val="Parasts"/>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ststmeklis">
    <w:name w:val="Normal (Web)"/>
    <w:basedOn w:val="Parasts"/>
    <w:uiPriority w:val="99"/>
    <w:unhideWhenUsed/>
    <w:rsid w:val="00BC0AAC"/>
    <w:pPr>
      <w:spacing w:before="100" w:beforeAutospacing="1" w:after="100" w:afterAutospacing="1"/>
      <w:jc w:val="both"/>
    </w:pPr>
    <w:rPr>
      <w:lang w:val="en-GB" w:eastAsia="en-US"/>
    </w:rPr>
  </w:style>
  <w:style w:type="character" w:customStyle="1" w:styleId="GalveneRakstz">
    <w:name w:val="Galvene Rakstz."/>
    <w:link w:val="Galvene"/>
    <w:uiPriority w:val="99"/>
    <w:rsid w:val="001411F6"/>
    <w:rPr>
      <w:sz w:val="24"/>
      <w:szCs w:val="24"/>
    </w:rPr>
  </w:style>
  <w:style w:type="paragraph" w:customStyle="1" w:styleId="StyleRight">
    <w:name w:val="Style Right"/>
    <w:basedOn w:val="Parasts"/>
    <w:rsid w:val="001411F6"/>
    <w:pPr>
      <w:spacing w:after="120"/>
      <w:ind w:firstLine="720"/>
      <w:jc w:val="right"/>
    </w:pPr>
    <w:rPr>
      <w:sz w:val="28"/>
      <w:szCs w:val="28"/>
      <w:lang w:eastAsia="en-US"/>
    </w:rPr>
  </w:style>
  <w:style w:type="paragraph" w:customStyle="1" w:styleId="tvhtml">
    <w:name w:val="tv_html"/>
    <w:basedOn w:val="Parasts"/>
    <w:rsid w:val="00391999"/>
    <w:pPr>
      <w:spacing w:before="100" w:beforeAutospacing="1" w:after="100" w:afterAutospacing="1"/>
    </w:pPr>
  </w:style>
  <w:style w:type="paragraph" w:styleId="Sarakstarindkopa">
    <w:name w:val="List Paragraph"/>
    <w:basedOn w:val="Parasts"/>
    <w:uiPriority w:val="34"/>
    <w:qFormat/>
    <w:rsid w:val="00306B00"/>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Parasts"/>
    <w:rsid w:val="0000273F"/>
    <w:pPr>
      <w:spacing w:before="100" w:beforeAutospacing="1" w:after="100" w:afterAutospacing="1"/>
    </w:pPr>
  </w:style>
  <w:style w:type="character" w:styleId="Izteiksmgs">
    <w:name w:val="Strong"/>
    <w:qFormat/>
    <w:rsid w:val="00904AFE"/>
    <w:rPr>
      <w:b/>
      <w:bCs/>
    </w:rPr>
  </w:style>
  <w:style w:type="paragraph" w:customStyle="1" w:styleId="tv213">
    <w:name w:val="tv213"/>
    <w:basedOn w:val="Parasts"/>
    <w:rsid w:val="00E35D5F"/>
    <w:pPr>
      <w:spacing w:before="100" w:beforeAutospacing="1" w:after="100" w:afterAutospacing="1"/>
    </w:pPr>
    <w:rPr>
      <w:lang w:val="en-US" w:eastAsia="en-US"/>
    </w:rPr>
  </w:style>
  <w:style w:type="character" w:customStyle="1" w:styleId="VrestekstsRakstz">
    <w:name w:val="Vēres teksts Rakstz."/>
    <w:link w:val="Vresteksts"/>
    <w:uiPriority w:val="99"/>
    <w:semiHidden/>
    <w:rsid w:val="00A72806"/>
    <w:rPr>
      <w:lang w:val="lv-LV" w:eastAsia="lv-LV"/>
    </w:rPr>
  </w:style>
  <w:style w:type="paragraph" w:customStyle="1" w:styleId="tv2131">
    <w:name w:val="tv2131"/>
    <w:basedOn w:val="Parasts"/>
    <w:rsid w:val="00A72806"/>
    <w:pPr>
      <w:spacing w:line="360" w:lineRule="auto"/>
      <w:ind w:firstLine="300"/>
    </w:pPr>
    <w:rPr>
      <w:color w:val="414142"/>
      <w:sz w:val="20"/>
      <w:szCs w:val="20"/>
    </w:rPr>
  </w:style>
  <w:style w:type="character" w:styleId="Izmantotahipersaite">
    <w:name w:val="FollowedHyperlink"/>
    <w:rsid w:val="006E5BB2"/>
    <w:rPr>
      <w:color w:val="954F72"/>
      <w:u w:val="single"/>
    </w:rPr>
  </w:style>
  <w:style w:type="paragraph" w:styleId="Prskatjums">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Parasts"/>
    <w:link w:val="CharStyle16"/>
    <w:uiPriority w:val="99"/>
    <w:rsid w:val="00C81CC6"/>
    <w:pPr>
      <w:widowControl w:val="0"/>
      <w:shd w:val="clear" w:color="auto" w:fill="FFFFFF"/>
      <w:spacing w:before="240" w:line="274" w:lineRule="exact"/>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065F-BB28-46DC-A839-98D2420D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1152</Words>
  <Characters>8540</Characters>
  <Application>Microsoft Office Word</Application>
  <DocSecurity>0</DocSecurity>
  <Lines>71</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Dizainparaugu likumā" sākotnējās ietekmes novērtējuma ziņojums (anotācija)</vt:lpstr>
      <vt:lpstr>Likumprojekta "Grozījumi Dizainparaugu likumā" sākotnējās ietekmes novērtējuma ziņojums (anotācija)</vt:lpstr>
    </vt:vector>
  </TitlesOfParts>
  <Company>Tieslietu ministrija</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Dizainparaugu likumā" sākotnējās ietekmes novērtējuma ziņojums (anotācija)</dc:title>
  <dc:subject>Anotācija</dc:subject>
  <dc:creator>Luīze Mantiņa</dc:creator>
  <dc:description>67036739, Luize.Mantina@tm.gov.lv</dc:description>
  <cp:lastModifiedBy>Lelde Stepanova</cp:lastModifiedBy>
  <cp:revision>4</cp:revision>
  <cp:lastPrinted>2017-02-09T11:08:00Z</cp:lastPrinted>
  <dcterms:created xsi:type="dcterms:W3CDTF">2017-05-08T10:39:00Z</dcterms:created>
  <dcterms:modified xsi:type="dcterms:W3CDTF">2017-05-08T12:29:00Z</dcterms:modified>
</cp:coreProperties>
</file>