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C2646" w14:textId="77777777" w:rsidR="00AA7647" w:rsidRPr="00C86496" w:rsidRDefault="0067267D" w:rsidP="00C03EB8">
      <w:pPr>
        <w:pStyle w:val="naisc"/>
        <w:spacing w:before="0" w:beforeAutospacing="0" w:after="0" w:afterAutospacing="0" w:line="240" w:lineRule="auto"/>
        <w:jc w:val="center"/>
        <w:rPr>
          <w:b/>
          <w:bCs/>
        </w:rPr>
      </w:pPr>
      <w:r w:rsidRPr="00C86496">
        <w:rPr>
          <w:b/>
          <w:bCs/>
        </w:rPr>
        <w:t>Ministru kabineta noteikumu projekta</w:t>
      </w:r>
    </w:p>
    <w:p w14:paraId="6B35390C" w14:textId="77777777" w:rsidR="00AE1C2C" w:rsidRDefault="0063645F" w:rsidP="00C03EB8">
      <w:pPr>
        <w:shd w:val="clear" w:color="auto" w:fill="FFFFFF"/>
        <w:spacing w:before="0" w:after="0" w:line="240" w:lineRule="auto"/>
        <w:jc w:val="center"/>
        <w:rPr>
          <w:b/>
        </w:rPr>
      </w:pPr>
      <w:r>
        <w:rPr>
          <w:b/>
        </w:rPr>
        <w:t>„</w:t>
      </w:r>
      <w:r w:rsidR="004B174A">
        <w:rPr>
          <w:b/>
        </w:rPr>
        <w:t>Siltumnīcefekta gāzu emisiju aprēķina metodika</w:t>
      </w:r>
      <w:r w:rsidR="00717641">
        <w:rPr>
          <w:b/>
        </w:rPr>
        <w:t>”</w:t>
      </w:r>
      <w:r w:rsidRPr="00CF4AC4">
        <w:rPr>
          <w:b/>
        </w:rPr>
        <w:t xml:space="preserve"> </w:t>
      </w:r>
    </w:p>
    <w:p w14:paraId="73DA77AB" w14:textId="77777777" w:rsidR="00833870" w:rsidRPr="00C86496" w:rsidRDefault="005F03A4" w:rsidP="00C03EB8">
      <w:pPr>
        <w:shd w:val="clear" w:color="auto" w:fill="FFFFFF"/>
        <w:spacing w:before="0" w:after="0" w:line="240" w:lineRule="auto"/>
        <w:jc w:val="center"/>
        <w:rPr>
          <w:b/>
        </w:rPr>
      </w:pPr>
      <w:r w:rsidRPr="00CF4AC4">
        <w:rPr>
          <w:b/>
          <w:bCs/>
        </w:rPr>
        <w:t>sākotnējās</w:t>
      </w:r>
      <w:r w:rsidRPr="00C86496">
        <w:rPr>
          <w:b/>
          <w:bCs/>
        </w:rPr>
        <w:t xml:space="preserve"> ietekmes novērtējuma ziņojums</w:t>
      </w:r>
      <w:r w:rsidRPr="00C86496">
        <w:rPr>
          <w:b/>
        </w:rPr>
        <w:t xml:space="preserve"> (</w:t>
      </w:r>
      <w:r w:rsidR="0067267D" w:rsidRPr="00C86496">
        <w:rPr>
          <w:b/>
        </w:rPr>
        <w:t>anotācija</w:t>
      </w:r>
      <w:r w:rsidRPr="00C86496">
        <w:rPr>
          <w:b/>
        </w:rPr>
        <w:t>)</w:t>
      </w:r>
    </w:p>
    <w:p w14:paraId="1F2DD422" w14:textId="77777777" w:rsidR="00083FAE" w:rsidRPr="00A36E52" w:rsidRDefault="00083FAE" w:rsidP="00CF4AC4">
      <w:pPr>
        <w:spacing w:before="120" w:after="0" w:line="240" w:lineRule="auto"/>
        <w:jc w:val="center"/>
        <w:rPr>
          <w:b/>
          <w:sz w:val="28"/>
          <w:szCs w:val="28"/>
        </w:rPr>
      </w:pPr>
    </w:p>
    <w:tbl>
      <w:tblPr>
        <w:tblpPr w:leftFromText="180" w:rightFromText="180" w:vertAnchor="text" w:horzAnchor="margin" w:tblpXSpec="center" w:tblpY="149"/>
        <w:tblW w:w="9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2149"/>
        <w:gridCol w:w="6756"/>
      </w:tblGrid>
      <w:tr w:rsidR="0067267D" w14:paraId="134A3269" w14:textId="77777777" w:rsidTr="004C1936">
        <w:tc>
          <w:tcPr>
            <w:tcW w:w="9455" w:type="dxa"/>
            <w:gridSpan w:val="3"/>
            <w:vAlign w:val="center"/>
          </w:tcPr>
          <w:p w14:paraId="3C2FDD51" w14:textId="77777777" w:rsidR="0067267D" w:rsidRDefault="0067267D">
            <w:pPr>
              <w:pStyle w:val="naisnod"/>
              <w:spacing w:before="0" w:after="0"/>
            </w:pPr>
            <w:r>
              <w:t>I.</w:t>
            </w:r>
            <w:r w:rsidR="00061915">
              <w:t> </w:t>
            </w:r>
            <w:r>
              <w:t>Tiesību akta projekta izstrādes nepieciešamība</w:t>
            </w:r>
          </w:p>
        </w:tc>
      </w:tr>
      <w:tr w:rsidR="0067267D" w14:paraId="303E1781" w14:textId="77777777" w:rsidTr="00464AFB">
        <w:trPr>
          <w:trHeight w:val="630"/>
        </w:trPr>
        <w:tc>
          <w:tcPr>
            <w:tcW w:w="550" w:type="dxa"/>
          </w:tcPr>
          <w:p w14:paraId="207CB2A6" w14:textId="77777777" w:rsidR="0067267D" w:rsidRDefault="0067267D">
            <w:pPr>
              <w:pStyle w:val="naiskr"/>
              <w:spacing w:before="0" w:after="0"/>
            </w:pPr>
            <w:r>
              <w:t>1.</w:t>
            </w:r>
          </w:p>
        </w:tc>
        <w:tc>
          <w:tcPr>
            <w:tcW w:w="2149" w:type="dxa"/>
          </w:tcPr>
          <w:p w14:paraId="6ADE4F3D" w14:textId="77777777" w:rsidR="0067267D" w:rsidRDefault="0067267D" w:rsidP="00464AFB">
            <w:pPr>
              <w:pStyle w:val="naiskr"/>
              <w:spacing w:before="0" w:after="0"/>
              <w:ind w:right="142" w:hanging="10"/>
            </w:pPr>
            <w:r>
              <w:t>Pamatojums</w:t>
            </w:r>
          </w:p>
        </w:tc>
        <w:tc>
          <w:tcPr>
            <w:tcW w:w="6756" w:type="dxa"/>
          </w:tcPr>
          <w:p w14:paraId="6D92B531" w14:textId="7999DEF5" w:rsidR="0067267D" w:rsidRDefault="00377CDB" w:rsidP="006113FA">
            <w:pPr>
              <w:pStyle w:val="naiskr"/>
              <w:ind w:left="141" w:right="236"/>
            </w:pPr>
            <w:r w:rsidRPr="00AB2A12">
              <w:t xml:space="preserve">Ministru kabineta </w:t>
            </w:r>
            <w:r w:rsidR="004B174A">
              <w:t>(turpmāk</w:t>
            </w:r>
            <w:r w:rsidR="00C03EB8">
              <w:t> </w:t>
            </w:r>
            <w:r w:rsidR="004B174A">
              <w:t>–</w:t>
            </w:r>
            <w:r w:rsidR="00C03EB8">
              <w:t> </w:t>
            </w:r>
            <w:r w:rsidR="004B174A">
              <w:t xml:space="preserve">MK) </w:t>
            </w:r>
            <w:r w:rsidRPr="00AB2A12">
              <w:t>noteikumu projekts „</w:t>
            </w:r>
            <w:r w:rsidR="004B174A">
              <w:t>Siltumnīcefekta gāzu emisiju aprēķina metodika</w:t>
            </w:r>
            <w:r w:rsidR="00CF4AC4" w:rsidRPr="00AB2A12">
              <w:t>”</w:t>
            </w:r>
            <w:r w:rsidRPr="00AB2A12">
              <w:t xml:space="preserve"> </w:t>
            </w:r>
            <w:r w:rsidR="00C03EB8">
              <w:t>(turpmāk </w:t>
            </w:r>
            <w:r w:rsidR="004B174A">
              <w:t>–</w:t>
            </w:r>
            <w:r w:rsidR="00C03EB8">
              <w:t> </w:t>
            </w:r>
            <w:r w:rsidR="004B174A">
              <w:t xml:space="preserve">noteikumu projekts) </w:t>
            </w:r>
            <w:r w:rsidRPr="00AB2A12">
              <w:t xml:space="preserve">sagatavots </w:t>
            </w:r>
            <w:r w:rsidR="006113FA">
              <w:t xml:space="preserve">pamatojoties uz </w:t>
            </w:r>
            <w:r w:rsidRPr="00AB2A12">
              <w:t>likuma „Par piesārņojumu”</w:t>
            </w:r>
            <w:r w:rsidR="00AB2A12" w:rsidRPr="00AB2A12">
              <w:t xml:space="preserve"> 53.</w:t>
            </w:r>
            <w:r w:rsidR="00FF77D9">
              <w:t> </w:t>
            </w:r>
            <w:r w:rsidR="00AB2A12" w:rsidRPr="00AB2A12">
              <w:t>panta otrā</w:t>
            </w:r>
            <w:r w:rsidR="00FF77D9">
              <w:t>s</w:t>
            </w:r>
            <w:r w:rsidR="00AB2A12" w:rsidRPr="00AB2A12">
              <w:t xml:space="preserve"> daļas 2.</w:t>
            </w:r>
            <w:r w:rsidR="00FF77D9">
              <w:t> </w:t>
            </w:r>
            <w:r w:rsidR="00AB2A12" w:rsidRPr="00AB2A12">
              <w:t>punktu</w:t>
            </w:r>
            <w:r w:rsidR="00FE226F">
              <w:t>.</w:t>
            </w:r>
          </w:p>
        </w:tc>
      </w:tr>
      <w:tr w:rsidR="0067267D" w14:paraId="730732A3" w14:textId="77777777" w:rsidTr="00464AFB">
        <w:trPr>
          <w:trHeight w:val="472"/>
        </w:trPr>
        <w:tc>
          <w:tcPr>
            <w:tcW w:w="550" w:type="dxa"/>
          </w:tcPr>
          <w:p w14:paraId="59188FB2" w14:textId="77777777" w:rsidR="0067267D" w:rsidRDefault="0067267D">
            <w:pPr>
              <w:pStyle w:val="naiskr"/>
              <w:spacing w:before="0" w:after="0"/>
            </w:pPr>
            <w:r>
              <w:t>2.</w:t>
            </w:r>
          </w:p>
        </w:tc>
        <w:tc>
          <w:tcPr>
            <w:tcW w:w="2149" w:type="dxa"/>
          </w:tcPr>
          <w:p w14:paraId="1E4D85B8" w14:textId="67AED8C7" w:rsidR="00142068" w:rsidRDefault="00133143" w:rsidP="00464AFB">
            <w:pPr>
              <w:pStyle w:val="naiskr"/>
              <w:tabs>
                <w:tab w:val="left" w:pos="170"/>
              </w:tabs>
              <w:spacing w:before="0" w:after="0"/>
              <w:ind w:right="142"/>
            </w:pPr>
            <w:r>
              <w:t>Pašreizējā situācija un problēmas, kuru risināšanai tiesību akta projekts izstrādāts, tiesiskā regulējuma mērķis un būtība</w:t>
            </w:r>
          </w:p>
          <w:p w14:paraId="3E299A74" w14:textId="77777777" w:rsidR="00142068" w:rsidRPr="00142068" w:rsidRDefault="00142068" w:rsidP="00142068"/>
          <w:p w14:paraId="5DFDFFD6" w14:textId="77777777" w:rsidR="00142068" w:rsidRPr="00142068" w:rsidRDefault="00142068" w:rsidP="00142068"/>
          <w:p w14:paraId="39E9A613" w14:textId="77777777" w:rsidR="00142068" w:rsidRPr="00142068" w:rsidRDefault="00142068" w:rsidP="00142068"/>
          <w:p w14:paraId="15F9CE52" w14:textId="77777777" w:rsidR="00142068" w:rsidRPr="00142068" w:rsidRDefault="00142068" w:rsidP="00142068"/>
          <w:p w14:paraId="08EBE9A3" w14:textId="77777777" w:rsidR="00142068" w:rsidRPr="00142068" w:rsidRDefault="00142068" w:rsidP="00142068"/>
          <w:p w14:paraId="7ECDDB85" w14:textId="77777777" w:rsidR="00142068" w:rsidRPr="00142068" w:rsidRDefault="00142068" w:rsidP="00362EC0">
            <w:pPr>
              <w:jc w:val="right"/>
            </w:pPr>
          </w:p>
          <w:p w14:paraId="39BF36B7" w14:textId="3A6B767A" w:rsidR="00142068" w:rsidRDefault="00142068" w:rsidP="00142068"/>
          <w:p w14:paraId="47ACF538" w14:textId="77777777" w:rsidR="0067267D" w:rsidRPr="00142068" w:rsidRDefault="0067267D" w:rsidP="00142068">
            <w:pPr>
              <w:ind w:firstLine="720"/>
            </w:pPr>
          </w:p>
        </w:tc>
        <w:tc>
          <w:tcPr>
            <w:tcW w:w="6756" w:type="dxa"/>
          </w:tcPr>
          <w:p w14:paraId="1F0FA675" w14:textId="319B6C4C" w:rsidR="00C04DF1" w:rsidRPr="00C04DF1" w:rsidRDefault="006113FA" w:rsidP="00AF470F">
            <w:pPr>
              <w:spacing w:before="0" w:after="0" w:line="240" w:lineRule="auto"/>
              <w:ind w:left="141" w:right="236"/>
              <w:outlineLvl w:val="0"/>
              <w:rPr>
                <w:u w:val="single"/>
              </w:rPr>
            </w:pPr>
            <w:bookmarkStart w:id="0" w:name="n1"/>
            <w:bookmarkStart w:id="1" w:name="p1"/>
            <w:bookmarkStart w:id="2" w:name="p-402003"/>
            <w:bookmarkStart w:id="3" w:name="n2"/>
            <w:bookmarkStart w:id="4" w:name="p2"/>
            <w:bookmarkStart w:id="5" w:name="p-246948"/>
            <w:bookmarkStart w:id="6" w:name="p3"/>
            <w:bookmarkStart w:id="7" w:name="p-246949"/>
            <w:bookmarkStart w:id="8" w:name="p4"/>
            <w:bookmarkStart w:id="9" w:name="p-246950"/>
            <w:bookmarkStart w:id="10" w:name="p5"/>
            <w:bookmarkStart w:id="11" w:name="p-246951"/>
            <w:bookmarkStart w:id="12" w:name="p-246952"/>
            <w:bookmarkStart w:id="13" w:name="p7"/>
            <w:bookmarkStart w:id="14" w:name="p-246953"/>
            <w:bookmarkStart w:id="15" w:name="p8"/>
            <w:bookmarkStart w:id="16" w:name="p-246954"/>
            <w:bookmarkStart w:id="17" w:name="p9"/>
            <w:bookmarkStart w:id="18" w:name="p-246955"/>
            <w:bookmarkStart w:id="19" w:name="p10"/>
            <w:bookmarkStart w:id="20" w:name="p-246956"/>
            <w:bookmarkStart w:id="21" w:name="p11"/>
            <w:bookmarkStart w:id="22" w:name="p-246957"/>
            <w:bookmarkStart w:id="23" w:name="p12"/>
            <w:bookmarkStart w:id="24" w:name="p-246958"/>
            <w:bookmarkStart w:id="25" w:name="p13"/>
            <w:bookmarkStart w:id="26" w:name="p-246959"/>
            <w:bookmarkStart w:id="27" w:name="p14"/>
            <w:bookmarkStart w:id="28" w:name="p-246960"/>
            <w:bookmarkStart w:id="29" w:name="p15"/>
            <w:bookmarkStart w:id="30" w:name="p-246961"/>
            <w:bookmarkStart w:id="31" w:name="p16"/>
            <w:bookmarkStart w:id="32" w:name="p-246962"/>
            <w:bookmarkStart w:id="33" w:name="p17"/>
            <w:bookmarkStart w:id="34" w:name="p-246963"/>
            <w:bookmarkStart w:id="35" w:name="p18"/>
            <w:bookmarkStart w:id="36" w:name="p-246964"/>
            <w:bookmarkStart w:id="37" w:name="p19"/>
            <w:bookmarkStart w:id="38" w:name="p-246965"/>
            <w:bookmarkStart w:id="39" w:name="p20"/>
            <w:bookmarkStart w:id="40" w:name="p-246966"/>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Pr>
                <w:u w:val="single"/>
              </w:rPr>
              <w:t>Pašreizējā</w:t>
            </w:r>
            <w:r w:rsidR="00C04DF1" w:rsidRPr="00C04DF1">
              <w:rPr>
                <w:u w:val="single"/>
              </w:rPr>
              <w:t xml:space="preserve"> situācija</w:t>
            </w:r>
          </w:p>
          <w:p w14:paraId="401AC72E" w14:textId="5299A328" w:rsidR="00C04DF1" w:rsidRPr="006113FA" w:rsidRDefault="00613A68" w:rsidP="006113FA">
            <w:pPr>
              <w:spacing w:before="0" w:after="0" w:line="240" w:lineRule="auto"/>
              <w:ind w:left="141" w:right="236"/>
              <w:outlineLvl w:val="0"/>
              <w:rPr>
                <w:u w:val="single"/>
              </w:rPr>
            </w:pPr>
            <w:r>
              <w:t xml:space="preserve">  </w:t>
            </w:r>
            <w:r w:rsidR="00AB7977" w:rsidRPr="00FC15F9">
              <w:t>Lai nodrošinātu klimata mērķu sasniegšanu 2020.</w:t>
            </w:r>
            <w:r w:rsidR="00C03EB8">
              <w:t xml:space="preserve"> gadam un </w:t>
            </w:r>
            <w:r w:rsidR="006113FA">
              <w:t>turpmāk, arvien biežāk Latvijā</w:t>
            </w:r>
            <w:r w:rsidR="00AB7977" w:rsidRPr="00FC15F9">
              <w:t xml:space="preserve"> </w:t>
            </w:r>
            <w:r w:rsidR="00C03EB8">
              <w:t xml:space="preserve">tiks </w:t>
            </w:r>
            <w:r w:rsidR="00AB7977" w:rsidRPr="00BD64AB">
              <w:t>īstenot</w:t>
            </w:r>
            <w:r w:rsidR="00C03EB8">
              <w:t>as</w:t>
            </w:r>
            <w:r w:rsidR="00AB7977" w:rsidRPr="00BD64AB">
              <w:t xml:space="preserve"> aktivitātes </w:t>
            </w:r>
            <w:r w:rsidR="00AB7977">
              <w:t xml:space="preserve">dažādās tautsaimniecības nozarēs </w:t>
            </w:r>
            <w:r w:rsidR="00FE226F" w:rsidRPr="00467AED">
              <w:t xml:space="preserve">siltumnīcefekta gāzu </w:t>
            </w:r>
            <w:r w:rsidR="00FE226F">
              <w:t>(turpmāk</w:t>
            </w:r>
            <w:r w:rsidR="00C03EB8">
              <w:t> </w:t>
            </w:r>
            <w:r w:rsidR="00FE226F">
              <w:t>–</w:t>
            </w:r>
            <w:r w:rsidR="00C03EB8">
              <w:t> </w:t>
            </w:r>
            <w:r w:rsidR="00AB7977" w:rsidRPr="00BD64AB">
              <w:t>SEG</w:t>
            </w:r>
            <w:r w:rsidR="00FE226F">
              <w:t>)</w:t>
            </w:r>
            <w:r w:rsidR="006113FA">
              <w:t xml:space="preserve"> emisiju samazināšanai. Tajā pašā laikā </w:t>
            </w:r>
            <w:r w:rsidR="00C03EB8">
              <w:t xml:space="preserve">Latvijā nav pieejama </w:t>
            </w:r>
            <w:r w:rsidR="000D3752">
              <w:t>vienot</w:t>
            </w:r>
            <w:r w:rsidR="00C03EB8">
              <w:t>a</w:t>
            </w:r>
            <w:r w:rsidR="000D3752">
              <w:t xml:space="preserve"> SEG emisiju aprēķin</w:t>
            </w:r>
            <w:r w:rsidR="00C03EB8">
              <w:t>a metod</w:t>
            </w:r>
            <w:r w:rsidR="00C04DF1">
              <w:t>ika</w:t>
            </w:r>
            <w:r w:rsidR="007A5C45">
              <w:t xml:space="preserve">, kuru varētu pielietot, lai aprēķinātu SEG emisiju samazinājumu no </w:t>
            </w:r>
            <w:r w:rsidR="006113FA">
              <w:t xml:space="preserve">projektu un </w:t>
            </w:r>
            <w:r w:rsidR="00C04DF1">
              <w:t>pasākumu īstenošanas dažādos tautsaimniecības sektoros</w:t>
            </w:r>
            <w:r w:rsidR="007A5C45">
              <w:t>.</w:t>
            </w:r>
            <w:r w:rsidR="00C04DF1">
              <w:t xml:space="preserve"> </w:t>
            </w:r>
            <w:r w:rsidR="006113FA">
              <w:t xml:space="preserve">Pagaidām </w:t>
            </w:r>
            <w:r w:rsidR="00C04DF1">
              <w:t xml:space="preserve">dažādas iestādes (ministrijas, pašvaldības, </w:t>
            </w:r>
            <w:r w:rsidR="00FF77D9">
              <w:t>nevalstiskās organizācijas</w:t>
            </w:r>
            <w:r w:rsidR="00C04DF1">
              <w:t>)</w:t>
            </w:r>
            <w:r w:rsidR="00FF77D9">
              <w:t>,</w:t>
            </w:r>
            <w:r w:rsidR="00C04DF1">
              <w:t xml:space="preserve"> atbalstot vai īstenojot konkrētus projektu</w:t>
            </w:r>
            <w:r w:rsidR="00BA5AD6">
              <w:t>s</w:t>
            </w:r>
            <w:r w:rsidR="00FF77D9">
              <w:t>,</w:t>
            </w:r>
            <w:r w:rsidR="00C04DF1">
              <w:t xml:space="preserve"> izmanto dažādas aprēķinu formulas un pieņēmumus</w:t>
            </w:r>
            <w:r w:rsidR="00FF77D9">
              <w:t xml:space="preserve"> SEG emisiju aprēķiniem</w:t>
            </w:r>
            <w:r w:rsidR="00C04DF1">
              <w:t xml:space="preserve">. </w:t>
            </w:r>
            <w:r w:rsidR="00FF77D9">
              <w:t>Dažādu un savstarpēji atšķirīgu aprēķinu metodoloģijas dēļ</w:t>
            </w:r>
            <w:r w:rsidR="00C04DF1">
              <w:t xml:space="preserve"> nav iespējams savstarpēji salīdzināt rezultātus vai veikt korektu datu apkopojumu.</w:t>
            </w:r>
          </w:p>
          <w:p w14:paraId="5E580F05" w14:textId="77777777" w:rsidR="00C04DF1" w:rsidRDefault="00C04DF1" w:rsidP="00AF470F">
            <w:pPr>
              <w:spacing w:before="0" w:after="0" w:line="240" w:lineRule="auto"/>
              <w:ind w:left="141" w:right="236"/>
              <w:outlineLvl w:val="0"/>
            </w:pPr>
          </w:p>
          <w:p w14:paraId="3B48579A" w14:textId="111863CA" w:rsidR="000D3752" w:rsidRPr="006113FA" w:rsidRDefault="006113FA" w:rsidP="006113FA">
            <w:pPr>
              <w:spacing w:before="0" w:after="0" w:line="240" w:lineRule="auto"/>
              <w:ind w:left="141" w:right="236"/>
              <w:outlineLvl w:val="0"/>
              <w:rPr>
                <w:u w:val="single"/>
              </w:rPr>
            </w:pPr>
            <w:r>
              <w:rPr>
                <w:u w:val="single"/>
              </w:rPr>
              <w:t>Noteikumu projekta mērķis un būtība</w:t>
            </w:r>
          </w:p>
          <w:p w14:paraId="6155724E" w14:textId="77777777" w:rsidR="00AF470F" w:rsidRDefault="00613A68" w:rsidP="00AB7977">
            <w:pPr>
              <w:spacing w:before="0" w:after="0" w:line="240" w:lineRule="auto"/>
              <w:ind w:left="141" w:right="236"/>
              <w:outlineLvl w:val="0"/>
              <w:rPr>
                <w:bCs/>
                <w:color w:val="000000" w:themeColor="text1"/>
              </w:rPr>
            </w:pPr>
            <w:r>
              <w:t xml:space="preserve">  </w:t>
            </w:r>
            <w:r w:rsidR="00FE226F">
              <w:t>Noteikumu projekts nosaka metodiku vienotam SEG emisiju aprēķinam, lai novērtētu pasākumu un projekt</w:t>
            </w:r>
            <w:r w:rsidR="00AF470F">
              <w:t>u ietekmi uz klimata pārmaiņām.</w:t>
            </w:r>
            <w:r w:rsidR="00AF470F">
              <w:rPr>
                <w:bCs/>
                <w:color w:val="000000" w:themeColor="text1"/>
              </w:rPr>
              <w:t xml:space="preserve"> Metodikā ir ietverta SEG emisiju samazinājuma aprēķina kārtība, emisijas faktori un formulas, kas pielietojamas, lai aprēķinātu dažādu tautsaimniecības nozaru pasākumu un projektu īstenošanas laikā panākto</w:t>
            </w:r>
            <w:r w:rsidR="00737FCA">
              <w:rPr>
                <w:bCs/>
                <w:color w:val="000000" w:themeColor="text1"/>
              </w:rPr>
              <w:t xml:space="preserve"> </w:t>
            </w:r>
            <w:r w:rsidR="00AF470F">
              <w:rPr>
                <w:bCs/>
                <w:color w:val="000000" w:themeColor="text1"/>
              </w:rPr>
              <w:t xml:space="preserve">vai plānoto SEG emisiju samazinājuma apjomu. </w:t>
            </w:r>
          </w:p>
          <w:p w14:paraId="260EFF7E" w14:textId="77777777" w:rsidR="00AC5FB9" w:rsidRDefault="00613A68" w:rsidP="00AC5FB9">
            <w:pPr>
              <w:spacing w:before="0" w:after="0" w:line="240" w:lineRule="auto"/>
              <w:ind w:left="141" w:right="236"/>
              <w:outlineLvl w:val="0"/>
            </w:pPr>
            <w:r>
              <w:t xml:space="preserve">  </w:t>
            </w:r>
            <w:r w:rsidR="00AC5FB9">
              <w:t xml:space="preserve">Noteikumu projekta </w:t>
            </w:r>
            <w:r w:rsidR="00783E26">
              <w:t xml:space="preserve">SEG emisiju </w:t>
            </w:r>
            <w:r w:rsidR="00AC5FB9">
              <w:t>aprēķinu metodiku piemēro tādu pasākumu un projektu ietekmes uz klimata pārmaiņām novērtēšanai, kuru ietvaros notiek:</w:t>
            </w:r>
          </w:p>
          <w:p w14:paraId="286C407E" w14:textId="3A8101FC" w:rsidR="00AC5FB9" w:rsidRDefault="00AC5FB9" w:rsidP="00AC5FB9">
            <w:pPr>
              <w:pStyle w:val="ListParagraph"/>
              <w:numPr>
                <w:ilvl w:val="0"/>
                <w:numId w:val="17"/>
              </w:numPr>
              <w:spacing w:before="0" w:after="0" w:line="240" w:lineRule="auto"/>
              <w:ind w:right="236"/>
              <w:outlineLvl w:val="0"/>
            </w:pPr>
            <w:r>
              <w:t>energoefektivitātes uzlabošana</w:t>
            </w:r>
            <w:r w:rsidR="00E105BD">
              <w:t>s pasākumi siltumenerģijas un elektroenerģijas patēriņu ietekmējošām darbībām ēkās vai ēkas daļās, ražošanas tehnoloģiskās iekārtās</w:t>
            </w:r>
            <w:r w:rsidR="00982B34">
              <w:t xml:space="preserve"> (</w:t>
            </w:r>
            <w:r w:rsidR="00982B34" w:rsidRPr="00982B34">
              <w:t xml:space="preserve">darba mašīnas noteiktu secīgu tehnoloģisko operāciju kopuma veikšanai, lai pārveidotu darba priekšmeta (vielas, materiāla, izstrādājuma) īpašības, tādējādi radot darba priekšmeta vērtības pieaugumu, un būtiskas minēto darba mašīnu palīgierīces un </w:t>
            </w:r>
            <w:proofErr w:type="spellStart"/>
            <w:r w:rsidR="00982B34" w:rsidRPr="00982B34">
              <w:t>palīgrīki</w:t>
            </w:r>
            <w:proofErr w:type="spellEnd"/>
            <w:r w:rsidR="00982B34" w:rsidRPr="00982B34">
              <w:t xml:space="preserve">, ar kuriem papildina darba mašīnas tehnoloģisko operāciju kopuma veikšanai. Darba mašīnas ir ietaises (mehānismi vai to komplekss), kuru būtiska sastāvdaļa ir jebkura veida </w:t>
            </w:r>
            <w:proofErr w:type="spellStart"/>
            <w:r w:rsidR="00982B34" w:rsidRPr="00982B34">
              <w:t>izpildsistēmas</w:t>
            </w:r>
            <w:proofErr w:type="spellEnd"/>
            <w:r w:rsidR="00982B34" w:rsidRPr="00982B34">
              <w:t xml:space="preserve"> un vadības sistēma.</w:t>
            </w:r>
            <w:r w:rsidR="00982B34">
              <w:t>)</w:t>
            </w:r>
            <w:r w:rsidR="00E105BD">
              <w:t>, enerģētikas, ūdensapgādes un kanalizācijas un sakaru infrastruktūrā</w:t>
            </w:r>
            <w:r>
              <w:t>;</w:t>
            </w:r>
          </w:p>
          <w:p w14:paraId="5BF2F2B2" w14:textId="0DC638F5" w:rsidR="00AC5FB9" w:rsidRDefault="00613A68" w:rsidP="00AC5FB9">
            <w:pPr>
              <w:pStyle w:val="ListParagraph"/>
              <w:numPr>
                <w:ilvl w:val="0"/>
                <w:numId w:val="17"/>
              </w:numPr>
              <w:spacing w:before="0" w:after="0" w:line="240" w:lineRule="auto"/>
              <w:ind w:right="236"/>
              <w:outlineLvl w:val="0"/>
            </w:pPr>
            <w:r>
              <w:t>atjaunojamo energoresursu</w:t>
            </w:r>
            <w:r w:rsidR="00AC5FB9">
              <w:t xml:space="preserve"> tehnoloģiju</w:t>
            </w:r>
            <w:r w:rsidR="00C80CA3">
              <w:t xml:space="preserve"> (</w:t>
            </w:r>
            <w:r w:rsidR="00982B34">
              <w:t xml:space="preserve">iekārtas vai iekārtu sistēmas enerģijas ražošanai no apjaunojamajiem </w:t>
            </w:r>
            <w:r w:rsidR="00982B34">
              <w:lastRenderedPageBreak/>
              <w:t xml:space="preserve">energoresursiem, </w:t>
            </w:r>
            <w:r w:rsidR="00C80CA3">
              <w:t xml:space="preserve">piemēram, biomasas katli un kamīni, biomasas koģenerācijas stacijas, </w:t>
            </w:r>
            <w:r w:rsidR="00A124C1">
              <w:t>saules</w:t>
            </w:r>
            <w:r w:rsidR="00C80CA3">
              <w:t xml:space="preserve"> kolektori, saules elektrostacijas, vēja elektrostacijas, hidroelektrostacijas, siltuma sūkņi, ģeotermālās stacijas, </w:t>
            </w:r>
            <w:proofErr w:type="spellStart"/>
            <w:r w:rsidR="00C80CA3">
              <w:t>viļnu</w:t>
            </w:r>
            <w:proofErr w:type="spellEnd"/>
            <w:r w:rsidR="00C80CA3">
              <w:t xml:space="preserve"> stacijas, paisuma un bēguma stacijas, ūdens straumju stacijas)</w:t>
            </w:r>
            <w:r w:rsidR="00AC5FB9">
              <w:t xml:space="preserve"> ieviešana un fosilo energoresursu tehnoloģiju</w:t>
            </w:r>
            <w:r w:rsidR="00C80CA3">
              <w:t xml:space="preserve"> (</w:t>
            </w:r>
            <w:r w:rsidR="00982B34">
              <w:t xml:space="preserve">iekārtas vai iekārtu sistēmas enerģijas ražošanai no fosilajiem energoresursiem, </w:t>
            </w:r>
            <w:r w:rsidR="00C80CA3">
              <w:t>piemēram, dabasgāzes</w:t>
            </w:r>
            <w:r w:rsidR="00A124C1">
              <w:t xml:space="preserve"> katli, akmeņogļu katli, mazuta katli, dīzeļdegvielas katli, sašķidrinātas naftas gāzes katli, dabasgāzes koģenerācijas stacijas</w:t>
            </w:r>
            <w:r w:rsidR="00C80CA3">
              <w:t>)</w:t>
            </w:r>
            <w:r w:rsidR="00AC5FB9">
              <w:t xml:space="preserve"> modernizācija;</w:t>
            </w:r>
          </w:p>
          <w:p w14:paraId="49EC5A47" w14:textId="463ED1B2" w:rsidR="00CC38A2" w:rsidRDefault="00CC38A2" w:rsidP="00AC5FB9">
            <w:pPr>
              <w:pStyle w:val="ListParagraph"/>
              <w:numPr>
                <w:ilvl w:val="0"/>
                <w:numId w:val="17"/>
              </w:numPr>
              <w:spacing w:before="0" w:after="0" w:line="240" w:lineRule="auto"/>
              <w:ind w:right="236"/>
              <w:outlineLvl w:val="0"/>
            </w:pPr>
            <w:r>
              <w:t>aukstuma iekārtu efektivitātes uzlabošana;</w:t>
            </w:r>
          </w:p>
          <w:p w14:paraId="1255771A" w14:textId="754B9513" w:rsidR="00AC5FB9" w:rsidRDefault="00AC5FB9" w:rsidP="00AC5FB9">
            <w:pPr>
              <w:pStyle w:val="ListParagraph"/>
              <w:numPr>
                <w:ilvl w:val="0"/>
                <w:numId w:val="17"/>
              </w:numPr>
              <w:spacing w:before="0" w:after="0" w:line="240" w:lineRule="auto"/>
              <w:ind w:right="236"/>
              <w:outlineLvl w:val="0"/>
            </w:pPr>
            <w:r>
              <w:t>pasākumu transporta nozarē</w:t>
            </w:r>
            <w:r w:rsidR="009C4CA1">
              <w:t xml:space="preserve"> īstenošana</w:t>
            </w:r>
            <w:r w:rsidR="00E105BD">
              <w:t>, t.sk. transportlīdzekļu nomaiņas un modernizācijas, vieglā autotransporta izmantošanas maiņa</w:t>
            </w:r>
            <w:r w:rsidR="00663A4F">
              <w:t>s</w:t>
            </w:r>
            <w:r w:rsidR="00E105BD">
              <w:t xml:space="preserve"> pret sabiedriskā transporta izmantošanu un ve</w:t>
            </w:r>
            <w:r w:rsidR="00663A4F">
              <w:t>lotransporta izmantošanu</w:t>
            </w:r>
            <w:r w:rsidR="00E105BD">
              <w:t>, veloceliņu</w:t>
            </w:r>
            <w:r w:rsidR="00663A4F">
              <w:t xml:space="preserve"> izbūves un transporta</w:t>
            </w:r>
            <w:r w:rsidR="00E105BD">
              <w:t xml:space="preserve"> loģistikas pasākumiem</w:t>
            </w:r>
            <w:r>
              <w:t>;</w:t>
            </w:r>
          </w:p>
          <w:p w14:paraId="73C6CB27" w14:textId="66760F4E" w:rsidR="00AC5FB9" w:rsidRDefault="00AC5FB9" w:rsidP="00AC5FB9">
            <w:pPr>
              <w:pStyle w:val="ListParagraph"/>
              <w:numPr>
                <w:ilvl w:val="0"/>
                <w:numId w:val="17"/>
              </w:numPr>
              <w:spacing w:before="0" w:after="0" w:line="240" w:lineRule="auto"/>
              <w:ind w:right="236"/>
              <w:outlineLvl w:val="0"/>
            </w:pPr>
            <w:r>
              <w:t>pasākumu lauksaimniecības nozarē</w:t>
            </w:r>
            <w:r w:rsidR="009C4CA1">
              <w:t xml:space="preserve"> īstenošana</w:t>
            </w:r>
            <w:r w:rsidR="00E105BD">
              <w:t xml:space="preserve">, t.sk. </w:t>
            </w:r>
            <w:r w:rsidR="00663A4F">
              <w:t xml:space="preserve">lauksaimniecības dzīvnieku ēdināšanas izmaiņu, samazināta slāpekļa minerālmēslu izmantošanas, kūtsmēslu un </w:t>
            </w:r>
            <w:proofErr w:type="spellStart"/>
            <w:r w:rsidR="00663A4F">
              <w:t>šķidrmēslu</w:t>
            </w:r>
            <w:proofErr w:type="spellEnd"/>
            <w:r w:rsidR="00663A4F">
              <w:t xml:space="preserve"> slēgto krātuvju izveidošanas </w:t>
            </w:r>
            <w:r w:rsidR="00E105BD">
              <w:t>pasākumiem</w:t>
            </w:r>
            <w:r w:rsidR="00663A4F">
              <w:t>, kas ir</w:t>
            </w:r>
            <w:r w:rsidR="00E105BD">
              <w:t xml:space="preserve"> ar vislielāko SEG emisiju samazinājuma potenciālu</w:t>
            </w:r>
            <w:r w:rsidR="00663A4F">
              <w:t>;</w:t>
            </w:r>
          </w:p>
          <w:p w14:paraId="5C236B02" w14:textId="5D442EF2" w:rsidR="00663A4F" w:rsidRPr="00362EC0" w:rsidRDefault="009C4CA1" w:rsidP="00AC5FB9">
            <w:pPr>
              <w:pStyle w:val="ListParagraph"/>
              <w:numPr>
                <w:ilvl w:val="0"/>
                <w:numId w:val="17"/>
              </w:numPr>
              <w:spacing w:before="0" w:after="0" w:line="240" w:lineRule="auto"/>
              <w:ind w:right="236"/>
              <w:outlineLvl w:val="0"/>
              <w:rPr>
                <w:color w:val="000000" w:themeColor="text1"/>
              </w:rPr>
            </w:pPr>
            <w:r w:rsidRPr="00362EC0">
              <w:rPr>
                <w:color w:val="000000" w:themeColor="text1"/>
              </w:rPr>
              <w:t>pasākumu</w:t>
            </w:r>
            <w:r w:rsidR="00663A4F" w:rsidRPr="00362EC0">
              <w:rPr>
                <w:color w:val="000000" w:themeColor="text1"/>
              </w:rPr>
              <w:t xml:space="preserve"> atkritumu apsaimnie</w:t>
            </w:r>
            <w:r w:rsidR="00784429" w:rsidRPr="00362EC0">
              <w:rPr>
                <w:color w:val="000000" w:themeColor="text1"/>
              </w:rPr>
              <w:t>košanas nozarē</w:t>
            </w:r>
            <w:r w:rsidRPr="00362EC0">
              <w:rPr>
                <w:color w:val="000000" w:themeColor="text1"/>
              </w:rPr>
              <w:t xml:space="preserve"> īstenošana</w:t>
            </w:r>
            <w:r w:rsidR="00784429" w:rsidRPr="00362EC0">
              <w:rPr>
                <w:color w:val="000000" w:themeColor="text1"/>
              </w:rPr>
              <w:t>, t.sk. pasākum</w:t>
            </w:r>
            <w:r w:rsidRPr="00362EC0">
              <w:rPr>
                <w:color w:val="000000" w:themeColor="text1"/>
              </w:rPr>
              <w:t>u</w:t>
            </w:r>
            <w:r w:rsidR="00663A4F" w:rsidRPr="00362EC0">
              <w:rPr>
                <w:color w:val="000000" w:themeColor="text1"/>
              </w:rPr>
              <w:t>,</w:t>
            </w:r>
            <w:r w:rsidR="0057388B" w:rsidRPr="00362EC0">
              <w:rPr>
                <w:color w:val="000000" w:themeColor="text1"/>
              </w:rPr>
              <w:t xml:space="preserve"> kuros plānots no bioloģiski</w:t>
            </w:r>
            <w:r w:rsidR="00F52763" w:rsidRPr="00362EC0">
              <w:rPr>
                <w:color w:val="000000" w:themeColor="text1"/>
              </w:rPr>
              <w:t xml:space="preserve"> noārdāmiem</w:t>
            </w:r>
            <w:r w:rsidR="00663A4F" w:rsidRPr="00362EC0">
              <w:rPr>
                <w:color w:val="000000" w:themeColor="text1"/>
              </w:rPr>
              <w:t xml:space="preserve"> atkritumiem iegūt biogāzi, ko p</w:t>
            </w:r>
            <w:r w:rsidR="00F52763" w:rsidRPr="00362EC0">
              <w:rPr>
                <w:color w:val="000000" w:themeColor="text1"/>
              </w:rPr>
              <w:t>aredzēts izmantot sadedzināšanā un</w:t>
            </w:r>
            <w:r w:rsidR="0040555E" w:rsidRPr="00362EC0">
              <w:rPr>
                <w:color w:val="000000" w:themeColor="text1"/>
              </w:rPr>
              <w:t xml:space="preserve"> transportā</w:t>
            </w:r>
            <w:r w:rsidR="00663A4F" w:rsidRPr="00362EC0">
              <w:rPr>
                <w:color w:val="000000" w:themeColor="text1"/>
              </w:rPr>
              <w:t>.</w:t>
            </w:r>
          </w:p>
          <w:p w14:paraId="6F7C8C99" w14:textId="386B4E1C" w:rsidR="00EF3783" w:rsidRDefault="00EF3783" w:rsidP="00613A68">
            <w:pPr>
              <w:spacing w:before="0" w:after="0" w:line="240" w:lineRule="auto"/>
              <w:ind w:left="141" w:right="236"/>
              <w:outlineLvl w:val="0"/>
              <w:rPr>
                <w:shd w:val="clear" w:color="auto" w:fill="FFFFFF"/>
              </w:rPr>
            </w:pPr>
            <w:r>
              <w:t>Noteikumu projekt</w:t>
            </w:r>
            <w:r w:rsidR="00BA5AD6">
              <w:t>ā</w:t>
            </w:r>
            <w:r>
              <w:t xml:space="preserve"> </w:t>
            </w:r>
            <w:r w:rsidR="00B051DF">
              <w:t>ņem</w:t>
            </w:r>
            <w:r w:rsidR="00CD5FE3">
              <w:t>t</w:t>
            </w:r>
            <w:r w:rsidR="00BA5AD6">
              <w:t>as</w:t>
            </w:r>
            <w:r w:rsidR="00B051DF">
              <w:t xml:space="preserve"> vērā</w:t>
            </w:r>
            <w:r>
              <w:t xml:space="preserve"> </w:t>
            </w:r>
            <w:r w:rsidR="00E72946" w:rsidRPr="00696B0C">
              <w:rPr>
                <w:shd w:val="clear" w:color="auto" w:fill="FFFFFF"/>
              </w:rPr>
              <w:t>Eiropas Komisijas 2012. gada 21. jūnija Regulas Nr.</w:t>
            </w:r>
            <w:r w:rsidR="00E72946" w:rsidRPr="00696B0C">
              <w:rPr>
                <w:rStyle w:val="apple-converted-space"/>
                <w:shd w:val="clear" w:color="auto" w:fill="FFFFFF"/>
              </w:rPr>
              <w:t> </w:t>
            </w:r>
            <w:hyperlink r:id="rId9" w:tgtFrame="_blank" w:history="1">
              <w:r w:rsidR="00E72946" w:rsidRPr="00EF3783">
                <w:rPr>
                  <w:rStyle w:val="Hyperlink"/>
                  <w:color w:val="auto"/>
                  <w:u w:val="none"/>
                  <w:shd w:val="clear" w:color="auto" w:fill="FFFFFF"/>
                </w:rPr>
                <w:t>601/2012</w:t>
              </w:r>
            </w:hyperlink>
            <w:r w:rsidR="00E72946" w:rsidRPr="00696B0C">
              <w:rPr>
                <w:rStyle w:val="apple-converted-space"/>
                <w:shd w:val="clear" w:color="auto" w:fill="FFFFFF"/>
              </w:rPr>
              <w:t> </w:t>
            </w:r>
            <w:r w:rsidR="00E72946" w:rsidRPr="00696B0C">
              <w:rPr>
                <w:shd w:val="clear" w:color="auto" w:fill="FFFFFF"/>
              </w:rPr>
              <w:t xml:space="preserve">par siltumnīcefekta gāzu emisiju monitoringu un ziņošanu saskaņā ar Eiropas Parlamenta un </w:t>
            </w:r>
            <w:r w:rsidR="00E72946" w:rsidRPr="00764196">
              <w:rPr>
                <w:shd w:val="clear" w:color="auto" w:fill="FFFFFF"/>
              </w:rPr>
              <w:t>Padomes Direktīvu</w:t>
            </w:r>
            <w:r w:rsidR="00E72946" w:rsidRPr="00764196">
              <w:rPr>
                <w:rStyle w:val="apple-converted-space"/>
                <w:shd w:val="clear" w:color="auto" w:fill="FFFFFF"/>
              </w:rPr>
              <w:t> </w:t>
            </w:r>
            <w:hyperlink r:id="rId10" w:tgtFrame="_blank" w:history="1">
              <w:r w:rsidR="00E72946" w:rsidRPr="00EF3783">
                <w:rPr>
                  <w:rStyle w:val="Hyperlink"/>
                  <w:color w:val="auto"/>
                  <w:u w:val="none"/>
                  <w:shd w:val="clear" w:color="auto" w:fill="FFFFFF"/>
                </w:rPr>
                <w:t>2003/87/EK</w:t>
              </w:r>
            </w:hyperlink>
            <w:r w:rsidR="00815D15">
              <w:rPr>
                <w:rStyle w:val="Hyperlink"/>
                <w:color w:val="auto"/>
                <w:u w:val="none"/>
                <w:shd w:val="clear" w:color="auto" w:fill="FFFFFF"/>
              </w:rPr>
              <w:t xml:space="preserve"> (turpmāk – Regula Nr.601/2012)</w:t>
            </w:r>
            <w:r w:rsidR="00E72946" w:rsidRPr="00764196">
              <w:rPr>
                <w:rStyle w:val="apple-converted-space"/>
                <w:shd w:val="clear" w:color="auto" w:fill="FFFFFF"/>
              </w:rPr>
              <w:t> </w:t>
            </w:r>
            <w:r w:rsidR="00E72946" w:rsidRPr="00764196">
              <w:rPr>
                <w:shd w:val="clear" w:color="auto" w:fill="FFFFFF"/>
              </w:rPr>
              <w:t>VI pielikum</w:t>
            </w:r>
            <w:r w:rsidR="00BA5AD6">
              <w:rPr>
                <w:shd w:val="clear" w:color="auto" w:fill="FFFFFF"/>
              </w:rPr>
              <w:t>ā</w:t>
            </w:r>
            <w:r>
              <w:rPr>
                <w:shd w:val="clear" w:color="auto" w:fill="FFFFFF"/>
              </w:rPr>
              <w:t xml:space="preserve"> </w:t>
            </w:r>
            <w:r w:rsidR="00E72946">
              <w:rPr>
                <w:shd w:val="clear" w:color="auto" w:fill="FFFFFF"/>
              </w:rPr>
              <w:t>noteikt</w:t>
            </w:r>
            <w:r w:rsidR="00BA5AD6">
              <w:rPr>
                <w:shd w:val="clear" w:color="auto" w:fill="FFFFFF"/>
              </w:rPr>
              <w:t>ā</w:t>
            </w:r>
            <w:r w:rsidR="0069073A">
              <w:rPr>
                <w:shd w:val="clear" w:color="auto" w:fill="FFFFFF"/>
              </w:rPr>
              <w:t>s</w:t>
            </w:r>
            <w:r w:rsidR="00E72946">
              <w:rPr>
                <w:shd w:val="clear" w:color="auto" w:fill="FFFFFF"/>
              </w:rPr>
              <w:t xml:space="preserve"> </w:t>
            </w:r>
            <w:r w:rsidR="008909B5">
              <w:rPr>
                <w:shd w:val="clear" w:color="auto" w:fill="FFFFFF"/>
              </w:rPr>
              <w:t>energoresursu</w:t>
            </w:r>
            <w:r w:rsidR="00E72946">
              <w:rPr>
                <w:shd w:val="clear" w:color="auto" w:fill="FFFFFF"/>
              </w:rPr>
              <w:t xml:space="preserve"> zemākā sadegšanas siltuma un </w:t>
            </w:r>
            <w:r>
              <w:rPr>
                <w:shd w:val="clear" w:color="auto" w:fill="FFFFFF"/>
              </w:rPr>
              <w:t xml:space="preserve">oglekļa dioksīda (turpmāk – </w:t>
            </w:r>
            <w:r w:rsidR="00E72946">
              <w:rPr>
                <w:shd w:val="clear" w:color="auto" w:fill="FFFFFF"/>
              </w:rPr>
              <w:t>CO</w:t>
            </w:r>
            <w:r w:rsidR="00E72946" w:rsidRPr="00E72946">
              <w:rPr>
                <w:shd w:val="clear" w:color="auto" w:fill="FFFFFF"/>
                <w:vertAlign w:val="subscript"/>
              </w:rPr>
              <w:t>2</w:t>
            </w:r>
            <w:r>
              <w:rPr>
                <w:shd w:val="clear" w:color="auto" w:fill="FFFFFF"/>
              </w:rPr>
              <w:t xml:space="preserve">) </w:t>
            </w:r>
            <w:r w:rsidR="00E72946">
              <w:rPr>
                <w:shd w:val="clear" w:color="auto" w:fill="FFFFFF"/>
              </w:rPr>
              <w:t xml:space="preserve">emisijas faktoru vērtības. </w:t>
            </w:r>
          </w:p>
          <w:p w14:paraId="5A4BC809" w14:textId="0B78146A" w:rsidR="00A356BD" w:rsidRDefault="0069073A" w:rsidP="00613A68">
            <w:pPr>
              <w:spacing w:before="0" w:after="0" w:line="240" w:lineRule="auto"/>
              <w:ind w:left="141" w:right="236"/>
              <w:outlineLvl w:val="0"/>
              <w:rPr>
                <w:rFonts w:eastAsiaTheme="minorEastAsia"/>
                <w:color w:val="000000" w:themeColor="text1"/>
              </w:rPr>
            </w:pPr>
            <w:r>
              <w:rPr>
                <w:shd w:val="clear" w:color="auto" w:fill="FFFFFF"/>
              </w:rPr>
              <w:t>A</w:t>
            </w:r>
            <w:r w:rsidR="00E72946">
              <w:rPr>
                <w:shd w:val="clear" w:color="auto" w:fill="FFFFFF"/>
              </w:rPr>
              <w:t>prēķina formul</w:t>
            </w:r>
            <w:r>
              <w:rPr>
                <w:shd w:val="clear" w:color="auto" w:fill="FFFFFF"/>
              </w:rPr>
              <w:t>u</w:t>
            </w:r>
            <w:r w:rsidR="00E72946">
              <w:rPr>
                <w:shd w:val="clear" w:color="auto" w:fill="FFFFFF"/>
              </w:rPr>
              <w:t xml:space="preserve"> par </w:t>
            </w:r>
            <w:r w:rsidR="008909B5">
              <w:rPr>
                <w:shd w:val="clear" w:color="auto" w:fill="FFFFFF"/>
              </w:rPr>
              <w:t>lauksaimniecības</w:t>
            </w:r>
            <w:r w:rsidR="00E72946">
              <w:rPr>
                <w:shd w:val="clear" w:color="auto" w:fill="FFFFFF"/>
              </w:rPr>
              <w:t xml:space="preserve"> nozares pasākumiem</w:t>
            </w:r>
            <w:r>
              <w:rPr>
                <w:shd w:val="clear" w:color="auto" w:fill="FFFFFF"/>
              </w:rPr>
              <w:t xml:space="preserve"> sagatavošanā</w:t>
            </w:r>
            <w:r w:rsidR="00E72946">
              <w:rPr>
                <w:shd w:val="clear" w:color="auto" w:fill="FFFFFF"/>
              </w:rPr>
              <w:t xml:space="preserve"> izmantot</w:t>
            </w:r>
            <w:r w:rsidR="00B051DF">
              <w:rPr>
                <w:shd w:val="clear" w:color="auto" w:fill="FFFFFF"/>
              </w:rPr>
              <w:t>i</w:t>
            </w:r>
            <w:r w:rsidR="00E72946" w:rsidRPr="001206C5">
              <w:rPr>
                <w:rFonts w:eastAsiaTheme="minorEastAsia"/>
                <w:color w:val="000000" w:themeColor="text1"/>
              </w:rPr>
              <w:t xml:space="preserve"> </w:t>
            </w:r>
            <w:r w:rsidR="00E72946" w:rsidRPr="001206C5">
              <w:t>Klimata pārmaiņu starpvaldību padomes</w:t>
            </w:r>
            <w:r w:rsidR="00E72946">
              <w:rPr>
                <w:rFonts w:eastAsiaTheme="minorEastAsia"/>
                <w:color w:val="000000" w:themeColor="text1"/>
              </w:rPr>
              <w:t xml:space="preserve"> (</w:t>
            </w:r>
            <w:r w:rsidR="00E72946" w:rsidRPr="0069073A">
              <w:rPr>
                <w:rFonts w:eastAsiaTheme="minorEastAsia"/>
                <w:i/>
                <w:color w:val="000000" w:themeColor="text1"/>
              </w:rPr>
              <w:t>IPCC</w:t>
            </w:r>
            <w:r w:rsidR="00E72946">
              <w:rPr>
                <w:rFonts w:eastAsiaTheme="minorEastAsia"/>
                <w:color w:val="000000" w:themeColor="text1"/>
              </w:rPr>
              <w:t xml:space="preserve">) </w:t>
            </w:r>
            <w:r w:rsidR="0040555E" w:rsidRPr="001206C5">
              <w:rPr>
                <w:rFonts w:eastAsiaTheme="minorEastAsia"/>
                <w:color w:val="000000" w:themeColor="text1"/>
              </w:rPr>
              <w:t>2006.</w:t>
            </w:r>
            <w:r w:rsidR="00CD5FE3">
              <w:rPr>
                <w:rFonts w:eastAsiaTheme="minorEastAsia"/>
                <w:color w:val="000000" w:themeColor="text1"/>
              </w:rPr>
              <w:t xml:space="preserve"> </w:t>
            </w:r>
            <w:r w:rsidR="0040555E" w:rsidRPr="001206C5">
              <w:rPr>
                <w:rFonts w:eastAsiaTheme="minorEastAsia"/>
                <w:color w:val="000000" w:themeColor="text1"/>
              </w:rPr>
              <w:t xml:space="preserve">gada </w:t>
            </w:r>
            <w:r w:rsidR="00B051DF">
              <w:rPr>
                <w:rFonts w:eastAsiaTheme="minorEastAsia"/>
                <w:color w:val="000000" w:themeColor="text1"/>
              </w:rPr>
              <w:t>metodiskie norādījumi.</w:t>
            </w:r>
            <w:r w:rsidR="00E72946" w:rsidRPr="001206C5">
              <w:rPr>
                <w:rFonts w:eastAsiaTheme="minorEastAsia"/>
                <w:color w:val="000000" w:themeColor="text1"/>
              </w:rPr>
              <w:t xml:space="preserve"> </w:t>
            </w:r>
          </w:p>
          <w:p w14:paraId="67414123" w14:textId="587B2B53" w:rsidR="008A58FC" w:rsidRDefault="00B105E4" w:rsidP="00B051DF">
            <w:pPr>
              <w:spacing w:before="0" w:after="0" w:line="240" w:lineRule="auto"/>
              <w:ind w:left="141" w:right="236"/>
              <w:outlineLvl w:val="0"/>
            </w:pPr>
            <w:r>
              <w:rPr>
                <w:rFonts w:eastAsiaTheme="minorEastAsia"/>
                <w:color w:val="000000" w:themeColor="text1"/>
              </w:rPr>
              <w:t xml:space="preserve">Šo noteikumu pielikuma 8.2. apakšpunkta tabulā norādītā informācija attiecībā uz pasažieru skaitu transportlīdzeklī ir norādīta balstoties uz publiski pieejamo informāciju </w:t>
            </w:r>
            <w:r w:rsidR="004E3368">
              <w:rPr>
                <w:rFonts w:eastAsiaTheme="minorEastAsia"/>
                <w:color w:val="000000" w:themeColor="text1"/>
              </w:rPr>
              <w:t xml:space="preserve">piemēram, </w:t>
            </w:r>
            <w:r>
              <w:rPr>
                <w:bCs/>
              </w:rPr>
              <w:t>PSIA “Rīgas satiksme” un AS “Pasažieru vilciens”</w:t>
            </w:r>
            <w:r w:rsidR="008C385C">
              <w:rPr>
                <w:bCs/>
              </w:rPr>
              <w:t xml:space="preserve"> tīmekļvietnēs un sagatavotajos </w:t>
            </w:r>
            <w:r w:rsidR="004E3368">
              <w:rPr>
                <w:bCs/>
              </w:rPr>
              <w:t>dokumentos</w:t>
            </w:r>
            <w:r>
              <w:rPr>
                <w:rFonts w:eastAsiaTheme="minorEastAsia"/>
                <w:color w:val="000000" w:themeColor="text1"/>
              </w:rPr>
              <w:t>.</w:t>
            </w:r>
            <w:r w:rsidR="00575F66">
              <w:rPr>
                <w:rFonts w:eastAsiaTheme="minorEastAsia"/>
                <w:color w:val="000000" w:themeColor="text1"/>
              </w:rPr>
              <w:t xml:space="preserve"> </w:t>
            </w:r>
            <w:r w:rsidR="004E3368">
              <w:rPr>
                <w:rFonts w:eastAsiaTheme="minorEastAsia"/>
                <w:color w:val="000000" w:themeColor="text1"/>
              </w:rPr>
              <w:t xml:space="preserve">Diemžēl ierobežota datu apjoma pieejamības dēļ šobrīd nav veikta detalizēta un visaptveroša analīze par visu Latvijā izmantoto </w:t>
            </w:r>
            <w:proofErr w:type="spellStart"/>
            <w:r w:rsidR="004E3368">
              <w:rPr>
                <w:rFonts w:eastAsiaTheme="minorEastAsia"/>
                <w:color w:val="000000" w:themeColor="text1"/>
              </w:rPr>
              <w:t>tranportlīdzekļu</w:t>
            </w:r>
            <w:proofErr w:type="spellEnd"/>
            <w:r w:rsidR="004E3368">
              <w:rPr>
                <w:rFonts w:eastAsiaTheme="minorEastAsia"/>
                <w:color w:val="000000" w:themeColor="text1"/>
              </w:rPr>
              <w:t xml:space="preserve"> pasažieru ietilpību un to radīto emisiju apjomu uz nobraukto attālumu.</w:t>
            </w:r>
            <w:r w:rsidR="008E0C36">
              <w:rPr>
                <w:rFonts w:eastAsiaTheme="minorEastAsia"/>
                <w:color w:val="000000" w:themeColor="text1"/>
              </w:rPr>
              <w:t xml:space="preserve"> </w:t>
            </w:r>
            <w:bookmarkStart w:id="41" w:name="_GoBack"/>
            <w:bookmarkEnd w:id="41"/>
            <w:r w:rsidR="00B051DF">
              <w:t>Noteikumu projektā iekļautā metodika obligāti piemērojama tajos gadījumos, kad to nosaka Latvijas Republikas tiesību akti (paredzēts, ka turpmāk izstrādājamie tiesību akti ietvers atsauci uz šiem noteikumiem), bet visos citos gadījumos tās piemērošana ir brīvprātīga.</w:t>
            </w:r>
          </w:p>
          <w:p w14:paraId="000A4CA9" w14:textId="66D36FF6" w:rsidR="00FA510D" w:rsidRDefault="00903059" w:rsidP="00903059">
            <w:pPr>
              <w:spacing w:before="0" w:after="0" w:line="240" w:lineRule="auto"/>
              <w:ind w:left="141" w:right="236"/>
              <w:outlineLvl w:val="0"/>
              <w:rPr>
                <w:color w:val="000000" w:themeColor="text1"/>
              </w:rPr>
            </w:pPr>
            <w:r>
              <w:rPr>
                <w:color w:val="000000" w:themeColor="text1"/>
              </w:rPr>
              <w:t xml:space="preserve">Lai aprēķinātu </w:t>
            </w:r>
            <w:r w:rsidR="00FA510D" w:rsidRPr="00FA510D">
              <w:rPr>
                <w:color w:val="000000" w:themeColor="text1"/>
              </w:rPr>
              <w:t>SEG emisiju apjom</w:t>
            </w:r>
            <w:r>
              <w:rPr>
                <w:color w:val="000000" w:themeColor="text1"/>
              </w:rPr>
              <w:t>u</w:t>
            </w:r>
            <w:r w:rsidR="00FA510D" w:rsidRPr="00FA510D">
              <w:rPr>
                <w:color w:val="000000" w:themeColor="text1"/>
              </w:rPr>
              <w:t xml:space="preserve"> pirms un pēc pasākuma īstenošanas izmanto </w:t>
            </w:r>
            <w:r>
              <w:rPr>
                <w:color w:val="000000" w:themeColor="text1"/>
              </w:rPr>
              <w:t xml:space="preserve">atbilstošus </w:t>
            </w:r>
            <w:r w:rsidR="00FA510D" w:rsidRPr="00FA510D">
              <w:rPr>
                <w:color w:val="000000" w:themeColor="text1"/>
              </w:rPr>
              <w:t>pasākumu raksturojošos datus</w:t>
            </w:r>
            <w:r>
              <w:rPr>
                <w:color w:val="000000" w:themeColor="text1"/>
              </w:rPr>
              <w:t xml:space="preserve"> (piemēram, esošais patērētais enerģijas apjoms, esošais saražotais </w:t>
            </w:r>
            <w:r>
              <w:rPr>
                <w:color w:val="000000" w:themeColor="text1"/>
              </w:rPr>
              <w:lastRenderedPageBreak/>
              <w:t xml:space="preserve">enerģijas apjoms, plānotais saražojamais enerģijas apjoms, plānotais saražojamais enerģijas apjoms, piegādātais </w:t>
            </w:r>
            <w:r w:rsidR="008E0C36">
              <w:rPr>
                <w:color w:val="000000" w:themeColor="text1"/>
              </w:rPr>
              <w:t>enerģijas</w:t>
            </w:r>
            <w:r>
              <w:rPr>
                <w:color w:val="000000" w:themeColor="text1"/>
              </w:rPr>
              <w:t xml:space="preserve"> apjoms, sadedzināšanas iekārtas lietderības koeficients, sadedzināšanas iekārtas darbības ilgums, globālās sasilšanas potenciāls, transportlīdzekļa nobraukums, degvielas patēriņš, degvielas blīvums, degvielas zemākais sadegšanas siltums, lauksaimniecības dzīvnieku skaits ganāmpulkā, bioloģiski noārdāmo atkritumu daudzums), kas nepieciešami, lai veiktu šajos noteikumos nepieciešamos </w:t>
            </w:r>
            <w:r w:rsidR="00CF1022">
              <w:rPr>
                <w:color w:val="000000" w:themeColor="text1"/>
              </w:rPr>
              <w:t>aprēķinus</w:t>
            </w:r>
            <w:r w:rsidR="00FA510D" w:rsidRPr="00FA510D">
              <w:rPr>
                <w:color w:val="000000" w:themeColor="text1"/>
              </w:rPr>
              <w:t>.</w:t>
            </w:r>
          </w:p>
          <w:p w14:paraId="1F2F4217" w14:textId="202295B2" w:rsidR="004E3368" w:rsidRPr="00FA510D" w:rsidRDefault="004E3368" w:rsidP="002036C6">
            <w:pPr>
              <w:spacing w:before="0" w:after="0" w:line="240" w:lineRule="auto"/>
              <w:ind w:left="141" w:right="236"/>
              <w:outlineLvl w:val="0"/>
              <w:rPr>
                <w:rFonts w:eastAsiaTheme="minorEastAsia"/>
                <w:color w:val="000000" w:themeColor="text1"/>
              </w:rPr>
            </w:pPr>
            <w:r>
              <w:rPr>
                <w:color w:val="000000" w:themeColor="text1"/>
              </w:rPr>
              <w:t xml:space="preserve">MK noteikumu projekta pielikuma 6. punkts paredz, ka </w:t>
            </w:r>
            <w:r w:rsidR="00C86B67" w:rsidRPr="004C7271">
              <w:t>Vides aizsa</w:t>
            </w:r>
            <w:r w:rsidR="00C86B67" w:rsidRPr="00B144A0">
              <w:t xml:space="preserve">rdzības un reģionālās attīstības ministrija </w:t>
            </w:r>
            <w:r w:rsidR="00B144A0" w:rsidRPr="00B144A0">
              <w:t xml:space="preserve">aprēķina, </w:t>
            </w:r>
            <w:r w:rsidR="00C86B67" w:rsidRPr="00B144A0">
              <w:t>apstiprina un publicē savā tīmekļvietnē</w:t>
            </w:r>
            <w:r w:rsidRPr="00B144A0">
              <w:rPr>
                <w:color w:val="000000" w:themeColor="text1"/>
              </w:rPr>
              <w:t xml:space="preserve"> </w:t>
            </w:r>
            <w:r w:rsidRPr="00B144A0">
              <w:t>CO</w:t>
            </w:r>
            <w:r w:rsidRPr="00B144A0">
              <w:rPr>
                <w:vertAlign w:val="subscript"/>
              </w:rPr>
              <w:t>2</w:t>
            </w:r>
            <w:r w:rsidRPr="00B144A0">
              <w:t xml:space="preserve"> emisijas faktoru Latvijā saražotai siltumenerģijai katlumājās un koģenerācijas stacijās</w:t>
            </w:r>
            <w:r w:rsidR="00C86B67" w:rsidRPr="00B144A0">
              <w:t>, kā arī</w:t>
            </w:r>
            <w:r w:rsidRPr="00B144A0">
              <w:t xml:space="preserve"> CO</w:t>
            </w:r>
            <w:r w:rsidRPr="00B144A0">
              <w:rPr>
                <w:vertAlign w:val="subscript"/>
              </w:rPr>
              <w:t>2</w:t>
            </w:r>
            <w:r w:rsidRPr="00B144A0">
              <w:t xml:space="preserve"> emisijas faktoru Latvijā saražotai elektroenerģijai</w:t>
            </w:r>
            <w:r w:rsidR="00C86B67" w:rsidRPr="00B144A0">
              <w:rPr>
                <w:color w:val="000000" w:themeColor="text1"/>
              </w:rPr>
              <w:t xml:space="preserve">. Minētie emisijas faktori šobrīd netiek regulāri aprēķināti, bet ir būtiski, lai novērtētu īstenoto projektu ietekmi uz klimata pārmaiņām. </w:t>
            </w:r>
            <w:r w:rsidR="00A568D6">
              <w:rPr>
                <w:color w:val="000000" w:themeColor="text1"/>
              </w:rPr>
              <w:t xml:space="preserve">Saskaņā ar </w:t>
            </w:r>
            <w:r w:rsidR="00A568D6" w:rsidRPr="004C7271">
              <w:t>Vides aizsardzības un reģionālās attīstības ministrija</w:t>
            </w:r>
            <w:r w:rsidR="00A568D6">
              <w:t>s</w:t>
            </w:r>
            <w:r w:rsidR="002036C6">
              <w:t xml:space="preserve"> (turpmāk – Ministrija)</w:t>
            </w:r>
            <w:r w:rsidR="00A568D6">
              <w:t xml:space="preserve"> nolikumu, </w:t>
            </w:r>
            <w:r w:rsidR="002036C6">
              <w:t>M</w:t>
            </w:r>
            <w:r w:rsidR="00A568D6">
              <w:t>inistrija ir kompetentā iestāde klimata politikas jomā</w:t>
            </w:r>
            <w:r w:rsidR="00EE0150">
              <w:t xml:space="preserve">, t.sk. klimata mērķu sasniegšanas nodrošināšanā. </w:t>
            </w:r>
            <w:r w:rsidR="00F840A5">
              <w:t>Līdz ar to ir b</w:t>
            </w:r>
            <w:r w:rsidR="003E550D">
              <w:t>ūtiski, lai visas iesaistītas puses, kuras īsteno pasākumus ņem vērā ietekmi uz klimata pārmaiņām.</w:t>
            </w:r>
            <w:r w:rsidR="00815D15">
              <w:t xml:space="preserve"> Papildus tam, jau šobrīd </w:t>
            </w:r>
            <w:r w:rsidR="002036C6">
              <w:t>M</w:t>
            </w:r>
            <w:r w:rsidR="00815D15" w:rsidRPr="004C7271">
              <w:t>inistrija</w:t>
            </w:r>
            <w:r w:rsidR="00815D15">
              <w:t xml:space="preserve">s kompetencē ir </w:t>
            </w:r>
            <w:r w:rsidR="00775333">
              <w:rPr>
                <w:rStyle w:val="Hyperlink"/>
                <w:color w:val="auto"/>
                <w:u w:val="none"/>
                <w:shd w:val="clear" w:color="auto" w:fill="FFFFFF"/>
              </w:rPr>
              <w:t xml:space="preserve"> Regula Nr.601/2012</w:t>
            </w:r>
            <w:r w:rsidR="00815D15">
              <w:t>, kurā ir noteikti emisijas faktori dažādiem kurināmā veidiem.</w:t>
            </w:r>
            <w:r w:rsidR="00A568D6">
              <w:t xml:space="preserve"> </w:t>
            </w:r>
          </w:p>
        </w:tc>
      </w:tr>
      <w:tr w:rsidR="0067267D" w14:paraId="3210720C" w14:textId="77777777" w:rsidTr="00464AFB">
        <w:trPr>
          <w:trHeight w:val="476"/>
        </w:trPr>
        <w:tc>
          <w:tcPr>
            <w:tcW w:w="550" w:type="dxa"/>
          </w:tcPr>
          <w:p w14:paraId="762E7F96" w14:textId="55CD1C1E" w:rsidR="0067267D" w:rsidRDefault="00133143">
            <w:pPr>
              <w:pStyle w:val="naiskr"/>
              <w:spacing w:before="0" w:after="0"/>
            </w:pPr>
            <w:r>
              <w:lastRenderedPageBreak/>
              <w:t>3</w:t>
            </w:r>
            <w:r w:rsidR="0067267D">
              <w:t>.</w:t>
            </w:r>
          </w:p>
        </w:tc>
        <w:tc>
          <w:tcPr>
            <w:tcW w:w="2149" w:type="dxa"/>
          </w:tcPr>
          <w:p w14:paraId="70E19EBE" w14:textId="77777777" w:rsidR="0067267D" w:rsidRDefault="0067267D" w:rsidP="00464AFB">
            <w:pPr>
              <w:pStyle w:val="naiskr"/>
              <w:spacing w:before="0" w:after="0"/>
              <w:ind w:right="142"/>
            </w:pPr>
            <w:r>
              <w:t>Projekta izstrādē iesaistītās institūcijas</w:t>
            </w:r>
          </w:p>
        </w:tc>
        <w:tc>
          <w:tcPr>
            <w:tcW w:w="6756" w:type="dxa"/>
          </w:tcPr>
          <w:p w14:paraId="1A93C59A" w14:textId="77777777" w:rsidR="009377FA" w:rsidRPr="00B81385" w:rsidRDefault="00281EC0" w:rsidP="00CF4AC4">
            <w:pPr>
              <w:pStyle w:val="naiskr"/>
              <w:spacing w:before="0" w:after="0"/>
              <w:ind w:left="141" w:right="236"/>
            </w:pPr>
            <w:r w:rsidRPr="00B81385">
              <w:t>Vides aizsardzības un re</w:t>
            </w:r>
            <w:r w:rsidR="00CF4AC4">
              <w:t>ģionālās attīstības ministrija</w:t>
            </w:r>
            <w:r w:rsidR="005970BB">
              <w:t>.</w:t>
            </w:r>
          </w:p>
        </w:tc>
      </w:tr>
      <w:tr w:rsidR="0067267D" w14:paraId="519FAB11" w14:textId="77777777" w:rsidTr="00464AFB">
        <w:tc>
          <w:tcPr>
            <w:tcW w:w="550" w:type="dxa"/>
          </w:tcPr>
          <w:p w14:paraId="3BF40CAD" w14:textId="77777777" w:rsidR="0067267D" w:rsidRDefault="00133143">
            <w:pPr>
              <w:pStyle w:val="naiskr"/>
              <w:spacing w:before="0" w:after="0"/>
            </w:pPr>
            <w:r>
              <w:t>4</w:t>
            </w:r>
            <w:r w:rsidR="0067267D">
              <w:t>.</w:t>
            </w:r>
          </w:p>
        </w:tc>
        <w:tc>
          <w:tcPr>
            <w:tcW w:w="2149" w:type="dxa"/>
          </w:tcPr>
          <w:p w14:paraId="1C972C48" w14:textId="77777777" w:rsidR="0067267D" w:rsidRDefault="0067267D" w:rsidP="00464AFB">
            <w:pPr>
              <w:pStyle w:val="naiskr"/>
              <w:spacing w:before="0" w:after="0"/>
              <w:ind w:right="142"/>
            </w:pPr>
            <w:r>
              <w:t>Cita informācija</w:t>
            </w:r>
          </w:p>
        </w:tc>
        <w:tc>
          <w:tcPr>
            <w:tcW w:w="6756" w:type="dxa"/>
          </w:tcPr>
          <w:p w14:paraId="6E8A7B0E" w14:textId="77777777" w:rsidR="0067267D" w:rsidRDefault="0067267D" w:rsidP="00464AFB">
            <w:pPr>
              <w:pStyle w:val="naiskr"/>
              <w:spacing w:before="0" w:after="0"/>
              <w:ind w:left="141" w:right="236"/>
            </w:pPr>
            <w:r>
              <w:t>Nav</w:t>
            </w:r>
          </w:p>
        </w:tc>
      </w:tr>
    </w:tbl>
    <w:p w14:paraId="75728310" w14:textId="77777777" w:rsidR="00826E46" w:rsidRDefault="00826E46"/>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83"/>
        <w:gridCol w:w="5670"/>
      </w:tblGrid>
      <w:tr w:rsidR="0067267D" w14:paraId="37C82FDC" w14:textId="77777777" w:rsidTr="00464AFB">
        <w:tc>
          <w:tcPr>
            <w:tcW w:w="9503" w:type="dxa"/>
            <w:gridSpan w:val="3"/>
            <w:vAlign w:val="center"/>
          </w:tcPr>
          <w:p w14:paraId="451AFF7D" w14:textId="77777777" w:rsidR="0067267D" w:rsidRDefault="0067267D">
            <w:pPr>
              <w:pStyle w:val="naisnod"/>
              <w:spacing w:before="0" w:after="0"/>
            </w:pPr>
            <w:r>
              <w:t>II.</w:t>
            </w:r>
            <w:r w:rsidR="00061915">
              <w:t> </w:t>
            </w:r>
            <w:r w:rsidR="00133143">
              <w:t>Tiesību akta projekta ietekme uz sabiedrību, tautsaimniecības attīstību un administratīvo slogu</w:t>
            </w:r>
          </w:p>
        </w:tc>
      </w:tr>
      <w:tr w:rsidR="0067267D" w14:paraId="7B0DC19E" w14:textId="77777777" w:rsidTr="00464AFB">
        <w:trPr>
          <w:trHeight w:val="467"/>
        </w:trPr>
        <w:tc>
          <w:tcPr>
            <w:tcW w:w="550" w:type="dxa"/>
          </w:tcPr>
          <w:p w14:paraId="15E0CF69" w14:textId="77777777" w:rsidR="0067267D" w:rsidRDefault="0067267D">
            <w:pPr>
              <w:pStyle w:val="naiskr"/>
              <w:spacing w:before="0" w:after="0"/>
            </w:pPr>
            <w:r>
              <w:t>1.</w:t>
            </w:r>
          </w:p>
        </w:tc>
        <w:tc>
          <w:tcPr>
            <w:tcW w:w="3283" w:type="dxa"/>
          </w:tcPr>
          <w:p w14:paraId="6C81A35E" w14:textId="77777777" w:rsidR="0067267D" w:rsidRDefault="00133143" w:rsidP="00EF593A">
            <w:pPr>
              <w:pStyle w:val="naiskr"/>
              <w:spacing w:before="0" w:after="0"/>
              <w:ind w:right="142"/>
            </w:pPr>
            <w:r>
              <w:t>Sabiedrības mērķgrupas, kuras tiesiskais regulējums ietekmē vai varētu ietekmēt</w:t>
            </w:r>
          </w:p>
        </w:tc>
        <w:tc>
          <w:tcPr>
            <w:tcW w:w="5670" w:type="dxa"/>
          </w:tcPr>
          <w:p w14:paraId="44653E24" w14:textId="07EA82FF" w:rsidR="003724E7" w:rsidRDefault="00BA5AD6" w:rsidP="00613A68">
            <w:pPr>
              <w:spacing w:before="0" w:after="0"/>
              <w:ind w:left="131" w:right="294"/>
            </w:pPr>
            <w:r>
              <w:t xml:space="preserve">  </w:t>
            </w:r>
            <w:r w:rsidR="00B051DF" w:rsidRPr="00FA6CB4">
              <w:t>Noteikumu projektā ietvertais tiesiskais regulējums</w:t>
            </w:r>
            <w:r w:rsidR="00B051DF" w:rsidRPr="00DE4F9D">
              <w:t xml:space="preserve"> attie</w:t>
            </w:r>
            <w:r w:rsidR="00B051DF">
              <w:t>ksies</w:t>
            </w:r>
            <w:r w:rsidR="00B051DF" w:rsidRPr="00DE4F9D">
              <w:t xml:space="preserve"> uz</w:t>
            </w:r>
            <w:r w:rsidR="00B051DF">
              <w:t xml:space="preserve"> Latvijas Republikas tiesību aktos noteiktajiem gadījumiem, kad fiziska vai juridiska persona īsteno pasākumus, kam nepieciešams aprēķināt SEG emisiju samazinājumu (īstenojamo pasākumu panāktā vai plānotā SEG emisiju samazinājuma aprēķins).</w:t>
            </w:r>
          </w:p>
        </w:tc>
      </w:tr>
      <w:tr w:rsidR="00165C1E" w14:paraId="7D76F715" w14:textId="77777777" w:rsidTr="00464AFB">
        <w:trPr>
          <w:trHeight w:val="523"/>
        </w:trPr>
        <w:tc>
          <w:tcPr>
            <w:tcW w:w="550" w:type="dxa"/>
          </w:tcPr>
          <w:p w14:paraId="59C9C2BB" w14:textId="77777777" w:rsidR="00165C1E" w:rsidRDefault="00165C1E" w:rsidP="00165C1E">
            <w:pPr>
              <w:pStyle w:val="naiskr"/>
              <w:spacing w:before="0" w:after="0"/>
            </w:pPr>
            <w:r>
              <w:t>2.</w:t>
            </w:r>
          </w:p>
        </w:tc>
        <w:tc>
          <w:tcPr>
            <w:tcW w:w="3283" w:type="dxa"/>
          </w:tcPr>
          <w:p w14:paraId="2C407559" w14:textId="77777777" w:rsidR="00165C1E" w:rsidRDefault="00133143" w:rsidP="00EF593A">
            <w:pPr>
              <w:pStyle w:val="naiskr"/>
              <w:spacing w:before="0" w:after="0"/>
              <w:ind w:right="142"/>
            </w:pPr>
            <w:r>
              <w:t>Tiesiskā regulējuma ietekme uz tautsaimniecību un administratīvo slogu</w:t>
            </w:r>
          </w:p>
        </w:tc>
        <w:tc>
          <w:tcPr>
            <w:tcW w:w="5670" w:type="dxa"/>
          </w:tcPr>
          <w:p w14:paraId="1214A6D9" w14:textId="77777777" w:rsidR="00B051DF" w:rsidRDefault="00B051DF" w:rsidP="00B051DF">
            <w:pPr>
              <w:spacing w:before="0" w:after="0"/>
              <w:ind w:left="131" w:right="294"/>
            </w:pPr>
            <w:r>
              <w:t xml:space="preserve">   Noteikumu projekts tiešā veidā neietekmē administratīvo slogu. </w:t>
            </w:r>
          </w:p>
          <w:p w14:paraId="74946F19" w14:textId="7BF9321A" w:rsidR="00165C1E" w:rsidRPr="000158CE" w:rsidRDefault="00B051DF" w:rsidP="00B051DF">
            <w:pPr>
              <w:spacing w:before="0" w:after="0"/>
              <w:ind w:left="131" w:right="294"/>
            </w:pPr>
            <w:r>
              <w:t xml:space="preserve">  Metodika ir paredzēta, lai pilnveidotu esošo situāciju, t.i. lai visos nepieciešamajos gadījumos tiktu izmantota vienota SEG metodika. Vienotas SEG metodikas ieviešana veicinās sabiedrības informētību par dažādu pasākumu ietekmi uz klimatu, kā arī Latvijai noteikto mērķu sasniegšanu.</w:t>
            </w:r>
          </w:p>
        </w:tc>
      </w:tr>
      <w:tr w:rsidR="00165C1E" w14:paraId="44BAA264" w14:textId="77777777" w:rsidTr="00464AFB">
        <w:trPr>
          <w:trHeight w:val="357"/>
        </w:trPr>
        <w:tc>
          <w:tcPr>
            <w:tcW w:w="550" w:type="dxa"/>
          </w:tcPr>
          <w:p w14:paraId="57F1DB23" w14:textId="77777777" w:rsidR="00165C1E" w:rsidRDefault="00133143" w:rsidP="00165C1E">
            <w:pPr>
              <w:pStyle w:val="naiskr"/>
              <w:spacing w:before="0" w:after="0"/>
            </w:pPr>
            <w:r>
              <w:t>3</w:t>
            </w:r>
            <w:r w:rsidR="00165C1E">
              <w:t>.</w:t>
            </w:r>
          </w:p>
        </w:tc>
        <w:tc>
          <w:tcPr>
            <w:tcW w:w="3283" w:type="dxa"/>
          </w:tcPr>
          <w:p w14:paraId="7470A6F4" w14:textId="77777777" w:rsidR="00165C1E" w:rsidRDefault="00165C1E" w:rsidP="00EF593A">
            <w:pPr>
              <w:pStyle w:val="naiskr"/>
              <w:spacing w:before="0" w:after="0"/>
              <w:ind w:right="142"/>
            </w:pPr>
            <w:r>
              <w:t>Administratīvo izmaksu monetārs novērtējums</w:t>
            </w:r>
          </w:p>
        </w:tc>
        <w:tc>
          <w:tcPr>
            <w:tcW w:w="5670" w:type="dxa"/>
          </w:tcPr>
          <w:p w14:paraId="20C1C54B" w14:textId="77777777" w:rsidR="00165C1E" w:rsidRPr="004811E7" w:rsidRDefault="00061915" w:rsidP="008B7820">
            <w:pPr>
              <w:spacing w:before="0" w:after="0"/>
              <w:ind w:left="131" w:right="294"/>
            </w:pPr>
            <w:r>
              <w:t>Projekts šo jomu neskar.</w:t>
            </w:r>
          </w:p>
        </w:tc>
      </w:tr>
      <w:tr w:rsidR="0067267D" w14:paraId="7C58729D" w14:textId="77777777" w:rsidTr="00464AFB">
        <w:tc>
          <w:tcPr>
            <w:tcW w:w="550" w:type="dxa"/>
          </w:tcPr>
          <w:p w14:paraId="46F4AF7E" w14:textId="77777777" w:rsidR="0067267D" w:rsidRDefault="00133143">
            <w:pPr>
              <w:pStyle w:val="naiskr"/>
              <w:spacing w:before="0" w:after="0"/>
            </w:pPr>
            <w:r>
              <w:t>4</w:t>
            </w:r>
            <w:r w:rsidR="0067267D">
              <w:t>.</w:t>
            </w:r>
          </w:p>
        </w:tc>
        <w:tc>
          <w:tcPr>
            <w:tcW w:w="3283" w:type="dxa"/>
          </w:tcPr>
          <w:p w14:paraId="33FD5475" w14:textId="77777777" w:rsidR="0067267D" w:rsidRDefault="0067267D" w:rsidP="008B7820">
            <w:pPr>
              <w:spacing w:before="0" w:after="0"/>
              <w:ind w:left="131" w:right="294"/>
            </w:pPr>
            <w:r>
              <w:t>Cita informācija</w:t>
            </w:r>
          </w:p>
        </w:tc>
        <w:tc>
          <w:tcPr>
            <w:tcW w:w="5670" w:type="dxa"/>
          </w:tcPr>
          <w:p w14:paraId="189DE49F" w14:textId="77777777" w:rsidR="0067267D" w:rsidRPr="00D83109" w:rsidRDefault="009A137D" w:rsidP="00662EFD">
            <w:pPr>
              <w:spacing w:before="0" w:after="0"/>
              <w:ind w:left="131" w:right="294"/>
            </w:pPr>
            <w:r>
              <w:t>Nav</w:t>
            </w:r>
          </w:p>
        </w:tc>
      </w:tr>
    </w:tbl>
    <w:p w14:paraId="5BE446CE" w14:textId="77777777" w:rsidR="00047FEB" w:rsidRDefault="00047FEB" w:rsidP="00F52237">
      <w:pPr>
        <w:rPr>
          <w:i/>
          <w:color w:val="000000" w:themeColor="text1"/>
        </w:rPr>
      </w:pPr>
    </w:p>
    <w:p w14:paraId="4AB02C81" w14:textId="77777777" w:rsidR="00BA5AD6" w:rsidRDefault="00BA5AD6" w:rsidP="00F52237">
      <w:pPr>
        <w:rPr>
          <w:i/>
          <w:color w:val="000000" w:themeColor="text1"/>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50"/>
        <w:gridCol w:w="3283"/>
        <w:gridCol w:w="5670"/>
      </w:tblGrid>
      <w:tr w:rsidR="00047FEB" w14:paraId="5FDFA568" w14:textId="77777777" w:rsidTr="00BC4BC3">
        <w:tc>
          <w:tcPr>
            <w:tcW w:w="9503" w:type="dxa"/>
            <w:gridSpan w:val="3"/>
            <w:vAlign w:val="center"/>
          </w:tcPr>
          <w:p w14:paraId="5F7D2ACB" w14:textId="48D7A155" w:rsidR="00047FEB" w:rsidRDefault="00047FEB" w:rsidP="00047FEB">
            <w:pPr>
              <w:pStyle w:val="naisnod"/>
              <w:spacing w:before="0" w:after="0"/>
            </w:pPr>
            <w:r>
              <w:t>VI.</w:t>
            </w:r>
            <w:r w:rsidR="00061915">
              <w:t> </w:t>
            </w:r>
            <w:r>
              <w:t>Sabiedrības līdzdalība un komunikācijas aktivitātes</w:t>
            </w:r>
          </w:p>
        </w:tc>
      </w:tr>
      <w:tr w:rsidR="00047FEB" w14:paraId="13CEA7A3" w14:textId="77777777" w:rsidTr="00BC4BC3">
        <w:trPr>
          <w:trHeight w:val="467"/>
        </w:trPr>
        <w:tc>
          <w:tcPr>
            <w:tcW w:w="550" w:type="dxa"/>
          </w:tcPr>
          <w:p w14:paraId="21D963B2" w14:textId="77777777" w:rsidR="00047FEB" w:rsidRDefault="00047FEB" w:rsidP="00BC4BC3">
            <w:pPr>
              <w:pStyle w:val="naiskr"/>
              <w:spacing w:before="0" w:after="0"/>
            </w:pPr>
            <w:r>
              <w:t>1.</w:t>
            </w:r>
          </w:p>
        </w:tc>
        <w:tc>
          <w:tcPr>
            <w:tcW w:w="3283" w:type="dxa"/>
          </w:tcPr>
          <w:p w14:paraId="2BD26022" w14:textId="77777777" w:rsidR="00047FEB" w:rsidRDefault="00047FEB" w:rsidP="00EF593A">
            <w:pPr>
              <w:pStyle w:val="naiskr"/>
              <w:spacing w:before="0" w:after="0"/>
              <w:ind w:right="142"/>
            </w:pPr>
            <w:r>
              <w:t>Plānotās sabiedrības līdzdalības un komunikācijas aktivitātes saistībā ar projektu</w:t>
            </w:r>
          </w:p>
        </w:tc>
        <w:tc>
          <w:tcPr>
            <w:tcW w:w="5670" w:type="dxa"/>
          </w:tcPr>
          <w:p w14:paraId="40BEC23B" w14:textId="77777777" w:rsidR="00061915" w:rsidRPr="004C7271" w:rsidRDefault="00061915" w:rsidP="004D3210">
            <w:pPr>
              <w:pStyle w:val="naiskr"/>
              <w:spacing w:before="60" w:after="60"/>
              <w:ind w:left="141" w:right="284"/>
            </w:pPr>
            <w:r w:rsidRPr="004C7271">
              <w:t>Saskaņā ar Ministru kabineta 2009. gada 25. augusta noteikumu Nr. 970 „Sabiedrības līdzdalības kārtība attīstības plānošanas procesā” 7.4.</w:t>
            </w:r>
            <w:r w:rsidRPr="004C7271">
              <w:rPr>
                <w:vertAlign w:val="superscript"/>
              </w:rPr>
              <w:t>1 </w:t>
            </w:r>
            <w:r w:rsidRPr="004C7271">
              <w:t>apakšpunktu sabiedrības pārstāvji ir aicināti līdzdarboties, rakstiski sniedzot viedokli par likumprojektu tā izstrādes stadijā. Sabiedrības pārstāvji ir informēti par iespēju līdzdarboties, publicējot paziņojumu par līdzdalības procesu Vides aizsardzības un reģionālās attīstības ministrijas tīmekļvietnē.</w:t>
            </w:r>
          </w:p>
          <w:p w14:paraId="712E2F04" w14:textId="1FDA025A" w:rsidR="00092C9C" w:rsidRPr="004C7271" w:rsidRDefault="00061915" w:rsidP="002036C6">
            <w:pPr>
              <w:spacing w:before="0" w:after="0"/>
              <w:ind w:left="141" w:right="284"/>
            </w:pPr>
            <w:r w:rsidRPr="004C7271">
              <w:t xml:space="preserve">Noteikumu projekts tika publicēts </w:t>
            </w:r>
            <w:r w:rsidR="002036C6">
              <w:t>M</w:t>
            </w:r>
            <w:r w:rsidRPr="004C7271">
              <w:t>inistrijas t</w:t>
            </w:r>
            <w:r w:rsidR="00B051DF">
              <w:t>īmekļvietnē 2017. gada 19</w:t>
            </w:r>
            <w:r w:rsidR="008909B5">
              <w:t>. aprīlī</w:t>
            </w:r>
            <w:r w:rsidRPr="004C7271">
              <w:t>.</w:t>
            </w:r>
          </w:p>
        </w:tc>
      </w:tr>
      <w:tr w:rsidR="00047FEB" w14:paraId="60743DDF" w14:textId="77777777" w:rsidTr="00BC4BC3">
        <w:trPr>
          <w:trHeight w:val="523"/>
        </w:trPr>
        <w:tc>
          <w:tcPr>
            <w:tcW w:w="550" w:type="dxa"/>
          </w:tcPr>
          <w:p w14:paraId="7A01E35D" w14:textId="77777777" w:rsidR="00047FEB" w:rsidRDefault="00047FEB" w:rsidP="00BC4BC3">
            <w:pPr>
              <w:pStyle w:val="naiskr"/>
              <w:spacing w:before="0" w:after="0"/>
            </w:pPr>
            <w:r>
              <w:t>2.</w:t>
            </w:r>
          </w:p>
        </w:tc>
        <w:tc>
          <w:tcPr>
            <w:tcW w:w="3283" w:type="dxa"/>
          </w:tcPr>
          <w:p w14:paraId="357C6E1B" w14:textId="77777777" w:rsidR="00047FEB" w:rsidRDefault="00047FEB" w:rsidP="00EF593A">
            <w:pPr>
              <w:pStyle w:val="naiskr"/>
              <w:spacing w:before="0" w:after="0"/>
              <w:ind w:right="142"/>
            </w:pPr>
            <w:r>
              <w:t>Sabiedrības līdzdalība projekta izstrādē</w:t>
            </w:r>
          </w:p>
        </w:tc>
        <w:tc>
          <w:tcPr>
            <w:tcW w:w="5670" w:type="dxa"/>
          </w:tcPr>
          <w:p w14:paraId="0198DD73" w14:textId="0998EEBF" w:rsidR="00092C9C" w:rsidRPr="004C7271" w:rsidRDefault="00061915" w:rsidP="002036C6">
            <w:pPr>
              <w:spacing w:before="0" w:after="0"/>
              <w:ind w:left="141" w:right="284"/>
            </w:pPr>
            <w:r w:rsidRPr="004C7271">
              <w:t xml:space="preserve">Noteikumu projekts publicēts </w:t>
            </w:r>
            <w:r w:rsidR="002036C6">
              <w:t>M</w:t>
            </w:r>
            <w:r w:rsidRPr="004C7271">
              <w:t xml:space="preserve">inistrijas tīmekļvietnē 2017. gada </w:t>
            </w:r>
            <w:r w:rsidR="00B051DF">
              <w:t>19</w:t>
            </w:r>
            <w:r w:rsidR="008909B5">
              <w:t>. aprīlī</w:t>
            </w:r>
            <w:r w:rsidRPr="004C7271">
              <w:t>.</w:t>
            </w:r>
          </w:p>
        </w:tc>
      </w:tr>
      <w:tr w:rsidR="00047FEB" w14:paraId="3BACC4B6" w14:textId="77777777" w:rsidTr="00BC4BC3">
        <w:tc>
          <w:tcPr>
            <w:tcW w:w="550" w:type="dxa"/>
          </w:tcPr>
          <w:p w14:paraId="66767D96" w14:textId="77777777" w:rsidR="00047FEB" w:rsidRDefault="00047FEB" w:rsidP="00BC4BC3">
            <w:pPr>
              <w:pStyle w:val="naiskr"/>
              <w:spacing w:before="0" w:after="0"/>
            </w:pPr>
            <w:r>
              <w:t>3.</w:t>
            </w:r>
          </w:p>
        </w:tc>
        <w:tc>
          <w:tcPr>
            <w:tcW w:w="3283" w:type="dxa"/>
          </w:tcPr>
          <w:p w14:paraId="6ABCC62C" w14:textId="77777777" w:rsidR="00047FEB" w:rsidRDefault="00047FEB" w:rsidP="00BC4BC3">
            <w:pPr>
              <w:pStyle w:val="naiskr"/>
              <w:spacing w:before="0" w:after="0"/>
            </w:pPr>
            <w:r>
              <w:t>Sabiedrības līdzdalības rezultāti</w:t>
            </w:r>
          </w:p>
        </w:tc>
        <w:tc>
          <w:tcPr>
            <w:tcW w:w="5670" w:type="dxa"/>
          </w:tcPr>
          <w:p w14:paraId="670B684A" w14:textId="31E58E6E" w:rsidR="00047FEB" w:rsidRPr="00D83109" w:rsidRDefault="00BA5AD6" w:rsidP="00BA5AD6">
            <w:pPr>
              <w:spacing w:before="0" w:after="0"/>
              <w:ind w:right="284"/>
            </w:pPr>
            <w:r>
              <w:t xml:space="preserve">  Koment</w:t>
            </w:r>
            <w:r w:rsidR="00CD5FE3">
              <w:t>āri vai priekšlikumi no sabiedrī</w:t>
            </w:r>
            <w:r>
              <w:t>bas nav saņemti.</w:t>
            </w:r>
          </w:p>
        </w:tc>
      </w:tr>
      <w:tr w:rsidR="00047FEB" w14:paraId="46D307A5" w14:textId="77777777" w:rsidTr="00BC4BC3">
        <w:tc>
          <w:tcPr>
            <w:tcW w:w="550" w:type="dxa"/>
          </w:tcPr>
          <w:p w14:paraId="6E034E2F" w14:textId="77777777" w:rsidR="00047FEB" w:rsidRDefault="00047FEB" w:rsidP="00BC4BC3">
            <w:pPr>
              <w:pStyle w:val="naiskr"/>
              <w:spacing w:before="0" w:after="0"/>
            </w:pPr>
            <w:r>
              <w:t>4.</w:t>
            </w:r>
          </w:p>
        </w:tc>
        <w:tc>
          <w:tcPr>
            <w:tcW w:w="3283" w:type="dxa"/>
          </w:tcPr>
          <w:p w14:paraId="0FDB59A3" w14:textId="77777777" w:rsidR="00047FEB" w:rsidRDefault="00047FEB" w:rsidP="00BC4BC3">
            <w:pPr>
              <w:pStyle w:val="naiskr"/>
              <w:spacing w:before="0" w:after="0"/>
            </w:pPr>
            <w:r>
              <w:t>Cita informācija</w:t>
            </w:r>
          </w:p>
        </w:tc>
        <w:tc>
          <w:tcPr>
            <w:tcW w:w="5670" w:type="dxa"/>
          </w:tcPr>
          <w:p w14:paraId="6D0A7FBB" w14:textId="77777777" w:rsidR="00047FEB" w:rsidRDefault="00047FEB" w:rsidP="008B7820">
            <w:pPr>
              <w:spacing w:before="0" w:after="0"/>
              <w:ind w:left="131" w:right="294"/>
            </w:pPr>
            <w:r>
              <w:t>Nav</w:t>
            </w:r>
          </w:p>
        </w:tc>
      </w:tr>
    </w:tbl>
    <w:p w14:paraId="28D90F32" w14:textId="77777777" w:rsidR="00047FEB" w:rsidRDefault="00047FEB" w:rsidP="00F52237">
      <w:pPr>
        <w:rPr>
          <w:i/>
          <w:color w:val="000000" w:themeColor="text1"/>
        </w:rPr>
      </w:pPr>
    </w:p>
    <w:tbl>
      <w:tblPr>
        <w:tblpPr w:leftFromText="180" w:rightFromText="180" w:vertAnchor="text" w:horzAnchor="margin" w:tblpXSpec="center" w:tblpY="149"/>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75"/>
        <w:gridCol w:w="3358"/>
        <w:gridCol w:w="5670"/>
      </w:tblGrid>
      <w:tr w:rsidR="00047FEB" w14:paraId="7A0956A5" w14:textId="77777777" w:rsidTr="00BC4BC3">
        <w:tc>
          <w:tcPr>
            <w:tcW w:w="9503" w:type="dxa"/>
            <w:gridSpan w:val="3"/>
            <w:vAlign w:val="center"/>
          </w:tcPr>
          <w:p w14:paraId="2A28CB3B" w14:textId="77777777" w:rsidR="00092C9C" w:rsidRDefault="00047FEB">
            <w:pPr>
              <w:pStyle w:val="naisnod"/>
              <w:spacing w:before="0" w:after="0"/>
            </w:pPr>
            <w:r w:rsidRPr="00EF0E97">
              <w:t>VII.</w:t>
            </w:r>
            <w:r w:rsidR="006E28FC" w:rsidRPr="00EF0E97">
              <w:t> </w:t>
            </w:r>
            <w:r w:rsidRPr="00EF0E97">
              <w:t xml:space="preserve">Tiesību akta projekta </w:t>
            </w:r>
            <w:r w:rsidR="00ED05BA" w:rsidRPr="00ED05BA">
              <w:t>izpildes nodrošināšana un tās ietekme uz institūcijām</w:t>
            </w:r>
          </w:p>
        </w:tc>
      </w:tr>
      <w:tr w:rsidR="00E34249" w14:paraId="6F1569CC" w14:textId="77777777" w:rsidTr="00A06049">
        <w:tc>
          <w:tcPr>
            <w:tcW w:w="475" w:type="dxa"/>
            <w:vAlign w:val="center"/>
          </w:tcPr>
          <w:p w14:paraId="534DEB55" w14:textId="77777777" w:rsidR="00092C9C" w:rsidRPr="004C7271" w:rsidRDefault="006E28FC">
            <w:pPr>
              <w:pStyle w:val="naisnod"/>
              <w:spacing w:before="0" w:after="0"/>
              <w:rPr>
                <w:b w:val="0"/>
              </w:rPr>
            </w:pPr>
            <w:r w:rsidRPr="004C7271">
              <w:rPr>
                <w:b w:val="0"/>
              </w:rPr>
              <w:t>1.</w:t>
            </w:r>
          </w:p>
        </w:tc>
        <w:tc>
          <w:tcPr>
            <w:tcW w:w="3358" w:type="dxa"/>
            <w:tcBorders>
              <w:top w:val="outset" w:sz="6" w:space="0" w:color="414142"/>
              <w:left w:val="outset" w:sz="6" w:space="0" w:color="414142"/>
              <w:bottom w:val="outset" w:sz="6" w:space="0" w:color="414142"/>
              <w:right w:val="outset" w:sz="6" w:space="0" w:color="414142"/>
            </w:tcBorders>
          </w:tcPr>
          <w:p w14:paraId="6F49EB3A" w14:textId="77777777" w:rsidR="006E28FC" w:rsidRPr="00EF0E97" w:rsidRDefault="006E28FC" w:rsidP="00A06049">
            <w:pPr>
              <w:pStyle w:val="naiskr"/>
              <w:spacing w:before="0" w:after="0"/>
              <w:ind w:right="142"/>
            </w:pPr>
            <w:r w:rsidRPr="00EF0E97">
              <w:t>Projekta izpildē iesaistītās institūcijas</w:t>
            </w:r>
          </w:p>
        </w:tc>
        <w:tc>
          <w:tcPr>
            <w:tcW w:w="5670" w:type="dxa"/>
            <w:tcBorders>
              <w:top w:val="outset" w:sz="6" w:space="0" w:color="414142"/>
              <w:left w:val="outset" w:sz="6" w:space="0" w:color="414142"/>
              <w:bottom w:val="outset" w:sz="6" w:space="0" w:color="414142"/>
              <w:right w:val="outset" w:sz="6" w:space="0" w:color="414142"/>
            </w:tcBorders>
          </w:tcPr>
          <w:p w14:paraId="01D1F7A0" w14:textId="42104972" w:rsidR="00564940" w:rsidRDefault="00782783" w:rsidP="00E56A74">
            <w:pPr>
              <w:spacing w:after="0" w:line="240" w:lineRule="auto"/>
            </w:pPr>
            <w:r>
              <w:t>Vides aizsardzības un reģionālās attīstības ministrija</w:t>
            </w:r>
          </w:p>
        </w:tc>
      </w:tr>
      <w:tr w:rsidR="00743C2C" w14:paraId="54FC95FE" w14:textId="77777777" w:rsidTr="00A06049">
        <w:tc>
          <w:tcPr>
            <w:tcW w:w="475" w:type="dxa"/>
            <w:vAlign w:val="center"/>
          </w:tcPr>
          <w:p w14:paraId="2388AB8D" w14:textId="77777777" w:rsidR="00743C2C" w:rsidRPr="004C7271" w:rsidRDefault="00743C2C">
            <w:pPr>
              <w:pStyle w:val="naisnod"/>
              <w:spacing w:before="0" w:after="0"/>
              <w:rPr>
                <w:b w:val="0"/>
              </w:rPr>
            </w:pPr>
            <w:r w:rsidRPr="004C7271">
              <w:rPr>
                <w:b w:val="0"/>
              </w:rPr>
              <w:t>2.</w:t>
            </w:r>
          </w:p>
        </w:tc>
        <w:tc>
          <w:tcPr>
            <w:tcW w:w="3358" w:type="dxa"/>
            <w:tcBorders>
              <w:top w:val="outset" w:sz="6" w:space="0" w:color="414142"/>
              <w:left w:val="outset" w:sz="6" w:space="0" w:color="414142"/>
              <w:bottom w:val="outset" w:sz="6" w:space="0" w:color="414142"/>
              <w:right w:val="outset" w:sz="6" w:space="0" w:color="414142"/>
            </w:tcBorders>
          </w:tcPr>
          <w:p w14:paraId="4D2A151E" w14:textId="77777777" w:rsidR="00743C2C" w:rsidRDefault="00743C2C" w:rsidP="00A06049">
            <w:pPr>
              <w:pStyle w:val="naiskr"/>
              <w:spacing w:before="0" w:after="0"/>
              <w:ind w:right="142"/>
            </w:pPr>
            <w:r w:rsidRPr="00EF0E97">
              <w:t>Projekta izpildes ietekme uz pārvaldes funkcijām un institucionālo struktūru.</w:t>
            </w:r>
          </w:p>
          <w:p w14:paraId="6278F205" w14:textId="77777777" w:rsidR="00A06049" w:rsidRDefault="00A06049" w:rsidP="00A06049">
            <w:pPr>
              <w:pStyle w:val="naiskr"/>
              <w:spacing w:before="0" w:after="0"/>
            </w:pPr>
          </w:p>
          <w:p w14:paraId="54E986A7" w14:textId="77777777" w:rsidR="00743C2C" w:rsidRPr="00EF0E97" w:rsidRDefault="00743C2C" w:rsidP="00A06049">
            <w:pPr>
              <w:pStyle w:val="naiskr"/>
              <w:spacing w:before="0" w:after="0"/>
              <w:ind w:right="142"/>
            </w:pPr>
            <w:r w:rsidRPr="00EF0E97">
              <w:t>Jaunu institūciju izveide, esošu institūciju likvidācija vai reorganizācija, to ietekme uz institūcijas cilvēkresursiem</w:t>
            </w:r>
          </w:p>
          <w:p w14:paraId="1DDF9088" w14:textId="77777777" w:rsidR="00743C2C" w:rsidRPr="00EF0E97" w:rsidRDefault="00743C2C" w:rsidP="00E56A74">
            <w:pPr>
              <w:spacing w:after="0" w:line="240" w:lineRule="auto"/>
            </w:pPr>
          </w:p>
        </w:tc>
        <w:tc>
          <w:tcPr>
            <w:tcW w:w="5670" w:type="dxa"/>
            <w:tcBorders>
              <w:top w:val="outset" w:sz="6" w:space="0" w:color="414142"/>
              <w:left w:val="outset" w:sz="6" w:space="0" w:color="414142"/>
              <w:bottom w:val="outset" w:sz="6" w:space="0" w:color="414142"/>
              <w:right w:val="outset" w:sz="6" w:space="0" w:color="414142"/>
            </w:tcBorders>
          </w:tcPr>
          <w:p w14:paraId="24B87F69" w14:textId="07F5C7E9" w:rsidR="00743C2C" w:rsidRPr="00A06049" w:rsidDel="00743C2C" w:rsidRDefault="00A06049" w:rsidP="00A06049">
            <w:pPr>
              <w:spacing w:after="0" w:line="240" w:lineRule="auto"/>
            </w:pPr>
            <w:r>
              <w:t>Jaunas valsts institūcijas netiks radītas, kā arī netiks paplašinātas esošo institūciju funkcijas.</w:t>
            </w:r>
          </w:p>
        </w:tc>
      </w:tr>
      <w:tr w:rsidR="00743C2C" w14:paraId="573196DA" w14:textId="77777777" w:rsidTr="00A06049">
        <w:trPr>
          <w:trHeight w:val="312"/>
        </w:trPr>
        <w:tc>
          <w:tcPr>
            <w:tcW w:w="475" w:type="dxa"/>
            <w:vAlign w:val="center"/>
          </w:tcPr>
          <w:p w14:paraId="7913099C" w14:textId="77777777" w:rsidR="00743C2C" w:rsidRPr="00A06049" w:rsidRDefault="00743C2C" w:rsidP="00A06049">
            <w:pPr>
              <w:pStyle w:val="naiskr"/>
              <w:spacing w:before="0" w:after="0"/>
            </w:pPr>
            <w:r w:rsidRPr="00A06049">
              <w:t>3.</w:t>
            </w:r>
          </w:p>
        </w:tc>
        <w:tc>
          <w:tcPr>
            <w:tcW w:w="3358" w:type="dxa"/>
            <w:tcBorders>
              <w:top w:val="outset" w:sz="6" w:space="0" w:color="414142"/>
              <w:left w:val="outset" w:sz="6" w:space="0" w:color="414142"/>
              <w:bottom w:val="outset" w:sz="6" w:space="0" w:color="414142"/>
              <w:right w:val="outset" w:sz="6" w:space="0" w:color="414142"/>
            </w:tcBorders>
          </w:tcPr>
          <w:p w14:paraId="6A64ABCB" w14:textId="77777777" w:rsidR="00743C2C" w:rsidRPr="00EF0E97" w:rsidRDefault="00743C2C" w:rsidP="00A06049">
            <w:pPr>
              <w:pStyle w:val="naiskr"/>
              <w:spacing w:before="0" w:after="0"/>
            </w:pPr>
            <w:r w:rsidRPr="00EF0E97">
              <w:t>Cita informācija</w:t>
            </w:r>
          </w:p>
        </w:tc>
        <w:tc>
          <w:tcPr>
            <w:tcW w:w="5670" w:type="dxa"/>
            <w:tcBorders>
              <w:top w:val="outset" w:sz="6" w:space="0" w:color="414142"/>
              <w:left w:val="outset" w:sz="6" w:space="0" w:color="414142"/>
              <w:bottom w:val="outset" w:sz="6" w:space="0" w:color="414142"/>
              <w:right w:val="outset" w:sz="6" w:space="0" w:color="414142"/>
            </w:tcBorders>
          </w:tcPr>
          <w:p w14:paraId="331F69FB" w14:textId="77777777" w:rsidR="00743C2C" w:rsidRDefault="00A06049" w:rsidP="00A06049">
            <w:pPr>
              <w:pStyle w:val="naiskr"/>
              <w:spacing w:before="0" w:after="0"/>
            </w:pPr>
            <w:r>
              <w:t>Nav</w:t>
            </w:r>
          </w:p>
        </w:tc>
      </w:tr>
    </w:tbl>
    <w:p w14:paraId="3977F121" w14:textId="77777777" w:rsidR="001F04F1" w:rsidRDefault="001F04F1" w:rsidP="001F04F1">
      <w:pPr>
        <w:spacing w:before="0" w:after="0" w:line="240" w:lineRule="auto"/>
      </w:pPr>
    </w:p>
    <w:p w14:paraId="496A59BA" w14:textId="77777777" w:rsidR="001F04F1" w:rsidRDefault="00061915" w:rsidP="001F04F1">
      <w:pPr>
        <w:spacing w:before="0" w:after="0" w:line="240" w:lineRule="auto"/>
      </w:pPr>
      <w:r>
        <w:t xml:space="preserve">Anotācijas III, </w:t>
      </w:r>
      <w:r w:rsidR="006E28FC">
        <w:t>IV un V</w:t>
      </w:r>
      <w:r>
        <w:t xml:space="preserve"> – projekts šīs jomas neskar.</w:t>
      </w:r>
    </w:p>
    <w:p w14:paraId="700E08CB" w14:textId="77777777" w:rsidR="006109D3" w:rsidRDefault="006109D3" w:rsidP="001F04F1">
      <w:pPr>
        <w:spacing w:before="0" w:after="0" w:line="240" w:lineRule="auto"/>
      </w:pPr>
    </w:p>
    <w:p w14:paraId="1361C605" w14:textId="77777777" w:rsidR="00E44FDF" w:rsidRPr="006E28FC" w:rsidRDefault="00ED05BA" w:rsidP="001F04F1">
      <w:pPr>
        <w:spacing w:before="0" w:after="0" w:line="240" w:lineRule="auto"/>
      </w:pPr>
      <w:r w:rsidRPr="00ED05BA">
        <w:t>Vides aizsardzības un</w:t>
      </w:r>
    </w:p>
    <w:p w14:paraId="28F65A2D" w14:textId="77777777" w:rsidR="00E07B96" w:rsidRPr="006E28FC" w:rsidRDefault="00ED05BA" w:rsidP="001F04F1">
      <w:pPr>
        <w:spacing w:before="0" w:after="0" w:line="240" w:lineRule="auto"/>
      </w:pPr>
      <w:r w:rsidRPr="00ED05BA">
        <w:t>reģionālās attīstības ministrs</w:t>
      </w:r>
      <w:r w:rsidRPr="00ED05BA">
        <w:tab/>
      </w:r>
      <w:r w:rsidRPr="00ED05BA">
        <w:tab/>
      </w:r>
      <w:r w:rsidRPr="00ED05BA">
        <w:tab/>
      </w:r>
      <w:r w:rsidRPr="00ED05BA">
        <w:tab/>
      </w:r>
      <w:r w:rsidR="00061915" w:rsidRPr="006E28FC">
        <w:t xml:space="preserve">               Kaspars </w:t>
      </w:r>
      <w:r w:rsidRPr="00ED05BA">
        <w:t>Gerhards</w:t>
      </w:r>
    </w:p>
    <w:p w14:paraId="0DEE3835" w14:textId="77777777" w:rsidR="00987723" w:rsidRPr="006E28FC" w:rsidRDefault="00987723" w:rsidP="001F04F1">
      <w:pPr>
        <w:spacing w:before="0" w:after="0" w:line="240" w:lineRule="auto"/>
      </w:pPr>
    </w:p>
    <w:p w14:paraId="1A7EF6CE" w14:textId="77777777" w:rsidR="00783E26" w:rsidRPr="004C7271" w:rsidRDefault="00ED05BA" w:rsidP="00783E26">
      <w:pPr>
        <w:spacing w:before="0" w:after="0" w:line="240" w:lineRule="auto"/>
      </w:pPr>
      <w:r w:rsidRPr="004C7271">
        <w:t xml:space="preserve">Vides aizsardzības un reģionālās attīstības </w:t>
      </w:r>
    </w:p>
    <w:p w14:paraId="13CEFDE0" w14:textId="77777777" w:rsidR="00783E26" w:rsidRPr="00F94E9A" w:rsidRDefault="001D7439" w:rsidP="00783E26">
      <w:pPr>
        <w:spacing w:before="0" w:after="0" w:line="240" w:lineRule="auto"/>
        <w:rPr>
          <w:sz w:val="28"/>
          <w:lang w:val="nl-NL"/>
        </w:rPr>
      </w:pPr>
      <w:r w:rsidRPr="004C7271">
        <w:t>m</w:t>
      </w:r>
      <w:r w:rsidR="00783E26" w:rsidRPr="004C7271">
        <w:t>inistrijas</w:t>
      </w:r>
      <w:r w:rsidR="00061915" w:rsidRPr="004C7271">
        <w:t xml:space="preserve"> </w:t>
      </w:r>
      <w:r w:rsidR="00ED05BA" w:rsidRPr="004C7271">
        <w:t>valsts sekretārs</w:t>
      </w:r>
      <w:r w:rsidR="00ED05BA" w:rsidRPr="004C7271">
        <w:rPr>
          <w:lang w:val="nl-NL"/>
        </w:rPr>
        <w:tab/>
      </w:r>
      <w:r w:rsidR="00ED05BA" w:rsidRPr="00ED05BA">
        <w:rPr>
          <w:sz w:val="28"/>
          <w:lang w:val="nl-NL"/>
        </w:rPr>
        <w:tab/>
      </w:r>
      <w:r w:rsidR="00ED05BA" w:rsidRPr="00ED05BA">
        <w:rPr>
          <w:sz w:val="28"/>
          <w:lang w:val="nl-NL"/>
        </w:rPr>
        <w:tab/>
      </w:r>
      <w:r w:rsidR="00ED05BA" w:rsidRPr="00ED05BA">
        <w:rPr>
          <w:sz w:val="28"/>
          <w:lang w:val="nl-NL"/>
        </w:rPr>
        <w:tab/>
      </w:r>
      <w:r w:rsidR="00ED05BA" w:rsidRPr="00ED05BA">
        <w:rPr>
          <w:sz w:val="28"/>
          <w:lang w:val="nl-NL"/>
        </w:rPr>
        <w:tab/>
      </w:r>
      <w:r w:rsidRPr="006E28FC">
        <w:t xml:space="preserve">     </w:t>
      </w:r>
      <w:r w:rsidR="00783E26" w:rsidRPr="006E28FC">
        <w:t>R</w:t>
      </w:r>
      <w:r w:rsidRPr="006E28FC">
        <w:t xml:space="preserve">inalds </w:t>
      </w:r>
      <w:r w:rsidR="00ED05BA" w:rsidRPr="00ED05BA">
        <w:t>Muciņš</w:t>
      </w:r>
    </w:p>
    <w:p w14:paraId="06EE4755" w14:textId="77777777" w:rsidR="001F04F1" w:rsidRPr="006E28FC" w:rsidRDefault="001F04F1" w:rsidP="001F04F1">
      <w:pPr>
        <w:spacing w:before="0" w:after="0" w:line="240" w:lineRule="auto"/>
      </w:pPr>
    </w:p>
    <w:p w14:paraId="70AEF5DF" w14:textId="77777777" w:rsidR="00783E26" w:rsidRDefault="00D7722E" w:rsidP="001F04F1">
      <w:pPr>
        <w:spacing w:before="0" w:after="0" w:line="240" w:lineRule="auto"/>
        <w:rPr>
          <w:sz w:val="20"/>
        </w:rPr>
      </w:pPr>
      <w:r>
        <w:rPr>
          <w:sz w:val="20"/>
        </w:rPr>
        <w:t>Galindoma</w:t>
      </w:r>
      <w:r w:rsidR="00783E26">
        <w:rPr>
          <w:sz w:val="20"/>
        </w:rPr>
        <w:t xml:space="preserve"> </w:t>
      </w:r>
      <w:r>
        <w:rPr>
          <w:sz w:val="20"/>
        </w:rPr>
        <w:t>67026497</w:t>
      </w:r>
    </w:p>
    <w:p w14:paraId="031B5D02" w14:textId="77777777" w:rsidR="0067267D" w:rsidRPr="00783E26" w:rsidRDefault="00D7722E" w:rsidP="001F04F1">
      <w:pPr>
        <w:spacing w:before="0" w:after="0" w:line="240" w:lineRule="auto"/>
        <w:rPr>
          <w:sz w:val="20"/>
        </w:rPr>
      </w:pPr>
      <w:r>
        <w:rPr>
          <w:sz w:val="20"/>
        </w:rPr>
        <w:t>zane.galindoma</w:t>
      </w:r>
      <w:r w:rsidR="00684628" w:rsidRPr="00C46C0A">
        <w:rPr>
          <w:sz w:val="20"/>
        </w:rPr>
        <w:t>@</w:t>
      </w:r>
      <w:r w:rsidR="000C090C">
        <w:rPr>
          <w:sz w:val="20"/>
        </w:rPr>
        <w:t>varam</w:t>
      </w:r>
      <w:r w:rsidR="00684628" w:rsidRPr="00C46C0A">
        <w:rPr>
          <w:sz w:val="20"/>
        </w:rPr>
        <w:t>.gov.lv</w:t>
      </w:r>
    </w:p>
    <w:sectPr w:rsidR="0067267D" w:rsidRPr="00783E26" w:rsidSect="00DC1B7A">
      <w:headerReference w:type="even" r:id="rId11"/>
      <w:headerReference w:type="default" r:id="rId12"/>
      <w:footerReference w:type="default" r:id="rId13"/>
      <w:footerReference w:type="first" r:id="rId14"/>
      <w:pgSz w:w="11906" w:h="16838" w:code="9"/>
      <w:pgMar w:top="1418" w:right="1134" w:bottom="1134"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D1B4F3" w14:textId="77777777" w:rsidR="00C20491" w:rsidRDefault="00C20491">
      <w:pPr>
        <w:pStyle w:val="naisnod"/>
      </w:pPr>
      <w:r>
        <w:separator/>
      </w:r>
    </w:p>
  </w:endnote>
  <w:endnote w:type="continuationSeparator" w:id="0">
    <w:p w14:paraId="4FD15232" w14:textId="77777777" w:rsidR="00C20491" w:rsidRDefault="00C20491">
      <w:pPr>
        <w:pStyle w:val="naisnod"/>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63BB1" w14:textId="6CD780BE" w:rsidR="009074FA" w:rsidRPr="009074FA" w:rsidRDefault="002036C6" w:rsidP="00F57264">
    <w:pPr>
      <w:pStyle w:val="Footer"/>
      <w:spacing w:before="120" w:after="0" w:line="240" w:lineRule="auto"/>
      <w:rPr>
        <w:sz w:val="20"/>
        <w:szCs w:val="20"/>
      </w:rPr>
    </w:pPr>
    <w:fldSimple w:instr=" FILENAME   \* MERGEFORMAT ">
      <w:r w:rsidR="00362EC0" w:rsidRPr="00362EC0">
        <w:rPr>
          <w:noProof/>
          <w:sz w:val="20"/>
        </w:rPr>
        <w:t>VARAMAnot_290517_SEG</w:t>
      </w:r>
      <w:r w:rsidR="00362EC0">
        <w:rPr>
          <w:noProof/>
        </w:rPr>
        <w:t>_tc</w:t>
      </w:r>
    </w:fldSimple>
    <w:r w:rsidR="00DC1B7A">
      <w:rPr>
        <w:sz w:val="20"/>
      </w:rPr>
      <w:t>;</w:t>
    </w:r>
    <w:r w:rsidR="00DC1B7A" w:rsidRPr="00912990">
      <w:rPr>
        <w:sz w:val="20"/>
      </w:rPr>
      <w:t xml:space="preserve"> </w:t>
    </w:r>
    <w:r w:rsidR="00DC1B7A">
      <w:rPr>
        <w:sz w:val="20"/>
      </w:rPr>
      <w:t>Ministru kabineta noteikumu projekta “</w:t>
    </w:r>
    <w:r w:rsidR="00DC1B7A" w:rsidRPr="00407336">
      <w:rPr>
        <w:sz w:val="20"/>
        <w:szCs w:val="20"/>
      </w:rPr>
      <w:t>Siltumnīcefekta gāzu emisiju aprēķina metodika</w:t>
    </w:r>
    <w:r w:rsidR="00DC1B7A">
      <w:rPr>
        <w:sz w:val="20"/>
      </w:rPr>
      <w:t xml:space="preserve">” </w:t>
    </w:r>
    <w:r w:rsidR="00716977" w:rsidRPr="009074FA">
      <w:rPr>
        <w:sz w:val="20"/>
        <w:szCs w:val="20"/>
      </w:rPr>
      <w:t>sākotnējās ietekmes novērtējuma ziņojums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D5108C" w14:textId="77777777" w:rsidR="00851F5E" w:rsidRPr="00DC1B7A" w:rsidRDefault="002036C6" w:rsidP="00DC1B7A">
    <w:pPr>
      <w:pStyle w:val="Footer"/>
    </w:pPr>
    <w:fldSimple w:instr=" FILENAME   \* MERGEFORMAT ">
      <w:r w:rsidR="00DC1B7A" w:rsidRPr="00DC1B7A">
        <w:rPr>
          <w:noProof/>
          <w:sz w:val="20"/>
        </w:rPr>
        <w:t>VARAMAnot_20032017_SEG</w:t>
      </w:r>
    </w:fldSimple>
    <w:r w:rsidR="00DC1B7A">
      <w:rPr>
        <w:sz w:val="20"/>
      </w:rPr>
      <w:t>;</w:t>
    </w:r>
    <w:r w:rsidR="00DC1B7A" w:rsidRPr="00912990">
      <w:rPr>
        <w:sz w:val="20"/>
      </w:rPr>
      <w:t xml:space="preserve"> </w:t>
    </w:r>
    <w:r w:rsidR="00DC1B7A">
      <w:rPr>
        <w:sz w:val="20"/>
      </w:rPr>
      <w:t>Ministru kabineta noteikumu projekta “</w:t>
    </w:r>
    <w:r w:rsidR="00DC1B7A" w:rsidRPr="00407336">
      <w:rPr>
        <w:sz w:val="20"/>
        <w:szCs w:val="20"/>
      </w:rPr>
      <w:t>Siltumnīcefekta gāzu emisiju aprēķina metodika</w:t>
    </w:r>
    <w:r w:rsidR="00DC1B7A">
      <w:rPr>
        <w:sz w:val="20"/>
      </w:rPr>
      <w:t xml:space="preserve">” </w:t>
    </w:r>
    <w:r w:rsidR="0076633D" w:rsidRPr="009074FA">
      <w:rPr>
        <w:sz w:val="20"/>
        <w:szCs w:val="20"/>
      </w:rPr>
      <w:t>sākotnējās ietekmes novērtējuma ziņojums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F502C1" w14:textId="77777777" w:rsidR="00C20491" w:rsidRDefault="00C20491">
      <w:pPr>
        <w:pStyle w:val="naisnod"/>
      </w:pPr>
      <w:r>
        <w:separator/>
      </w:r>
    </w:p>
  </w:footnote>
  <w:footnote w:type="continuationSeparator" w:id="0">
    <w:p w14:paraId="41502A80" w14:textId="77777777" w:rsidR="00C20491" w:rsidRDefault="00C20491">
      <w:pPr>
        <w:pStyle w:val="naisnod"/>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24FF7" w14:textId="77777777" w:rsidR="00851F5E" w:rsidRDefault="00092C9C">
    <w:pPr>
      <w:pStyle w:val="Header"/>
      <w:framePr w:wrap="around" w:vAnchor="text" w:hAnchor="margin" w:xAlign="center" w:y="1"/>
      <w:rPr>
        <w:rStyle w:val="PageNumber"/>
      </w:rPr>
    </w:pPr>
    <w:r>
      <w:rPr>
        <w:rStyle w:val="PageNumber"/>
      </w:rPr>
      <w:fldChar w:fldCharType="begin"/>
    </w:r>
    <w:r w:rsidR="00851F5E">
      <w:rPr>
        <w:rStyle w:val="PageNumber"/>
      </w:rPr>
      <w:instrText xml:space="preserve">PAGE  </w:instrText>
    </w:r>
    <w:r>
      <w:rPr>
        <w:rStyle w:val="PageNumber"/>
      </w:rPr>
      <w:fldChar w:fldCharType="end"/>
    </w:r>
  </w:p>
  <w:p w14:paraId="5D129AE8" w14:textId="77777777" w:rsidR="00851F5E" w:rsidRDefault="00851F5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6EE6B" w14:textId="77777777" w:rsidR="00851F5E" w:rsidRDefault="00092C9C">
    <w:pPr>
      <w:pStyle w:val="Header"/>
      <w:framePr w:wrap="around" w:vAnchor="text" w:hAnchor="margin" w:xAlign="center" w:y="1"/>
      <w:rPr>
        <w:rStyle w:val="PageNumber"/>
      </w:rPr>
    </w:pPr>
    <w:r>
      <w:rPr>
        <w:rStyle w:val="PageNumber"/>
      </w:rPr>
      <w:fldChar w:fldCharType="begin"/>
    </w:r>
    <w:r w:rsidR="00851F5E">
      <w:rPr>
        <w:rStyle w:val="PageNumber"/>
      </w:rPr>
      <w:instrText xml:space="preserve">PAGE  </w:instrText>
    </w:r>
    <w:r>
      <w:rPr>
        <w:rStyle w:val="PageNumber"/>
      </w:rPr>
      <w:fldChar w:fldCharType="separate"/>
    </w:r>
    <w:r w:rsidR="008E0C36">
      <w:rPr>
        <w:rStyle w:val="PageNumber"/>
        <w:noProof/>
      </w:rPr>
      <w:t>4</w:t>
    </w:r>
    <w:r>
      <w:rPr>
        <w:rStyle w:val="PageNumber"/>
      </w:rPr>
      <w:fldChar w:fldCharType="end"/>
    </w:r>
  </w:p>
  <w:p w14:paraId="6FF55A6E" w14:textId="77777777" w:rsidR="00851F5E" w:rsidRDefault="00851F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C57A2"/>
    <w:multiLevelType w:val="hybridMultilevel"/>
    <w:tmpl w:val="5768BFA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3B31CAF"/>
    <w:multiLevelType w:val="hybridMultilevel"/>
    <w:tmpl w:val="47EECD26"/>
    <w:lvl w:ilvl="0" w:tplc="905A42A0">
      <w:start w:val="1"/>
      <w:numFmt w:val="decimal"/>
      <w:lvlText w:val="%1."/>
      <w:lvlJc w:val="left"/>
      <w:pPr>
        <w:ind w:left="501" w:hanging="360"/>
      </w:pPr>
    </w:lvl>
    <w:lvl w:ilvl="1" w:tplc="04260019">
      <w:start w:val="1"/>
      <w:numFmt w:val="lowerLetter"/>
      <w:lvlText w:val="%2."/>
      <w:lvlJc w:val="left"/>
      <w:pPr>
        <w:ind w:left="1221" w:hanging="360"/>
      </w:pPr>
    </w:lvl>
    <w:lvl w:ilvl="2" w:tplc="0426001B">
      <w:start w:val="1"/>
      <w:numFmt w:val="lowerRoman"/>
      <w:lvlText w:val="%3."/>
      <w:lvlJc w:val="right"/>
      <w:pPr>
        <w:ind w:left="1941" w:hanging="180"/>
      </w:pPr>
    </w:lvl>
    <w:lvl w:ilvl="3" w:tplc="0426000F">
      <w:start w:val="1"/>
      <w:numFmt w:val="decimal"/>
      <w:lvlText w:val="%4."/>
      <w:lvlJc w:val="left"/>
      <w:pPr>
        <w:ind w:left="2661" w:hanging="360"/>
      </w:pPr>
    </w:lvl>
    <w:lvl w:ilvl="4" w:tplc="04260019">
      <w:start w:val="1"/>
      <w:numFmt w:val="lowerLetter"/>
      <w:lvlText w:val="%5."/>
      <w:lvlJc w:val="left"/>
      <w:pPr>
        <w:ind w:left="3381" w:hanging="360"/>
      </w:pPr>
    </w:lvl>
    <w:lvl w:ilvl="5" w:tplc="0426001B">
      <w:start w:val="1"/>
      <w:numFmt w:val="lowerRoman"/>
      <w:lvlText w:val="%6."/>
      <w:lvlJc w:val="right"/>
      <w:pPr>
        <w:ind w:left="4101" w:hanging="180"/>
      </w:pPr>
    </w:lvl>
    <w:lvl w:ilvl="6" w:tplc="0426000F">
      <w:start w:val="1"/>
      <w:numFmt w:val="decimal"/>
      <w:lvlText w:val="%7."/>
      <w:lvlJc w:val="left"/>
      <w:pPr>
        <w:ind w:left="4821" w:hanging="360"/>
      </w:pPr>
    </w:lvl>
    <w:lvl w:ilvl="7" w:tplc="04260019">
      <w:start w:val="1"/>
      <w:numFmt w:val="lowerLetter"/>
      <w:lvlText w:val="%8."/>
      <w:lvlJc w:val="left"/>
      <w:pPr>
        <w:ind w:left="5541" w:hanging="360"/>
      </w:pPr>
    </w:lvl>
    <w:lvl w:ilvl="8" w:tplc="0426001B">
      <w:start w:val="1"/>
      <w:numFmt w:val="lowerRoman"/>
      <w:lvlText w:val="%9."/>
      <w:lvlJc w:val="right"/>
      <w:pPr>
        <w:ind w:left="6261" w:hanging="180"/>
      </w:pPr>
    </w:lvl>
  </w:abstractNum>
  <w:abstractNum w:abstractNumId="2" w15:restartNumberingAfterBreak="0">
    <w:nsid w:val="065A47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371CCD"/>
    <w:multiLevelType w:val="hybridMultilevel"/>
    <w:tmpl w:val="1988F28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C453C1"/>
    <w:multiLevelType w:val="hybridMultilevel"/>
    <w:tmpl w:val="D4A0AB6C"/>
    <w:lvl w:ilvl="0" w:tplc="6F1E3782">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5" w15:restartNumberingAfterBreak="0">
    <w:nsid w:val="1E3C1E93"/>
    <w:multiLevelType w:val="hybridMultilevel"/>
    <w:tmpl w:val="3C0876E2"/>
    <w:lvl w:ilvl="0" w:tplc="0426000D">
      <w:start w:val="1"/>
      <w:numFmt w:val="bullet"/>
      <w:lvlText w:val=""/>
      <w:lvlJc w:val="left"/>
      <w:pPr>
        <w:ind w:left="720" w:hanging="360"/>
      </w:pPr>
      <w:rPr>
        <w:rFonts w:ascii="Wingdings" w:hAnsi="Wingding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28D2637"/>
    <w:multiLevelType w:val="hybridMultilevel"/>
    <w:tmpl w:val="9FDC29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26500B7A"/>
    <w:multiLevelType w:val="hybridMultilevel"/>
    <w:tmpl w:val="0E6ED640"/>
    <w:lvl w:ilvl="0" w:tplc="04260001">
      <w:start w:val="1"/>
      <w:numFmt w:val="bullet"/>
      <w:lvlText w:val=""/>
      <w:lvlJc w:val="left"/>
      <w:pPr>
        <w:ind w:left="777" w:hanging="360"/>
      </w:pPr>
      <w:rPr>
        <w:rFonts w:ascii="Symbol" w:hAnsi="Symbol" w:hint="default"/>
      </w:rPr>
    </w:lvl>
    <w:lvl w:ilvl="1" w:tplc="04260003" w:tentative="1">
      <w:start w:val="1"/>
      <w:numFmt w:val="bullet"/>
      <w:lvlText w:val="o"/>
      <w:lvlJc w:val="left"/>
      <w:pPr>
        <w:ind w:left="1497" w:hanging="360"/>
      </w:pPr>
      <w:rPr>
        <w:rFonts w:ascii="Courier New" w:hAnsi="Courier New" w:cs="Courier New" w:hint="default"/>
      </w:rPr>
    </w:lvl>
    <w:lvl w:ilvl="2" w:tplc="04260005" w:tentative="1">
      <w:start w:val="1"/>
      <w:numFmt w:val="bullet"/>
      <w:lvlText w:val=""/>
      <w:lvlJc w:val="left"/>
      <w:pPr>
        <w:ind w:left="2217" w:hanging="360"/>
      </w:pPr>
      <w:rPr>
        <w:rFonts w:ascii="Wingdings" w:hAnsi="Wingdings" w:hint="default"/>
      </w:rPr>
    </w:lvl>
    <w:lvl w:ilvl="3" w:tplc="04260001" w:tentative="1">
      <w:start w:val="1"/>
      <w:numFmt w:val="bullet"/>
      <w:lvlText w:val=""/>
      <w:lvlJc w:val="left"/>
      <w:pPr>
        <w:ind w:left="2937" w:hanging="360"/>
      </w:pPr>
      <w:rPr>
        <w:rFonts w:ascii="Symbol" w:hAnsi="Symbol" w:hint="default"/>
      </w:rPr>
    </w:lvl>
    <w:lvl w:ilvl="4" w:tplc="04260003" w:tentative="1">
      <w:start w:val="1"/>
      <w:numFmt w:val="bullet"/>
      <w:lvlText w:val="o"/>
      <w:lvlJc w:val="left"/>
      <w:pPr>
        <w:ind w:left="3657" w:hanging="360"/>
      </w:pPr>
      <w:rPr>
        <w:rFonts w:ascii="Courier New" w:hAnsi="Courier New" w:cs="Courier New" w:hint="default"/>
      </w:rPr>
    </w:lvl>
    <w:lvl w:ilvl="5" w:tplc="04260005" w:tentative="1">
      <w:start w:val="1"/>
      <w:numFmt w:val="bullet"/>
      <w:lvlText w:val=""/>
      <w:lvlJc w:val="left"/>
      <w:pPr>
        <w:ind w:left="4377" w:hanging="360"/>
      </w:pPr>
      <w:rPr>
        <w:rFonts w:ascii="Wingdings" w:hAnsi="Wingdings" w:hint="default"/>
      </w:rPr>
    </w:lvl>
    <w:lvl w:ilvl="6" w:tplc="04260001" w:tentative="1">
      <w:start w:val="1"/>
      <w:numFmt w:val="bullet"/>
      <w:lvlText w:val=""/>
      <w:lvlJc w:val="left"/>
      <w:pPr>
        <w:ind w:left="5097" w:hanging="360"/>
      </w:pPr>
      <w:rPr>
        <w:rFonts w:ascii="Symbol" w:hAnsi="Symbol" w:hint="default"/>
      </w:rPr>
    </w:lvl>
    <w:lvl w:ilvl="7" w:tplc="04260003" w:tentative="1">
      <w:start w:val="1"/>
      <w:numFmt w:val="bullet"/>
      <w:lvlText w:val="o"/>
      <w:lvlJc w:val="left"/>
      <w:pPr>
        <w:ind w:left="5817" w:hanging="360"/>
      </w:pPr>
      <w:rPr>
        <w:rFonts w:ascii="Courier New" w:hAnsi="Courier New" w:cs="Courier New" w:hint="default"/>
      </w:rPr>
    </w:lvl>
    <w:lvl w:ilvl="8" w:tplc="04260005" w:tentative="1">
      <w:start w:val="1"/>
      <w:numFmt w:val="bullet"/>
      <w:lvlText w:val=""/>
      <w:lvlJc w:val="left"/>
      <w:pPr>
        <w:ind w:left="6537" w:hanging="360"/>
      </w:pPr>
      <w:rPr>
        <w:rFonts w:ascii="Wingdings" w:hAnsi="Wingdings" w:hint="default"/>
      </w:rPr>
    </w:lvl>
  </w:abstractNum>
  <w:abstractNum w:abstractNumId="8" w15:restartNumberingAfterBreak="0">
    <w:nsid w:val="27EA7A4D"/>
    <w:multiLevelType w:val="hybridMultilevel"/>
    <w:tmpl w:val="91945736"/>
    <w:lvl w:ilvl="0" w:tplc="412E0386">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29BA01A1"/>
    <w:multiLevelType w:val="hybridMultilevel"/>
    <w:tmpl w:val="3182C668"/>
    <w:lvl w:ilvl="0" w:tplc="0426000F">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0" w15:restartNumberingAfterBreak="0">
    <w:nsid w:val="2AF660C6"/>
    <w:multiLevelType w:val="hybridMultilevel"/>
    <w:tmpl w:val="54607130"/>
    <w:lvl w:ilvl="0" w:tplc="621A045A">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1" w15:restartNumberingAfterBreak="0">
    <w:nsid w:val="3D522715"/>
    <w:multiLevelType w:val="hybridMultilevel"/>
    <w:tmpl w:val="A0D0F5FC"/>
    <w:lvl w:ilvl="0" w:tplc="290408E6">
      <w:start w:val="1"/>
      <w:numFmt w:val="decimal"/>
      <w:lvlText w:val="%1)"/>
      <w:lvlJc w:val="left"/>
      <w:pPr>
        <w:ind w:left="501" w:hanging="360"/>
      </w:pPr>
      <w:rPr>
        <w:rFonts w:hint="default"/>
      </w:rPr>
    </w:lvl>
    <w:lvl w:ilvl="1" w:tplc="04260019" w:tentative="1">
      <w:start w:val="1"/>
      <w:numFmt w:val="lowerLetter"/>
      <w:lvlText w:val="%2."/>
      <w:lvlJc w:val="left"/>
      <w:pPr>
        <w:ind w:left="1221" w:hanging="360"/>
      </w:pPr>
    </w:lvl>
    <w:lvl w:ilvl="2" w:tplc="0426001B" w:tentative="1">
      <w:start w:val="1"/>
      <w:numFmt w:val="lowerRoman"/>
      <w:lvlText w:val="%3."/>
      <w:lvlJc w:val="right"/>
      <w:pPr>
        <w:ind w:left="1941" w:hanging="180"/>
      </w:pPr>
    </w:lvl>
    <w:lvl w:ilvl="3" w:tplc="0426000F" w:tentative="1">
      <w:start w:val="1"/>
      <w:numFmt w:val="decimal"/>
      <w:lvlText w:val="%4."/>
      <w:lvlJc w:val="left"/>
      <w:pPr>
        <w:ind w:left="2661" w:hanging="360"/>
      </w:pPr>
    </w:lvl>
    <w:lvl w:ilvl="4" w:tplc="04260019" w:tentative="1">
      <w:start w:val="1"/>
      <w:numFmt w:val="lowerLetter"/>
      <w:lvlText w:val="%5."/>
      <w:lvlJc w:val="left"/>
      <w:pPr>
        <w:ind w:left="3381" w:hanging="360"/>
      </w:pPr>
    </w:lvl>
    <w:lvl w:ilvl="5" w:tplc="0426001B" w:tentative="1">
      <w:start w:val="1"/>
      <w:numFmt w:val="lowerRoman"/>
      <w:lvlText w:val="%6."/>
      <w:lvlJc w:val="right"/>
      <w:pPr>
        <w:ind w:left="4101" w:hanging="180"/>
      </w:pPr>
    </w:lvl>
    <w:lvl w:ilvl="6" w:tplc="0426000F" w:tentative="1">
      <w:start w:val="1"/>
      <w:numFmt w:val="decimal"/>
      <w:lvlText w:val="%7."/>
      <w:lvlJc w:val="left"/>
      <w:pPr>
        <w:ind w:left="4821" w:hanging="360"/>
      </w:pPr>
    </w:lvl>
    <w:lvl w:ilvl="7" w:tplc="04260019" w:tentative="1">
      <w:start w:val="1"/>
      <w:numFmt w:val="lowerLetter"/>
      <w:lvlText w:val="%8."/>
      <w:lvlJc w:val="left"/>
      <w:pPr>
        <w:ind w:left="5541" w:hanging="360"/>
      </w:pPr>
    </w:lvl>
    <w:lvl w:ilvl="8" w:tplc="0426001B" w:tentative="1">
      <w:start w:val="1"/>
      <w:numFmt w:val="lowerRoman"/>
      <w:lvlText w:val="%9."/>
      <w:lvlJc w:val="right"/>
      <w:pPr>
        <w:ind w:left="6261" w:hanging="180"/>
      </w:pPr>
    </w:lvl>
  </w:abstractNum>
  <w:abstractNum w:abstractNumId="12" w15:restartNumberingAfterBreak="0">
    <w:nsid w:val="47096148"/>
    <w:multiLevelType w:val="hybridMultilevel"/>
    <w:tmpl w:val="8286C21A"/>
    <w:lvl w:ilvl="0" w:tplc="EAEE5BB4">
      <w:start w:val="1"/>
      <w:numFmt w:val="decimal"/>
      <w:lvlText w:val="%1)"/>
      <w:lvlJc w:val="left"/>
      <w:pPr>
        <w:ind w:left="497" w:hanging="435"/>
      </w:pPr>
      <w:rPr>
        <w:rFonts w:hint="default"/>
      </w:rPr>
    </w:lvl>
    <w:lvl w:ilvl="1" w:tplc="04260019" w:tentative="1">
      <w:start w:val="1"/>
      <w:numFmt w:val="lowerLetter"/>
      <w:lvlText w:val="%2."/>
      <w:lvlJc w:val="left"/>
      <w:pPr>
        <w:ind w:left="1142" w:hanging="360"/>
      </w:pPr>
    </w:lvl>
    <w:lvl w:ilvl="2" w:tplc="0426001B" w:tentative="1">
      <w:start w:val="1"/>
      <w:numFmt w:val="lowerRoman"/>
      <w:lvlText w:val="%3."/>
      <w:lvlJc w:val="right"/>
      <w:pPr>
        <w:ind w:left="1862" w:hanging="180"/>
      </w:pPr>
    </w:lvl>
    <w:lvl w:ilvl="3" w:tplc="0426000F" w:tentative="1">
      <w:start w:val="1"/>
      <w:numFmt w:val="decimal"/>
      <w:lvlText w:val="%4."/>
      <w:lvlJc w:val="left"/>
      <w:pPr>
        <w:ind w:left="2582" w:hanging="360"/>
      </w:pPr>
    </w:lvl>
    <w:lvl w:ilvl="4" w:tplc="04260019" w:tentative="1">
      <w:start w:val="1"/>
      <w:numFmt w:val="lowerLetter"/>
      <w:lvlText w:val="%5."/>
      <w:lvlJc w:val="left"/>
      <w:pPr>
        <w:ind w:left="3302" w:hanging="360"/>
      </w:pPr>
    </w:lvl>
    <w:lvl w:ilvl="5" w:tplc="0426001B" w:tentative="1">
      <w:start w:val="1"/>
      <w:numFmt w:val="lowerRoman"/>
      <w:lvlText w:val="%6."/>
      <w:lvlJc w:val="right"/>
      <w:pPr>
        <w:ind w:left="4022" w:hanging="180"/>
      </w:pPr>
    </w:lvl>
    <w:lvl w:ilvl="6" w:tplc="0426000F" w:tentative="1">
      <w:start w:val="1"/>
      <w:numFmt w:val="decimal"/>
      <w:lvlText w:val="%7."/>
      <w:lvlJc w:val="left"/>
      <w:pPr>
        <w:ind w:left="4742" w:hanging="360"/>
      </w:pPr>
    </w:lvl>
    <w:lvl w:ilvl="7" w:tplc="04260019" w:tentative="1">
      <w:start w:val="1"/>
      <w:numFmt w:val="lowerLetter"/>
      <w:lvlText w:val="%8."/>
      <w:lvlJc w:val="left"/>
      <w:pPr>
        <w:ind w:left="5462" w:hanging="360"/>
      </w:pPr>
    </w:lvl>
    <w:lvl w:ilvl="8" w:tplc="0426001B" w:tentative="1">
      <w:start w:val="1"/>
      <w:numFmt w:val="lowerRoman"/>
      <w:lvlText w:val="%9."/>
      <w:lvlJc w:val="right"/>
      <w:pPr>
        <w:ind w:left="6182" w:hanging="180"/>
      </w:pPr>
    </w:lvl>
  </w:abstractNum>
  <w:abstractNum w:abstractNumId="13" w15:restartNumberingAfterBreak="0">
    <w:nsid w:val="48924FFE"/>
    <w:multiLevelType w:val="multilevel"/>
    <w:tmpl w:val="31A25EA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50017C37"/>
    <w:multiLevelType w:val="hybridMultilevel"/>
    <w:tmpl w:val="51B628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77A2ACF"/>
    <w:multiLevelType w:val="hybridMultilevel"/>
    <w:tmpl w:val="ADFE75F8"/>
    <w:lvl w:ilvl="0" w:tplc="F59AAFFA">
      <w:start w:val="1"/>
      <w:numFmt w:val="decimal"/>
      <w:lvlText w:val="%1."/>
      <w:lvlJc w:val="left"/>
      <w:pPr>
        <w:ind w:left="480" w:hanging="360"/>
      </w:pPr>
      <w:rPr>
        <w:rFonts w:hint="default"/>
      </w:rPr>
    </w:lvl>
    <w:lvl w:ilvl="1" w:tplc="04260019" w:tentative="1">
      <w:start w:val="1"/>
      <w:numFmt w:val="lowerLetter"/>
      <w:lvlText w:val="%2."/>
      <w:lvlJc w:val="left"/>
      <w:pPr>
        <w:ind w:left="1200" w:hanging="360"/>
      </w:pPr>
    </w:lvl>
    <w:lvl w:ilvl="2" w:tplc="0426001B" w:tentative="1">
      <w:start w:val="1"/>
      <w:numFmt w:val="lowerRoman"/>
      <w:lvlText w:val="%3."/>
      <w:lvlJc w:val="right"/>
      <w:pPr>
        <w:ind w:left="1920" w:hanging="180"/>
      </w:pPr>
    </w:lvl>
    <w:lvl w:ilvl="3" w:tplc="0426000F" w:tentative="1">
      <w:start w:val="1"/>
      <w:numFmt w:val="decimal"/>
      <w:lvlText w:val="%4."/>
      <w:lvlJc w:val="left"/>
      <w:pPr>
        <w:ind w:left="2640" w:hanging="360"/>
      </w:pPr>
    </w:lvl>
    <w:lvl w:ilvl="4" w:tplc="04260019" w:tentative="1">
      <w:start w:val="1"/>
      <w:numFmt w:val="lowerLetter"/>
      <w:lvlText w:val="%5."/>
      <w:lvlJc w:val="left"/>
      <w:pPr>
        <w:ind w:left="3360" w:hanging="360"/>
      </w:pPr>
    </w:lvl>
    <w:lvl w:ilvl="5" w:tplc="0426001B" w:tentative="1">
      <w:start w:val="1"/>
      <w:numFmt w:val="lowerRoman"/>
      <w:lvlText w:val="%6."/>
      <w:lvlJc w:val="right"/>
      <w:pPr>
        <w:ind w:left="4080" w:hanging="180"/>
      </w:pPr>
    </w:lvl>
    <w:lvl w:ilvl="6" w:tplc="0426000F" w:tentative="1">
      <w:start w:val="1"/>
      <w:numFmt w:val="decimal"/>
      <w:lvlText w:val="%7."/>
      <w:lvlJc w:val="left"/>
      <w:pPr>
        <w:ind w:left="4800" w:hanging="360"/>
      </w:pPr>
    </w:lvl>
    <w:lvl w:ilvl="7" w:tplc="04260019" w:tentative="1">
      <w:start w:val="1"/>
      <w:numFmt w:val="lowerLetter"/>
      <w:lvlText w:val="%8."/>
      <w:lvlJc w:val="left"/>
      <w:pPr>
        <w:ind w:left="5520" w:hanging="360"/>
      </w:pPr>
    </w:lvl>
    <w:lvl w:ilvl="8" w:tplc="0426001B" w:tentative="1">
      <w:start w:val="1"/>
      <w:numFmt w:val="lowerRoman"/>
      <w:lvlText w:val="%9."/>
      <w:lvlJc w:val="right"/>
      <w:pPr>
        <w:ind w:left="6240" w:hanging="180"/>
      </w:pPr>
    </w:lvl>
  </w:abstractNum>
  <w:abstractNum w:abstractNumId="16" w15:restartNumberingAfterBreak="0">
    <w:nsid w:val="668B32B3"/>
    <w:multiLevelType w:val="multilevel"/>
    <w:tmpl w:val="035E8D8A"/>
    <w:lvl w:ilvl="0">
      <w:start w:val="39"/>
      <w:numFmt w:val="decimal"/>
      <w:lvlText w:val="%1."/>
      <w:lvlJc w:val="left"/>
      <w:pPr>
        <w:ind w:left="927" w:hanging="360"/>
      </w:pPr>
      <w:rPr>
        <w:rFonts w:ascii="Times New Roman" w:eastAsiaTheme="minorEastAsia" w:hAnsi="Times New Roman" w:cs="Times New Roman" w:hint="default"/>
        <w:noProof w:val="0"/>
        <w:color w:val="auto"/>
        <w:sz w:val="28"/>
        <w:szCs w:val="28"/>
      </w:rPr>
    </w:lvl>
    <w:lvl w:ilvl="1">
      <w:start w:val="1"/>
      <w:numFmt w:val="decimal"/>
      <w:lvlText w:val="%1.%2."/>
      <w:lvlJc w:val="left"/>
      <w:pPr>
        <w:ind w:left="999"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E22F1C"/>
    <w:multiLevelType w:val="hybridMultilevel"/>
    <w:tmpl w:val="C6DCA27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73A66C35"/>
    <w:multiLevelType w:val="hybridMultilevel"/>
    <w:tmpl w:val="5A04A5D8"/>
    <w:lvl w:ilvl="0" w:tplc="0426000F">
      <w:start w:val="1"/>
      <w:numFmt w:val="decimal"/>
      <w:lvlText w:val="%1."/>
      <w:lvlJc w:val="left"/>
      <w:pPr>
        <w:ind w:left="720" w:hanging="360"/>
      </w:pPr>
      <w:rPr>
        <w:rFonts w:hint="default"/>
      </w:rPr>
    </w:lvl>
    <w:lvl w:ilvl="1" w:tplc="04260001">
      <w:start w:val="1"/>
      <w:numFmt w:val="bullet"/>
      <w:lvlText w:val=""/>
      <w:lvlJc w:val="left"/>
      <w:pPr>
        <w:ind w:left="786" w:hanging="360"/>
      </w:pPr>
      <w:rPr>
        <w:rFonts w:ascii="Symbol" w:hAnsi="Symbol" w:hint="default"/>
      </w:r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2"/>
  </w:num>
  <w:num w:numId="2">
    <w:abstractNumId w:val="8"/>
  </w:num>
  <w:num w:numId="3">
    <w:abstractNumId w:val="17"/>
  </w:num>
  <w:num w:numId="4">
    <w:abstractNumId w:val="18"/>
  </w:num>
  <w:num w:numId="5">
    <w:abstractNumId w:val="6"/>
  </w:num>
  <w:num w:numId="6">
    <w:abstractNumId w:val="9"/>
  </w:num>
  <w:num w:numId="7">
    <w:abstractNumId w:val="14"/>
  </w:num>
  <w:num w:numId="8">
    <w:abstractNumId w:val="15"/>
  </w:num>
  <w:num w:numId="9">
    <w:abstractNumId w:val="13"/>
  </w:num>
  <w:num w:numId="10">
    <w:abstractNumId w:val="2"/>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0"/>
  </w:num>
  <w:num w:numId="14">
    <w:abstractNumId w:val="5"/>
  </w:num>
  <w:num w:numId="15">
    <w:abstractNumId w:val="7"/>
  </w:num>
  <w:num w:numId="16">
    <w:abstractNumId w:val="3"/>
  </w:num>
  <w:num w:numId="17">
    <w:abstractNumId w:val="10"/>
  </w:num>
  <w:num w:numId="18">
    <w:abstractNumId w:val="11"/>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120"/>
  <w:displayHorizontalDrawingGridEvery w:val="2"/>
  <w:characterSpacingControl w:val="doNotCompress"/>
  <w:hdrShapeDefaults>
    <o:shapedefaults v:ext="edit" spidmax="87041"/>
  </w:hdrShapeDefaults>
  <w:footnotePr>
    <w:footnote w:id="-1"/>
    <w:footnote w:id="0"/>
  </w:footnotePr>
  <w:endnotePr>
    <w:endnote w:id="-1"/>
    <w:endnote w:id="0"/>
  </w:endnotePr>
  <w:compat>
    <w:compatSetting w:name="compatibilityMode" w:uri="http://schemas.microsoft.com/office/word" w:val="12"/>
  </w:compat>
  <w:rsids>
    <w:rsidRoot w:val="00744957"/>
    <w:rsid w:val="000004F6"/>
    <w:rsid w:val="00004A0E"/>
    <w:rsid w:val="0000611F"/>
    <w:rsid w:val="0001096A"/>
    <w:rsid w:val="000127A8"/>
    <w:rsid w:val="00012B0B"/>
    <w:rsid w:val="000151B9"/>
    <w:rsid w:val="0001541C"/>
    <w:rsid w:val="0002370F"/>
    <w:rsid w:val="000261AD"/>
    <w:rsid w:val="00027828"/>
    <w:rsid w:val="00033D30"/>
    <w:rsid w:val="000348F5"/>
    <w:rsid w:val="00035AD3"/>
    <w:rsid w:val="00043A8C"/>
    <w:rsid w:val="00044807"/>
    <w:rsid w:val="00046902"/>
    <w:rsid w:val="00047FEB"/>
    <w:rsid w:val="0005271E"/>
    <w:rsid w:val="0005413D"/>
    <w:rsid w:val="00061915"/>
    <w:rsid w:val="000644E3"/>
    <w:rsid w:val="00065E5A"/>
    <w:rsid w:val="0007183A"/>
    <w:rsid w:val="00072A69"/>
    <w:rsid w:val="00075283"/>
    <w:rsid w:val="00081872"/>
    <w:rsid w:val="00082034"/>
    <w:rsid w:val="00082449"/>
    <w:rsid w:val="00083FAE"/>
    <w:rsid w:val="00091A63"/>
    <w:rsid w:val="00092C9C"/>
    <w:rsid w:val="000A2504"/>
    <w:rsid w:val="000B0177"/>
    <w:rsid w:val="000B1FDA"/>
    <w:rsid w:val="000B2C35"/>
    <w:rsid w:val="000B36A5"/>
    <w:rsid w:val="000B706A"/>
    <w:rsid w:val="000B7CD3"/>
    <w:rsid w:val="000C04FD"/>
    <w:rsid w:val="000C090C"/>
    <w:rsid w:val="000C2B47"/>
    <w:rsid w:val="000C2B6A"/>
    <w:rsid w:val="000C376F"/>
    <w:rsid w:val="000C5619"/>
    <w:rsid w:val="000D035C"/>
    <w:rsid w:val="000D10DB"/>
    <w:rsid w:val="000D1694"/>
    <w:rsid w:val="000D2564"/>
    <w:rsid w:val="000D3752"/>
    <w:rsid w:val="000D398E"/>
    <w:rsid w:val="000D5A63"/>
    <w:rsid w:val="000D6348"/>
    <w:rsid w:val="000D68A9"/>
    <w:rsid w:val="000E3C41"/>
    <w:rsid w:val="000E5384"/>
    <w:rsid w:val="000F2298"/>
    <w:rsid w:val="000F5F82"/>
    <w:rsid w:val="00103F0E"/>
    <w:rsid w:val="0011091B"/>
    <w:rsid w:val="0011217D"/>
    <w:rsid w:val="001125FB"/>
    <w:rsid w:val="00112A1F"/>
    <w:rsid w:val="00116C9D"/>
    <w:rsid w:val="00116E10"/>
    <w:rsid w:val="00121D42"/>
    <w:rsid w:val="00122AA6"/>
    <w:rsid w:val="00123448"/>
    <w:rsid w:val="00126760"/>
    <w:rsid w:val="00126773"/>
    <w:rsid w:val="00130369"/>
    <w:rsid w:val="00131C8D"/>
    <w:rsid w:val="00132D3D"/>
    <w:rsid w:val="00133143"/>
    <w:rsid w:val="00133E75"/>
    <w:rsid w:val="001356E1"/>
    <w:rsid w:val="001356F8"/>
    <w:rsid w:val="00142068"/>
    <w:rsid w:val="00142B54"/>
    <w:rsid w:val="001447B7"/>
    <w:rsid w:val="001519DF"/>
    <w:rsid w:val="00153FD6"/>
    <w:rsid w:val="00157855"/>
    <w:rsid w:val="0016359A"/>
    <w:rsid w:val="00164497"/>
    <w:rsid w:val="00165C1E"/>
    <w:rsid w:val="0017058A"/>
    <w:rsid w:val="001717D5"/>
    <w:rsid w:val="00173D89"/>
    <w:rsid w:val="001753CD"/>
    <w:rsid w:val="00176C5A"/>
    <w:rsid w:val="0018156E"/>
    <w:rsid w:val="00181719"/>
    <w:rsid w:val="00182E92"/>
    <w:rsid w:val="00186315"/>
    <w:rsid w:val="0018706D"/>
    <w:rsid w:val="001913C5"/>
    <w:rsid w:val="00192115"/>
    <w:rsid w:val="0019221C"/>
    <w:rsid w:val="001924CD"/>
    <w:rsid w:val="00195507"/>
    <w:rsid w:val="00195612"/>
    <w:rsid w:val="001978FB"/>
    <w:rsid w:val="001A0013"/>
    <w:rsid w:val="001A0AFE"/>
    <w:rsid w:val="001A2B66"/>
    <w:rsid w:val="001A2C70"/>
    <w:rsid w:val="001A51E2"/>
    <w:rsid w:val="001B2E1C"/>
    <w:rsid w:val="001B3098"/>
    <w:rsid w:val="001B698D"/>
    <w:rsid w:val="001B6E9F"/>
    <w:rsid w:val="001C1210"/>
    <w:rsid w:val="001C164C"/>
    <w:rsid w:val="001C569A"/>
    <w:rsid w:val="001D7439"/>
    <w:rsid w:val="001E47A5"/>
    <w:rsid w:val="001E54A3"/>
    <w:rsid w:val="001E5E7D"/>
    <w:rsid w:val="001F04F1"/>
    <w:rsid w:val="001F253E"/>
    <w:rsid w:val="001F5411"/>
    <w:rsid w:val="00201E3C"/>
    <w:rsid w:val="00202A18"/>
    <w:rsid w:val="002031D8"/>
    <w:rsid w:val="002036C6"/>
    <w:rsid w:val="00204617"/>
    <w:rsid w:val="002052A1"/>
    <w:rsid w:val="00205B39"/>
    <w:rsid w:val="0020608E"/>
    <w:rsid w:val="00206DA3"/>
    <w:rsid w:val="00211F2C"/>
    <w:rsid w:val="002150B9"/>
    <w:rsid w:val="00215CFD"/>
    <w:rsid w:val="00220564"/>
    <w:rsid w:val="002213BC"/>
    <w:rsid w:val="00222D76"/>
    <w:rsid w:val="00222F71"/>
    <w:rsid w:val="0023098B"/>
    <w:rsid w:val="002324D9"/>
    <w:rsid w:val="002324F8"/>
    <w:rsid w:val="002325C9"/>
    <w:rsid w:val="00234F66"/>
    <w:rsid w:val="002367A9"/>
    <w:rsid w:val="00237992"/>
    <w:rsid w:val="00237D7D"/>
    <w:rsid w:val="00241AFD"/>
    <w:rsid w:val="00241DB5"/>
    <w:rsid w:val="0024474E"/>
    <w:rsid w:val="00251DE1"/>
    <w:rsid w:val="002525AB"/>
    <w:rsid w:val="0025282F"/>
    <w:rsid w:val="00253EF0"/>
    <w:rsid w:val="00257CD4"/>
    <w:rsid w:val="0026058E"/>
    <w:rsid w:val="00261395"/>
    <w:rsid w:val="00263E5A"/>
    <w:rsid w:val="00265A10"/>
    <w:rsid w:val="00266257"/>
    <w:rsid w:val="0027415E"/>
    <w:rsid w:val="002760F3"/>
    <w:rsid w:val="00277D2F"/>
    <w:rsid w:val="00281EC0"/>
    <w:rsid w:val="002829A1"/>
    <w:rsid w:val="00282DF9"/>
    <w:rsid w:val="00287313"/>
    <w:rsid w:val="00290D53"/>
    <w:rsid w:val="0029432A"/>
    <w:rsid w:val="00294E85"/>
    <w:rsid w:val="00297AFB"/>
    <w:rsid w:val="002A2E1E"/>
    <w:rsid w:val="002A3CDD"/>
    <w:rsid w:val="002A45C4"/>
    <w:rsid w:val="002A511C"/>
    <w:rsid w:val="002A5ACA"/>
    <w:rsid w:val="002A6FEC"/>
    <w:rsid w:val="002A70E4"/>
    <w:rsid w:val="002A78A4"/>
    <w:rsid w:val="002B35B0"/>
    <w:rsid w:val="002B6E3A"/>
    <w:rsid w:val="002C310E"/>
    <w:rsid w:val="002D16ED"/>
    <w:rsid w:val="002D69EB"/>
    <w:rsid w:val="002D6A62"/>
    <w:rsid w:val="002D75FE"/>
    <w:rsid w:val="002F0B4F"/>
    <w:rsid w:val="002F5FDD"/>
    <w:rsid w:val="00300BBE"/>
    <w:rsid w:val="0030286C"/>
    <w:rsid w:val="00307FE8"/>
    <w:rsid w:val="00317465"/>
    <w:rsid w:val="00322274"/>
    <w:rsid w:val="0032592A"/>
    <w:rsid w:val="00330AEB"/>
    <w:rsid w:val="00333094"/>
    <w:rsid w:val="00335863"/>
    <w:rsid w:val="00336D2A"/>
    <w:rsid w:val="00345703"/>
    <w:rsid w:val="00347AEC"/>
    <w:rsid w:val="00347B3D"/>
    <w:rsid w:val="003502E8"/>
    <w:rsid w:val="003508B0"/>
    <w:rsid w:val="0035256B"/>
    <w:rsid w:val="0035413A"/>
    <w:rsid w:val="0035522B"/>
    <w:rsid w:val="0035573F"/>
    <w:rsid w:val="00355EF4"/>
    <w:rsid w:val="00357105"/>
    <w:rsid w:val="00360922"/>
    <w:rsid w:val="0036259C"/>
    <w:rsid w:val="00362EC0"/>
    <w:rsid w:val="00366E43"/>
    <w:rsid w:val="00370F57"/>
    <w:rsid w:val="003715EA"/>
    <w:rsid w:val="003724E7"/>
    <w:rsid w:val="00373157"/>
    <w:rsid w:val="00376D63"/>
    <w:rsid w:val="00377CDB"/>
    <w:rsid w:val="00377F39"/>
    <w:rsid w:val="00380B37"/>
    <w:rsid w:val="00381AFB"/>
    <w:rsid w:val="00384BF5"/>
    <w:rsid w:val="00387A7C"/>
    <w:rsid w:val="00387F4A"/>
    <w:rsid w:val="00392931"/>
    <w:rsid w:val="00392CA7"/>
    <w:rsid w:val="003938D7"/>
    <w:rsid w:val="00396D39"/>
    <w:rsid w:val="003A4448"/>
    <w:rsid w:val="003A53B3"/>
    <w:rsid w:val="003A635F"/>
    <w:rsid w:val="003A75AA"/>
    <w:rsid w:val="003C1FA5"/>
    <w:rsid w:val="003C7A40"/>
    <w:rsid w:val="003D040F"/>
    <w:rsid w:val="003D0682"/>
    <w:rsid w:val="003D14E8"/>
    <w:rsid w:val="003D1FB1"/>
    <w:rsid w:val="003D26C7"/>
    <w:rsid w:val="003D5BB0"/>
    <w:rsid w:val="003D7374"/>
    <w:rsid w:val="003E0326"/>
    <w:rsid w:val="003E2717"/>
    <w:rsid w:val="003E47C5"/>
    <w:rsid w:val="003E550D"/>
    <w:rsid w:val="003F0062"/>
    <w:rsid w:val="003F02C6"/>
    <w:rsid w:val="003F2231"/>
    <w:rsid w:val="003F356E"/>
    <w:rsid w:val="003F404D"/>
    <w:rsid w:val="003F6AB7"/>
    <w:rsid w:val="00402890"/>
    <w:rsid w:val="0040555E"/>
    <w:rsid w:val="00406F9F"/>
    <w:rsid w:val="00411A01"/>
    <w:rsid w:val="004129E7"/>
    <w:rsid w:val="004134F0"/>
    <w:rsid w:val="0041625C"/>
    <w:rsid w:val="004225A4"/>
    <w:rsid w:val="00423F24"/>
    <w:rsid w:val="00424745"/>
    <w:rsid w:val="00426371"/>
    <w:rsid w:val="00430E31"/>
    <w:rsid w:val="00431613"/>
    <w:rsid w:val="00431A67"/>
    <w:rsid w:val="004350F7"/>
    <w:rsid w:val="004405F0"/>
    <w:rsid w:val="0044304F"/>
    <w:rsid w:val="00444ED6"/>
    <w:rsid w:val="00446FBF"/>
    <w:rsid w:val="00450192"/>
    <w:rsid w:val="00452672"/>
    <w:rsid w:val="00455302"/>
    <w:rsid w:val="004555C1"/>
    <w:rsid w:val="004559B8"/>
    <w:rsid w:val="00456C58"/>
    <w:rsid w:val="00460C2E"/>
    <w:rsid w:val="00464AFB"/>
    <w:rsid w:val="00470506"/>
    <w:rsid w:val="0047334C"/>
    <w:rsid w:val="004736DB"/>
    <w:rsid w:val="00474217"/>
    <w:rsid w:val="00474647"/>
    <w:rsid w:val="004811E7"/>
    <w:rsid w:val="004845E7"/>
    <w:rsid w:val="004845FB"/>
    <w:rsid w:val="00487A74"/>
    <w:rsid w:val="00490B81"/>
    <w:rsid w:val="004919FA"/>
    <w:rsid w:val="00492D45"/>
    <w:rsid w:val="004949A2"/>
    <w:rsid w:val="00494B9F"/>
    <w:rsid w:val="00495396"/>
    <w:rsid w:val="004A5228"/>
    <w:rsid w:val="004A6F7E"/>
    <w:rsid w:val="004A70F5"/>
    <w:rsid w:val="004B07A5"/>
    <w:rsid w:val="004B174A"/>
    <w:rsid w:val="004B4B1C"/>
    <w:rsid w:val="004B5698"/>
    <w:rsid w:val="004B6BE3"/>
    <w:rsid w:val="004B7BE4"/>
    <w:rsid w:val="004C02AA"/>
    <w:rsid w:val="004C1936"/>
    <w:rsid w:val="004C232A"/>
    <w:rsid w:val="004C23F1"/>
    <w:rsid w:val="004C7271"/>
    <w:rsid w:val="004D25AC"/>
    <w:rsid w:val="004D3210"/>
    <w:rsid w:val="004D5C94"/>
    <w:rsid w:val="004D753C"/>
    <w:rsid w:val="004D7AA9"/>
    <w:rsid w:val="004E01E0"/>
    <w:rsid w:val="004E3368"/>
    <w:rsid w:val="004E6701"/>
    <w:rsid w:val="004E6ADD"/>
    <w:rsid w:val="004E7D3E"/>
    <w:rsid w:val="004F19B9"/>
    <w:rsid w:val="005004DF"/>
    <w:rsid w:val="00500F36"/>
    <w:rsid w:val="0050722B"/>
    <w:rsid w:val="00507254"/>
    <w:rsid w:val="00514A39"/>
    <w:rsid w:val="00515482"/>
    <w:rsid w:val="0051568B"/>
    <w:rsid w:val="00516A78"/>
    <w:rsid w:val="00516D80"/>
    <w:rsid w:val="00516E98"/>
    <w:rsid w:val="0052074C"/>
    <w:rsid w:val="00521F0A"/>
    <w:rsid w:val="0052511B"/>
    <w:rsid w:val="00525A44"/>
    <w:rsid w:val="00542BFA"/>
    <w:rsid w:val="00547C3E"/>
    <w:rsid w:val="00557039"/>
    <w:rsid w:val="00562AF8"/>
    <w:rsid w:val="00562CD5"/>
    <w:rsid w:val="00564940"/>
    <w:rsid w:val="00564DF9"/>
    <w:rsid w:val="00567B56"/>
    <w:rsid w:val="005718A3"/>
    <w:rsid w:val="00571F68"/>
    <w:rsid w:val="0057388B"/>
    <w:rsid w:val="00575F66"/>
    <w:rsid w:val="0058211E"/>
    <w:rsid w:val="00582BD5"/>
    <w:rsid w:val="00582F5B"/>
    <w:rsid w:val="0058311A"/>
    <w:rsid w:val="0058311F"/>
    <w:rsid w:val="00583688"/>
    <w:rsid w:val="00586C4C"/>
    <w:rsid w:val="005872D1"/>
    <w:rsid w:val="00590004"/>
    <w:rsid w:val="00592F70"/>
    <w:rsid w:val="005946C9"/>
    <w:rsid w:val="00594B39"/>
    <w:rsid w:val="0059500F"/>
    <w:rsid w:val="00596B61"/>
    <w:rsid w:val="005970BB"/>
    <w:rsid w:val="005A1E05"/>
    <w:rsid w:val="005A786E"/>
    <w:rsid w:val="005B37DB"/>
    <w:rsid w:val="005B489D"/>
    <w:rsid w:val="005B4B9E"/>
    <w:rsid w:val="005C1D30"/>
    <w:rsid w:val="005C4B6F"/>
    <w:rsid w:val="005C6AB4"/>
    <w:rsid w:val="005D0EE0"/>
    <w:rsid w:val="005E3C20"/>
    <w:rsid w:val="005E4BBB"/>
    <w:rsid w:val="005E5FE6"/>
    <w:rsid w:val="005E7C7B"/>
    <w:rsid w:val="005F03A4"/>
    <w:rsid w:val="005F2E40"/>
    <w:rsid w:val="005F7092"/>
    <w:rsid w:val="00603D73"/>
    <w:rsid w:val="00604189"/>
    <w:rsid w:val="00606578"/>
    <w:rsid w:val="00607958"/>
    <w:rsid w:val="006109D3"/>
    <w:rsid w:val="006113FA"/>
    <w:rsid w:val="00612915"/>
    <w:rsid w:val="00613000"/>
    <w:rsid w:val="00613A68"/>
    <w:rsid w:val="00614877"/>
    <w:rsid w:val="0063101B"/>
    <w:rsid w:val="006324A8"/>
    <w:rsid w:val="00632658"/>
    <w:rsid w:val="00635502"/>
    <w:rsid w:val="0063645F"/>
    <w:rsid w:val="00644FC9"/>
    <w:rsid w:val="006460B1"/>
    <w:rsid w:val="0065427D"/>
    <w:rsid w:val="006605F5"/>
    <w:rsid w:val="006607F7"/>
    <w:rsid w:val="006628E0"/>
    <w:rsid w:val="00662C8A"/>
    <w:rsid w:val="00662EFD"/>
    <w:rsid w:val="00663A4F"/>
    <w:rsid w:val="00665A16"/>
    <w:rsid w:val="00667F12"/>
    <w:rsid w:val="006711C2"/>
    <w:rsid w:val="0067267D"/>
    <w:rsid w:val="00674C23"/>
    <w:rsid w:val="006809F8"/>
    <w:rsid w:val="00681E02"/>
    <w:rsid w:val="0068200A"/>
    <w:rsid w:val="00684628"/>
    <w:rsid w:val="00686794"/>
    <w:rsid w:val="0069073A"/>
    <w:rsid w:val="006A0424"/>
    <w:rsid w:val="006A3953"/>
    <w:rsid w:val="006A7928"/>
    <w:rsid w:val="006B259E"/>
    <w:rsid w:val="006B2F58"/>
    <w:rsid w:val="006C07FF"/>
    <w:rsid w:val="006C33E3"/>
    <w:rsid w:val="006D21A4"/>
    <w:rsid w:val="006D3809"/>
    <w:rsid w:val="006D42EE"/>
    <w:rsid w:val="006E28FC"/>
    <w:rsid w:val="006E2963"/>
    <w:rsid w:val="006E3EAF"/>
    <w:rsid w:val="006F059F"/>
    <w:rsid w:val="006F163F"/>
    <w:rsid w:val="006F634F"/>
    <w:rsid w:val="006F66CB"/>
    <w:rsid w:val="00700651"/>
    <w:rsid w:val="00702E0A"/>
    <w:rsid w:val="00703629"/>
    <w:rsid w:val="00703930"/>
    <w:rsid w:val="007043A4"/>
    <w:rsid w:val="00704497"/>
    <w:rsid w:val="00704C59"/>
    <w:rsid w:val="0071169D"/>
    <w:rsid w:val="007116EA"/>
    <w:rsid w:val="00716977"/>
    <w:rsid w:val="00717641"/>
    <w:rsid w:val="00722077"/>
    <w:rsid w:val="00723D11"/>
    <w:rsid w:val="0072730A"/>
    <w:rsid w:val="00737FCA"/>
    <w:rsid w:val="007437A3"/>
    <w:rsid w:val="00743C2C"/>
    <w:rsid w:val="00744957"/>
    <w:rsid w:val="00745387"/>
    <w:rsid w:val="007460E0"/>
    <w:rsid w:val="00746434"/>
    <w:rsid w:val="00754F0E"/>
    <w:rsid w:val="00755F0A"/>
    <w:rsid w:val="00755F60"/>
    <w:rsid w:val="0076096E"/>
    <w:rsid w:val="00762C4E"/>
    <w:rsid w:val="00762CE3"/>
    <w:rsid w:val="0076598A"/>
    <w:rsid w:val="0076633D"/>
    <w:rsid w:val="00775333"/>
    <w:rsid w:val="00775738"/>
    <w:rsid w:val="007762C3"/>
    <w:rsid w:val="007815B0"/>
    <w:rsid w:val="00782533"/>
    <w:rsid w:val="00782783"/>
    <w:rsid w:val="00783E26"/>
    <w:rsid w:val="00784429"/>
    <w:rsid w:val="00785C41"/>
    <w:rsid w:val="00792C5D"/>
    <w:rsid w:val="007A4262"/>
    <w:rsid w:val="007A5C45"/>
    <w:rsid w:val="007A65DC"/>
    <w:rsid w:val="007A69DD"/>
    <w:rsid w:val="007B00FC"/>
    <w:rsid w:val="007B1217"/>
    <w:rsid w:val="007B25A8"/>
    <w:rsid w:val="007B2A2C"/>
    <w:rsid w:val="007B682D"/>
    <w:rsid w:val="007B6B3B"/>
    <w:rsid w:val="007C20AB"/>
    <w:rsid w:val="007C24BE"/>
    <w:rsid w:val="007C2A29"/>
    <w:rsid w:val="007C354B"/>
    <w:rsid w:val="007C354F"/>
    <w:rsid w:val="007C5078"/>
    <w:rsid w:val="007D21E8"/>
    <w:rsid w:val="007D408F"/>
    <w:rsid w:val="007D656E"/>
    <w:rsid w:val="007E6D61"/>
    <w:rsid w:val="007E7039"/>
    <w:rsid w:val="007F286B"/>
    <w:rsid w:val="007F426A"/>
    <w:rsid w:val="007F4273"/>
    <w:rsid w:val="007F44E6"/>
    <w:rsid w:val="007F485E"/>
    <w:rsid w:val="007F5E6E"/>
    <w:rsid w:val="007F603F"/>
    <w:rsid w:val="00801765"/>
    <w:rsid w:val="00803E09"/>
    <w:rsid w:val="00804DAB"/>
    <w:rsid w:val="008109FF"/>
    <w:rsid w:val="008121C7"/>
    <w:rsid w:val="00815D15"/>
    <w:rsid w:val="008256B6"/>
    <w:rsid w:val="00826E46"/>
    <w:rsid w:val="00833870"/>
    <w:rsid w:val="00836CA6"/>
    <w:rsid w:val="008438D0"/>
    <w:rsid w:val="00843D16"/>
    <w:rsid w:val="0084657E"/>
    <w:rsid w:val="00851F5E"/>
    <w:rsid w:val="0085358E"/>
    <w:rsid w:val="008561FF"/>
    <w:rsid w:val="00860B29"/>
    <w:rsid w:val="00861F90"/>
    <w:rsid w:val="00862C83"/>
    <w:rsid w:val="00863D1F"/>
    <w:rsid w:val="008673BF"/>
    <w:rsid w:val="00874848"/>
    <w:rsid w:val="008827CE"/>
    <w:rsid w:val="00885532"/>
    <w:rsid w:val="008909B5"/>
    <w:rsid w:val="00891842"/>
    <w:rsid w:val="008949AB"/>
    <w:rsid w:val="00894E8F"/>
    <w:rsid w:val="008952F4"/>
    <w:rsid w:val="00896995"/>
    <w:rsid w:val="008A01C2"/>
    <w:rsid w:val="008A4C45"/>
    <w:rsid w:val="008A58FC"/>
    <w:rsid w:val="008B47F3"/>
    <w:rsid w:val="008B541D"/>
    <w:rsid w:val="008B6732"/>
    <w:rsid w:val="008B6A28"/>
    <w:rsid w:val="008B7079"/>
    <w:rsid w:val="008B7820"/>
    <w:rsid w:val="008B7CF9"/>
    <w:rsid w:val="008C0C88"/>
    <w:rsid w:val="008C2049"/>
    <w:rsid w:val="008C385C"/>
    <w:rsid w:val="008C5A28"/>
    <w:rsid w:val="008C6433"/>
    <w:rsid w:val="008D0668"/>
    <w:rsid w:val="008D439A"/>
    <w:rsid w:val="008D6266"/>
    <w:rsid w:val="008D772F"/>
    <w:rsid w:val="008E0C36"/>
    <w:rsid w:val="008E3C5A"/>
    <w:rsid w:val="008E6656"/>
    <w:rsid w:val="008E7A56"/>
    <w:rsid w:val="008F07EA"/>
    <w:rsid w:val="008F09C0"/>
    <w:rsid w:val="008F782F"/>
    <w:rsid w:val="0090173F"/>
    <w:rsid w:val="00903059"/>
    <w:rsid w:val="009043BC"/>
    <w:rsid w:val="009074FA"/>
    <w:rsid w:val="00907F97"/>
    <w:rsid w:val="00913047"/>
    <w:rsid w:val="00927D2D"/>
    <w:rsid w:val="00936DC8"/>
    <w:rsid w:val="009377FA"/>
    <w:rsid w:val="009418B8"/>
    <w:rsid w:val="00941CCE"/>
    <w:rsid w:val="00942AAC"/>
    <w:rsid w:val="0094397D"/>
    <w:rsid w:val="00950A6C"/>
    <w:rsid w:val="00953006"/>
    <w:rsid w:val="0095368C"/>
    <w:rsid w:val="00953FA8"/>
    <w:rsid w:val="0095419B"/>
    <w:rsid w:val="00961D0C"/>
    <w:rsid w:val="00966273"/>
    <w:rsid w:val="009664B1"/>
    <w:rsid w:val="00966672"/>
    <w:rsid w:val="00972B7A"/>
    <w:rsid w:val="00975802"/>
    <w:rsid w:val="0098080E"/>
    <w:rsid w:val="00982B34"/>
    <w:rsid w:val="00985CA9"/>
    <w:rsid w:val="009870F6"/>
    <w:rsid w:val="00987723"/>
    <w:rsid w:val="009908E2"/>
    <w:rsid w:val="0099129E"/>
    <w:rsid w:val="00991350"/>
    <w:rsid w:val="00994006"/>
    <w:rsid w:val="009A1269"/>
    <w:rsid w:val="009A137D"/>
    <w:rsid w:val="009A1A7B"/>
    <w:rsid w:val="009A2BAA"/>
    <w:rsid w:val="009A3314"/>
    <w:rsid w:val="009A39FE"/>
    <w:rsid w:val="009A4B84"/>
    <w:rsid w:val="009A6B33"/>
    <w:rsid w:val="009B0273"/>
    <w:rsid w:val="009B06DE"/>
    <w:rsid w:val="009B390D"/>
    <w:rsid w:val="009B4377"/>
    <w:rsid w:val="009B6BA7"/>
    <w:rsid w:val="009B6C2D"/>
    <w:rsid w:val="009B7D7D"/>
    <w:rsid w:val="009C4CA1"/>
    <w:rsid w:val="009C4D03"/>
    <w:rsid w:val="009C5B01"/>
    <w:rsid w:val="009D02FF"/>
    <w:rsid w:val="009D2733"/>
    <w:rsid w:val="009E1F37"/>
    <w:rsid w:val="009E2BE9"/>
    <w:rsid w:val="009E3574"/>
    <w:rsid w:val="009E40C7"/>
    <w:rsid w:val="009E54F5"/>
    <w:rsid w:val="009E6F5F"/>
    <w:rsid w:val="009E76D2"/>
    <w:rsid w:val="009F149F"/>
    <w:rsid w:val="009F2938"/>
    <w:rsid w:val="00A007E7"/>
    <w:rsid w:val="00A00FEB"/>
    <w:rsid w:val="00A02B3E"/>
    <w:rsid w:val="00A04FD8"/>
    <w:rsid w:val="00A05E01"/>
    <w:rsid w:val="00A06049"/>
    <w:rsid w:val="00A10777"/>
    <w:rsid w:val="00A124C1"/>
    <w:rsid w:val="00A14D60"/>
    <w:rsid w:val="00A1640E"/>
    <w:rsid w:val="00A24337"/>
    <w:rsid w:val="00A2455B"/>
    <w:rsid w:val="00A25E00"/>
    <w:rsid w:val="00A27197"/>
    <w:rsid w:val="00A30796"/>
    <w:rsid w:val="00A32F7B"/>
    <w:rsid w:val="00A35125"/>
    <w:rsid w:val="00A356BD"/>
    <w:rsid w:val="00A36E52"/>
    <w:rsid w:val="00A371B4"/>
    <w:rsid w:val="00A430E3"/>
    <w:rsid w:val="00A50F90"/>
    <w:rsid w:val="00A54C94"/>
    <w:rsid w:val="00A5509C"/>
    <w:rsid w:val="00A568D6"/>
    <w:rsid w:val="00A619C6"/>
    <w:rsid w:val="00A61F8F"/>
    <w:rsid w:val="00A632D4"/>
    <w:rsid w:val="00A65B65"/>
    <w:rsid w:val="00A733B7"/>
    <w:rsid w:val="00A776BD"/>
    <w:rsid w:val="00A80A07"/>
    <w:rsid w:val="00A82FAC"/>
    <w:rsid w:val="00A84491"/>
    <w:rsid w:val="00A84815"/>
    <w:rsid w:val="00AA083D"/>
    <w:rsid w:val="00AA7647"/>
    <w:rsid w:val="00AB0375"/>
    <w:rsid w:val="00AB14E9"/>
    <w:rsid w:val="00AB1C8C"/>
    <w:rsid w:val="00AB2A12"/>
    <w:rsid w:val="00AB33CA"/>
    <w:rsid w:val="00AB773F"/>
    <w:rsid w:val="00AB7977"/>
    <w:rsid w:val="00AC0661"/>
    <w:rsid w:val="00AC0EC6"/>
    <w:rsid w:val="00AC1C25"/>
    <w:rsid w:val="00AC5FB9"/>
    <w:rsid w:val="00AC644E"/>
    <w:rsid w:val="00AD15EA"/>
    <w:rsid w:val="00AD1DDC"/>
    <w:rsid w:val="00AD495D"/>
    <w:rsid w:val="00AD4FAA"/>
    <w:rsid w:val="00AE0D94"/>
    <w:rsid w:val="00AE112C"/>
    <w:rsid w:val="00AE198F"/>
    <w:rsid w:val="00AE1C2C"/>
    <w:rsid w:val="00AE4FEF"/>
    <w:rsid w:val="00AE5E25"/>
    <w:rsid w:val="00AF470F"/>
    <w:rsid w:val="00AF70DB"/>
    <w:rsid w:val="00B01323"/>
    <w:rsid w:val="00B051DF"/>
    <w:rsid w:val="00B0555B"/>
    <w:rsid w:val="00B06B16"/>
    <w:rsid w:val="00B105E4"/>
    <w:rsid w:val="00B12C71"/>
    <w:rsid w:val="00B144A0"/>
    <w:rsid w:val="00B2558B"/>
    <w:rsid w:val="00B25969"/>
    <w:rsid w:val="00B311B8"/>
    <w:rsid w:val="00B31CB5"/>
    <w:rsid w:val="00B323A0"/>
    <w:rsid w:val="00B326D8"/>
    <w:rsid w:val="00B33847"/>
    <w:rsid w:val="00B401DB"/>
    <w:rsid w:val="00B46245"/>
    <w:rsid w:val="00B53803"/>
    <w:rsid w:val="00B5462D"/>
    <w:rsid w:val="00B56767"/>
    <w:rsid w:val="00B579B4"/>
    <w:rsid w:val="00B6221B"/>
    <w:rsid w:val="00B650D4"/>
    <w:rsid w:val="00B66320"/>
    <w:rsid w:val="00B67FC7"/>
    <w:rsid w:val="00B71D62"/>
    <w:rsid w:val="00B739D5"/>
    <w:rsid w:val="00B81385"/>
    <w:rsid w:val="00B81643"/>
    <w:rsid w:val="00B84C97"/>
    <w:rsid w:val="00B8509A"/>
    <w:rsid w:val="00B85782"/>
    <w:rsid w:val="00B85DB7"/>
    <w:rsid w:val="00B8664C"/>
    <w:rsid w:val="00B87B94"/>
    <w:rsid w:val="00B93C26"/>
    <w:rsid w:val="00B93FE1"/>
    <w:rsid w:val="00B9419D"/>
    <w:rsid w:val="00B94737"/>
    <w:rsid w:val="00B94A1E"/>
    <w:rsid w:val="00BA1834"/>
    <w:rsid w:val="00BA5AD6"/>
    <w:rsid w:val="00BA686B"/>
    <w:rsid w:val="00BB0349"/>
    <w:rsid w:val="00BB6E2A"/>
    <w:rsid w:val="00BB73D3"/>
    <w:rsid w:val="00BB7CF9"/>
    <w:rsid w:val="00BC6EC8"/>
    <w:rsid w:val="00BD0796"/>
    <w:rsid w:val="00BD2242"/>
    <w:rsid w:val="00BD44CA"/>
    <w:rsid w:val="00BD6F3B"/>
    <w:rsid w:val="00BE60CA"/>
    <w:rsid w:val="00BF1865"/>
    <w:rsid w:val="00BF3452"/>
    <w:rsid w:val="00BF406C"/>
    <w:rsid w:val="00BF6013"/>
    <w:rsid w:val="00C0275B"/>
    <w:rsid w:val="00C03EB8"/>
    <w:rsid w:val="00C04DF1"/>
    <w:rsid w:val="00C06369"/>
    <w:rsid w:val="00C0700C"/>
    <w:rsid w:val="00C07C36"/>
    <w:rsid w:val="00C11CB3"/>
    <w:rsid w:val="00C1672C"/>
    <w:rsid w:val="00C16B67"/>
    <w:rsid w:val="00C16DFC"/>
    <w:rsid w:val="00C1713A"/>
    <w:rsid w:val="00C17382"/>
    <w:rsid w:val="00C20491"/>
    <w:rsid w:val="00C2270F"/>
    <w:rsid w:val="00C22861"/>
    <w:rsid w:val="00C2366E"/>
    <w:rsid w:val="00C2581D"/>
    <w:rsid w:val="00C27360"/>
    <w:rsid w:val="00C27FEC"/>
    <w:rsid w:val="00C36C6E"/>
    <w:rsid w:val="00C449AC"/>
    <w:rsid w:val="00C465A5"/>
    <w:rsid w:val="00C543E8"/>
    <w:rsid w:val="00C575EE"/>
    <w:rsid w:val="00C6115A"/>
    <w:rsid w:val="00C6555E"/>
    <w:rsid w:val="00C7071B"/>
    <w:rsid w:val="00C76A3C"/>
    <w:rsid w:val="00C80CA3"/>
    <w:rsid w:val="00C82555"/>
    <w:rsid w:val="00C85020"/>
    <w:rsid w:val="00C86496"/>
    <w:rsid w:val="00C86A0A"/>
    <w:rsid w:val="00C86B67"/>
    <w:rsid w:val="00C87808"/>
    <w:rsid w:val="00C92BF3"/>
    <w:rsid w:val="00C93184"/>
    <w:rsid w:val="00C94741"/>
    <w:rsid w:val="00C94ABF"/>
    <w:rsid w:val="00C958EA"/>
    <w:rsid w:val="00C961A7"/>
    <w:rsid w:val="00C96744"/>
    <w:rsid w:val="00C972A2"/>
    <w:rsid w:val="00C97E37"/>
    <w:rsid w:val="00CA0152"/>
    <w:rsid w:val="00CA1C32"/>
    <w:rsid w:val="00CA2546"/>
    <w:rsid w:val="00CA429A"/>
    <w:rsid w:val="00CB1734"/>
    <w:rsid w:val="00CB6B29"/>
    <w:rsid w:val="00CB6FE4"/>
    <w:rsid w:val="00CC2114"/>
    <w:rsid w:val="00CC2D33"/>
    <w:rsid w:val="00CC38A2"/>
    <w:rsid w:val="00CC395A"/>
    <w:rsid w:val="00CC5F74"/>
    <w:rsid w:val="00CC605D"/>
    <w:rsid w:val="00CD498A"/>
    <w:rsid w:val="00CD4DA9"/>
    <w:rsid w:val="00CD5371"/>
    <w:rsid w:val="00CD5FE3"/>
    <w:rsid w:val="00CE1C0A"/>
    <w:rsid w:val="00CE30FC"/>
    <w:rsid w:val="00CE3374"/>
    <w:rsid w:val="00CE4F3F"/>
    <w:rsid w:val="00CE5752"/>
    <w:rsid w:val="00CF1022"/>
    <w:rsid w:val="00CF129C"/>
    <w:rsid w:val="00CF4AC4"/>
    <w:rsid w:val="00D0010C"/>
    <w:rsid w:val="00D009E8"/>
    <w:rsid w:val="00D076EE"/>
    <w:rsid w:val="00D11526"/>
    <w:rsid w:val="00D12D69"/>
    <w:rsid w:val="00D13AD8"/>
    <w:rsid w:val="00D15557"/>
    <w:rsid w:val="00D16F87"/>
    <w:rsid w:val="00D2709E"/>
    <w:rsid w:val="00D300EF"/>
    <w:rsid w:val="00D30F65"/>
    <w:rsid w:val="00D31601"/>
    <w:rsid w:val="00D31C8A"/>
    <w:rsid w:val="00D34451"/>
    <w:rsid w:val="00D42FE7"/>
    <w:rsid w:val="00D4402B"/>
    <w:rsid w:val="00D4626D"/>
    <w:rsid w:val="00D47E05"/>
    <w:rsid w:val="00D47ED7"/>
    <w:rsid w:val="00D51A87"/>
    <w:rsid w:val="00D53A85"/>
    <w:rsid w:val="00D54F8E"/>
    <w:rsid w:val="00D55037"/>
    <w:rsid w:val="00D55DDF"/>
    <w:rsid w:val="00D57DB4"/>
    <w:rsid w:val="00D613C8"/>
    <w:rsid w:val="00D6467C"/>
    <w:rsid w:val="00D6774B"/>
    <w:rsid w:val="00D70DA9"/>
    <w:rsid w:val="00D746B1"/>
    <w:rsid w:val="00D768FC"/>
    <w:rsid w:val="00D7722E"/>
    <w:rsid w:val="00D77A1D"/>
    <w:rsid w:val="00D80A90"/>
    <w:rsid w:val="00D8244E"/>
    <w:rsid w:val="00D830C0"/>
    <w:rsid w:val="00D83109"/>
    <w:rsid w:val="00D831FC"/>
    <w:rsid w:val="00D90AAF"/>
    <w:rsid w:val="00D93FA3"/>
    <w:rsid w:val="00DA35EB"/>
    <w:rsid w:val="00DA6544"/>
    <w:rsid w:val="00DA76A8"/>
    <w:rsid w:val="00DA7813"/>
    <w:rsid w:val="00DB007D"/>
    <w:rsid w:val="00DB0711"/>
    <w:rsid w:val="00DB1656"/>
    <w:rsid w:val="00DB39AD"/>
    <w:rsid w:val="00DB75CF"/>
    <w:rsid w:val="00DC1B7A"/>
    <w:rsid w:val="00DC2BD1"/>
    <w:rsid w:val="00DC2D33"/>
    <w:rsid w:val="00DC54C3"/>
    <w:rsid w:val="00DC7F47"/>
    <w:rsid w:val="00DD2AC2"/>
    <w:rsid w:val="00DE00CC"/>
    <w:rsid w:val="00DE0FAA"/>
    <w:rsid w:val="00DE285A"/>
    <w:rsid w:val="00DE3870"/>
    <w:rsid w:val="00DE3C77"/>
    <w:rsid w:val="00DE75E1"/>
    <w:rsid w:val="00DF0134"/>
    <w:rsid w:val="00DF1D25"/>
    <w:rsid w:val="00DF32FD"/>
    <w:rsid w:val="00E07B96"/>
    <w:rsid w:val="00E105BD"/>
    <w:rsid w:val="00E13C8B"/>
    <w:rsid w:val="00E140AE"/>
    <w:rsid w:val="00E17740"/>
    <w:rsid w:val="00E2183A"/>
    <w:rsid w:val="00E26991"/>
    <w:rsid w:val="00E27B6A"/>
    <w:rsid w:val="00E30E0B"/>
    <w:rsid w:val="00E322EE"/>
    <w:rsid w:val="00E32CBC"/>
    <w:rsid w:val="00E34249"/>
    <w:rsid w:val="00E4163B"/>
    <w:rsid w:val="00E41DFF"/>
    <w:rsid w:val="00E44048"/>
    <w:rsid w:val="00E44FDF"/>
    <w:rsid w:val="00E45335"/>
    <w:rsid w:val="00E50F29"/>
    <w:rsid w:val="00E51A6D"/>
    <w:rsid w:val="00E51D7E"/>
    <w:rsid w:val="00E521F9"/>
    <w:rsid w:val="00E52646"/>
    <w:rsid w:val="00E56B5D"/>
    <w:rsid w:val="00E6406B"/>
    <w:rsid w:val="00E652D6"/>
    <w:rsid w:val="00E65730"/>
    <w:rsid w:val="00E66E9A"/>
    <w:rsid w:val="00E72946"/>
    <w:rsid w:val="00E736C9"/>
    <w:rsid w:val="00E73B86"/>
    <w:rsid w:val="00E743AA"/>
    <w:rsid w:val="00E77BA8"/>
    <w:rsid w:val="00E81DC8"/>
    <w:rsid w:val="00E8447B"/>
    <w:rsid w:val="00E851A6"/>
    <w:rsid w:val="00EA0724"/>
    <w:rsid w:val="00EA0C55"/>
    <w:rsid w:val="00EA4624"/>
    <w:rsid w:val="00EB0A78"/>
    <w:rsid w:val="00EB278C"/>
    <w:rsid w:val="00EB4676"/>
    <w:rsid w:val="00EB4FD7"/>
    <w:rsid w:val="00EC002A"/>
    <w:rsid w:val="00EC1BF8"/>
    <w:rsid w:val="00EC4E76"/>
    <w:rsid w:val="00ED05BA"/>
    <w:rsid w:val="00ED0A9A"/>
    <w:rsid w:val="00ED676A"/>
    <w:rsid w:val="00EE0150"/>
    <w:rsid w:val="00EE0FB9"/>
    <w:rsid w:val="00EE2191"/>
    <w:rsid w:val="00EE7693"/>
    <w:rsid w:val="00EE7891"/>
    <w:rsid w:val="00EE7B5D"/>
    <w:rsid w:val="00EF3783"/>
    <w:rsid w:val="00EF593A"/>
    <w:rsid w:val="00EF5E7C"/>
    <w:rsid w:val="00EF706F"/>
    <w:rsid w:val="00EF70FA"/>
    <w:rsid w:val="00EF7CCA"/>
    <w:rsid w:val="00F0245F"/>
    <w:rsid w:val="00F04F30"/>
    <w:rsid w:val="00F053B9"/>
    <w:rsid w:val="00F1091D"/>
    <w:rsid w:val="00F14007"/>
    <w:rsid w:val="00F16C79"/>
    <w:rsid w:val="00F20E3A"/>
    <w:rsid w:val="00F233BE"/>
    <w:rsid w:val="00F23B6F"/>
    <w:rsid w:val="00F26036"/>
    <w:rsid w:val="00F275A5"/>
    <w:rsid w:val="00F37255"/>
    <w:rsid w:val="00F419E6"/>
    <w:rsid w:val="00F42BE5"/>
    <w:rsid w:val="00F44038"/>
    <w:rsid w:val="00F45493"/>
    <w:rsid w:val="00F52237"/>
    <w:rsid w:val="00F52763"/>
    <w:rsid w:val="00F5562B"/>
    <w:rsid w:val="00F57264"/>
    <w:rsid w:val="00F62014"/>
    <w:rsid w:val="00F62220"/>
    <w:rsid w:val="00F63959"/>
    <w:rsid w:val="00F63E3E"/>
    <w:rsid w:val="00F7046E"/>
    <w:rsid w:val="00F707C1"/>
    <w:rsid w:val="00F72C0D"/>
    <w:rsid w:val="00F740A5"/>
    <w:rsid w:val="00F77824"/>
    <w:rsid w:val="00F80CA4"/>
    <w:rsid w:val="00F81921"/>
    <w:rsid w:val="00F840A5"/>
    <w:rsid w:val="00F84598"/>
    <w:rsid w:val="00F8635A"/>
    <w:rsid w:val="00F86F67"/>
    <w:rsid w:val="00F871D9"/>
    <w:rsid w:val="00F8744D"/>
    <w:rsid w:val="00F87999"/>
    <w:rsid w:val="00F93B9E"/>
    <w:rsid w:val="00F93E78"/>
    <w:rsid w:val="00F95925"/>
    <w:rsid w:val="00FA510D"/>
    <w:rsid w:val="00FA7341"/>
    <w:rsid w:val="00FA746D"/>
    <w:rsid w:val="00FB03A4"/>
    <w:rsid w:val="00FB4E30"/>
    <w:rsid w:val="00FC0200"/>
    <w:rsid w:val="00FC1F78"/>
    <w:rsid w:val="00FC37A2"/>
    <w:rsid w:val="00FC38B0"/>
    <w:rsid w:val="00FC674B"/>
    <w:rsid w:val="00FC7005"/>
    <w:rsid w:val="00FD4E01"/>
    <w:rsid w:val="00FD505E"/>
    <w:rsid w:val="00FD69D3"/>
    <w:rsid w:val="00FD77B5"/>
    <w:rsid w:val="00FE226F"/>
    <w:rsid w:val="00FF1D7F"/>
    <w:rsid w:val="00FF2A40"/>
    <w:rsid w:val="00FF53DF"/>
    <w:rsid w:val="00FF55BD"/>
    <w:rsid w:val="00FF77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7041"/>
    <o:shapelayout v:ext="edit">
      <o:idmap v:ext="edit" data="1"/>
    </o:shapelayout>
  </w:shapeDefaults>
  <w:decimalSymbol w:val=","/>
  <w:listSeparator w:val=";"/>
  <w14:docId w14:val="67B7C166"/>
  <w15:docId w15:val="{AE1BB9AF-5DC7-45B8-85E4-64AF0A2D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pPr>
        <w:spacing w:before="150" w:after="75" w:line="270" w:lineRule="atLeast"/>
        <w:jc w:val="both"/>
      </w:pPr>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1B9"/>
    <w:rPr>
      <w:sz w:val="24"/>
      <w:szCs w:val="24"/>
    </w:rPr>
  </w:style>
  <w:style w:type="paragraph" w:styleId="Heading1">
    <w:name w:val="heading 1"/>
    <w:basedOn w:val="Normal"/>
    <w:link w:val="Heading1Char"/>
    <w:uiPriority w:val="9"/>
    <w:qFormat/>
    <w:rsid w:val="000A250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0151B9"/>
    <w:pPr>
      <w:spacing w:before="100" w:beforeAutospacing="1" w:after="100" w:afterAutospacing="1"/>
    </w:pPr>
  </w:style>
  <w:style w:type="paragraph" w:customStyle="1" w:styleId="CharCharRakstzRakstzCharChar">
    <w:name w:val="Char Char Rakstz. Rakstz. Char Char"/>
    <w:basedOn w:val="Normal"/>
    <w:autoRedefine/>
    <w:rsid w:val="000151B9"/>
    <w:pPr>
      <w:spacing w:before="40"/>
    </w:pPr>
    <w:rPr>
      <w:lang w:val="pl-PL" w:eastAsia="pl-PL"/>
    </w:rPr>
  </w:style>
  <w:style w:type="paragraph" w:customStyle="1" w:styleId="naisnod">
    <w:name w:val="naisnod"/>
    <w:basedOn w:val="Normal"/>
    <w:rsid w:val="000151B9"/>
    <w:pPr>
      <w:spacing w:after="150"/>
      <w:jc w:val="center"/>
    </w:pPr>
    <w:rPr>
      <w:b/>
      <w:bCs/>
    </w:rPr>
  </w:style>
  <w:style w:type="paragraph" w:customStyle="1" w:styleId="naiskr">
    <w:name w:val="naiskr"/>
    <w:basedOn w:val="Normal"/>
    <w:uiPriority w:val="99"/>
    <w:rsid w:val="000151B9"/>
    <w:pPr>
      <w:spacing w:before="75"/>
    </w:pPr>
  </w:style>
  <w:style w:type="paragraph" w:styleId="FootnoteText">
    <w:name w:val="footnote text"/>
    <w:basedOn w:val="Normal"/>
    <w:semiHidden/>
    <w:rsid w:val="000151B9"/>
    <w:rPr>
      <w:sz w:val="20"/>
      <w:szCs w:val="20"/>
    </w:rPr>
  </w:style>
  <w:style w:type="paragraph" w:styleId="BodyText">
    <w:name w:val="Body Text"/>
    <w:basedOn w:val="Normal"/>
    <w:rsid w:val="000151B9"/>
    <w:pPr>
      <w:jc w:val="right"/>
    </w:pPr>
    <w:rPr>
      <w:b/>
      <w:sz w:val="28"/>
      <w:szCs w:val="20"/>
      <w:lang w:eastAsia="en-US"/>
    </w:rPr>
  </w:style>
  <w:style w:type="character" w:styleId="Emphasis">
    <w:name w:val="Emphasis"/>
    <w:uiPriority w:val="20"/>
    <w:qFormat/>
    <w:rsid w:val="000151B9"/>
    <w:rPr>
      <w:i/>
      <w:iCs/>
    </w:rPr>
  </w:style>
  <w:style w:type="paragraph" w:customStyle="1" w:styleId="naisf">
    <w:name w:val="naisf"/>
    <w:basedOn w:val="Normal"/>
    <w:rsid w:val="000151B9"/>
    <w:pPr>
      <w:spacing w:before="75"/>
      <w:ind w:firstLine="375"/>
    </w:pPr>
  </w:style>
  <w:style w:type="table" w:styleId="TableGrid">
    <w:name w:val="Table Grid"/>
    <w:basedOn w:val="TableNormal"/>
    <w:rsid w:val="000151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0151B9"/>
    <w:rPr>
      <w:b/>
      <w:bCs/>
    </w:rPr>
  </w:style>
  <w:style w:type="paragraph" w:styleId="BodyTextIndent">
    <w:name w:val="Body Text Indent"/>
    <w:basedOn w:val="Normal"/>
    <w:rsid w:val="000151B9"/>
    <w:pPr>
      <w:spacing w:after="120"/>
      <w:ind w:left="283"/>
    </w:pPr>
  </w:style>
  <w:style w:type="paragraph" w:styleId="Header">
    <w:name w:val="header"/>
    <w:basedOn w:val="Normal"/>
    <w:rsid w:val="000151B9"/>
    <w:pPr>
      <w:tabs>
        <w:tab w:val="center" w:pos="4153"/>
        <w:tab w:val="right" w:pos="8306"/>
      </w:tabs>
    </w:pPr>
  </w:style>
  <w:style w:type="paragraph" w:styleId="Footer">
    <w:name w:val="footer"/>
    <w:basedOn w:val="Normal"/>
    <w:link w:val="FooterChar"/>
    <w:uiPriority w:val="99"/>
    <w:rsid w:val="000151B9"/>
    <w:pPr>
      <w:tabs>
        <w:tab w:val="center" w:pos="4153"/>
        <w:tab w:val="right" w:pos="8306"/>
      </w:tabs>
    </w:pPr>
  </w:style>
  <w:style w:type="character" w:styleId="PageNumber">
    <w:name w:val="page number"/>
    <w:basedOn w:val="DefaultParagraphFont"/>
    <w:rsid w:val="000151B9"/>
  </w:style>
  <w:style w:type="paragraph" w:styleId="CommentText">
    <w:name w:val="annotation text"/>
    <w:basedOn w:val="Normal"/>
    <w:link w:val="CommentTextChar"/>
    <w:uiPriority w:val="99"/>
    <w:rsid w:val="000151B9"/>
    <w:rPr>
      <w:sz w:val="20"/>
      <w:szCs w:val="20"/>
    </w:rPr>
  </w:style>
  <w:style w:type="character" w:styleId="CommentReference">
    <w:name w:val="annotation reference"/>
    <w:uiPriority w:val="99"/>
    <w:semiHidden/>
    <w:rsid w:val="000151B9"/>
    <w:rPr>
      <w:sz w:val="16"/>
      <w:szCs w:val="16"/>
    </w:rPr>
  </w:style>
  <w:style w:type="paragraph" w:styleId="BalloonText">
    <w:name w:val="Balloon Text"/>
    <w:basedOn w:val="Normal"/>
    <w:semiHidden/>
    <w:rsid w:val="000151B9"/>
    <w:rPr>
      <w:rFonts w:ascii="Tahoma" w:hAnsi="Tahoma" w:cs="Tahoma"/>
      <w:sz w:val="16"/>
      <w:szCs w:val="16"/>
    </w:rPr>
  </w:style>
  <w:style w:type="paragraph" w:styleId="CommentSubject">
    <w:name w:val="annotation subject"/>
    <w:basedOn w:val="CommentText"/>
    <w:next w:val="CommentText"/>
    <w:semiHidden/>
    <w:rsid w:val="000151B9"/>
    <w:rPr>
      <w:b/>
      <w:bCs/>
    </w:rPr>
  </w:style>
  <w:style w:type="paragraph" w:styleId="NormalWeb">
    <w:name w:val="Normal (Web)"/>
    <w:basedOn w:val="Normal"/>
    <w:link w:val="NormalWebChar"/>
    <w:uiPriority w:val="99"/>
    <w:rsid w:val="00456C58"/>
    <w:pPr>
      <w:spacing w:before="100" w:beforeAutospacing="1" w:after="100" w:afterAutospacing="1"/>
    </w:pPr>
  </w:style>
  <w:style w:type="character" w:styleId="Hyperlink">
    <w:name w:val="Hyperlink"/>
    <w:uiPriority w:val="99"/>
    <w:unhideWhenUsed/>
    <w:rsid w:val="00D30F65"/>
    <w:rPr>
      <w:color w:val="0000FF"/>
      <w:u w:val="single"/>
    </w:rPr>
  </w:style>
  <w:style w:type="paragraph" w:customStyle="1" w:styleId="MKH">
    <w:name w:val="MKH"/>
    <w:basedOn w:val="Normal"/>
    <w:rsid w:val="00317465"/>
    <w:pPr>
      <w:ind w:firstLine="720"/>
      <w:jc w:val="center"/>
    </w:pPr>
    <w:rPr>
      <w:b/>
      <w:sz w:val="28"/>
      <w:szCs w:val="28"/>
    </w:rPr>
  </w:style>
  <w:style w:type="character" w:customStyle="1" w:styleId="CommentTextChar">
    <w:name w:val="Comment Text Char"/>
    <w:link w:val="CommentText"/>
    <w:uiPriority w:val="99"/>
    <w:locked/>
    <w:rsid w:val="007D21E8"/>
  </w:style>
  <w:style w:type="character" w:customStyle="1" w:styleId="Heading1Char">
    <w:name w:val="Heading 1 Char"/>
    <w:link w:val="Heading1"/>
    <w:uiPriority w:val="9"/>
    <w:rsid w:val="000A2504"/>
    <w:rPr>
      <w:b/>
      <w:bCs/>
      <w:kern w:val="36"/>
      <w:sz w:val="48"/>
      <w:szCs w:val="48"/>
    </w:rPr>
  </w:style>
  <w:style w:type="paragraph" w:styleId="NoSpacing">
    <w:name w:val="No Spacing"/>
    <w:uiPriority w:val="1"/>
    <w:qFormat/>
    <w:rsid w:val="00043A8C"/>
    <w:rPr>
      <w:rFonts w:ascii="Calibri" w:eastAsia="Calibri" w:hAnsi="Calibri"/>
      <w:sz w:val="22"/>
      <w:szCs w:val="22"/>
      <w:lang w:eastAsia="en-US"/>
    </w:rPr>
  </w:style>
  <w:style w:type="paragraph" w:customStyle="1" w:styleId="Paraststmeklis1">
    <w:name w:val="Parasts (tīmeklis)1"/>
    <w:basedOn w:val="Normal"/>
    <w:uiPriority w:val="99"/>
    <w:rsid w:val="00F740A5"/>
    <w:pPr>
      <w:spacing w:before="100" w:beforeAutospacing="1" w:after="100" w:afterAutospacing="1"/>
    </w:pPr>
  </w:style>
  <w:style w:type="paragraph" w:styleId="ListParagraph">
    <w:name w:val="List Paragraph"/>
    <w:basedOn w:val="Normal"/>
    <w:uiPriority w:val="34"/>
    <w:qFormat/>
    <w:rsid w:val="000D68A9"/>
    <w:pPr>
      <w:ind w:left="720"/>
      <w:contextualSpacing/>
    </w:pPr>
  </w:style>
  <w:style w:type="character" w:customStyle="1" w:styleId="NormalWebChar">
    <w:name w:val="Normal (Web) Char"/>
    <w:basedOn w:val="DefaultParagraphFont"/>
    <w:link w:val="NormalWeb"/>
    <w:uiPriority w:val="99"/>
    <w:locked/>
    <w:rsid w:val="000C2B6A"/>
    <w:rPr>
      <w:sz w:val="24"/>
      <w:szCs w:val="24"/>
    </w:rPr>
  </w:style>
  <w:style w:type="character" w:customStyle="1" w:styleId="apple-converted-space">
    <w:name w:val="apple-converted-space"/>
    <w:basedOn w:val="DefaultParagraphFont"/>
    <w:rsid w:val="0026058E"/>
  </w:style>
  <w:style w:type="paragraph" w:customStyle="1" w:styleId="labojumupamats">
    <w:name w:val="labojumu_pamats"/>
    <w:basedOn w:val="Normal"/>
    <w:rsid w:val="0026058E"/>
    <w:pPr>
      <w:spacing w:before="100" w:beforeAutospacing="1" w:after="100" w:afterAutospacing="1"/>
    </w:pPr>
  </w:style>
  <w:style w:type="character" w:customStyle="1" w:styleId="labojumupamats1">
    <w:name w:val="labojumu_pamats1"/>
    <w:basedOn w:val="DefaultParagraphFont"/>
    <w:rsid w:val="0026058E"/>
  </w:style>
  <w:style w:type="paragraph" w:customStyle="1" w:styleId="tv213">
    <w:name w:val="tv213"/>
    <w:basedOn w:val="Normal"/>
    <w:rsid w:val="0026058E"/>
    <w:pPr>
      <w:spacing w:before="100" w:beforeAutospacing="1" w:after="100" w:afterAutospacing="1"/>
    </w:pPr>
  </w:style>
  <w:style w:type="paragraph" w:customStyle="1" w:styleId="Nodaa">
    <w:name w:val="Nodaļa"/>
    <w:basedOn w:val="Normal"/>
    <w:rsid w:val="00234F66"/>
    <w:pPr>
      <w:keepNext/>
      <w:spacing w:before="0" w:after="0" w:line="240" w:lineRule="auto"/>
      <w:jc w:val="center"/>
    </w:pPr>
    <w:rPr>
      <w:b/>
      <w:sz w:val="28"/>
      <w:szCs w:val="28"/>
    </w:rPr>
  </w:style>
  <w:style w:type="paragraph" w:customStyle="1" w:styleId="tv2131">
    <w:name w:val="tv2131"/>
    <w:basedOn w:val="Normal"/>
    <w:rsid w:val="00234F66"/>
    <w:pPr>
      <w:spacing w:before="0" w:after="0" w:line="360" w:lineRule="auto"/>
      <w:ind w:firstLine="300"/>
      <w:jc w:val="left"/>
    </w:pPr>
    <w:rPr>
      <w:color w:val="414142"/>
      <w:sz w:val="20"/>
      <w:szCs w:val="20"/>
    </w:rPr>
  </w:style>
  <w:style w:type="character" w:customStyle="1" w:styleId="FooterChar">
    <w:name w:val="Footer Char"/>
    <w:basedOn w:val="DefaultParagraphFont"/>
    <w:link w:val="Footer"/>
    <w:uiPriority w:val="99"/>
    <w:rsid w:val="00716977"/>
    <w:rPr>
      <w:sz w:val="24"/>
      <w:szCs w:val="24"/>
    </w:rPr>
  </w:style>
  <w:style w:type="paragraph" w:styleId="Revision">
    <w:name w:val="Revision"/>
    <w:hidden/>
    <w:uiPriority w:val="99"/>
    <w:semiHidden/>
    <w:rsid w:val="00743C2C"/>
    <w:pPr>
      <w:spacing w:before="0" w:after="0" w:line="240" w:lineRule="auto"/>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3671126">
      <w:bodyDiv w:val="1"/>
      <w:marLeft w:val="0"/>
      <w:marRight w:val="0"/>
      <w:marTop w:val="0"/>
      <w:marBottom w:val="0"/>
      <w:divBdr>
        <w:top w:val="none" w:sz="0" w:space="0" w:color="auto"/>
        <w:left w:val="none" w:sz="0" w:space="0" w:color="auto"/>
        <w:bottom w:val="none" w:sz="0" w:space="0" w:color="auto"/>
        <w:right w:val="none" w:sz="0" w:space="0" w:color="auto"/>
      </w:divBdr>
    </w:div>
    <w:div w:id="425270414">
      <w:bodyDiv w:val="1"/>
      <w:marLeft w:val="0"/>
      <w:marRight w:val="0"/>
      <w:marTop w:val="0"/>
      <w:marBottom w:val="0"/>
      <w:divBdr>
        <w:top w:val="none" w:sz="0" w:space="0" w:color="auto"/>
        <w:left w:val="none" w:sz="0" w:space="0" w:color="auto"/>
        <w:bottom w:val="none" w:sz="0" w:space="0" w:color="auto"/>
        <w:right w:val="none" w:sz="0" w:space="0" w:color="auto"/>
      </w:divBdr>
    </w:div>
    <w:div w:id="566771556">
      <w:bodyDiv w:val="1"/>
      <w:marLeft w:val="0"/>
      <w:marRight w:val="0"/>
      <w:marTop w:val="0"/>
      <w:marBottom w:val="0"/>
      <w:divBdr>
        <w:top w:val="none" w:sz="0" w:space="0" w:color="auto"/>
        <w:left w:val="none" w:sz="0" w:space="0" w:color="auto"/>
        <w:bottom w:val="none" w:sz="0" w:space="0" w:color="auto"/>
        <w:right w:val="none" w:sz="0" w:space="0" w:color="auto"/>
      </w:divBdr>
    </w:div>
    <w:div w:id="729764565">
      <w:bodyDiv w:val="1"/>
      <w:marLeft w:val="0"/>
      <w:marRight w:val="0"/>
      <w:marTop w:val="0"/>
      <w:marBottom w:val="0"/>
      <w:divBdr>
        <w:top w:val="none" w:sz="0" w:space="0" w:color="auto"/>
        <w:left w:val="none" w:sz="0" w:space="0" w:color="auto"/>
        <w:bottom w:val="none" w:sz="0" w:space="0" w:color="auto"/>
        <w:right w:val="none" w:sz="0" w:space="0" w:color="auto"/>
      </w:divBdr>
    </w:div>
    <w:div w:id="798571741">
      <w:bodyDiv w:val="1"/>
      <w:marLeft w:val="0"/>
      <w:marRight w:val="0"/>
      <w:marTop w:val="0"/>
      <w:marBottom w:val="0"/>
      <w:divBdr>
        <w:top w:val="none" w:sz="0" w:space="0" w:color="auto"/>
        <w:left w:val="none" w:sz="0" w:space="0" w:color="auto"/>
        <w:bottom w:val="none" w:sz="0" w:space="0" w:color="auto"/>
        <w:right w:val="none" w:sz="0" w:space="0" w:color="auto"/>
      </w:divBdr>
    </w:div>
    <w:div w:id="810751307">
      <w:bodyDiv w:val="1"/>
      <w:marLeft w:val="0"/>
      <w:marRight w:val="0"/>
      <w:marTop w:val="0"/>
      <w:marBottom w:val="0"/>
      <w:divBdr>
        <w:top w:val="none" w:sz="0" w:space="0" w:color="auto"/>
        <w:left w:val="none" w:sz="0" w:space="0" w:color="auto"/>
        <w:bottom w:val="none" w:sz="0" w:space="0" w:color="auto"/>
        <w:right w:val="none" w:sz="0" w:space="0" w:color="auto"/>
      </w:divBdr>
    </w:div>
    <w:div w:id="870999416">
      <w:bodyDiv w:val="1"/>
      <w:marLeft w:val="0"/>
      <w:marRight w:val="0"/>
      <w:marTop w:val="0"/>
      <w:marBottom w:val="0"/>
      <w:divBdr>
        <w:top w:val="none" w:sz="0" w:space="0" w:color="auto"/>
        <w:left w:val="none" w:sz="0" w:space="0" w:color="auto"/>
        <w:bottom w:val="none" w:sz="0" w:space="0" w:color="auto"/>
        <w:right w:val="none" w:sz="0" w:space="0" w:color="auto"/>
      </w:divBdr>
    </w:div>
    <w:div w:id="888414171">
      <w:bodyDiv w:val="1"/>
      <w:marLeft w:val="0"/>
      <w:marRight w:val="0"/>
      <w:marTop w:val="0"/>
      <w:marBottom w:val="0"/>
      <w:divBdr>
        <w:top w:val="none" w:sz="0" w:space="0" w:color="auto"/>
        <w:left w:val="none" w:sz="0" w:space="0" w:color="auto"/>
        <w:bottom w:val="none" w:sz="0" w:space="0" w:color="auto"/>
        <w:right w:val="none" w:sz="0" w:space="0" w:color="auto"/>
      </w:divBdr>
    </w:div>
    <w:div w:id="935594297">
      <w:bodyDiv w:val="1"/>
      <w:marLeft w:val="0"/>
      <w:marRight w:val="0"/>
      <w:marTop w:val="0"/>
      <w:marBottom w:val="0"/>
      <w:divBdr>
        <w:top w:val="none" w:sz="0" w:space="0" w:color="auto"/>
        <w:left w:val="none" w:sz="0" w:space="0" w:color="auto"/>
        <w:bottom w:val="none" w:sz="0" w:space="0" w:color="auto"/>
        <w:right w:val="none" w:sz="0" w:space="0" w:color="auto"/>
      </w:divBdr>
    </w:div>
    <w:div w:id="1048649152">
      <w:bodyDiv w:val="1"/>
      <w:marLeft w:val="0"/>
      <w:marRight w:val="0"/>
      <w:marTop w:val="0"/>
      <w:marBottom w:val="0"/>
      <w:divBdr>
        <w:top w:val="none" w:sz="0" w:space="0" w:color="auto"/>
        <w:left w:val="none" w:sz="0" w:space="0" w:color="auto"/>
        <w:bottom w:val="none" w:sz="0" w:space="0" w:color="auto"/>
        <w:right w:val="none" w:sz="0" w:space="0" w:color="auto"/>
      </w:divBdr>
    </w:div>
    <w:div w:id="1147625223">
      <w:bodyDiv w:val="1"/>
      <w:marLeft w:val="0"/>
      <w:marRight w:val="0"/>
      <w:marTop w:val="0"/>
      <w:marBottom w:val="0"/>
      <w:divBdr>
        <w:top w:val="none" w:sz="0" w:space="0" w:color="auto"/>
        <w:left w:val="none" w:sz="0" w:space="0" w:color="auto"/>
        <w:bottom w:val="none" w:sz="0" w:space="0" w:color="auto"/>
        <w:right w:val="none" w:sz="0" w:space="0" w:color="auto"/>
      </w:divBdr>
    </w:div>
    <w:div w:id="1176075658">
      <w:bodyDiv w:val="1"/>
      <w:marLeft w:val="0"/>
      <w:marRight w:val="0"/>
      <w:marTop w:val="0"/>
      <w:marBottom w:val="0"/>
      <w:divBdr>
        <w:top w:val="none" w:sz="0" w:space="0" w:color="auto"/>
        <w:left w:val="none" w:sz="0" w:space="0" w:color="auto"/>
        <w:bottom w:val="none" w:sz="0" w:space="0" w:color="auto"/>
        <w:right w:val="none" w:sz="0" w:space="0" w:color="auto"/>
      </w:divBdr>
    </w:div>
    <w:div w:id="1276913192">
      <w:bodyDiv w:val="1"/>
      <w:marLeft w:val="0"/>
      <w:marRight w:val="0"/>
      <w:marTop w:val="0"/>
      <w:marBottom w:val="0"/>
      <w:divBdr>
        <w:top w:val="none" w:sz="0" w:space="0" w:color="auto"/>
        <w:left w:val="none" w:sz="0" w:space="0" w:color="auto"/>
        <w:bottom w:val="none" w:sz="0" w:space="0" w:color="auto"/>
        <w:right w:val="none" w:sz="0" w:space="0" w:color="auto"/>
      </w:divBdr>
    </w:div>
    <w:div w:id="1287083697">
      <w:bodyDiv w:val="1"/>
      <w:marLeft w:val="0"/>
      <w:marRight w:val="0"/>
      <w:marTop w:val="0"/>
      <w:marBottom w:val="0"/>
      <w:divBdr>
        <w:top w:val="none" w:sz="0" w:space="0" w:color="auto"/>
        <w:left w:val="none" w:sz="0" w:space="0" w:color="auto"/>
        <w:bottom w:val="none" w:sz="0" w:space="0" w:color="auto"/>
        <w:right w:val="none" w:sz="0" w:space="0" w:color="auto"/>
      </w:divBdr>
    </w:div>
    <w:div w:id="1362170379">
      <w:bodyDiv w:val="1"/>
      <w:marLeft w:val="0"/>
      <w:marRight w:val="0"/>
      <w:marTop w:val="0"/>
      <w:marBottom w:val="0"/>
      <w:divBdr>
        <w:top w:val="none" w:sz="0" w:space="0" w:color="auto"/>
        <w:left w:val="none" w:sz="0" w:space="0" w:color="auto"/>
        <w:bottom w:val="none" w:sz="0" w:space="0" w:color="auto"/>
        <w:right w:val="none" w:sz="0" w:space="0" w:color="auto"/>
      </w:divBdr>
      <w:divsChild>
        <w:div w:id="1645813858">
          <w:marLeft w:val="0"/>
          <w:marRight w:val="0"/>
          <w:marTop w:val="0"/>
          <w:marBottom w:val="0"/>
          <w:divBdr>
            <w:top w:val="none" w:sz="0" w:space="0" w:color="auto"/>
            <w:left w:val="none" w:sz="0" w:space="0" w:color="auto"/>
            <w:bottom w:val="none" w:sz="0" w:space="0" w:color="auto"/>
            <w:right w:val="none" w:sz="0" w:space="0" w:color="auto"/>
          </w:divBdr>
          <w:divsChild>
            <w:div w:id="1940330623">
              <w:marLeft w:val="0"/>
              <w:marRight w:val="0"/>
              <w:marTop w:val="0"/>
              <w:marBottom w:val="0"/>
              <w:divBdr>
                <w:top w:val="none" w:sz="0" w:space="0" w:color="auto"/>
                <w:left w:val="none" w:sz="0" w:space="0" w:color="auto"/>
                <w:bottom w:val="none" w:sz="0" w:space="0" w:color="auto"/>
                <w:right w:val="none" w:sz="0" w:space="0" w:color="auto"/>
              </w:divBdr>
              <w:divsChild>
                <w:div w:id="14891358">
                  <w:marLeft w:val="0"/>
                  <w:marRight w:val="0"/>
                  <w:marTop w:val="0"/>
                  <w:marBottom w:val="0"/>
                  <w:divBdr>
                    <w:top w:val="none" w:sz="0" w:space="0" w:color="auto"/>
                    <w:left w:val="none" w:sz="0" w:space="0" w:color="auto"/>
                    <w:bottom w:val="none" w:sz="0" w:space="0" w:color="auto"/>
                    <w:right w:val="none" w:sz="0" w:space="0" w:color="auto"/>
                  </w:divBdr>
                  <w:divsChild>
                    <w:div w:id="1855072923">
                      <w:marLeft w:val="0"/>
                      <w:marRight w:val="0"/>
                      <w:marTop w:val="0"/>
                      <w:marBottom w:val="0"/>
                      <w:divBdr>
                        <w:top w:val="none" w:sz="0" w:space="0" w:color="auto"/>
                        <w:left w:val="none" w:sz="0" w:space="0" w:color="auto"/>
                        <w:bottom w:val="none" w:sz="0" w:space="0" w:color="auto"/>
                        <w:right w:val="none" w:sz="0" w:space="0" w:color="auto"/>
                      </w:divBdr>
                      <w:divsChild>
                        <w:div w:id="1274555289">
                          <w:marLeft w:val="0"/>
                          <w:marRight w:val="0"/>
                          <w:marTop w:val="0"/>
                          <w:marBottom w:val="0"/>
                          <w:divBdr>
                            <w:top w:val="none" w:sz="0" w:space="0" w:color="auto"/>
                            <w:left w:val="none" w:sz="0" w:space="0" w:color="auto"/>
                            <w:bottom w:val="none" w:sz="0" w:space="0" w:color="auto"/>
                            <w:right w:val="none" w:sz="0" w:space="0" w:color="auto"/>
                          </w:divBdr>
                          <w:divsChild>
                            <w:div w:id="3659061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878299">
      <w:bodyDiv w:val="1"/>
      <w:marLeft w:val="0"/>
      <w:marRight w:val="0"/>
      <w:marTop w:val="0"/>
      <w:marBottom w:val="0"/>
      <w:divBdr>
        <w:top w:val="none" w:sz="0" w:space="0" w:color="auto"/>
        <w:left w:val="none" w:sz="0" w:space="0" w:color="auto"/>
        <w:bottom w:val="none" w:sz="0" w:space="0" w:color="auto"/>
        <w:right w:val="none" w:sz="0" w:space="0" w:color="auto"/>
      </w:divBdr>
      <w:divsChild>
        <w:div w:id="1076050040">
          <w:marLeft w:val="0"/>
          <w:marRight w:val="0"/>
          <w:marTop w:val="0"/>
          <w:marBottom w:val="0"/>
          <w:divBdr>
            <w:top w:val="none" w:sz="0" w:space="0" w:color="auto"/>
            <w:left w:val="none" w:sz="0" w:space="0" w:color="auto"/>
            <w:bottom w:val="none" w:sz="0" w:space="0" w:color="auto"/>
            <w:right w:val="none" w:sz="0" w:space="0" w:color="auto"/>
          </w:divBdr>
          <w:divsChild>
            <w:div w:id="503513523">
              <w:marLeft w:val="0"/>
              <w:marRight w:val="0"/>
              <w:marTop w:val="0"/>
              <w:marBottom w:val="0"/>
              <w:divBdr>
                <w:top w:val="none" w:sz="0" w:space="0" w:color="auto"/>
                <w:left w:val="none" w:sz="0" w:space="0" w:color="auto"/>
                <w:bottom w:val="none" w:sz="0" w:space="0" w:color="auto"/>
                <w:right w:val="none" w:sz="0" w:space="0" w:color="auto"/>
              </w:divBdr>
              <w:divsChild>
                <w:div w:id="1831015770">
                  <w:marLeft w:val="0"/>
                  <w:marRight w:val="0"/>
                  <w:marTop w:val="0"/>
                  <w:marBottom w:val="0"/>
                  <w:divBdr>
                    <w:top w:val="none" w:sz="0" w:space="0" w:color="auto"/>
                    <w:left w:val="none" w:sz="0" w:space="0" w:color="auto"/>
                    <w:bottom w:val="none" w:sz="0" w:space="0" w:color="auto"/>
                    <w:right w:val="none" w:sz="0" w:space="0" w:color="auto"/>
                  </w:divBdr>
                  <w:divsChild>
                    <w:div w:id="1005474975">
                      <w:marLeft w:val="0"/>
                      <w:marRight w:val="0"/>
                      <w:marTop w:val="0"/>
                      <w:marBottom w:val="0"/>
                      <w:divBdr>
                        <w:top w:val="none" w:sz="0" w:space="0" w:color="auto"/>
                        <w:left w:val="none" w:sz="0" w:space="0" w:color="auto"/>
                        <w:bottom w:val="none" w:sz="0" w:space="0" w:color="auto"/>
                        <w:right w:val="none" w:sz="0" w:space="0" w:color="auto"/>
                      </w:divBdr>
                      <w:divsChild>
                        <w:div w:id="672486886">
                          <w:marLeft w:val="0"/>
                          <w:marRight w:val="0"/>
                          <w:marTop w:val="0"/>
                          <w:marBottom w:val="0"/>
                          <w:divBdr>
                            <w:top w:val="none" w:sz="0" w:space="0" w:color="auto"/>
                            <w:left w:val="none" w:sz="0" w:space="0" w:color="auto"/>
                            <w:bottom w:val="none" w:sz="0" w:space="0" w:color="auto"/>
                            <w:right w:val="none" w:sz="0" w:space="0" w:color="auto"/>
                          </w:divBdr>
                          <w:divsChild>
                            <w:div w:id="61625753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1772937">
      <w:bodyDiv w:val="1"/>
      <w:marLeft w:val="0"/>
      <w:marRight w:val="0"/>
      <w:marTop w:val="0"/>
      <w:marBottom w:val="0"/>
      <w:divBdr>
        <w:top w:val="none" w:sz="0" w:space="0" w:color="auto"/>
        <w:left w:val="none" w:sz="0" w:space="0" w:color="auto"/>
        <w:bottom w:val="none" w:sz="0" w:space="0" w:color="auto"/>
        <w:right w:val="none" w:sz="0" w:space="0" w:color="auto"/>
      </w:divBdr>
    </w:div>
    <w:div w:id="1600913777">
      <w:bodyDiv w:val="1"/>
      <w:marLeft w:val="0"/>
      <w:marRight w:val="0"/>
      <w:marTop w:val="0"/>
      <w:marBottom w:val="0"/>
      <w:divBdr>
        <w:top w:val="none" w:sz="0" w:space="0" w:color="auto"/>
        <w:left w:val="none" w:sz="0" w:space="0" w:color="auto"/>
        <w:bottom w:val="none" w:sz="0" w:space="0" w:color="auto"/>
        <w:right w:val="none" w:sz="0" w:space="0" w:color="auto"/>
      </w:divBdr>
    </w:div>
    <w:div w:id="1803497317">
      <w:bodyDiv w:val="1"/>
      <w:marLeft w:val="0"/>
      <w:marRight w:val="0"/>
      <w:marTop w:val="0"/>
      <w:marBottom w:val="0"/>
      <w:divBdr>
        <w:top w:val="none" w:sz="0" w:space="0" w:color="auto"/>
        <w:left w:val="none" w:sz="0" w:space="0" w:color="auto"/>
        <w:bottom w:val="none" w:sz="0" w:space="0" w:color="auto"/>
        <w:right w:val="none" w:sz="0" w:space="0" w:color="auto"/>
      </w:divBdr>
    </w:div>
    <w:div w:id="1905722343">
      <w:bodyDiv w:val="1"/>
      <w:marLeft w:val="0"/>
      <w:marRight w:val="0"/>
      <w:marTop w:val="0"/>
      <w:marBottom w:val="0"/>
      <w:divBdr>
        <w:top w:val="none" w:sz="0" w:space="0" w:color="auto"/>
        <w:left w:val="none" w:sz="0" w:space="0" w:color="auto"/>
        <w:bottom w:val="none" w:sz="0" w:space="0" w:color="auto"/>
        <w:right w:val="none" w:sz="0" w:space="0" w:color="auto"/>
      </w:divBdr>
    </w:div>
    <w:div w:id="1928343004">
      <w:bodyDiv w:val="1"/>
      <w:marLeft w:val="0"/>
      <w:marRight w:val="0"/>
      <w:marTop w:val="0"/>
      <w:marBottom w:val="0"/>
      <w:divBdr>
        <w:top w:val="none" w:sz="0" w:space="0" w:color="auto"/>
        <w:left w:val="none" w:sz="0" w:space="0" w:color="auto"/>
        <w:bottom w:val="none" w:sz="0" w:space="0" w:color="auto"/>
        <w:right w:val="none" w:sz="0" w:space="0" w:color="auto"/>
      </w:divBdr>
    </w:div>
    <w:div w:id="2004313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eur-lex.europa.eu/eli/dir/2003/87/oj/?locale=LV" TargetMode="External"/><Relationship Id="rId4" Type="http://schemas.openxmlformats.org/officeDocument/2006/relationships/styles" Target="styles.xml"/><Relationship Id="rId9" Type="http://schemas.openxmlformats.org/officeDocument/2006/relationships/hyperlink" Target="http://eur-lex.europa.eu/eli/reg/2012/601/oj/?locale=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42F74-0E3B-4EFA-8224-7E0B151A5BD0}">
  <ds:schemaRefs>
    <ds:schemaRef ds:uri="http://schemas.openxmlformats.org/officeDocument/2006/bibliography"/>
  </ds:schemaRefs>
</ds:datastoreItem>
</file>

<file path=customXml/itemProps2.xml><?xml version="1.0" encoding="utf-8"?>
<ds:datastoreItem xmlns:ds="http://schemas.openxmlformats.org/officeDocument/2006/customXml" ds:itemID="{BC5554C9-1EB3-4416-8DE1-2DE04332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1523</TotalTime>
  <Pages>4</Pages>
  <Words>6357</Words>
  <Characters>3625</Characters>
  <Application>Microsoft Office Word</Application>
  <DocSecurity>0</DocSecurity>
  <Lines>30</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Koplietošanas meliorācijas sistēmas, pašvaldības nozīmes koplietošanas meliorācijas sistēmas, kā pašvaldības meliorācijas sistēmas un pašvaldības nozīmes koplietošanas meliorācijas sistēmas būvniecības, ekspluatācijas un uzturēšanas izmaksu aprēķināšanas,</vt:lpstr>
      <vt:lpstr>Koplietošanas meliorācijas sistēmas, pašvaldības nozīmes koplietošanas meliorācijas sistēmas, kā pašvaldības meliorācijas sistēmas un pašvaldības nozīmes koplietošanas meliorācijas sistēmas būvniecības, ekspluatācijas un uzturēšanas izmaksu aprēķināšanas,</vt:lpstr>
    </vt:vector>
  </TitlesOfParts>
  <Company>zm</Company>
  <LinksUpToDate>false</LinksUpToDate>
  <CharactersWithSpaces>9963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Koplietošanas meliorācijas sistēmas, pašvaldības nozīmes koplietošanas meliorācijas sistēmas, kā pašvaldības meliorācijas sistēmas un pašvaldības nozīmes koplietošanas meliorācijas sistēmas būvniecības, ekspluatācijas un uzturēšanas izmaksu aprēķināšanas, sadales un norēķinu kārtība</dc:title>
  <dc:subject>anotācija</dc:subject>
  <dc:creator>Gints.Melkins@zm.gov.lv</dc:creator>
  <cp:keywords>anotācija</cp:keywords>
  <dc:description>Gints.Melkins@zm.gov.lv, 67027207</dc:description>
  <cp:lastModifiedBy>Raimonds Kašs</cp:lastModifiedBy>
  <cp:revision>68</cp:revision>
  <dcterms:created xsi:type="dcterms:W3CDTF">2017-03-26T16:06:00Z</dcterms:created>
  <dcterms:modified xsi:type="dcterms:W3CDTF">2017-05-29T07:34:00Z</dcterms:modified>
</cp:coreProperties>
</file>