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3B468F" w:rsidRPr="009F69D6" w:rsidP="00EC78A5">
      <w:pPr>
        <w:jc w:val="center"/>
        <w:rPr>
          <w:b/>
          <w:color w:val="000000"/>
          <w:sz w:val="28"/>
          <w:szCs w:val="28"/>
        </w:rPr>
      </w:pPr>
      <w:bookmarkStart w:id="0" w:name="OLE_LINK1"/>
      <w:bookmarkStart w:id="1" w:name="OLE_LINK2"/>
      <w:r w:rsidRPr="009F69D6">
        <w:rPr>
          <w:b/>
          <w:color w:val="000000"/>
          <w:sz w:val="28"/>
          <w:szCs w:val="28"/>
        </w:rPr>
        <w:t>Ministru kabineta noteikumu projekta</w:t>
      </w:r>
      <w:r w:rsidRPr="009F69D6" w:rsidR="008D23E5">
        <w:rPr>
          <w:b/>
          <w:color w:val="000000"/>
          <w:sz w:val="28"/>
          <w:szCs w:val="28"/>
        </w:rPr>
        <w:t xml:space="preserve"> “</w:t>
      </w:r>
      <w:r w:rsidRPr="009F69D6">
        <w:rPr>
          <w:b/>
          <w:color w:val="000000"/>
          <w:sz w:val="28"/>
          <w:szCs w:val="28"/>
        </w:rPr>
        <w:t xml:space="preserve">Noteikumi par vides aizsardzības </w:t>
      </w:r>
      <w:r w:rsidRPr="009F69D6" w:rsidR="00CB42D5">
        <w:rPr>
          <w:b/>
          <w:color w:val="000000"/>
          <w:sz w:val="28"/>
          <w:szCs w:val="28"/>
        </w:rPr>
        <w:t>oficiālās</w:t>
      </w:r>
      <w:r w:rsidRPr="009F69D6">
        <w:rPr>
          <w:b/>
          <w:color w:val="000000"/>
          <w:sz w:val="28"/>
          <w:szCs w:val="28"/>
        </w:rPr>
        <w:t xml:space="preserve"> statistikas veidlapām” sākotnējās ietekmes novērtējuma ziņojums (anotācija)</w:t>
      </w:r>
      <w:bookmarkEnd w:id="0"/>
      <w:bookmarkEnd w:id="1"/>
    </w:p>
    <w:p w:rsidR="00CA1D46" w:rsidRPr="009F69D6" w:rsidP="001203D0">
      <w:pPr>
        <w:rPr>
          <w:i/>
          <w:iCs/>
          <w:color w:val="000000"/>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67"/>
        <w:gridCol w:w="2085"/>
        <w:gridCol w:w="6804"/>
      </w:tblGrid>
      <w:tr w:rsidTr="00BF14E4">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rHeight w:val="255"/>
          <w:jc w:val="center"/>
        </w:trPr>
        <w:tc>
          <w:tcPr>
            <w:tcW w:w="0" w:type="auto"/>
            <w:gridSpan w:val="3"/>
            <w:vAlign w:val="center"/>
            <w:hideMark/>
          </w:tcPr>
          <w:p w:rsidR="00A80C95" w:rsidRPr="009F69D6" w:rsidP="00BF14E4">
            <w:pPr>
              <w:jc w:val="center"/>
              <w:rPr>
                <w:b/>
                <w:bCs/>
                <w:color w:val="000000"/>
                <w:sz w:val="28"/>
                <w:szCs w:val="28"/>
              </w:rPr>
            </w:pPr>
            <w:r w:rsidRPr="009F69D6">
              <w:rPr>
                <w:b/>
                <w:bCs/>
                <w:color w:val="000000"/>
                <w:sz w:val="28"/>
                <w:szCs w:val="28"/>
              </w:rPr>
              <w:t>I. Tiesību akta projekta izstrādes nepieciešamība</w:t>
            </w:r>
          </w:p>
        </w:tc>
      </w:tr>
      <w:tr w:rsidTr="00BF14E4">
        <w:tblPrEx>
          <w:tblW w:w="9356" w:type="dxa"/>
          <w:jc w:val="center"/>
          <w:tblCellMar>
            <w:left w:w="57" w:type="dxa"/>
            <w:right w:w="57" w:type="dxa"/>
          </w:tblCellMar>
          <w:tblLook w:val="04A0"/>
        </w:tblPrEx>
        <w:trPr>
          <w:trHeight w:val="405"/>
          <w:jc w:val="center"/>
        </w:trPr>
        <w:tc>
          <w:tcPr>
            <w:tcW w:w="250" w:type="pct"/>
            <w:hideMark/>
          </w:tcPr>
          <w:p w:rsidR="00A80C95" w:rsidRPr="009F69D6" w:rsidP="00BF14E4">
            <w:pPr>
              <w:jc w:val="center"/>
              <w:rPr>
                <w:color w:val="000000"/>
                <w:sz w:val="28"/>
                <w:szCs w:val="28"/>
              </w:rPr>
            </w:pPr>
            <w:r w:rsidRPr="009F69D6">
              <w:rPr>
                <w:color w:val="000000"/>
                <w:sz w:val="28"/>
                <w:szCs w:val="28"/>
              </w:rPr>
              <w:t>1.</w:t>
            </w:r>
          </w:p>
        </w:tc>
        <w:tc>
          <w:tcPr>
            <w:tcW w:w="1114" w:type="pct"/>
            <w:hideMark/>
          </w:tcPr>
          <w:p w:rsidR="00A80C95" w:rsidRPr="009F69D6" w:rsidP="00BF14E4">
            <w:pPr>
              <w:rPr>
                <w:color w:val="000000"/>
                <w:sz w:val="28"/>
                <w:szCs w:val="28"/>
              </w:rPr>
            </w:pPr>
            <w:r w:rsidRPr="009F69D6">
              <w:rPr>
                <w:color w:val="000000"/>
                <w:sz w:val="28"/>
                <w:szCs w:val="28"/>
              </w:rPr>
              <w:t>Pamatojums</w:t>
            </w:r>
          </w:p>
        </w:tc>
        <w:tc>
          <w:tcPr>
            <w:tcW w:w="3636" w:type="pct"/>
            <w:hideMark/>
          </w:tcPr>
          <w:p w:rsidR="00A80C95" w:rsidRPr="009F69D6" w:rsidP="00F07516">
            <w:pPr>
              <w:pStyle w:val="naiskr"/>
              <w:jc w:val="both"/>
              <w:rPr>
                <w:sz w:val="28"/>
                <w:szCs w:val="28"/>
              </w:rPr>
            </w:pPr>
            <w:r w:rsidRPr="009F69D6">
              <w:rPr>
                <w:sz w:val="28"/>
                <w:szCs w:val="28"/>
              </w:rPr>
              <w:t>Minist</w:t>
            </w:r>
            <w:r w:rsidRPr="009F69D6" w:rsidR="008D23E5">
              <w:rPr>
                <w:sz w:val="28"/>
                <w:szCs w:val="28"/>
              </w:rPr>
              <w:t>ru kabineta noteikumu projekts “</w:t>
            </w:r>
            <w:r w:rsidRPr="009F69D6">
              <w:rPr>
                <w:sz w:val="28"/>
                <w:szCs w:val="28"/>
              </w:rPr>
              <w:t xml:space="preserve">Noteikumi par vides </w:t>
            </w:r>
            <w:r w:rsidRPr="009C08A0">
              <w:rPr>
                <w:sz w:val="28"/>
                <w:szCs w:val="28"/>
              </w:rPr>
              <w:t xml:space="preserve">aizsardzības </w:t>
            </w:r>
            <w:r w:rsidRPr="009C08A0" w:rsidR="00EC78A5">
              <w:rPr>
                <w:sz w:val="28"/>
                <w:szCs w:val="28"/>
              </w:rPr>
              <w:t>oficiālas</w:t>
            </w:r>
            <w:r w:rsidRPr="009C08A0">
              <w:rPr>
                <w:sz w:val="28"/>
                <w:szCs w:val="28"/>
              </w:rPr>
              <w:t xml:space="preserve"> statistikas veidlapām” (turpmāk</w:t>
            </w:r>
            <w:r w:rsidRPr="009F69D6">
              <w:rPr>
                <w:sz w:val="28"/>
                <w:szCs w:val="28"/>
              </w:rPr>
              <w:t xml:space="preserve"> – noteikumu projekts) izstrādāts, lai īstenotu Statistikas likuma 11. pantā Ministru kabinetam noteikto deleģējumu apstiprināt </w:t>
            </w:r>
            <w:r w:rsidRPr="00DB0808">
              <w:rPr>
                <w:sz w:val="28"/>
                <w:szCs w:val="28"/>
              </w:rPr>
              <w:t>statistikas iestāžu izstrādāto oficiālo statistikas veidlapu paraugus un noteikt veidlapu iesniegšanas un aizpildīšanas kārtību. Noteikumu projekts izstrādāts, lai nodrošinātu Atkritumu apsaimniekošanas likuma 20. panta astotās daļas izpildi.</w:t>
            </w:r>
          </w:p>
        </w:tc>
      </w:tr>
      <w:tr w:rsidTr="00BF14E4">
        <w:tblPrEx>
          <w:tblW w:w="9356" w:type="dxa"/>
          <w:jc w:val="center"/>
          <w:tblCellMar>
            <w:left w:w="57" w:type="dxa"/>
            <w:right w:w="57" w:type="dxa"/>
          </w:tblCellMar>
          <w:tblLook w:val="04A0"/>
        </w:tblPrEx>
        <w:trPr>
          <w:trHeight w:val="465"/>
          <w:jc w:val="center"/>
        </w:trPr>
        <w:tc>
          <w:tcPr>
            <w:tcW w:w="250" w:type="pct"/>
            <w:hideMark/>
          </w:tcPr>
          <w:p w:rsidR="00A80C95" w:rsidRPr="009F69D6" w:rsidP="00BF14E4">
            <w:pPr>
              <w:jc w:val="center"/>
              <w:rPr>
                <w:color w:val="000000"/>
                <w:sz w:val="28"/>
                <w:szCs w:val="28"/>
              </w:rPr>
            </w:pPr>
            <w:r w:rsidRPr="009F69D6">
              <w:rPr>
                <w:color w:val="000000"/>
                <w:sz w:val="28"/>
                <w:szCs w:val="28"/>
              </w:rPr>
              <w:t>2.</w:t>
            </w:r>
          </w:p>
        </w:tc>
        <w:tc>
          <w:tcPr>
            <w:tcW w:w="1114" w:type="pct"/>
            <w:hideMark/>
          </w:tcPr>
          <w:p w:rsidR="00A80C95" w:rsidRPr="009F69D6" w:rsidP="00BF14E4">
            <w:pPr>
              <w:rPr>
                <w:color w:val="000000"/>
                <w:sz w:val="28"/>
                <w:szCs w:val="28"/>
              </w:rPr>
            </w:pPr>
            <w:r w:rsidRPr="009F69D6">
              <w:rPr>
                <w:color w:val="000000"/>
                <w:sz w:val="28"/>
                <w:szCs w:val="28"/>
              </w:rPr>
              <w:t>Pašreizējā situācija un problēmas, kuru risināšanai tiesību akta projekts izstrādāts, tiesiskā regulējuma mērķis un būtība</w:t>
            </w:r>
          </w:p>
        </w:tc>
        <w:tc>
          <w:tcPr>
            <w:tcW w:w="3636" w:type="pct"/>
            <w:hideMark/>
          </w:tcPr>
          <w:p w:rsidR="00E34D88" w:rsidRPr="009F69D6" w:rsidP="00CA1E30">
            <w:pPr>
              <w:pStyle w:val="naiskr"/>
              <w:jc w:val="both"/>
              <w:rPr>
                <w:sz w:val="28"/>
                <w:szCs w:val="28"/>
              </w:rPr>
            </w:pPr>
            <w:r w:rsidRPr="009F69D6">
              <w:rPr>
                <w:sz w:val="28"/>
                <w:szCs w:val="28"/>
              </w:rPr>
              <w:t xml:space="preserve">Šobrīd ir spēkā </w:t>
            </w:r>
            <w:r w:rsidRPr="009F69D6" w:rsidR="00A5517D">
              <w:rPr>
                <w:sz w:val="28"/>
                <w:szCs w:val="28"/>
              </w:rPr>
              <w:t xml:space="preserve">Ministru kabineta </w:t>
            </w:r>
            <w:r w:rsidRPr="009F69D6">
              <w:rPr>
                <w:sz w:val="28"/>
                <w:szCs w:val="28"/>
              </w:rPr>
              <w:t>2008.</w:t>
            </w:r>
            <w:r w:rsidRPr="009F69D6" w:rsidR="00A5517D">
              <w:rPr>
                <w:sz w:val="28"/>
                <w:szCs w:val="28"/>
              </w:rPr>
              <w:t> </w:t>
            </w:r>
            <w:r w:rsidRPr="009F69D6">
              <w:rPr>
                <w:sz w:val="28"/>
                <w:szCs w:val="28"/>
              </w:rPr>
              <w:t>gada 22.</w:t>
            </w:r>
            <w:r w:rsidRPr="009F69D6" w:rsidR="00A5517D">
              <w:rPr>
                <w:sz w:val="28"/>
                <w:szCs w:val="28"/>
              </w:rPr>
              <w:t> </w:t>
            </w:r>
            <w:r w:rsidRPr="009F69D6">
              <w:rPr>
                <w:sz w:val="28"/>
                <w:szCs w:val="28"/>
              </w:rPr>
              <w:t>decembra noteikumi Nr.</w:t>
            </w:r>
            <w:r w:rsidRPr="009F69D6" w:rsidR="00A5517D">
              <w:rPr>
                <w:sz w:val="28"/>
                <w:szCs w:val="28"/>
              </w:rPr>
              <w:t> </w:t>
            </w:r>
            <w:r w:rsidRPr="009F69D6" w:rsidR="008D23E5">
              <w:rPr>
                <w:sz w:val="28"/>
                <w:szCs w:val="28"/>
              </w:rPr>
              <w:t>1075 “</w:t>
            </w:r>
            <w:r w:rsidRPr="009F69D6">
              <w:rPr>
                <w:sz w:val="28"/>
                <w:szCs w:val="28"/>
              </w:rPr>
              <w:t>Noteikumi par vides aizsardzības valsts statistikas pārskatu veidlapām”</w:t>
            </w:r>
            <w:r w:rsidRPr="009F69D6" w:rsidR="000D40D1">
              <w:rPr>
                <w:sz w:val="28"/>
                <w:szCs w:val="28"/>
              </w:rPr>
              <w:t>.</w:t>
            </w:r>
          </w:p>
          <w:p w:rsidR="00B8113F" w:rsidRPr="009F69D6" w:rsidP="00CA1E30">
            <w:pPr>
              <w:pStyle w:val="naiskr"/>
              <w:jc w:val="both"/>
              <w:rPr>
                <w:sz w:val="28"/>
                <w:szCs w:val="28"/>
              </w:rPr>
            </w:pPr>
            <w:r w:rsidRPr="009F69D6">
              <w:rPr>
                <w:sz w:val="28"/>
                <w:szCs w:val="28"/>
              </w:rPr>
              <w:t xml:space="preserve">Atbilstoši </w:t>
            </w:r>
            <w:r w:rsidRPr="009F69D6" w:rsidR="00F43DAA">
              <w:rPr>
                <w:sz w:val="28"/>
                <w:szCs w:val="28"/>
              </w:rPr>
              <w:t xml:space="preserve">Statistikas </w:t>
            </w:r>
            <w:r w:rsidRPr="009F69D6">
              <w:rPr>
                <w:sz w:val="28"/>
                <w:szCs w:val="28"/>
              </w:rPr>
              <w:t>likum</w:t>
            </w:r>
            <w:r w:rsidRPr="009F69D6" w:rsidR="00CA1E30">
              <w:rPr>
                <w:sz w:val="28"/>
                <w:szCs w:val="28"/>
              </w:rPr>
              <w:t>a</w:t>
            </w:r>
            <w:r w:rsidRPr="009F69D6" w:rsidR="000D40D1">
              <w:rPr>
                <w:sz w:val="28"/>
                <w:szCs w:val="28"/>
              </w:rPr>
              <w:t xml:space="preserve"> </w:t>
            </w:r>
            <w:r w:rsidRPr="009F69D6" w:rsidR="00CA1E30">
              <w:rPr>
                <w:sz w:val="28"/>
                <w:szCs w:val="28"/>
              </w:rPr>
              <w:t>11. pantam</w:t>
            </w:r>
            <w:r w:rsidRPr="009F69D6" w:rsidR="00830E22">
              <w:rPr>
                <w:sz w:val="28"/>
                <w:szCs w:val="28"/>
              </w:rPr>
              <w:t xml:space="preserve"> un Pārejas noteikumu 2. punktā noteiktajam</w:t>
            </w:r>
            <w:r w:rsidRPr="009F69D6">
              <w:rPr>
                <w:sz w:val="28"/>
                <w:szCs w:val="28"/>
              </w:rPr>
              <w:t xml:space="preserve">, </w:t>
            </w:r>
            <w:r w:rsidRPr="009F69D6" w:rsidR="00F43DAA">
              <w:rPr>
                <w:sz w:val="28"/>
                <w:szCs w:val="28"/>
              </w:rPr>
              <w:t>noteikumu projekts</w:t>
            </w:r>
            <w:r w:rsidRPr="009F69D6">
              <w:rPr>
                <w:sz w:val="28"/>
                <w:szCs w:val="28"/>
              </w:rPr>
              <w:t xml:space="preserve"> Mini</w:t>
            </w:r>
            <w:r w:rsidRPr="009F69D6" w:rsidR="001B0531">
              <w:rPr>
                <w:sz w:val="28"/>
                <w:szCs w:val="28"/>
              </w:rPr>
              <w:t>stru kabinetam jāizdod līdz 2017</w:t>
            </w:r>
            <w:r w:rsidRPr="009F69D6">
              <w:rPr>
                <w:sz w:val="28"/>
                <w:szCs w:val="28"/>
              </w:rPr>
              <w:t>. gada 31. </w:t>
            </w:r>
            <w:r w:rsidRPr="009F69D6" w:rsidR="00F43DAA">
              <w:rPr>
                <w:sz w:val="28"/>
                <w:szCs w:val="28"/>
              </w:rPr>
              <w:t>maijam</w:t>
            </w:r>
            <w:r w:rsidRPr="009F69D6" w:rsidR="00830E22">
              <w:rPr>
                <w:sz w:val="28"/>
                <w:szCs w:val="28"/>
              </w:rPr>
              <w:t xml:space="preserve">, jo šobrīd spēkā esošie Ministru kabineta 2008. gada 22. decembra noteikumi Nr. 1075 </w:t>
            </w:r>
            <w:r w:rsidRPr="009F69D6" w:rsidR="008D23E5">
              <w:rPr>
                <w:sz w:val="28"/>
                <w:szCs w:val="28"/>
              </w:rPr>
              <w:t>“</w:t>
            </w:r>
            <w:r w:rsidRPr="009F69D6" w:rsidR="00830E22">
              <w:rPr>
                <w:sz w:val="28"/>
                <w:szCs w:val="28"/>
              </w:rPr>
              <w:t>Noteikumi par vides aizsardzības valsts statistikas pārskatu veidlapām” 2017. gada 1. jūnijā zaudēs spēku.</w:t>
            </w:r>
          </w:p>
          <w:p w:rsidR="004A5BA0" w:rsidRPr="00DB0808" w:rsidP="00E905D0">
            <w:pPr>
              <w:pStyle w:val="naiskr"/>
              <w:jc w:val="both"/>
              <w:rPr>
                <w:sz w:val="28"/>
                <w:szCs w:val="28"/>
              </w:rPr>
            </w:pPr>
            <w:r w:rsidRPr="00DB0808">
              <w:rPr>
                <w:sz w:val="28"/>
                <w:szCs w:val="28"/>
              </w:rPr>
              <w:t>Noteikumu projekts nosaka vides aizsardzības oficiālās statistikas veidlapu - "Nr.</w:t>
            </w:r>
            <w:r w:rsidRPr="00DB0808" w:rsidR="008340E5">
              <w:rPr>
                <w:sz w:val="28"/>
                <w:szCs w:val="28"/>
              </w:rPr>
              <w:t> </w:t>
            </w:r>
            <w:r w:rsidRPr="00DB0808">
              <w:rPr>
                <w:sz w:val="28"/>
                <w:szCs w:val="28"/>
              </w:rPr>
              <w:t>2 - Ūdens. Pārskats par ūdens resursu lietošanu", "Nr.</w:t>
            </w:r>
            <w:r w:rsidRPr="00DB0808" w:rsidR="008340E5">
              <w:rPr>
                <w:sz w:val="28"/>
                <w:szCs w:val="28"/>
              </w:rPr>
              <w:t> </w:t>
            </w:r>
            <w:r w:rsidRPr="00DB0808">
              <w:rPr>
                <w:sz w:val="28"/>
                <w:szCs w:val="28"/>
              </w:rPr>
              <w:t>2 - Gaiss. Pārska</w:t>
            </w:r>
            <w:r w:rsidRPr="00DB0808" w:rsidR="008340E5">
              <w:rPr>
                <w:sz w:val="28"/>
                <w:szCs w:val="28"/>
              </w:rPr>
              <w:t>ts par gaisa aizsardzību", "Nr. </w:t>
            </w:r>
            <w:r w:rsidRPr="00DB0808">
              <w:rPr>
                <w:sz w:val="28"/>
                <w:szCs w:val="28"/>
              </w:rPr>
              <w:t xml:space="preserve">3 - Atkritumi. Pārskats par atkritumiem" aizpildīšanas un iesniegšanas kārtību. </w:t>
            </w:r>
            <w:r w:rsidRPr="00DB0808" w:rsidR="003E264D">
              <w:rPr>
                <w:sz w:val="28"/>
                <w:szCs w:val="28"/>
              </w:rPr>
              <w:t xml:space="preserve">Noteikumu projekta mērķis ir iegūt kvalitatīvus datus no ūdens resursu lietotājiem, gaisa piesārņotājiem un atkritumu radītājiem. </w:t>
            </w:r>
            <w:r w:rsidRPr="00DB0808">
              <w:rPr>
                <w:sz w:val="28"/>
                <w:szCs w:val="28"/>
              </w:rPr>
              <w:t>Dati, kas tiek iegūti no noteikumu projekta 2.1., 2.2. un 2.3. punktā noteiktajām veidlapām, tiek iesniegti oficiālās statistikas vajadzībām, kā arī uz iesniegto datu pamata tiek izstrādātas, piemēram, prognozes nozares attīstībai, sniegti ziņojumi Eiropas Komisijai un sabiedrībai.</w:t>
            </w:r>
          </w:p>
          <w:p w:rsidR="005F7A21" w:rsidRPr="00DB0808" w:rsidP="00E905D0">
            <w:pPr>
              <w:pStyle w:val="naiskr"/>
              <w:jc w:val="both"/>
              <w:rPr>
                <w:sz w:val="28"/>
                <w:szCs w:val="28"/>
              </w:rPr>
            </w:pPr>
            <w:r w:rsidRPr="00DB0808">
              <w:rPr>
                <w:sz w:val="28"/>
                <w:szCs w:val="28"/>
              </w:rPr>
              <w:t>Noteikumu projektā ir saglabāts pašreiz spēkā esošo Ministru kabineta 2008. gada 22. decembra noteikumu</w:t>
            </w:r>
            <w:r w:rsidRPr="00DB0808" w:rsidR="00847BF9">
              <w:rPr>
                <w:sz w:val="28"/>
                <w:szCs w:val="28"/>
              </w:rPr>
              <w:t xml:space="preserve"> Nr. </w:t>
            </w:r>
            <w:r w:rsidRPr="00DB0808">
              <w:rPr>
                <w:sz w:val="28"/>
                <w:szCs w:val="28"/>
              </w:rPr>
              <w:t>1075 “Noteikumi par vides aizsardzības valsts statistikas pārskatu veidlapām”</w:t>
            </w:r>
            <w:r w:rsidRPr="00DB0808" w:rsidR="00BC54E2">
              <w:rPr>
                <w:sz w:val="28"/>
                <w:szCs w:val="28"/>
              </w:rPr>
              <w:t xml:space="preserve"> 2.1. un 2.2. </w:t>
            </w:r>
            <w:r w:rsidRPr="00DB0808" w:rsidR="00B07EBB">
              <w:rPr>
                <w:sz w:val="28"/>
                <w:szCs w:val="28"/>
              </w:rPr>
              <w:t>apakš</w:t>
            </w:r>
            <w:r w:rsidRPr="00DB0808">
              <w:rPr>
                <w:sz w:val="28"/>
                <w:szCs w:val="28"/>
              </w:rPr>
              <w:t>punktā noteiktais pienākums iesniegt o</w:t>
            </w:r>
            <w:r w:rsidRPr="00DB0808" w:rsidR="00B07EBB">
              <w:rPr>
                <w:sz w:val="28"/>
                <w:szCs w:val="28"/>
              </w:rPr>
              <w:t>ficiālās statistikas veidlapas.</w:t>
            </w:r>
            <w:r w:rsidRPr="00DB0808" w:rsidR="00BC54E2">
              <w:rPr>
                <w:sz w:val="28"/>
                <w:szCs w:val="28"/>
              </w:rPr>
              <w:t xml:space="preserve"> </w:t>
            </w:r>
            <w:r w:rsidRPr="00DB0808" w:rsidR="006D3E0E">
              <w:rPr>
                <w:sz w:val="28"/>
                <w:szCs w:val="28"/>
              </w:rPr>
              <w:t xml:space="preserve">Precizēts 2.3. apakšpunktā noteikto veidlapu iesniedzēju </w:t>
            </w:r>
            <w:r w:rsidRPr="00DB0808" w:rsidR="006D3E0E">
              <w:rPr>
                <w:sz w:val="28"/>
                <w:szCs w:val="28"/>
              </w:rPr>
              <w:t>saraksts atbilstoši Atkritumu apsaimniekošanas likuma 42.</w:t>
            </w:r>
            <w:r w:rsidR="00BB301F">
              <w:rPr>
                <w:sz w:val="28"/>
                <w:szCs w:val="28"/>
              </w:rPr>
              <w:t> </w:t>
            </w:r>
            <w:r w:rsidRPr="00DB0808" w:rsidR="006D3E0E">
              <w:rPr>
                <w:sz w:val="28"/>
                <w:szCs w:val="28"/>
              </w:rPr>
              <w:t xml:space="preserve">pantā lietotajam formulējumam. </w:t>
            </w:r>
            <w:r w:rsidRPr="00DB0808">
              <w:rPr>
                <w:sz w:val="28"/>
                <w:szCs w:val="28"/>
              </w:rPr>
              <w:t>Detalizētais personu uzskaitījums</w:t>
            </w:r>
            <w:r w:rsidRPr="00DB0808" w:rsidR="0069376E">
              <w:rPr>
                <w:sz w:val="28"/>
                <w:szCs w:val="28"/>
              </w:rPr>
              <w:t xml:space="preserve"> noteikumu projekta 2.1., 2.2. un 2.3.</w:t>
            </w:r>
            <w:r w:rsidR="00BB301F">
              <w:rPr>
                <w:sz w:val="28"/>
                <w:szCs w:val="28"/>
              </w:rPr>
              <w:t> </w:t>
            </w:r>
            <w:r w:rsidRPr="00DB0808" w:rsidR="00B07EBB">
              <w:rPr>
                <w:sz w:val="28"/>
                <w:szCs w:val="28"/>
              </w:rPr>
              <w:t>apakš</w:t>
            </w:r>
            <w:r w:rsidRPr="00DB0808" w:rsidR="0069376E">
              <w:rPr>
                <w:sz w:val="28"/>
                <w:szCs w:val="28"/>
              </w:rPr>
              <w:t xml:space="preserve">punktos </w:t>
            </w:r>
            <w:r w:rsidRPr="00DB0808">
              <w:rPr>
                <w:sz w:val="28"/>
                <w:szCs w:val="28"/>
              </w:rPr>
              <w:t>nepieciešams, lai skaidri un nepārprotami norādītu to personu loku, kam jā</w:t>
            </w:r>
            <w:r w:rsidRPr="00DB0808" w:rsidR="00B476BE">
              <w:rPr>
                <w:sz w:val="28"/>
                <w:szCs w:val="28"/>
              </w:rPr>
              <w:t>iesniedz veidlapa</w:t>
            </w:r>
            <w:r w:rsidRPr="00DB0808" w:rsidR="00896C0B">
              <w:rPr>
                <w:sz w:val="28"/>
                <w:szCs w:val="28"/>
              </w:rPr>
              <w:t>s</w:t>
            </w:r>
            <w:r w:rsidRPr="00DB0808" w:rsidR="00B476BE">
              <w:rPr>
                <w:sz w:val="28"/>
                <w:szCs w:val="28"/>
              </w:rPr>
              <w:t xml:space="preserve"> par </w:t>
            </w:r>
            <w:r w:rsidRPr="00DB0808">
              <w:rPr>
                <w:sz w:val="28"/>
                <w:szCs w:val="28"/>
              </w:rPr>
              <w:t>ūdens resursu lietošanu</w:t>
            </w:r>
            <w:r w:rsidRPr="00DB0808" w:rsidR="00D6550A">
              <w:rPr>
                <w:sz w:val="28"/>
                <w:szCs w:val="28"/>
              </w:rPr>
              <w:t>,</w:t>
            </w:r>
            <w:r w:rsidRPr="00DB0808" w:rsidR="00D56508">
              <w:rPr>
                <w:sz w:val="28"/>
                <w:szCs w:val="28"/>
              </w:rPr>
              <w:t xml:space="preserve"> veidlapa</w:t>
            </w:r>
            <w:r w:rsidRPr="00DB0808" w:rsidR="00896C0B">
              <w:rPr>
                <w:sz w:val="28"/>
                <w:szCs w:val="28"/>
              </w:rPr>
              <w:t>s</w:t>
            </w:r>
            <w:r w:rsidRPr="00DB0808" w:rsidR="00B476BE">
              <w:rPr>
                <w:sz w:val="28"/>
                <w:szCs w:val="28"/>
              </w:rPr>
              <w:t xml:space="preserve"> par gaisa aizsardzību un veidlapa</w:t>
            </w:r>
            <w:r w:rsidRPr="00DB0808" w:rsidR="00896C0B">
              <w:rPr>
                <w:sz w:val="28"/>
                <w:szCs w:val="28"/>
              </w:rPr>
              <w:t>s</w:t>
            </w:r>
            <w:r w:rsidRPr="00DB0808" w:rsidR="00B476BE">
              <w:rPr>
                <w:sz w:val="28"/>
                <w:szCs w:val="28"/>
              </w:rPr>
              <w:t xml:space="preserve"> par atkritumiem</w:t>
            </w:r>
            <w:r w:rsidRPr="00DB0808">
              <w:rPr>
                <w:sz w:val="28"/>
                <w:szCs w:val="28"/>
              </w:rPr>
              <w:t>.</w:t>
            </w:r>
            <w:r w:rsidRPr="00DB0808" w:rsidR="0075210A">
              <w:rPr>
                <w:sz w:val="28"/>
                <w:szCs w:val="28"/>
              </w:rPr>
              <w:t xml:space="preserve"> </w:t>
            </w:r>
          </w:p>
          <w:p w:rsidR="003F352B" w:rsidRPr="00FD7B35" w:rsidP="00E905D0">
            <w:pPr>
              <w:pStyle w:val="naiskr"/>
              <w:jc w:val="both"/>
              <w:rPr>
                <w:sz w:val="28"/>
                <w:szCs w:val="28"/>
              </w:rPr>
            </w:pPr>
            <w:r w:rsidRPr="00DB0808">
              <w:rPr>
                <w:sz w:val="28"/>
                <w:szCs w:val="28"/>
              </w:rPr>
              <w:t>Noteikumu projektā precizēta 4. punkta redakcija. 4. punkts papildināts ar nosacījumu, ka noteikumu projekta 2.1., 2.2. un 2.3.</w:t>
            </w:r>
            <w:r w:rsidR="00BB301F">
              <w:rPr>
                <w:sz w:val="28"/>
                <w:szCs w:val="28"/>
              </w:rPr>
              <w:t> </w:t>
            </w:r>
            <w:r w:rsidRPr="00DB0808">
              <w:rPr>
                <w:sz w:val="28"/>
                <w:szCs w:val="28"/>
              </w:rPr>
              <w:t>apakšpunktā minētajām personām, kas pārskata gadā nav veikušas saimnieciskās darbības, attiecīgajā veidlapā jāaizpilda tikai ziņas par operatoru un 3.1.</w:t>
            </w:r>
            <w:r w:rsidRPr="00DB0808" w:rsidR="00306794">
              <w:rPr>
                <w:sz w:val="28"/>
                <w:szCs w:val="28"/>
              </w:rPr>
              <w:t> </w:t>
            </w:r>
            <w:r w:rsidRPr="00DB0808">
              <w:rPr>
                <w:sz w:val="28"/>
                <w:szCs w:val="28"/>
              </w:rPr>
              <w:t>apakšpunktā minētajā tiešsaistes režīmā jāpievieno paskaidrojums, kur</w:t>
            </w:r>
            <w:r w:rsidRPr="00DB0808" w:rsidR="00306794">
              <w:rPr>
                <w:sz w:val="28"/>
                <w:szCs w:val="28"/>
              </w:rPr>
              <w:t>ā</w:t>
            </w:r>
            <w:r w:rsidRPr="00DB0808">
              <w:rPr>
                <w:sz w:val="28"/>
                <w:szCs w:val="28"/>
              </w:rPr>
              <w:t xml:space="preserve"> norāda iemeslu, kādēļ saimnieciskā darbība nav veikta un dati netiek iesniegti. Šāds risinājums izvēlēts</w:t>
            </w:r>
            <w:r w:rsidRPr="00DB0808" w:rsidR="00306794">
              <w:rPr>
                <w:sz w:val="28"/>
                <w:szCs w:val="28"/>
              </w:rPr>
              <w:t>,</w:t>
            </w:r>
            <w:r w:rsidRPr="00DB0808">
              <w:rPr>
                <w:sz w:val="28"/>
                <w:szCs w:val="28"/>
              </w:rPr>
              <w:t xml:space="preserve"> </w:t>
            </w:r>
            <w:r w:rsidRPr="00DB0808" w:rsidR="00306794">
              <w:rPr>
                <w:sz w:val="28"/>
                <w:szCs w:val="28"/>
              </w:rPr>
              <w:t>lai noteiktu vienotu pieeju visiem operatoriem, kuri</w:t>
            </w:r>
            <w:r w:rsidRPr="00DB0808" w:rsidR="00453BDB">
              <w:rPr>
                <w:sz w:val="28"/>
                <w:szCs w:val="28"/>
              </w:rPr>
              <w:t>em</w:t>
            </w:r>
            <w:r w:rsidRPr="00DB0808" w:rsidR="00306794">
              <w:rPr>
                <w:sz w:val="28"/>
                <w:szCs w:val="28"/>
              </w:rPr>
              <w:t xml:space="preserve"> </w:t>
            </w:r>
            <w:r w:rsidRPr="00DB0808" w:rsidR="00453BDB">
              <w:rPr>
                <w:sz w:val="28"/>
                <w:szCs w:val="28"/>
              </w:rPr>
              <w:t>jā</w:t>
            </w:r>
            <w:r w:rsidRPr="00DB0808" w:rsidR="00306794">
              <w:rPr>
                <w:sz w:val="28"/>
                <w:szCs w:val="28"/>
              </w:rPr>
              <w:t>iesniedz oficiālās statistikas veidlapas, taču saimn</w:t>
            </w:r>
            <w:r w:rsidRPr="00DB0808" w:rsidR="00453BDB">
              <w:rPr>
                <w:sz w:val="28"/>
                <w:szCs w:val="28"/>
              </w:rPr>
              <w:t>ieciskā</w:t>
            </w:r>
            <w:r w:rsidRPr="00DB0808" w:rsidR="00306794">
              <w:rPr>
                <w:sz w:val="28"/>
                <w:szCs w:val="28"/>
              </w:rPr>
              <w:t xml:space="preserve"> darb</w:t>
            </w:r>
            <w:r w:rsidRPr="00DB0808" w:rsidR="00453BDB">
              <w:rPr>
                <w:sz w:val="28"/>
                <w:szCs w:val="28"/>
              </w:rPr>
              <w:t xml:space="preserve">ība </w:t>
            </w:r>
            <w:r w:rsidRPr="00FD7B35" w:rsidR="000C7AA7">
              <w:rPr>
                <w:sz w:val="28"/>
                <w:szCs w:val="28"/>
              </w:rPr>
              <w:t xml:space="preserve">attiecīgajā gadā </w:t>
            </w:r>
            <w:r w:rsidRPr="00FD7B35" w:rsidR="00453BDB">
              <w:rPr>
                <w:sz w:val="28"/>
                <w:szCs w:val="28"/>
              </w:rPr>
              <w:t>nav veikta</w:t>
            </w:r>
            <w:r w:rsidRPr="00FD7B35" w:rsidR="00306794">
              <w:rPr>
                <w:sz w:val="28"/>
                <w:szCs w:val="28"/>
              </w:rPr>
              <w:t xml:space="preserve">. </w:t>
            </w:r>
            <w:r w:rsidRPr="00FD7B35" w:rsidR="00E82FF2">
              <w:rPr>
                <w:sz w:val="28"/>
                <w:szCs w:val="28"/>
              </w:rPr>
              <w:t>Līdz šim š</w:t>
            </w:r>
            <w:r w:rsidRPr="00FD7B35" w:rsidR="0090265B">
              <w:rPr>
                <w:sz w:val="28"/>
                <w:szCs w:val="28"/>
              </w:rPr>
              <w:t>āda veida</w:t>
            </w:r>
            <w:r w:rsidRPr="00FD7B35" w:rsidR="00E82FF2">
              <w:rPr>
                <w:sz w:val="28"/>
                <w:szCs w:val="28"/>
              </w:rPr>
              <w:t xml:space="preserve"> prasība ne</w:t>
            </w:r>
            <w:r w:rsidRPr="00FD7B35" w:rsidR="0090265B">
              <w:rPr>
                <w:sz w:val="28"/>
                <w:szCs w:val="28"/>
              </w:rPr>
              <w:t>tika</w:t>
            </w:r>
            <w:r w:rsidRPr="00FD7B35" w:rsidR="00E82FF2">
              <w:rPr>
                <w:sz w:val="28"/>
                <w:szCs w:val="28"/>
              </w:rPr>
              <w:t xml:space="preserve"> noteikta un katrs operators to interpretēja sev saprotamā veidā.</w:t>
            </w:r>
          </w:p>
          <w:p w:rsidR="002F7A77" w:rsidRPr="00FD7B35" w:rsidP="00E905D0">
            <w:pPr>
              <w:pStyle w:val="naiskr"/>
              <w:jc w:val="both"/>
              <w:rPr>
                <w:sz w:val="28"/>
                <w:szCs w:val="28"/>
              </w:rPr>
            </w:pPr>
            <w:r w:rsidRPr="00FD7B35">
              <w:rPr>
                <w:sz w:val="28"/>
                <w:szCs w:val="28"/>
              </w:rPr>
              <w:t>Atbilstoši noteikumu projekta 6.</w:t>
            </w:r>
            <w:r w:rsidRPr="00FD7B35" w:rsidR="00787C3F">
              <w:rPr>
                <w:sz w:val="28"/>
                <w:szCs w:val="28"/>
              </w:rPr>
              <w:t> </w:t>
            </w:r>
            <w:r w:rsidRPr="00FD7B35">
              <w:rPr>
                <w:sz w:val="28"/>
                <w:szCs w:val="28"/>
              </w:rPr>
              <w:t xml:space="preserve">punktā noteiktajam </w:t>
            </w:r>
            <w:r w:rsidRPr="00FD7B35" w:rsidR="00787C3F">
              <w:rPr>
                <w:sz w:val="28"/>
                <w:szCs w:val="28"/>
              </w:rPr>
              <w:t xml:space="preserve">valsts sabiedrība ar ierobežotu atbildību “Latvijas Vides, ģeoloģijas un meteoroloģijas centrs” ir </w:t>
            </w:r>
            <w:r w:rsidRPr="00FD7B35" w:rsidR="009A1E78">
              <w:rPr>
                <w:sz w:val="28"/>
                <w:szCs w:val="28"/>
              </w:rPr>
              <w:t>informatīvās datu bāze</w:t>
            </w:r>
            <w:r w:rsidRPr="00FD7B35" w:rsidR="000530A5">
              <w:rPr>
                <w:sz w:val="28"/>
                <w:szCs w:val="28"/>
              </w:rPr>
              <w:t>s</w:t>
            </w:r>
            <w:r w:rsidRPr="00FD7B35" w:rsidR="009A1E78">
              <w:rPr>
                <w:sz w:val="28"/>
                <w:szCs w:val="28"/>
              </w:rPr>
              <w:t xml:space="preserve"> uzturētājs, </w:t>
            </w:r>
            <w:r w:rsidRPr="00FD7B35" w:rsidR="00AD492C">
              <w:rPr>
                <w:sz w:val="28"/>
                <w:szCs w:val="28"/>
              </w:rPr>
              <w:t xml:space="preserve">kas noteikumu projektā noteiktajā termiņā slēdz datubāzi, apkopo iesniegto informāciju </w:t>
            </w:r>
            <w:r w:rsidRPr="00FD7B35" w:rsidR="00661121">
              <w:rPr>
                <w:sz w:val="28"/>
                <w:szCs w:val="28"/>
              </w:rPr>
              <w:t>un iesniedz Centrālajā statistikas pārvaldē un V</w:t>
            </w:r>
            <w:r w:rsidR="00BB301F">
              <w:rPr>
                <w:sz w:val="28"/>
                <w:szCs w:val="28"/>
              </w:rPr>
              <w:t>ides aizsardzības un reģionālās attīstības ministrijā</w:t>
            </w:r>
            <w:r w:rsidRPr="00FD7B35" w:rsidR="00661121">
              <w:rPr>
                <w:sz w:val="28"/>
                <w:szCs w:val="28"/>
              </w:rPr>
              <w:t xml:space="preserve">. </w:t>
            </w:r>
          </w:p>
          <w:p w:rsidR="000530A5" w:rsidRPr="00FD7B35" w:rsidP="00E905D0">
            <w:pPr>
              <w:pStyle w:val="naiskr"/>
              <w:jc w:val="both"/>
              <w:rPr>
                <w:sz w:val="28"/>
                <w:szCs w:val="28"/>
              </w:rPr>
            </w:pPr>
            <w:r w:rsidRPr="00FD7B35">
              <w:rPr>
                <w:sz w:val="28"/>
                <w:szCs w:val="28"/>
              </w:rPr>
              <w:t>S</w:t>
            </w:r>
            <w:r w:rsidRPr="00FD7B35" w:rsidR="009A1E78">
              <w:rPr>
                <w:sz w:val="28"/>
                <w:szCs w:val="28"/>
              </w:rPr>
              <w:t>avukārt</w:t>
            </w:r>
            <w:r w:rsidRPr="00FD7B35">
              <w:rPr>
                <w:sz w:val="28"/>
                <w:szCs w:val="28"/>
              </w:rPr>
              <w:t xml:space="preserve">, lai tiktu nodrošināta noteikumu projekta 2. punktā minēto personu iesniegto </w:t>
            </w:r>
            <w:r w:rsidRPr="00FD7B35" w:rsidR="00B76BFD">
              <w:rPr>
                <w:sz w:val="28"/>
                <w:szCs w:val="28"/>
              </w:rPr>
              <w:t xml:space="preserve">statistikas </w:t>
            </w:r>
            <w:r w:rsidRPr="00FD7B35">
              <w:rPr>
                <w:sz w:val="28"/>
                <w:szCs w:val="28"/>
              </w:rPr>
              <w:t xml:space="preserve">datu kvalitāte </w:t>
            </w:r>
            <w:r w:rsidRPr="00FD7B35" w:rsidR="001C2EEC">
              <w:rPr>
                <w:sz w:val="28"/>
                <w:szCs w:val="28"/>
              </w:rPr>
              <w:t>Valsts vides dienesta</w:t>
            </w:r>
            <w:r w:rsidRPr="00FD7B35">
              <w:rPr>
                <w:sz w:val="28"/>
                <w:szCs w:val="28"/>
              </w:rPr>
              <w:t xml:space="preserve"> reģionālā vides p</w:t>
            </w:r>
            <w:r w:rsidRPr="00FD7B35" w:rsidR="00B76BFD">
              <w:rPr>
                <w:sz w:val="28"/>
                <w:szCs w:val="28"/>
              </w:rPr>
              <w:t>ārvalde (turpmāk – Pārvalde)</w:t>
            </w:r>
            <w:r w:rsidRPr="00FD7B35">
              <w:rPr>
                <w:sz w:val="28"/>
                <w:szCs w:val="28"/>
              </w:rPr>
              <w:t xml:space="preserve"> izvērtē</w:t>
            </w:r>
            <w:r w:rsidRPr="00FD7B35">
              <w:rPr>
                <w:sz w:val="28"/>
                <w:szCs w:val="28"/>
              </w:rPr>
              <w:t xml:space="preserve"> (pārbauda, izskata)</w:t>
            </w:r>
            <w:r w:rsidRPr="00FD7B35">
              <w:rPr>
                <w:sz w:val="28"/>
                <w:szCs w:val="28"/>
              </w:rPr>
              <w:t xml:space="preserve"> veidlapās iekļautās informācijas </w:t>
            </w:r>
            <w:r w:rsidRPr="00FD7B35">
              <w:rPr>
                <w:sz w:val="28"/>
                <w:szCs w:val="28"/>
              </w:rPr>
              <w:t>pareizumu. Pārvalde seko, vai informācija tiek iesniegta noteiktajā termiņā. Ņemot vērā lielo informācijas apjomu, kā arī pārskatāmo datu klāstu, iesniegto datu kvalitātes pārbaudes tiek veikts izlases kārtībā. Šādas darbības mērķis ir izvairīties no neatbilstošu, nepareizu datu iesniegšanas oficiālās statistikas vajadzībām. Pārvalde iesniegtos datus neizmanto un neizmantos, lai veiktu kādus kontroles pasākumus.</w:t>
            </w:r>
          </w:p>
          <w:p w:rsidR="002E2A15" w:rsidRPr="00790C58" w:rsidP="00E905D0">
            <w:pPr>
              <w:pStyle w:val="naiskr"/>
              <w:jc w:val="both"/>
              <w:rPr>
                <w:sz w:val="28"/>
                <w:szCs w:val="28"/>
              </w:rPr>
            </w:pPr>
            <w:r w:rsidRPr="009F69D6">
              <w:rPr>
                <w:sz w:val="28"/>
                <w:szCs w:val="28"/>
              </w:rPr>
              <w:t xml:space="preserve">Šobrīd spēkā esošo Ministru kabineta 2008. gada 22. decembra noteikumu Nr. 1075 “Noteikumi par vides aizsardzības valsts statistikas pārskatu veidlapām” </w:t>
            </w:r>
            <w:r w:rsidRPr="009F69D6" w:rsidR="00B31FF1">
              <w:rPr>
                <w:sz w:val="28"/>
                <w:szCs w:val="28"/>
              </w:rPr>
              <w:t xml:space="preserve">1. pielikuma </w:t>
            </w:r>
            <w:r w:rsidRPr="009F69D6" w:rsidR="008D23E5">
              <w:rPr>
                <w:sz w:val="28"/>
                <w:szCs w:val="28"/>
              </w:rPr>
              <w:t>“</w:t>
            </w:r>
            <w:r w:rsidRPr="009F69D6" w:rsidR="00B31FF1">
              <w:rPr>
                <w:sz w:val="28"/>
                <w:szCs w:val="28"/>
              </w:rPr>
              <w:t xml:space="preserve">Veidlapa </w:t>
            </w:r>
            <w:r w:rsidRPr="009F69D6" w:rsidR="008D23E5">
              <w:rPr>
                <w:sz w:val="28"/>
                <w:szCs w:val="28"/>
              </w:rPr>
              <w:t>“</w:t>
            </w:r>
            <w:r w:rsidRPr="009F69D6" w:rsidR="00B31FF1">
              <w:rPr>
                <w:sz w:val="28"/>
                <w:szCs w:val="28"/>
              </w:rPr>
              <w:t xml:space="preserve">Nr. 2 – Ūdens. Pārskats par ūdens </w:t>
            </w:r>
            <w:r w:rsidRPr="009F69D6" w:rsidR="00B31FF1">
              <w:rPr>
                <w:sz w:val="28"/>
                <w:szCs w:val="28"/>
              </w:rPr>
              <w:t xml:space="preserve">resursu lietošanu””, tabulās </w:t>
            </w:r>
            <w:r w:rsidRPr="009F69D6" w:rsidR="008D23E5">
              <w:rPr>
                <w:sz w:val="28"/>
                <w:szCs w:val="28"/>
              </w:rPr>
              <w:t>“</w:t>
            </w:r>
            <w:r w:rsidRPr="009F69D6" w:rsidR="00B31FF1">
              <w:rPr>
                <w:sz w:val="28"/>
                <w:szCs w:val="28"/>
              </w:rPr>
              <w:t xml:space="preserve">E Paliekošais piesārņojums tonnas/gadā”, </w:t>
            </w:r>
            <w:r w:rsidRPr="009F69D6" w:rsidR="008D23E5">
              <w:rPr>
                <w:sz w:val="28"/>
                <w:szCs w:val="28"/>
              </w:rPr>
              <w:t>“</w:t>
            </w:r>
            <w:r w:rsidRPr="009F69D6" w:rsidR="00B31FF1">
              <w:rPr>
                <w:sz w:val="28"/>
                <w:szCs w:val="28"/>
              </w:rPr>
              <w:t xml:space="preserve">Tabulas E turpinājums”, </w:t>
            </w:r>
            <w:r w:rsidRPr="009F69D6" w:rsidR="008D23E5">
              <w:rPr>
                <w:sz w:val="28"/>
                <w:szCs w:val="28"/>
              </w:rPr>
              <w:t>“</w:t>
            </w:r>
            <w:r w:rsidRPr="009F69D6" w:rsidR="00B31FF1">
              <w:rPr>
                <w:sz w:val="28"/>
                <w:szCs w:val="28"/>
              </w:rPr>
              <w:t xml:space="preserve">I-1 Operatora veiktā pieņemošo ūdeņu kvalitātes monitoringa rezultāti augšpus no emisijas vietas” un </w:t>
            </w:r>
            <w:r w:rsidRPr="009F69D6" w:rsidR="008D23E5">
              <w:rPr>
                <w:sz w:val="28"/>
                <w:szCs w:val="28"/>
              </w:rPr>
              <w:t>“</w:t>
            </w:r>
            <w:r w:rsidRPr="009F69D6" w:rsidR="00B31FF1">
              <w:rPr>
                <w:sz w:val="28"/>
                <w:szCs w:val="28"/>
              </w:rPr>
              <w:t>I-2 Operatora veiktā pieņemošo ūdeņu kvalitātes monitoringa rezultāti lejpus no emisijas vietas” precizētas ailes attiecībā uz fosfātu fosforu, amonija slāpekli un nitrātu slāpekli</w:t>
            </w:r>
            <w:r w:rsidRPr="00790C58" w:rsidR="00B31FF1">
              <w:rPr>
                <w:sz w:val="28"/>
                <w:szCs w:val="28"/>
              </w:rPr>
              <w:t>”.</w:t>
            </w:r>
            <w:r w:rsidRPr="00790C58" w:rsidR="00147C63">
              <w:rPr>
                <w:sz w:val="28"/>
                <w:szCs w:val="28"/>
              </w:rPr>
              <w:t xml:space="preserve"> Precizējumi veikti, lai </w:t>
            </w:r>
            <w:r w:rsidRPr="00790C58">
              <w:rPr>
                <w:sz w:val="28"/>
                <w:szCs w:val="28"/>
              </w:rPr>
              <w:t>korekti tiktu norādīts piesārņojošo vielu nosaukums.</w:t>
            </w:r>
            <w:r w:rsidRPr="00790C58" w:rsidR="00B31FF1">
              <w:rPr>
                <w:sz w:val="28"/>
                <w:szCs w:val="28"/>
              </w:rPr>
              <w:t xml:space="preserve"> </w:t>
            </w:r>
            <w:r w:rsidRPr="00790C58" w:rsidR="00744E64">
              <w:rPr>
                <w:sz w:val="28"/>
                <w:szCs w:val="28"/>
              </w:rPr>
              <w:t xml:space="preserve">Tabula H </w:t>
            </w:r>
            <w:r w:rsidRPr="00790C58" w:rsidR="008D23E5">
              <w:rPr>
                <w:sz w:val="28"/>
                <w:szCs w:val="28"/>
              </w:rPr>
              <w:t>“</w:t>
            </w:r>
            <w:r w:rsidRPr="00790C58" w:rsidR="00744E64">
              <w:rPr>
                <w:sz w:val="28"/>
                <w:szCs w:val="28"/>
              </w:rPr>
              <w:t>Notekūdeņu testēšana</w:t>
            </w:r>
            <w:r w:rsidRPr="00790C58" w:rsidR="00B31FF1">
              <w:rPr>
                <w:sz w:val="28"/>
                <w:szCs w:val="28"/>
              </w:rPr>
              <w:t>”</w:t>
            </w:r>
            <w:r w:rsidRPr="00790C58" w:rsidR="00744E64">
              <w:rPr>
                <w:sz w:val="28"/>
                <w:szCs w:val="28"/>
              </w:rPr>
              <w:t xml:space="preserve"> papildināta ar papildus kolonnu </w:t>
            </w:r>
            <w:r w:rsidRPr="00790C58" w:rsidR="008D23E5">
              <w:rPr>
                <w:sz w:val="28"/>
                <w:szCs w:val="28"/>
              </w:rPr>
              <w:t>“</w:t>
            </w:r>
            <w:r w:rsidRPr="00790C58" w:rsidR="00744E64">
              <w:rPr>
                <w:sz w:val="28"/>
                <w:szCs w:val="28"/>
              </w:rPr>
              <w:t>P</w:t>
            </w:r>
            <w:r w:rsidRPr="00790C58">
              <w:rPr>
                <w:sz w:val="28"/>
                <w:szCs w:val="28"/>
              </w:rPr>
              <w:t>iederība (no C vai D tabulas 1. </w:t>
            </w:r>
            <w:r w:rsidRPr="00790C58" w:rsidR="00744E64">
              <w:rPr>
                <w:sz w:val="28"/>
                <w:szCs w:val="28"/>
              </w:rPr>
              <w:t>ailes)</w:t>
            </w:r>
            <w:r w:rsidRPr="00790C58" w:rsidR="00DA51DF">
              <w:rPr>
                <w:sz w:val="28"/>
                <w:szCs w:val="28"/>
              </w:rPr>
              <w:t>”</w:t>
            </w:r>
            <w:r w:rsidRPr="00790C58" w:rsidR="00744E64">
              <w:rPr>
                <w:sz w:val="28"/>
                <w:szCs w:val="28"/>
              </w:rPr>
              <w:t xml:space="preserve">. </w:t>
            </w:r>
            <w:r w:rsidRPr="00790C58" w:rsidR="008D23E5">
              <w:rPr>
                <w:sz w:val="28"/>
                <w:szCs w:val="28"/>
              </w:rPr>
              <w:t>Tabulas H</w:t>
            </w:r>
            <w:r w:rsidRPr="00790C58" w:rsidR="00661C6C">
              <w:rPr>
                <w:sz w:val="28"/>
                <w:szCs w:val="28"/>
              </w:rPr>
              <w:t xml:space="preserve"> </w:t>
            </w:r>
            <w:r w:rsidRPr="00790C58" w:rsidR="008D23E5">
              <w:rPr>
                <w:sz w:val="28"/>
                <w:szCs w:val="28"/>
              </w:rPr>
              <w:t>“</w:t>
            </w:r>
            <w:r w:rsidRPr="00790C58" w:rsidR="00661C6C">
              <w:rPr>
                <w:sz w:val="28"/>
                <w:szCs w:val="28"/>
              </w:rPr>
              <w:t>Notekūdeņu testēšana</w:t>
            </w:r>
            <w:r w:rsidRPr="00790C58" w:rsidR="00DA51DF">
              <w:rPr>
                <w:sz w:val="28"/>
                <w:szCs w:val="28"/>
              </w:rPr>
              <w:t>”</w:t>
            </w:r>
            <w:r w:rsidRPr="00790C58" w:rsidR="00661C6C">
              <w:rPr>
                <w:sz w:val="28"/>
                <w:szCs w:val="28"/>
              </w:rPr>
              <w:t xml:space="preserve"> 7. un 8.</w:t>
            </w:r>
            <w:r w:rsidRPr="00790C58">
              <w:rPr>
                <w:sz w:val="28"/>
                <w:szCs w:val="28"/>
              </w:rPr>
              <w:t> </w:t>
            </w:r>
            <w:r w:rsidRPr="00790C58" w:rsidR="00661C6C">
              <w:rPr>
                <w:sz w:val="28"/>
                <w:szCs w:val="28"/>
              </w:rPr>
              <w:t xml:space="preserve">kolonna papildināta ar sadalījumu pa </w:t>
            </w:r>
            <w:r w:rsidRPr="00790C58" w:rsidR="003B68F0">
              <w:rPr>
                <w:sz w:val="28"/>
                <w:szCs w:val="28"/>
              </w:rPr>
              <w:t xml:space="preserve">kalendārajiem </w:t>
            </w:r>
            <w:r w:rsidRPr="00790C58" w:rsidR="00661C6C">
              <w:rPr>
                <w:sz w:val="28"/>
                <w:szCs w:val="28"/>
              </w:rPr>
              <w:t>mēnešiem.</w:t>
            </w:r>
            <w:r w:rsidRPr="00790C58">
              <w:rPr>
                <w:sz w:val="28"/>
                <w:szCs w:val="28"/>
              </w:rPr>
              <w:t xml:space="preserve"> </w:t>
            </w:r>
            <w:r w:rsidRPr="00790C58" w:rsidR="00154CA1">
              <w:rPr>
                <w:sz w:val="28"/>
                <w:szCs w:val="28"/>
              </w:rPr>
              <w:t>Sadalījums</w:t>
            </w:r>
            <w:r w:rsidRPr="00790C58" w:rsidR="004F6D01">
              <w:rPr>
                <w:sz w:val="28"/>
                <w:szCs w:val="28"/>
              </w:rPr>
              <w:t xml:space="preserve"> pa kalendārajiem mēnešiem nepieciešams</w:t>
            </w:r>
            <w:r w:rsidRPr="00790C58" w:rsidR="00CF7CD8">
              <w:rPr>
                <w:sz w:val="28"/>
                <w:szCs w:val="28"/>
              </w:rPr>
              <w:t>,</w:t>
            </w:r>
            <w:r w:rsidRPr="00790C58" w:rsidR="004F6D01">
              <w:rPr>
                <w:sz w:val="28"/>
                <w:szCs w:val="28"/>
              </w:rPr>
              <w:t xml:space="preserve"> lai </w:t>
            </w:r>
            <w:r w:rsidRPr="00790C58" w:rsidR="00CF7CD8">
              <w:rPr>
                <w:sz w:val="28"/>
                <w:szCs w:val="28"/>
              </w:rPr>
              <w:t>veidlapas aizpildītājam atvieglotu tabulas aizpildīšanu un padarītu to vieglāk uztveramu.</w:t>
            </w:r>
          </w:p>
          <w:p w:rsidR="00157875" w:rsidRPr="00790C58" w:rsidP="00121168">
            <w:pPr>
              <w:pStyle w:val="naiskr"/>
              <w:jc w:val="both"/>
              <w:rPr>
                <w:sz w:val="28"/>
                <w:szCs w:val="28"/>
              </w:rPr>
            </w:pPr>
            <w:r w:rsidRPr="00790C58">
              <w:rPr>
                <w:sz w:val="28"/>
                <w:szCs w:val="28"/>
              </w:rPr>
              <w:t>Tāpat veikti precizējumi šobrīd spēkā esošo Ministru kabineta 2008. gada 22. decembra noteikumu Nr. </w:t>
            </w:r>
            <w:r w:rsidRPr="00790C58" w:rsidR="008D23E5">
              <w:rPr>
                <w:sz w:val="28"/>
                <w:szCs w:val="28"/>
              </w:rPr>
              <w:t>1075 “</w:t>
            </w:r>
            <w:r w:rsidRPr="00790C58">
              <w:rPr>
                <w:sz w:val="28"/>
                <w:szCs w:val="28"/>
              </w:rPr>
              <w:t xml:space="preserve">Noteikumi par vides aizsardzības valsts statistikas pārskatu veidlapām” </w:t>
            </w:r>
            <w:r w:rsidRPr="00790C58">
              <w:rPr>
                <w:sz w:val="28"/>
                <w:szCs w:val="28"/>
              </w:rPr>
              <w:t xml:space="preserve">2. pielikuma </w:t>
            </w:r>
            <w:r w:rsidRPr="00790C58" w:rsidR="00F423C2">
              <w:rPr>
                <w:sz w:val="28"/>
                <w:szCs w:val="28"/>
              </w:rPr>
              <w:t>1.</w:t>
            </w:r>
            <w:r w:rsidR="00BB301F">
              <w:rPr>
                <w:sz w:val="28"/>
                <w:szCs w:val="28"/>
              </w:rPr>
              <w:t> </w:t>
            </w:r>
            <w:r w:rsidRPr="00790C58" w:rsidR="00F423C2">
              <w:rPr>
                <w:sz w:val="28"/>
                <w:szCs w:val="28"/>
              </w:rPr>
              <w:t>tabulā</w:t>
            </w:r>
            <w:r w:rsidRPr="00790C58" w:rsidR="005C1FF9">
              <w:rPr>
                <w:sz w:val="28"/>
                <w:szCs w:val="28"/>
              </w:rPr>
              <w:t xml:space="preserve"> </w:t>
            </w:r>
            <w:r w:rsidRPr="00790C58" w:rsidR="008D23E5">
              <w:rPr>
                <w:sz w:val="28"/>
                <w:szCs w:val="28"/>
              </w:rPr>
              <w:t>“</w:t>
            </w:r>
            <w:r w:rsidRPr="00790C58" w:rsidR="005C1FF9">
              <w:rPr>
                <w:sz w:val="28"/>
                <w:szCs w:val="28"/>
              </w:rPr>
              <w:t>Iekārtu raksturojums</w:t>
            </w:r>
            <w:r w:rsidRPr="00790C58" w:rsidR="002278D2">
              <w:rPr>
                <w:sz w:val="28"/>
                <w:szCs w:val="28"/>
              </w:rPr>
              <w:t>”</w:t>
            </w:r>
            <w:r w:rsidRPr="00790C58" w:rsidR="005C1FF9">
              <w:rPr>
                <w:sz w:val="28"/>
                <w:szCs w:val="28"/>
              </w:rPr>
              <w:t xml:space="preserve">, </w:t>
            </w:r>
            <w:r w:rsidRPr="00790C58" w:rsidR="00954C9C">
              <w:rPr>
                <w:sz w:val="28"/>
                <w:szCs w:val="28"/>
              </w:rPr>
              <w:t>proti, lai kvalitatīvi tiktu veikta gaisu piesārņojošo vielu izkliedes modelēšanu</w:t>
            </w:r>
            <w:r w:rsidR="00BB301F">
              <w:rPr>
                <w:sz w:val="28"/>
                <w:szCs w:val="28"/>
              </w:rPr>
              <w:t>,</w:t>
            </w:r>
            <w:r w:rsidRPr="00790C58" w:rsidR="00954C9C">
              <w:rPr>
                <w:sz w:val="28"/>
                <w:szCs w:val="28"/>
              </w:rPr>
              <w:t xml:space="preserve"> ir nepieciešams zināt arī laukumveida avota augstumu, kas ir viens no būtiskākajiem datorprogrammā ievadāmajiem parametriem</w:t>
            </w:r>
            <w:r w:rsidR="00BB301F">
              <w:rPr>
                <w:sz w:val="28"/>
                <w:szCs w:val="28"/>
              </w:rPr>
              <w:t>,</w:t>
            </w:r>
            <w:r w:rsidRPr="00790C58" w:rsidR="00954C9C">
              <w:rPr>
                <w:sz w:val="28"/>
                <w:szCs w:val="28"/>
              </w:rPr>
              <w:t xml:space="preserve"> un tam ir nozīmīga ietekme uz veiktā aprēķina rezultātu, attiecīgi </w:t>
            </w:r>
            <w:r w:rsidRPr="00790C58" w:rsidR="005C1FF9">
              <w:rPr>
                <w:sz w:val="28"/>
                <w:szCs w:val="28"/>
              </w:rPr>
              <w:t xml:space="preserve">ņemot vērā </w:t>
            </w:r>
            <w:r w:rsidRPr="00790C58" w:rsidR="000B630D">
              <w:rPr>
                <w:sz w:val="28"/>
                <w:szCs w:val="28"/>
              </w:rPr>
              <w:t xml:space="preserve">valsts sabiedrības ar ierobežotu atbildību </w:t>
            </w:r>
            <w:r w:rsidRPr="00790C58" w:rsidR="008D23E5">
              <w:rPr>
                <w:sz w:val="28"/>
                <w:szCs w:val="28"/>
              </w:rPr>
              <w:t>“</w:t>
            </w:r>
            <w:r w:rsidRPr="00790C58" w:rsidR="005C1FF9">
              <w:rPr>
                <w:sz w:val="28"/>
                <w:szCs w:val="28"/>
              </w:rPr>
              <w:t>Latvijas vides ģeoloģijas un met</w:t>
            </w:r>
            <w:r w:rsidRPr="00790C58" w:rsidR="0005110F">
              <w:rPr>
                <w:sz w:val="28"/>
                <w:szCs w:val="28"/>
              </w:rPr>
              <w:t>eoroloģijas centrs”</w:t>
            </w:r>
            <w:r w:rsidRPr="00790C58" w:rsidR="005C1FF9">
              <w:rPr>
                <w:sz w:val="28"/>
                <w:szCs w:val="28"/>
              </w:rPr>
              <w:t xml:space="preserve"> priekšlikumu, </w:t>
            </w:r>
            <w:r w:rsidRPr="00790C58" w:rsidR="00F423C2">
              <w:rPr>
                <w:sz w:val="28"/>
                <w:szCs w:val="28"/>
              </w:rPr>
              <w:t xml:space="preserve">1. tabula </w:t>
            </w:r>
            <w:r w:rsidRPr="00790C58" w:rsidR="005C1FF9">
              <w:rPr>
                <w:sz w:val="28"/>
                <w:szCs w:val="28"/>
              </w:rPr>
              <w:t xml:space="preserve">papildināta ar jaunu kolonnu Nr.11 </w:t>
            </w:r>
            <w:r w:rsidRPr="00790C58" w:rsidR="008D23E5">
              <w:rPr>
                <w:sz w:val="28"/>
                <w:szCs w:val="28"/>
              </w:rPr>
              <w:t>“</w:t>
            </w:r>
            <w:r w:rsidRPr="00790C58" w:rsidR="00045E7C">
              <w:rPr>
                <w:sz w:val="28"/>
                <w:szCs w:val="28"/>
              </w:rPr>
              <w:t>augstums”. 2. pielikuma</w:t>
            </w:r>
            <w:r w:rsidRPr="00790C58" w:rsidR="00954C9C">
              <w:rPr>
                <w:sz w:val="28"/>
                <w:szCs w:val="28"/>
              </w:rPr>
              <w:t xml:space="preserve"> </w:t>
            </w:r>
            <w:r w:rsidRPr="00790C58">
              <w:rPr>
                <w:sz w:val="28"/>
                <w:szCs w:val="28"/>
              </w:rPr>
              <w:t xml:space="preserve">4. tabulā </w:t>
            </w:r>
            <w:r w:rsidRPr="00790C58" w:rsidR="008D23E5">
              <w:rPr>
                <w:sz w:val="28"/>
                <w:szCs w:val="28"/>
              </w:rPr>
              <w:t>“</w:t>
            </w:r>
            <w:r w:rsidRPr="00790C58">
              <w:rPr>
                <w:sz w:val="28"/>
                <w:szCs w:val="28"/>
              </w:rPr>
              <w:t xml:space="preserve">Kurināmā izlietojums”, ņemot vērā Valsts vides dienesta un </w:t>
            </w:r>
            <w:r w:rsidRPr="00790C58" w:rsidR="000B630D">
              <w:rPr>
                <w:sz w:val="28"/>
                <w:szCs w:val="28"/>
              </w:rPr>
              <w:t xml:space="preserve">valsts sabiedrības ar ierobežotu atbildību </w:t>
            </w:r>
            <w:r w:rsidRPr="00790C58" w:rsidR="002F482D">
              <w:rPr>
                <w:sz w:val="28"/>
                <w:szCs w:val="28"/>
              </w:rPr>
              <w:t>“</w:t>
            </w:r>
            <w:r w:rsidRPr="00790C58">
              <w:rPr>
                <w:sz w:val="28"/>
                <w:szCs w:val="28"/>
              </w:rPr>
              <w:t>Latvijas vides ģeo</w:t>
            </w:r>
            <w:r w:rsidRPr="00790C58" w:rsidR="00E03AB4">
              <w:rPr>
                <w:sz w:val="28"/>
                <w:szCs w:val="28"/>
              </w:rPr>
              <w:t>loģijas un meteoroloģijas centr</w:t>
            </w:r>
            <w:r w:rsidRPr="00790C58" w:rsidR="0005110F">
              <w:rPr>
                <w:sz w:val="28"/>
                <w:szCs w:val="28"/>
              </w:rPr>
              <w:t>s”</w:t>
            </w:r>
            <w:r w:rsidRPr="00790C58">
              <w:rPr>
                <w:sz w:val="28"/>
                <w:szCs w:val="28"/>
              </w:rPr>
              <w:t xml:space="preserve"> priekšlikumus, dzēsta 9.</w:t>
            </w:r>
            <w:r w:rsidRPr="00790C58" w:rsidR="007418B6">
              <w:rPr>
                <w:sz w:val="28"/>
                <w:szCs w:val="28"/>
              </w:rPr>
              <w:t> </w:t>
            </w:r>
            <w:r w:rsidRPr="00790C58">
              <w:rPr>
                <w:sz w:val="28"/>
                <w:szCs w:val="28"/>
              </w:rPr>
              <w:t xml:space="preserve">kolonna attiecībā uz kurināmā </w:t>
            </w:r>
            <w:r w:rsidRPr="00790C58" w:rsidR="007B716F">
              <w:rPr>
                <w:sz w:val="28"/>
                <w:szCs w:val="28"/>
              </w:rPr>
              <w:t>koeficientu</w:t>
            </w:r>
            <w:r w:rsidRPr="00790C58" w:rsidR="00866728">
              <w:rPr>
                <w:sz w:val="28"/>
                <w:szCs w:val="28"/>
              </w:rPr>
              <w:t>. Š</w:t>
            </w:r>
            <w:r w:rsidRPr="00790C58" w:rsidR="00045E7C">
              <w:rPr>
                <w:sz w:val="28"/>
                <w:szCs w:val="28"/>
              </w:rPr>
              <w:t xml:space="preserve">āds risinājums </w:t>
            </w:r>
            <w:r w:rsidRPr="00790C58" w:rsidR="00866728">
              <w:rPr>
                <w:sz w:val="28"/>
                <w:szCs w:val="28"/>
              </w:rPr>
              <w:t xml:space="preserve">attiecībā uz 9. kolonnu </w:t>
            </w:r>
            <w:r w:rsidRPr="00790C58" w:rsidR="00045E7C">
              <w:rPr>
                <w:sz w:val="28"/>
                <w:szCs w:val="28"/>
              </w:rPr>
              <w:t>pieņemts, lai samazinātu administratīvo slogu operatoriem, kas aizpilda attiecīgo veidlapu.</w:t>
            </w:r>
          </w:p>
          <w:p w:rsidR="00B8113F" w:rsidRPr="00790C58" w:rsidP="00F316B3">
            <w:pPr>
              <w:pStyle w:val="naiskr"/>
              <w:jc w:val="both"/>
              <w:rPr>
                <w:sz w:val="28"/>
                <w:szCs w:val="28"/>
              </w:rPr>
            </w:pPr>
            <w:r w:rsidRPr="00790C58">
              <w:rPr>
                <w:sz w:val="28"/>
                <w:szCs w:val="28"/>
              </w:rPr>
              <w:t xml:space="preserve">Ministru kabineta 2008. gada 22. decembra noteikumu Nr. 1075 „Noteikumi par vides aizsardzības valsts statistikas pārskatu veidlapām” </w:t>
            </w:r>
            <w:r w:rsidRPr="00790C58" w:rsidR="006A5733">
              <w:rPr>
                <w:sz w:val="28"/>
                <w:szCs w:val="28"/>
              </w:rPr>
              <w:t xml:space="preserve">4. pielikuma </w:t>
            </w:r>
            <w:r w:rsidRPr="00790C58">
              <w:rPr>
                <w:sz w:val="28"/>
                <w:szCs w:val="28"/>
              </w:rPr>
              <w:t>„</w:t>
            </w:r>
            <w:r w:rsidRPr="00790C58" w:rsidR="006A5733">
              <w:rPr>
                <w:sz w:val="28"/>
                <w:szCs w:val="28"/>
              </w:rPr>
              <w:t xml:space="preserve">Veidlapas </w:t>
            </w:r>
            <w:r w:rsidRPr="00790C58">
              <w:rPr>
                <w:sz w:val="28"/>
                <w:szCs w:val="28"/>
              </w:rPr>
              <w:t>„</w:t>
            </w:r>
            <w:r w:rsidRPr="00790C58" w:rsidR="006A5733">
              <w:rPr>
                <w:sz w:val="28"/>
                <w:szCs w:val="28"/>
              </w:rPr>
              <w:t>Nr.</w:t>
            </w:r>
            <w:r w:rsidRPr="00790C58" w:rsidR="0046737F">
              <w:rPr>
                <w:sz w:val="28"/>
                <w:szCs w:val="28"/>
              </w:rPr>
              <w:t> </w:t>
            </w:r>
            <w:r w:rsidRPr="00790C58" w:rsidR="006A5733">
              <w:rPr>
                <w:sz w:val="28"/>
                <w:szCs w:val="28"/>
              </w:rPr>
              <w:t>2 - Ūdens. Pārsk</w:t>
            </w:r>
            <w:r w:rsidRPr="00790C58">
              <w:rPr>
                <w:sz w:val="28"/>
                <w:szCs w:val="28"/>
              </w:rPr>
              <w:t>ats par ūdens resursu lietošanu”</w:t>
            </w:r>
            <w:r w:rsidRPr="00790C58" w:rsidR="006A5733">
              <w:rPr>
                <w:sz w:val="28"/>
                <w:szCs w:val="28"/>
              </w:rPr>
              <w:t xml:space="preserve"> aizpildīšanas</w:t>
            </w:r>
            <w:r w:rsidRPr="00790C58" w:rsidR="00DE4890">
              <w:rPr>
                <w:sz w:val="28"/>
                <w:szCs w:val="28"/>
              </w:rPr>
              <w:t xml:space="preserve"> </w:t>
            </w:r>
            <w:r w:rsidRPr="00790C58" w:rsidR="006A5733">
              <w:rPr>
                <w:sz w:val="28"/>
                <w:szCs w:val="28"/>
              </w:rPr>
              <w:t>kārtība” 7.3., 11.5 un 12.5. </w:t>
            </w:r>
            <w:r w:rsidRPr="00790C58" w:rsidR="0046737F">
              <w:rPr>
                <w:sz w:val="28"/>
                <w:szCs w:val="28"/>
              </w:rPr>
              <w:t>apakš</w:t>
            </w:r>
            <w:r w:rsidRPr="00790C58" w:rsidR="006A5733">
              <w:rPr>
                <w:sz w:val="28"/>
                <w:szCs w:val="28"/>
              </w:rPr>
              <w:t>punktā prec</w:t>
            </w:r>
            <w:r w:rsidRPr="00790C58" w:rsidR="00DE4890">
              <w:rPr>
                <w:sz w:val="28"/>
                <w:szCs w:val="28"/>
              </w:rPr>
              <w:t xml:space="preserve">izēta informācija attiecībā uz </w:t>
            </w:r>
            <w:r w:rsidRPr="00790C58" w:rsidR="006A5733">
              <w:rPr>
                <w:sz w:val="28"/>
                <w:szCs w:val="28"/>
              </w:rPr>
              <w:t>fosfātu fosforu, amonija slāpekli un nitrātu slāpekli.</w:t>
            </w:r>
            <w:r w:rsidRPr="00790C58" w:rsidR="00E472DA">
              <w:rPr>
                <w:sz w:val="28"/>
                <w:szCs w:val="28"/>
              </w:rPr>
              <w:t xml:space="preserve"> Precizējumi veikti, lai korekti tiktu norādīts piesārņojošo vielu nosaukums.</w:t>
            </w:r>
            <w:r w:rsidRPr="00790C58" w:rsidR="00C273C8">
              <w:rPr>
                <w:sz w:val="28"/>
                <w:szCs w:val="28"/>
              </w:rPr>
              <w:t xml:space="preserve"> Vienlaikus preciz</w:t>
            </w:r>
            <w:r w:rsidRPr="00790C58" w:rsidR="00081A8F">
              <w:rPr>
                <w:sz w:val="28"/>
                <w:szCs w:val="28"/>
              </w:rPr>
              <w:t>ēts</w:t>
            </w:r>
            <w:r w:rsidRPr="00790C58" w:rsidR="00C273C8">
              <w:rPr>
                <w:sz w:val="28"/>
                <w:szCs w:val="28"/>
              </w:rPr>
              <w:t xml:space="preserve"> arī 4. pielikuma 5.12. un 5.13.punkt</w:t>
            </w:r>
            <w:r w:rsidRPr="00790C58" w:rsidR="00B75FC0">
              <w:rPr>
                <w:sz w:val="28"/>
                <w:szCs w:val="28"/>
              </w:rPr>
              <w:t>s</w:t>
            </w:r>
            <w:r w:rsidRPr="00790C58" w:rsidR="00C273C8">
              <w:rPr>
                <w:sz w:val="28"/>
                <w:szCs w:val="28"/>
              </w:rPr>
              <w:t xml:space="preserve">, proti, dzēsta </w:t>
            </w:r>
            <w:r w:rsidRPr="00790C58" w:rsidR="00C273C8">
              <w:rPr>
                <w:sz w:val="28"/>
                <w:szCs w:val="28"/>
              </w:rPr>
              <w:t>atsauce uz HELCOM ieteikumiem 11/2 un 9/2. Šobrīd spēkā esošajos noteikumus norādītie ieteikumi vairs nav aktuāli. Noteikumu projekta 4. pielikuma 5.12. </w:t>
            </w:r>
            <w:r w:rsidR="00BB301F">
              <w:rPr>
                <w:sz w:val="28"/>
                <w:szCs w:val="28"/>
              </w:rPr>
              <w:t>apakš</w:t>
            </w:r>
            <w:r w:rsidRPr="00790C58" w:rsidR="00C273C8">
              <w:rPr>
                <w:sz w:val="28"/>
                <w:szCs w:val="28"/>
              </w:rPr>
              <w:t>punktā iepriekš minētie HELCOM ieteikumi 11/2 aizstāti ar Baltijas jūras aizsardzības komisijas 2006. gada 6. martā pieņemto rekomendāciju 23/5 “Noplūžu samazināšana no pilsētu teritorijām, pielietojot atbilstošu lietusūdeņu apsaimniekošanas sistēmu”.</w:t>
            </w:r>
          </w:p>
          <w:p w:rsidR="00015545" w:rsidRPr="00790C58" w:rsidP="00F316B3">
            <w:pPr>
              <w:pStyle w:val="naiskr"/>
              <w:jc w:val="both"/>
              <w:rPr>
                <w:sz w:val="28"/>
                <w:szCs w:val="28"/>
              </w:rPr>
            </w:pPr>
            <w:r w:rsidRPr="00790C58">
              <w:rPr>
                <w:sz w:val="28"/>
                <w:szCs w:val="28"/>
              </w:rPr>
              <w:t>Precizēts arī 4. pielikuma 7.4. un 8.8. </w:t>
            </w:r>
            <w:r w:rsidR="00BB301F">
              <w:rPr>
                <w:sz w:val="28"/>
                <w:szCs w:val="28"/>
              </w:rPr>
              <w:t>apakš</w:t>
            </w:r>
            <w:r w:rsidRPr="00790C58">
              <w:rPr>
                <w:sz w:val="28"/>
                <w:szCs w:val="28"/>
              </w:rPr>
              <w:t xml:space="preserve">punkts, proti, precizēti ķīmisko </w:t>
            </w:r>
            <w:r w:rsidRPr="00790C58" w:rsidR="002C0B57">
              <w:rPr>
                <w:sz w:val="28"/>
                <w:szCs w:val="28"/>
              </w:rPr>
              <w:t>elementu</w:t>
            </w:r>
            <w:r w:rsidRPr="00790C58" w:rsidR="006F2DFB">
              <w:rPr>
                <w:sz w:val="28"/>
                <w:szCs w:val="28"/>
              </w:rPr>
              <w:t xml:space="preserve"> nosaukumi, kā arī </w:t>
            </w:r>
            <w:r w:rsidRPr="00790C58">
              <w:rPr>
                <w:sz w:val="28"/>
                <w:szCs w:val="28"/>
              </w:rPr>
              <w:t>11.5.</w:t>
            </w:r>
            <w:r w:rsidRPr="00790C58" w:rsidR="009B35A9">
              <w:rPr>
                <w:sz w:val="28"/>
                <w:szCs w:val="28"/>
              </w:rPr>
              <w:t xml:space="preserve"> un 12.5.</w:t>
            </w:r>
            <w:r w:rsidRPr="00790C58">
              <w:rPr>
                <w:sz w:val="28"/>
                <w:szCs w:val="28"/>
              </w:rPr>
              <w:t> </w:t>
            </w:r>
            <w:r w:rsidR="00BB301F">
              <w:rPr>
                <w:sz w:val="28"/>
                <w:szCs w:val="28"/>
              </w:rPr>
              <w:t>apakš</w:t>
            </w:r>
            <w:r w:rsidRPr="00790C58">
              <w:rPr>
                <w:sz w:val="28"/>
                <w:szCs w:val="28"/>
              </w:rPr>
              <w:t xml:space="preserve">punktā precizēta </w:t>
            </w:r>
            <w:r w:rsidRPr="00790C58" w:rsidR="009B35A9">
              <w:rPr>
                <w:sz w:val="28"/>
                <w:szCs w:val="28"/>
              </w:rPr>
              <w:t>informācija attiecībā uz fosfātu fosforu.</w:t>
            </w:r>
          </w:p>
          <w:p w:rsidR="00CF7B06" w:rsidRPr="00790C58" w:rsidP="00CF7B06">
            <w:pPr>
              <w:pStyle w:val="naiskr"/>
              <w:jc w:val="both"/>
              <w:rPr>
                <w:sz w:val="28"/>
                <w:szCs w:val="28"/>
              </w:rPr>
            </w:pPr>
            <w:r w:rsidRPr="00790C58">
              <w:rPr>
                <w:sz w:val="28"/>
                <w:szCs w:val="28"/>
              </w:rPr>
              <w:t xml:space="preserve">Šobrīd spēkā esošo </w:t>
            </w:r>
            <w:r w:rsidRPr="00790C58" w:rsidR="0070010D">
              <w:rPr>
                <w:sz w:val="28"/>
                <w:szCs w:val="28"/>
              </w:rPr>
              <w:t xml:space="preserve">Ministru kabineta 2008. gada 22. decembra noteikumu Nr. 1075 „Noteikumi par vides aizsardzības valsts statistikas pārskatu veidlapām” </w:t>
            </w:r>
            <w:r w:rsidRPr="00790C58">
              <w:rPr>
                <w:sz w:val="28"/>
                <w:szCs w:val="28"/>
              </w:rPr>
              <w:t>5. pielikuma „Veidlapas „Nr. 3</w:t>
            </w:r>
            <w:r w:rsidRPr="00790C58" w:rsidR="0070010D">
              <w:rPr>
                <w:sz w:val="28"/>
                <w:szCs w:val="28"/>
              </w:rPr>
              <w:t xml:space="preserve"> - </w:t>
            </w:r>
            <w:r w:rsidRPr="00790C58">
              <w:rPr>
                <w:sz w:val="28"/>
                <w:szCs w:val="28"/>
              </w:rPr>
              <w:t>Atkritumi</w:t>
            </w:r>
            <w:r w:rsidRPr="00790C58" w:rsidR="0070010D">
              <w:rPr>
                <w:sz w:val="28"/>
                <w:szCs w:val="28"/>
              </w:rPr>
              <w:t xml:space="preserve">. Pārskats par </w:t>
            </w:r>
            <w:r w:rsidRPr="00790C58">
              <w:rPr>
                <w:sz w:val="28"/>
                <w:szCs w:val="28"/>
              </w:rPr>
              <w:t>atkritumiem</w:t>
            </w:r>
            <w:r w:rsidRPr="00790C58" w:rsidR="0070010D">
              <w:rPr>
                <w:sz w:val="28"/>
                <w:szCs w:val="28"/>
              </w:rPr>
              <w:t>” aizpildīšanas kārtība”</w:t>
            </w:r>
            <w:r w:rsidRPr="00790C58" w:rsidR="00775DEE">
              <w:rPr>
                <w:sz w:val="28"/>
                <w:szCs w:val="28"/>
              </w:rPr>
              <w:t xml:space="preserve"> 7.3.</w:t>
            </w:r>
            <w:r w:rsidRPr="00790C58" w:rsidR="00775DEE">
              <w:rPr>
                <w:sz w:val="28"/>
                <w:szCs w:val="28"/>
                <w:vertAlign w:val="superscript"/>
              </w:rPr>
              <w:t>1</w:t>
            </w:r>
            <w:r w:rsidRPr="00790C58" w:rsidR="00775DEE">
              <w:rPr>
                <w:sz w:val="28"/>
                <w:szCs w:val="28"/>
              </w:rPr>
              <w:t> </w:t>
            </w:r>
            <w:r w:rsidRPr="00790C58" w:rsidR="00094777">
              <w:rPr>
                <w:sz w:val="28"/>
                <w:szCs w:val="28"/>
              </w:rPr>
              <w:t>apakš</w:t>
            </w:r>
            <w:r w:rsidRPr="00790C58" w:rsidR="004176DB">
              <w:rPr>
                <w:sz w:val="28"/>
                <w:szCs w:val="28"/>
              </w:rPr>
              <w:t xml:space="preserve">punkts </w:t>
            </w:r>
            <w:r w:rsidRPr="00790C58" w:rsidR="00094777">
              <w:rPr>
                <w:sz w:val="28"/>
                <w:szCs w:val="28"/>
              </w:rPr>
              <w:t xml:space="preserve">(noteikumu projekta 5.pielikuma 7.4. apakšpunkts) </w:t>
            </w:r>
            <w:r w:rsidRPr="00790C58" w:rsidR="004176DB">
              <w:rPr>
                <w:sz w:val="28"/>
                <w:szCs w:val="28"/>
              </w:rPr>
              <w:t xml:space="preserve">izteikts jaunā redakcijā, </w:t>
            </w:r>
            <w:r w:rsidRPr="00790C58" w:rsidR="00094777">
              <w:rPr>
                <w:sz w:val="28"/>
                <w:szCs w:val="28"/>
              </w:rPr>
              <w:t>precizējot, tieši kuriem atkritumu apsaimniekotājiem ir jāaizpilda konkrētā sadaļa.</w:t>
            </w:r>
          </w:p>
          <w:p w:rsidR="00CF7B06" w:rsidRPr="00790C58" w:rsidP="00CF7B06">
            <w:pPr>
              <w:pStyle w:val="naiskr"/>
              <w:jc w:val="both"/>
              <w:rPr>
                <w:sz w:val="28"/>
                <w:szCs w:val="28"/>
              </w:rPr>
            </w:pPr>
            <w:r w:rsidRPr="00790C58">
              <w:rPr>
                <w:sz w:val="28"/>
                <w:szCs w:val="28"/>
              </w:rPr>
              <w:t>Šobrīd spēkā esošajos</w:t>
            </w:r>
            <w:r w:rsidRPr="00790C58" w:rsidR="00283E45">
              <w:rPr>
                <w:sz w:val="28"/>
                <w:szCs w:val="28"/>
              </w:rPr>
              <w:t xml:space="preserve"> Ministru kabineta 2008. gada 22. </w:t>
            </w:r>
            <w:r w:rsidRPr="00790C58">
              <w:rPr>
                <w:sz w:val="28"/>
                <w:szCs w:val="28"/>
              </w:rPr>
              <w:t>decembra noteikumos Nr. 1075 „Noteikumi par vides aizsardzības valsts statistikas pārskatu veidlapām” precizētas atsauces, kas norāda uz konkrētiem normatīvajiem aktiem. Noteikumu projektā ietvertas atsauces, kas norāda uz normatīvajiem aktiem noteiktajās jomās.</w:t>
            </w:r>
            <w:r w:rsidRPr="00790C58" w:rsidR="0094645F">
              <w:rPr>
                <w:sz w:val="28"/>
                <w:szCs w:val="28"/>
              </w:rPr>
              <w:t xml:space="preserve"> Šāds risinājums izvēlēts, </w:t>
            </w:r>
            <w:r w:rsidRPr="00790C58" w:rsidR="00283E45">
              <w:rPr>
                <w:sz w:val="28"/>
                <w:szCs w:val="28"/>
              </w:rPr>
              <w:t>jo atsauces lietošana nesaista, ja gadījumā Ministru kabineta noteikumiem, uz kuriem būtu jāatsaucas, zaudētu spēku vai tie tiktu grozīti.</w:t>
            </w:r>
          </w:p>
          <w:p w:rsidR="00790C58" w:rsidRPr="004E3A0E" w:rsidP="00CF7B06">
            <w:pPr>
              <w:pStyle w:val="naiskr"/>
              <w:jc w:val="both"/>
              <w:rPr>
                <w:sz w:val="28"/>
                <w:szCs w:val="28"/>
              </w:rPr>
            </w:pPr>
            <w:r w:rsidRPr="004E3A0E">
              <w:rPr>
                <w:sz w:val="28"/>
                <w:szCs w:val="28"/>
              </w:rPr>
              <w:t>Noteikumu projekta 1., 3. un 4. pielikums paredz oficiālās statistikas veidlapās norādīt fiziskās personas kodu. Ievērojot, ka personas, tai skaitā arī fiziskas, datus sniedz oficiālās statistikas vajadzībām un uz to pamata tiek izstrādātas, piemēram, prognozes nozares attīstībai, sniegti ziņojumi Eiropas Komisijai un sabiedrībai, ir nepieciešams nodrošināt datu kvalitāti un viennozīmīgi identificēt personas, kas nes atbildību par ziņotajiem datiem. Fizisku personu gadījumā šim nolūkam kalpo personas kods, jo adr</w:t>
            </w:r>
            <w:r w:rsidRPr="004E3A0E" w:rsidR="00357492">
              <w:rPr>
                <w:sz w:val="28"/>
                <w:szCs w:val="28"/>
              </w:rPr>
              <w:t>ese, telefona numurs vai e-pasta adrese</w:t>
            </w:r>
            <w:r w:rsidRPr="004E3A0E">
              <w:rPr>
                <w:sz w:val="28"/>
                <w:szCs w:val="28"/>
              </w:rPr>
              <w:t xml:space="preserve"> var izmainīties, un vienlaikus Latvijā nereti ir sastopamas personas ar vienādiem vārdiem un uzvārdiem.</w:t>
            </w:r>
          </w:p>
        </w:tc>
      </w:tr>
      <w:tr w:rsidTr="00BF14E4">
        <w:tblPrEx>
          <w:tblW w:w="9356" w:type="dxa"/>
          <w:jc w:val="center"/>
          <w:tblCellMar>
            <w:left w:w="57" w:type="dxa"/>
            <w:right w:w="57" w:type="dxa"/>
          </w:tblCellMar>
          <w:tblLook w:val="04A0"/>
        </w:tblPrEx>
        <w:trPr>
          <w:trHeight w:val="465"/>
          <w:jc w:val="center"/>
        </w:trPr>
        <w:tc>
          <w:tcPr>
            <w:tcW w:w="250" w:type="pct"/>
            <w:hideMark/>
          </w:tcPr>
          <w:p w:rsidR="00A80C95" w:rsidRPr="009F69D6" w:rsidP="00BF14E4">
            <w:pPr>
              <w:jc w:val="center"/>
              <w:rPr>
                <w:color w:val="000000"/>
                <w:sz w:val="28"/>
                <w:szCs w:val="28"/>
              </w:rPr>
            </w:pPr>
            <w:r w:rsidRPr="009F69D6">
              <w:rPr>
                <w:color w:val="000000"/>
                <w:sz w:val="28"/>
                <w:szCs w:val="28"/>
              </w:rPr>
              <w:t>3.</w:t>
            </w:r>
          </w:p>
        </w:tc>
        <w:tc>
          <w:tcPr>
            <w:tcW w:w="1114" w:type="pct"/>
            <w:hideMark/>
          </w:tcPr>
          <w:p w:rsidR="00A80C95" w:rsidRPr="009F69D6" w:rsidP="00BF14E4">
            <w:pPr>
              <w:rPr>
                <w:color w:val="000000"/>
                <w:sz w:val="28"/>
                <w:szCs w:val="28"/>
              </w:rPr>
            </w:pPr>
            <w:r w:rsidRPr="009F69D6">
              <w:rPr>
                <w:color w:val="000000"/>
                <w:sz w:val="28"/>
                <w:szCs w:val="28"/>
              </w:rPr>
              <w:t>Projekta izstrādē iesaistītās institūcijas</w:t>
            </w:r>
          </w:p>
        </w:tc>
        <w:tc>
          <w:tcPr>
            <w:tcW w:w="3636" w:type="pct"/>
            <w:hideMark/>
          </w:tcPr>
          <w:p w:rsidR="00A80C95" w:rsidRPr="009F69D6" w:rsidP="003A5204">
            <w:pPr>
              <w:pStyle w:val="naiskr"/>
              <w:spacing w:before="0" w:after="60"/>
              <w:jc w:val="both"/>
              <w:rPr>
                <w:iCs/>
                <w:color w:val="000000"/>
                <w:sz w:val="28"/>
                <w:szCs w:val="28"/>
              </w:rPr>
            </w:pPr>
            <w:r w:rsidRPr="009F69D6">
              <w:rPr>
                <w:iCs/>
                <w:color w:val="000000"/>
                <w:sz w:val="28"/>
                <w:szCs w:val="28"/>
              </w:rPr>
              <w:t xml:space="preserve">Vides aizsardzības un reģionālās attīstības ministrija, </w:t>
            </w:r>
            <w:r w:rsidRPr="009F69D6" w:rsidR="003A333E">
              <w:rPr>
                <w:iCs/>
                <w:color w:val="000000"/>
                <w:sz w:val="28"/>
                <w:szCs w:val="28"/>
              </w:rPr>
              <w:t>valsts sabiedrība ar ierobežotu atbildību</w:t>
            </w:r>
            <w:r w:rsidRPr="009F69D6" w:rsidR="002F482D">
              <w:rPr>
                <w:iCs/>
                <w:color w:val="000000"/>
                <w:sz w:val="28"/>
                <w:szCs w:val="28"/>
              </w:rPr>
              <w:t xml:space="preserve"> “</w:t>
            </w:r>
            <w:r w:rsidRPr="009F69D6">
              <w:rPr>
                <w:iCs/>
                <w:color w:val="000000"/>
                <w:sz w:val="28"/>
                <w:szCs w:val="28"/>
              </w:rPr>
              <w:t>Latvijas Vides, ģeoloģ</w:t>
            </w:r>
            <w:r w:rsidRPr="009F69D6" w:rsidR="001B0531">
              <w:rPr>
                <w:iCs/>
                <w:color w:val="000000"/>
                <w:sz w:val="28"/>
                <w:szCs w:val="28"/>
              </w:rPr>
              <w:t xml:space="preserve">ijas un meteoroloģijas </w:t>
            </w:r>
            <w:r w:rsidRPr="009F69D6" w:rsidR="003A333E">
              <w:rPr>
                <w:iCs/>
                <w:color w:val="000000"/>
                <w:sz w:val="28"/>
                <w:szCs w:val="28"/>
              </w:rPr>
              <w:t>centrs”, Valsts vides dienests.</w:t>
            </w:r>
          </w:p>
        </w:tc>
      </w:tr>
      <w:tr w:rsidTr="00BF14E4">
        <w:tblPrEx>
          <w:tblW w:w="9356" w:type="dxa"/>
          <w:jc w:val="center"/>
          <w:tblCellMar>
            <w:left w:w="57" w:type="dxa"/>
            <w:right w:w="57" w:type="dxa"/>
          </w:tblCellMar>
          <w:tblLook w:val="04A0"/>
        </w:tblPrEx>
        <w:trPr>
          <w:jc w:val="center"/>
        </w:trPr>
        <w:tc>
          <w:tcPr>
            <w:tcW w:w="250" w:type="pct"/>
            <w:hideMark/>
          </w:tcPr>
          <w:p w:rsidR="00A80C95" w:rsidRPr="009F69D6" w:rsidP="00BF14E4">
            <w:pPr>
              <w:jc w:val="center"/>
              <w:rPr>
                <w:color w:val="000000"/>
                <w:sz w:val="28"/>
                <w:szCs w:val="28"/>
              </w:rPr>
            </w:pPr>
            <w:r w:rsidRPr="009F69D6">
              <w:rPr>
                <w:color w:val="000000"/>
                <w:sz w:val="28"/>
                <w:szCs w:val="28"/>
              </w:rPr>
              <w:t>4.</w:t>
            </w:r>
          </w:p>
        </w:tc>
        <w:tc>
          <w:tcPr>
            <w:tcW w:w="1114" w:type="pct"/>
            <w:hideMark/>
          </w:tcPr>
          <w:p w:rsidR="00A80C95" w:rsidRPr="009F69D6" w:rsidP="00BF14E4">
            <w:pPr>
              <w:rPr>
                <w:color w:val="000000"/>
                <w:sz w:val="28"/>
                <w:szCs w:val="28"/>
              </w:rPr>
            </w:pPr>
            <w:r w:rsidRPr="009F69D6">
              <w:rPr>
                <w:color w:val="000000"/>
                <w:sz w:val="28"/>
                <w:szCs w:val="28"/>
              </w:rPr>
              <w:t>Cita informācija</w:t>
            </w:r>
          </w:p>
        </w:tc>
        <w:tc>
          <w:tcPr>
            <w:tcW w:w="3636" w:type="pct"/>
            <w:hideMark/>
          </w:tcPr>
          <w:p w:rsidR="00A80C95" w:rsidRPr="009F69D6" w:rsidP="00BF14E4">
            <w:pPr>
              <w:spacing w:after="60"/>
              <w:ind w:firstLine="232"/>
              <w:rPr>
                <w:color w:val="000000"/>
                <w:sz w:val="28"/>
                <w:szCs w:val="28"/>
              </w:rPr>
            </w:pPr>
            <w:r w:rsidRPr="009F69D6">
              <w:rPr>
                <w:color w:val="000000"/>
                <w:sz w:val="28"/>
                <w:szCs w:val="28"/>
              </w:rPr>
              <w:t>Nav</w:t>
            </w:r>
          </w:p>
        </w:tc>
      </w:tr>
    </w:tbl>
    <w:p w:rsidR="00A80C95" w:rsidRPr="009F69D6" w:rsidP="00A80C95">
      <w:pPr>
        <w:ind w:firstLine="301"/>
        <w:rPr>
          <w:color w:val="000000"/>
          <w:sz w:val="28"/>
          <w:szCs w:val="28"/>
        </w:rPr>
      </w:pPr>
      <w:r w:rsidRPr="009F69D6">
        <w:rPr>
          <w:color w:val="000000"/>
          <w:sz w:val="28"/>
          <w:szCs w:val="28"/>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68"/>
        <w:gridCol w:w="2509"/>
        <w:gridCol w:w="6379"/>
      </w:tblGrid>
      <w:tr w:rsidTr="00BF14E4">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rHeight w:val="555"/>
          <w:jc w:val="center"/>
        </w:trPr>
        <w:tc>
          <w:tcPr>
            <w:tcW w:w="0" w:type="auto"/>
            <w:gridSpan w:val="3"/>
            <w:vAlign w:val="center"/>
            <w:hideMark/>
          </w:tcPr>
          <w:p w:rsidR="00A80C95" w:rsidRPr="009F69D6" w:rsidP="00BF14E4">
            <w:pPr>
              <w:jc w:val="center"/>
              <w:rPr>
                <w:b/>
                <w:bCs/>
                <w:color w:val="000000"/>
                <w:sz w:val="28"/>
                <w:szCs w:val="28"/>
              </w:rPr>
            </w:pPr>
            <w:r w:rsidRPr="009F69D6">
              <w:rPr>
                <w:b/>
                <w:bCs/>
                <w:color w:val="000000"/>
                <w:sz w:val="28"/>
                <w:szCs w:val="28"/>
              </w:rPr>
              <w:t>II. Tiesību akta projekta ietekme uz sabiedrību, tautsaimniecības attīstību un administratīvo slogu</w:t>
            </w:r>
          </w:p>
        </w:tc>
      </w:tr>
      <w:tr w:rsidTr="00BF14E4">
        <w:tblPrEx>
          <w:tblW w:w="9356" w:type="dxa"/>
          <w:jc w:val="center"/>
          <w:tblCellMar>
            <w:left w:w="57" w:type="dxa"/>
            <w:right w:w="57" w:type="dxa"/>
          </w:tblCellMar>
          <w:tblLook w:val="04A0"/>
        </w:tblPrEx>
        <w:trPr>
          <w:trHeight w:val="465"/>
          <w:jc w:val="center"/>
        </w:trPr>
        <w:tc>
          <w:tcPr>
            <w:tcW w:w="250" w:type="pct"/>
            <w:hideMark/>
          </w:tcPr>
          <w:p w:rsidR="00A80C95" w:rsidRPr="009F69D6" w:rsidP="00BF14E4">
            <w:pPr>
              <w:rPr>
                <w:color w:val="000000"/>
                <w:sz w:val="28"/>
                <w:szCs w:val="28"/>
              </w:rPr>
            </w:pPr>
            <w:r w:rsidRPr="009F69D6">
              <w:rPr>
                <w:color w:val="000000"/>
                <w:sz w:val="28"/>
                <w:szCs w:val="28"/>
              </w:rPr>
              <w:t>1.</w:t>
            </w:r>
          </w:p>
        </w:tc>
        <w:tc>
          <w:tcPr>
            <w:tcW w:w="1341" w:type="pct"/>
            <w:hideMark/>
          </w:tcPr>
          <w:p w:rsidR="00A80C95" w:rsidRPr="009F69D6" w:rsidP="00BF14E4">
            <w:pPr>
              <w:rPr>
                <w:color w:val="000000"/>
                <w:sz w:val="28"/>
                <w:szCs w:val="28"/>
              </w:rPr>
            </w:pPr>
            <w:r w:rsidRPr="009F69D6">
              <w:rPr>
                <w:color w:val="000000"/>
                <w:sz w:val="28"/>
                <w:szCs w:val="28"/>
              </w:rPr>
              <w:t>Sabiedrības mērķgrupas, kuras tiesiskais regulējums ietekmē vai varētu ietekmēt</w:t>
            </w:r>
          </w:p>
        </w:tc>
        <w:tc>
          <w:tcPr>
            <w:tcW w:w="3409" w:type="pct"/>
            <w:hideMark/>
          </w:tcPr>
          <w:p w:rsidR="00F47804" w:rsidRPr="009F69D6" w:rsidP="00D616F5">
            <w:pPr>
              <w:pStyle w:val="naiskr"/>
              <w:spacing w:before="0" w:after="40"/>
              <w:jc w:val="both"/>
              <w:rPr>
                <w:color w:val="000000"/>
                <w:sz w:val="28"/>
                <w:szCs w:val="28"/>
              </w:rPr>
            </w:pPr>
            <w:r w:rsidRPr="009F69D6">
              <w:rPr>
                <w:color w:val="000000"/>
                <w:sz w:val="28"/>
                <w:szCs w:val="28"/>
              </w:rPr>
              <w:t xml:space="preserve">Noteikumu projekts ietekmēs </w:t>
            </w:r>
            <w:r w:rsidRPr="009F69D6">
              <w:rPr>
                <w:color w:val="000000"/>
                <w:sz w:val="28"/>
                <w:szCs w:val="28"/>
              </w:rPr>
              <w:t>operatorus, kuriem nepieciešamas saņemt A vai B kategorijas atļaujas</w:t>
            </w:r>
            <w:r w:rsidRPr="009F69D6" w:rsidR="00322B5B">
              <w:rPr>
                <w:color w:val="000000"/>
                <w:sz w:val="28"/>
                <w:szCs w:val="28"/>
              </w:rPr>
              <w:t xml:space="preserve"> piesārņojošu darbību veikšanai;</w:t>
            </w:r>
            <w:r w:rsidRPr="009F69D6">
              <w:rPr>
                <w:color w:val="000000"/>
                <w:sz w:val="28"/>
                <w:szCs w:val="28"/>
              </w:rPr>
              <w:t xml:space="preserve"> </w:t>
            </w:r>
            <w:r w:rsidRPr="009F69D6" w:rsidR="0066365A">
              <w:rPr>
                <w:sz w:val="28"/>
                <w:szCs w:val="28"/>
              </w:rPr>
              <w:t xml:space="preserve">fiziskas un juridiskas personas un </w:t>
            </w:r>
            <w:r w:rsidRPr="009F69D6" w:rsidR="00322B5B">
              <w:rPr>
                <w:sz w:val="28"/>
                <w:szCs w:val="28"/>
              </w:rPr>
              <w:t>operatorus;</w:t>
            </w:r>
            <w:r w:rsidRPr="009F69D6" w:rsidR="00A80C95">
              <w:rPr>
                <w:sz w:val="28"/>
                <w:szCs w:val="28"/>
              </w:rPr>
              <w:t xml:space="preserve"> </w:t>
            </w:r>
            <w:r w:rsidRPr="009F69D6">
              <w:rPr>
                <w:sz w:val="28"/>
                <w:szCs w:val="28"/>
              </w:rPr>
              <w:t>kuriem nepieciešamas saņemt ūdens resursu lietošanas atļaujas</w:t>
            </w:r>
            <w:r w:rsidRPr="009F69D6">
              <w:rPr>
                <w:color w:val="000000"/>
                <w:sz w:val="28"/>
                <w:szCs w:val="28"/>
              </w:rPr>
              <w:t xml:space="preserve">, </w:t>
            </w:r>
            <w:r w:rsidRPr="009F69D6">
              <w:rPr>
                <w:sz w:val="28"/>
                <w:szCs w:val="28"/>
              </w:rPr>
              <w:t>operatorus, kuriem nepieciešams saņemt atkritumu apsaimniekošanas atļaujas.</w:t>
            </w:r>
          </w:p>
        </w:tc>
      </w:tr>
      <w:tr w:rsidTr="00BF14E4">
        <w:tblPrEx>
          <w:tblW w:w="9356" w:type="dxa"/>
          <w:jc w:val="center"/>
          <w:tblCellMar>
            <w:left w:w="57" w:type="dxa"/>
            <w:right w:w="57" w:type="dxa"/>
          </w:tblCellMar>
          <w:tblLook w:val="04A0"/>
        </w:tblPrEx>
        <w:trPr>
          <w:trHeight w:val="510"/>
          <w:jc w:val="center"/>
        </w:trPr>
        <w:tc>
          <w:tcPr>
            <w:tcW w:w="250" w:type="pct"/>
            <w:hideMark/>
          </w:tcPr>
          <w:p w:rsidR="00A80C95" w:rsidRPr="009F69D6" w:rsidP="00BF14E4">
            <w:pPr>
              <w:rPr>
                <w:color w:val="000000"/>
                <w:sz w:val="28"/>
                <w:szCs w:val="28"/>
              </w:rPr>
            </w:pPr>
            <w:r w:rsidRPr="009F69D6">
              <w:rPr>
                <w:color w:val="000000"/>
                <w:sz w:val="28"/>
                <w:szCs w:val="28"/>
              </w:rPr>
              <w:t>2.</w:t>
            </w:r>
          </w:p>
        </w:tc>
        <w:tc>
          <w:tcPr>
            <w:tcW w:w="1341" w:type="pct"/>
            <w:hideMark/>
          </w:tcPr>
          <w:p w:rsidR="00A80C95" w:rsidRPr="009F69D6" w:rsidP="00BF14E4">
            <w:pPr>
              <w:rPr>
                <w:color w:val="000000"/>
                <w:sz w:val="28"/>
                <w:szCs w:val="28"/>
              </w:rPr>
            </w:pPr>
            <w:r w:rsidRPr="009F69D6">
              <w:rPr>
                <w:color w:val="000000"/>
                <w:sz w:val="28"/>
                <w:szCs w:val="28"/>
              </w:rPr>
              <w:t>Tiesiskā regulējuma ietekme uz tautsaimniecību un administratīvo slogu</w:t>
            </w:r>
          </w:p>
        </w:tc>
        <w:tc>
          <w:tcPr>
            <w:tcW w:w="3409" w:type="pct"/>
            <w:hideMark/>
          </w:tcPr>
          <w:p w:rsidR="00A80C95" w:rsidRPr="006872EB" w:rsidP="00095B6B">
            <w:pPr>
              <w:spacing w:after="40"/>
              <w:jc w:val="both"/>
              <w:rPr>
                <w:color w:val="000000"/>
                <w:sz w:val="28"/>
                <w:szCs w:val="28"/>
              </w:rPr>
            </w:pPr>
            <w:r w:rsidRPr="006872EB">
              <w:rPr>
                <w:color w:val="000000"/>
                <w:sz w:val="28"/>
                <w:szCs w:val="28"/>
              </w:rPr>
              <w:t>Sabiedrības grupām un institūcijām noteikumu projekta tiesiskais regulējums nemaina tiesības un pienākumus, kā arī veicamās darbības</w:t>
            </w:r>
            <w:r w:rsidRPr="006872EB" w:rsidR="006065C3">
              <w:rPr>
                <w:color w:val="000000"/>
                <w:sz w:val="28"/>
                <w:szCs w:val="28"/>
              </w:rPr>
              <w:t>, jo noteikumu projektā salīdzinājumā ar šobrī</w:t>
            </w:r>
            <w:r w:rsidRPr="006872EB" w:rsidR="00034AB6">
              <w:rPr>
                <w:color w:val="000000"/>
                <w:sz w:val="28"/>
                <w:szCs w:val="28"/>
              </w:rPr>
              <w:t>d spēkā esošajiem Ministru kabineta 2008. gada 22. </w:t>
            </w:r>
            <w:r w:rsidRPr="006872EB" w:rsidR="00095B6B">
              <w:rPr>
                <w:color w:val="000000"/>
                <w:sz w:val="28"/>
                <w:szCs w:val="28"/>
              </w:rPr>
              <w:t>decembra noteikumiem Nr. </w:t>
            </w:r>
            <w:r w:rsidRPr="006872EB" w:rsidR="00034AB6">
              <w:rPr>
                <w:color w:val="000000"/>
                <w:sz w:val="28"/>
                <w:szCs w:val="28"/>
              </w:rPr>
              <w:t>1075 “Noteikumi par vides aizsardzības valsts statistikas pārskatu veidlapām”</w:t>
            </w:r>
            <w:r w:rsidRPr="006872EB" w:rsidR="000334B0">
              <w:rPr>
                <w:color w:val="000000"/>
                <w:sz w:val="28"/>
                <w:szCs w:val="28"/>
              </w:rPr>
              <w:t xml:space="preserve"> veikti nelieli redakcionāli precizējumi, kas n</w:t>
            </w:r>
            <w:r w:rsidRPr="006872EB" w:rsidR="00095B6B">
              <w:rPr>
                <w:color w:val="000000"/>
                <w:sz w:val="28"/>
                <w:szCs w:val="28"/>
              </w:rPr>
              <w:t>enosaka</w:t>
            </w:r>
            <w:r w:rsidRPr="006872EB" w:rsidR="000334B0">
              <w:rPr>
                <w:color w:val="000000"/>
                <w:sz w:val="28"/>
                <w:szCs w:val="28"/>
              </w:rPr>
              <w:t xml:space="preserve"> papildus </w:t>
            </w:r>
            <w:r w:rsidRPr="006872EB" w:rsidR="00095B6B">
              <w:rPr>
                <w:color w:val="000000"/>
                <w:sz w:val="28"/>
                <w:szCs w:val="28"/>
              </w:rPr>
              <w:t>prasības</w:t>
            </w:r>
            <w:r w:rsidRPr="006872EB">
              <w:rPr>
                <w:color w:val="000000"/>
                <w:sz w:val="28"/>
                <w:szCs w:val="28"/>
              </w:rPr>
              <w:t xml:space="preserve">; </w:t>
            </w:r>
            <w:r w:rsidRPr="006872EB" w:rsidR="00DA51D6">
              <w:rPr>
                <w:color w:val="000000"/>
                <w:sz w:val="28"/>
                <w:szCs w:val="28"/>
              </w:rPr>
              <w:t xml:space="preserve">noteikumu projekts </w:t>
            </w:r>
            <w:r w:rsidRPr="006872EB">
              <w:rPr>
                <w:color w:val="000000"/>
                <w:sz w:val="28"/>
                <w:szCs w:val="28"/>
              </w:rPr>
              <w:t>nenosaka papildu administratīvo slogu institūcijām un anotācijas II sadaļas 1.</w:t>
            </w:r>
            <w:r w:rsidRPr="006872EB" w:rsidR="0093361B">
              <w:rPr>
                <w:color w:val="000000"/>
                <w:sz w:val="28"/>
                <w:szCs w:val="28"/>
              </w:rPr>
              <w:t> </w:t>
            </w:r>
            <w:r w:rsidRPr="006872EB">
              <w:rPr>
                <w:color w:val="000000"/>
                <w:sz w:val="28"/>
                <w:szCs w:val="28"/>
              </w:rPr>
              <w:t>punktā minētajiem sabiedrības mērķgrupas pārstāvjiem.</w:t>
            </w:r>
          </w:p>
        </w:tc>
      </w:tr>
      <w:tr w:rsidTr="00BF14E4">
        <w:tblPrEx>
          <w:tblW w:w="9356" w:type="dxa"/>
          <w:jc w:val="center"/>
          <w:tblCellMar>
            <w:left w:w="57" w:type="dxa"/>
            <w:right w:w="57" w:type="dxa"/>
          </w:tblCellMar>
          <w:tblLook w:val="04A0"/>
        </w:tblPrEx>
        <w:trPr>
          <w:trHeight w:val="510"/>
          <w:jc w:val="center"/>
        </w:trPr>
        <w:tc>
          <w:tcPr>
            <w:tcW w:w="250" w:type="pct"/>
            <w:hideMark/>
          </w:tcPr>
          <w:p w:rsidR="00A80C95" w:rsidRPr="009F69D6" w:rsidP="00BF14E4">
            <w:pPr>
              <w:rPr>
                <w:color w:val="000000"/>
                <w:sz w:val="28"/>
                <w:szCs w:val="28"/>
              </w:rPr>
            </w:pPr>
            <w:r w:rsidRPr="009F69D6">
              <w:rPr>
                <w:color w:val="000000"/>
                <w:sz w:val="28"/>
                <w:szCs w:val="28"/>
              </w:rPr>
              <w:t xml:space="preserve"> </w:t>
            </w:r>
          </w:p>
        </w:tc>
        <w:tc>
          <w:tcPr>
            <w:tcW w:w="1341" w:type="pct"/>
            <w:hideMark/>
          </w:tcPr>
          <w:p w:rsidR="00A80C95" w:rsidRPr="009F69D6" w:rsidP="00BF14E4">
            <w:pPr>
              <w:rPr>
                <w:color w:val="000000"/>
                <w:sz w:val="28"/>
                <w:szCs w:val="28"/>
              </w:rPr>
            </w:pPr>
            <w:r w:rsidRPr="009F69D6">
              <w:rPr>
                <w:color w:val="000000"/>
                <w:sz w:val="28"/>
                <w:szCs w:val="28"/>
              </w:rPr>
              <w:t>Administratīvo izmaksu monetārs novērtējums</w:t>
            </w:r>
          </w:p>
        </w:tc>
        <w:tc>
          <w:tcPr>
            <w:tcW w:w="3409" w:type="pct"/>
            <w:hideMark/>
          </w:tcPr>
          <w:p w:rsidR="00A80C95" w:rsidRPr="009F69D6" w:rsidP="00BF14E4">
            <w:pPr>
              <w:spacing w:after="60"/>
              <w:ind w:firstLine="113"/>
              <w:rPr>
                <w:color w:val="000000"/>
                <w:sz w:val="28"/>
                <w:szCs w:val="28"/>
              </w:rPr>
            </w:pPr>
            <w:r w:rsidRPr="009F69D6">
              <w:rPr>
                <w:color w:val="000000"/>
                <w:sz w:val="28"/>
                <w:szCs w:val="28"/>
              </w:rPr>
              <w:t>Projekts šo jomu neskar.</w:t>
            </w:r>
          </w:p>
        </w:tc>
      </w:tr>
      <w:tr w:rsidTr="00BF14E4">
        <w:tblPrEx>
          <w:tblW w:w="9356" w:type="dxa"/>
          <w:jc w:val="center"/>
          <w:tblCellMar>
            <w:left w:w="57" w:type="dxa"/>
            <w:right w:w="57" w:type="dxa"/>
          </w:tblCellMar>
          <w:tblLook w:val="04A0"/>
        </w:tblPrEx>
        <w:trPr>
          <w:trHeight w:val="345"/>
          <w:jc w:val="center"/>
        </w:trPr>
        <w:tc>
          <w:tcPr>
            <w:tcW w:w="250" w:type="pct"/>
            <w:hideMark/>
          </w:tcPr>
          <w:p w:rsidR="00A80C95" w:rsidRPr="009F69D6" w:rsidP="00BF14E4">
            <w:pPr>
              <w:rPr>
                <w:color w:val="000000"/>
                <w:sz w:val="28"/>
                <w:szCs w:val="28"/>
              </w:rPr>
            </w:pPr>
            <w:r w:rsidRPr="009F69D6">
              <w:rPr>
                <w:color w:val="000000"/>
                <w:sz w:val="28"/>
                <w:szCs w:val="28"/>
              </w:rPr>
              <w:t>4.</w:t>
            </w:r>
          </w:p>
        </w:tc>
        <w:tc>
          <w:tcPr>
            <w:tcW w:w="1341" w:type="pct"/>
            <w:hideMark/>
          </w:tcPr>
          <w:p w:rsidR="00A80C95" w:rsidRPr="009F69D6" w:rsidP="00BF14E4">
            <w:pPr>
              <w:rPr>
                <w:color w:val="000000"/>
                <w:sz w:val="28"/>
                <w:szCs w:val="28"/>
              </w:rPr>
            </w:pPr>
            <w:r w:rsidRPr="009F69D6">
              <w:rPr>
                <w:color w:val="000000"/>
                <w:sz w:val="28"/>
                <w:szCs w:val="28"/>
              </w:rPr>
              <w:t>Cita informācija</w:t>
            </w:r>
          </w:p>
        </w:tc>
        <w:tc>
          <w:tcPr>
            <w:tcW w:w="3409" w:type="pct"/>
            <w:hideMark/>
          </w:tcPr>
          <w:p w:rsidR="00A80C95" w:rsidRPr="009F69D6" w:rsidP="00BF14E4">
            <w:pPr>
              <w:pStyle w:val="BodyTextIndent2"/>
              <w:spacing w:after="60" w:line="240" w:lineRule="auto"/>
              <w:ind w:left="0" w:firstLine="113"/>
              <w:jc w:val="both"/>
              <w:rPr>
                <w:color w:val="000000"/>
                <w:sz w:val="28"/>
                <w:szCs w:val="28"/>
                <w:lang w:val="lv-LV"/>
              </w:rPr>
            </w:pPr>
            <w:r w:rsidRPr="009F69D6">
              <w:rPr>
                <w:color w:val="000000"/>
                <w:sz w:val="28"/>
                <w:szCs w:val="28"/>
                <w:lang w:val="lv-LV"/>
              </w:rPr>
              <w:t>Nav</w:t>
            </w:r>
          </w:p>
        </w:tc>
      </w:tr>
    </w:tbl>
    <w:p w:rsidR="00615FB9" w:rsidRPr="009F69D6" w:rsidP="00B40033">
      <w:pPr>
        <w:shd w:val="clear" w:color="auto" w:fill="FFFFFF"/>
        <w:rPr>
          <w:color w:val="414142"/>
          <w:sz w:val="28"/>
          <w:szCs w:val="28"/>
        </w:rPr>
      </w:pPr>
    </w:p>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8"/>
        <w:gridCol w:w="2807"/>
        <w:gridCol w:w="6081"/>
      </w:tblGrid>
      <w:tr w:rsidTr="00BF14E4">
        <w:tblPrEx>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80C95" w:rsidRPr="009F69D6" w:rsidP="00BF14E4">
            <w:pPr>
              <w:pStyle w:val="tvhtml"/>
              <w:spacing w:before="0" w:beforeAutospacing="0" w:after="0" w:afterAutospacing="0"/>
              <w:jc w:val="center"/>
              <w:rPr>
                <w:b/>
                <w:bCs/>
                <w:color w:val="000000"/>
                <w:sz w:val="28"/>
                <w:szCs w:val="28"/>
              </w:rPr>
            </w:pPr>
            <w:r w:rsidRPr="009F69D6">
              <w:rPr>
                <w:b/>
                <w:bCs/>
                <w:color w:val="000000"/>
                <w:sz w:val="28"/>
                <w:szCs w:val="28"/>
              </w:rPr>
              <w:t>VI. Sabiedrības līdzdalība un komunikācijas aktivitātes</w:t>
            </w:r>
          </w:p>
        </w:tc>
      </w:tr>
      <w:tr w:rsidTr="00BF14E4">
        <w:tblPrEx>
          <w:tblW w:w="9356" w:type="dxa"/>
          <w:jc w:val="center"/>
          <w:tblCellMar>
            <w:top w:w="30" w:type="dxa"/>
            <w:left w:w="30" w:type="dxa"/>
            <w:bottom w:w="30" w:type="dxa"/>
            <w:right w:w="30" w:type="dxa"/>
          </w:tblCellMar>
          <w:tblLook w:val="04A0"/>
        </w:tblPrEx>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A80C95" w:rsidRPr="009F69D6" w:rsidP="00BF14E4">
            <w:pPr>
              <w:rPr>
                <w:color w:val="000000"/>
                <w:sz w:val="28"/>
                <w:szCs w:val="28"/>
              </w:rPr>
            </w:pPr>
            <w:r w:rsidRPr="009F69D6">
              <w:rPr>
                <w:color w:val="000000"/>
                <w:sz w:val="28"/>
                <w:szCs w:val="28"/>
              </w:rPr>
              <w:t>1.</w:t>
            </w:r>
          </w:p>
        </w:tc>
        <w:tc>
          <w:tcPr>
            <w:tcW w:w="1500" w:type="pct"/>
            <w:tcBorders>
              <w:top w:val="outset" w:sz="6" w:space="0" w:color="414142"/>
              <w:left w:val="outset" w:sz="6" w:space="0" w:color="414142"/>
              <w:bottom w:val="outset" w:sz="6" w:space="0" w:color="414142"/>
              <w:right w:val="outset" w:sz="6" w:space="0" w:color="414142"/>
            </w:tcBorders>
            <w:hideMark/>
          </w:tcPr>
          <w:p w:rsidR="00A80C95" w:rsidRPr="009F69D6" w:rsidP="00BF14E4">
            <w:pPr>
              <w:rPr>
                <w:color w:val="000000"/>
                <w:sz w:val="28"/>
                <w:szCs w:val="28"/>
              </w:rPr>
            </w:pPr>
            <w:r w:rsidRPr="009F69D6">
              <w:rPr>
                <w:color w:val="000000"/>
                <w:sz w:val="28"/>
                <w:szCs w:val="28"/>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80C95" w:rsidRPr="009F69D6" w:rsidP="009977C6">
            <w:pPr>
              <w:pStyle w:val="naiskr"/>
              <w:spacing w:before="0" w:after="40"/>
              <w:jc w:val="both"/>
              <w:rPr>
                <w:color w:val="000000"/>
                <w:sz w:val="28"/>
                <w:szCs w:val="28"/>
              </w:rPr>
            </w:pPr>
            <w:r w:rsidRPr="009F69D6">
              <w:rPr>
                <w:sz w:val="28"/>
                <w:szCs w:val="28"/>
              </w:rPr>
              <w:t xml:space="preserve">Saskaņā ar Ministru kabineta 2009. gada 25. augusta noteikumu Nr. 970 </w:t>
            </w:r>
            <w:r w:rsidRPr="009F69D6" w:rsidR="002F482D">
              <w:rPr>
                <w:sz w:val="28"/>
                <w:szCs w:val="28"/>
              </w:rPr>
              <w:t>“</w:t>
            </w:r>
            <w:r w:rsidRPr="009F69D6">
              <w:rPr>
                <w:sz w:val="28"/>
                <w:szCs w:val="28"/>
              </w:rPr>
              <w:t>Sabiedrības līdzdalības kārtība attīstības plānošanas procesā” 7.4.</w:t>
            </w:r>
            <w:r w:rsidRPr="00BF14E4">
              <w:rPr>
                <w:sz w:val="28"/>
                <w:szCs w:val="28"/>
                <w:vertAlign w:val="superscript"/>
              </w:rPr>
              <w:t>1</w:t>
            </w:r>
            <w:r w:rsidRPr="009F69D6">
              <w:rPr>
                <w:sz w:val="28"/>
                <w:szCs w:val="28"/>
              </w:rPr>
              <w:t> apakšpunktu sabiedrības pārstāvji ir aicināti līdzdarboties, rakstiski sniedzot viedokli par noteikumu projektu tā izstrādes stadijā. Sabiedrības pārstāvji ir informēti par iespēju līdzdarboties, publicējot paziņojumu par līdzdalības procesu Vides aizsardzības un reģionālās attīstības ministrijas tīmekļa vietnē.</w:t>
            </w:r>
          </w:p>
        </w:tc>
      </w:tr>
      <w:tr w:rsidTr="00BF14E4">
        <w:tblPrEx>
          <w:tblW w:w="9356" w:type="dxa"/>
          <w:jc w:val="center"/>
          <w:tblCellMar>
            <w:top w:w="30" w:type="dxa"/>
            <w:left w:w="30" w:type="dxa"/>
            <w:bottom w:w="30" w:type="dxa"/>
            <w:right w:w="30" w:type="dxa"/>
          </w:tblCellMar>
          <w:tblLook w:val="04A0"/>
        </w:tblPrEx>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A80C95" w:rsidRPr="009F69D6" w:rsidP="00BF14E4">
            <w:pPr>
              <w:rPr>
                <w:color w:val="000000"/>
                <w:sz w:val="28"/>
                <w:szCs w:val="28"/>
              </w:rPr>
            </w:pPr>
            <w:r w:rsidRPr="009F69D6">
              <w:rPr>
                <w:color w:val="000000"/>
                <w:sz w:val="28"/>
                <w:szCs w:val="28"/>
              </w:rPr>
              <w:t>2.</w:t>
            </w:r>
          </w:p>
        </w:tc>
        <w:tc>
          <w:tcPr>
            <w:tcW w:w="1500" w:type="pct"/>
            <w:tcBorders>
              <w:top w:val="outset" w:sz="6" w:space="0" w:color="414142"/>
              <w:left w:val="outset" w:sz="6" w:space="0" w:color="414142"/>
              <w:bottom w:val="outset" w:sz="6" w:space="0" w:color="414142"/>
              <w:right w:val="outset" w:sz="6" w:space="0" w:color="414142"/>
            </w:tcBorders>
            <w:hideMark/>
          </w:tcPr>
          <w:p w:rsidR="00A80C95" w:rsidRPr="009F69D6" w:rsidP="00BF14E4">
            <w:pPr>
              <w:rPr>
                <w:color w:val="000000"/>
                <w:sz w:val="28"/>
                <w:szCs w:val="28"/>
              </w:rPr>
            </w:pPr>
            <w:r w:rsidRPr="009F69D6">
              <w:rPr>
                <w:color w:val="000000"/>
                <w:sz w:val="28"/>
                <w:szCs w:val="28"/>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A80C95" w:rsidRPr="009F69D6" w:rsidP="00BF14E4">
            <w:pPr>
              <w:rPr>
                <w:color w:val="000000"/>
                <w:sz w:val="28"/>
                <w:szCs w:val="28"/>
              </w:rPr>
            </w:pPr>
            <w:r w:rsidRPr="009F69D6">
              <w:rPr>
                <w:color w:val="000000"/>
                <w:sz w:val="28"/>
                <w:szCs w:val="28"/>
              </w:rPr>
              <w:t xml:space="preserve">Noteikumu projekts publicēts Vides aizsardzības un reģionālās attīstības </w:t>
            </w:r>
            <w:r w:rsidR="00BF14E4">
              <w:rPr>
                <w:color w:val="000000"/>
                <w:sz w:val="28"/>
                <w:szCs w:val="28"/>
              </w:rPr>
              <w:t xml:space="preserve">ministrijas </w:t>
            </w:r>
            <w:r w:rsidRPr="009F69D6">
              <w:rPr>
                <w:color w:val="000000"/>
                <w:sz w:val="28"/>
                <w:szCs w:val="28"/>
              </w:rPr>
              <w:t>tīmekļa vietnē</w:t>
            </w:r>
            <w:r w:rsidRPr="009F69D6" w:rsidR="006A00D2">
              <w:rPr>
                <w:color w:val="000000"/>
                <w:sz w:val="28"/>
                <w:szCs w:val="28"/>
              </w:rPr>
              <w:t xml:space="preserve"> </w:t>
            </w:r>
            <w:r>
              <w:fldChar w:fldCharType="begin"/>
            </w:r>
            <w:r>
              <w:instrText xml:space="preserve"> HYPERLINK "http://www.varam.gov.lv" </w:instrText>
            </w:r>
            <w:r>
              <w:fldChar w:fldCharType="separate"/>
            </w:r>
            <w:r w:rsidRPr="009F69D6" w:rsidR="006A00D2">
              <w:rPr>
                <w:rStyle w:val="Hyperlink"/>
                <w:sz w:val="28"/>
                <w:szCs w:val="28"/>
              </w:rPr>
              <w:t>www.varam.gov.lv</w:t>
            </w:r>
            <w:r>
              <w:fldChar w:fldCharType="end"/>
            </w:r>
            <w:r w:rsidRPr="009F69D6" w:rsidR="006A00D2">
              <w:rPr>
                <w:sz w:val="28"/>
                <w:szCs w:val="28"/>
              </w:rPr>
              <w:t>.</w:t>
            </w:r>
            <w:r w:rsidRPr="009F69D6" w:rsidR="007D0118">
              <w:rPr>
                <w:sz w:val="28"/>
                <w:szCs w:val="28"/>
              </w:rPr>
              <w:t xml:space="preserve"> 2016. gada 6. decembrī</w:t>
            </w:r>
            <w:r w:rsidRPr="009F69D6">
              <w:rPr>
                <w:color w:val="000000"/>
                <w:sz w:val="28"/>
                <w:szCs w:val="28"/>
              </w:rPr>
              <w:t>.</w:t>
            </w:r>
          </w:p>
        </w:tc>
      </w:tr>
      <w:tr w:rsidTr="00BF14E4">
        <w:tblPrEx>
          <w:tblW w:w="9356" w:type="dxa"/>
          <w:jc w:val="center"/>
          <w:tblCellMar>
            <w:top w:w="30" w:type="dxa"/>
            <w:left w:w="30" w:type="dxa"/>
            <w:bottom w:w="30" w:type="dxa"/>
            <w:right w:w="30" w:type="dxa"/>
          </w:tblCellMar>
          <w:tblLook w:val="04A0"/>
        </w:tblPrEx>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A80C95" w:rsidRPr="009F69D6" w:rsidP="00BF14E4">
            <w:pPr>
              <w:rPr>
                <w:color w:val="000000"/>
                <w:sz w:val="28"/>
                <w:szCs w:val="28"/>
              </w:rPr>
            </w:pPr>
            <w:r w:rsidRPr="009F69D6">
              <w:rPr>
                <w:color w:val="000000"/>
                <w:sz w:val="28"/>
                <w:szCs w:val="28"/>
              </w:rPr>
              <w:t>3.</w:t>
            </w:r>
          </w:p>
        </w:tc>
        <w:tc>
          <w:tcPr>
            <w:tcW w:w="1500" w:type="pct"/>
            <w:tcBorders>
              <w:top w:val="outset" w:sz="6" w:space="0" w:color="414142"/>
              <w:left w:val="outset" w:sz="6" w:space="0" w:color="414142"/>
              <w:bottom w:val="outset" w:sz="6" w:space="0" w:color="414142"/>
              <w:right w:val="outset" w:sz="6" w:space="0" w:color="414142"/>
            </w:tcBorders>
            <w:hideMark/>
          </w:tcPr>
          <w:p w:rsidR="00A80C95" w:rsidRPr="009F69D6" w:rsidP="00BF14E4">
            <w:pPr>
              <w:rPr>
                <w:color w:val="000000"/>
                <w:sz w:val="28"/>
                <w:szCs w:val="28"/>
              </w:rPr>
            </w:pPr>
            <w:r w:rsidRPr="009F69D6">
              <w:rPr>
                <w:color w:val="000000"/>
                <w:sz w:val="28"/>
                <w:szCs w:val="28"/>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A80C95" w:rsidRPr="009F69D6" w:rsidP="00EA394A">
            <w:pPr>
              <w:spacing w:before="40" w:after="40"/>
              <w:rPr>
                <w:color w:val="000000"/>
                <w:sz w:val="28"/>
                <w:szCs w:val="28"/>
              </w:rPr>
            </w:pPr>
            <w:r w:rsidRPr="009F69D6">
              <w:rPr>
                <w:color w:val="000000"/>
                <w:sz w:val="28"/>
                <w:szCs w:val="28"/>
              </w:rPr>
              <w:t>Sabiedrības pārstāvju priekšlikumi un viedokļi netika saņemti.</w:t>
            </w:r>
          </w:p>
        </w:tc>
      </w:tr>
      <w:tr w:rsidTr="00BF14E4">
        <w:tblPrEx>
          <w:tblW w:w="9356" w:type="dxa"/>
          <w:jc w:val="center"/>
          <w:tblCellMar>
            <w:top w:w="30" w:type="dxa"/>
            <w:left w:w="30" w:type="dxa"/>
            <w:bottom w:w="30" w:type="dxa"/>
            <w:right w:w="30" w:type="dxa"/>
          </w:tblCellMar>
          <w:tblLook w:val="04A0"/>
        </w:tblPrEx>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A80C95" w:rsidRPr="009F69D6" w:rsidP="00BF14E4">
            <w:pPr>
              <w:rPr>
                <w:color w:val="000000"/>
                <w:sz w:val="28"/>
                <w:szCs w:val="28"/>
              </w:rPr>
            </w:pPr>
            <w:r w:rsidRPr="009F69D6">
              <w:rPr>
                <w:color w:val="000000"/>
                <w:sz w:val="28"/>
                <w:szCs w:val="28"/>
              </w:rPr>
              <w:t>4.</w:t>
            </w:r>
          </w:p>
        </w:tc>
        <w:tc>
          <w:tcPr>
            <w:tcW w:w="1500" w:type="pct"/>
            <w:tcBorders>
              <w:top w:val="outset" w:sz="6" w:space="0" w:color="414142"/>
              <w:left w:val="outset" w:sz="6" w:space="0" w:color="414142"/>
              <w:bottom w:val="outset" w:sz="6" w:space="0" w:color="414142"/>
              <w:right w:val="outset" w:sz="6" w:space="0" w:color="414142"/>
            </w:tcBorders>
            <w:hideMark/>
          </w:tcPr>
          <w:p w:rsidR="00A80C95" w:rsidRPr="009F69D6" w:rsidP="00BF14E4">
            <w:pPr>
              <w:rPr>
                <w:color w:val="000000"/>
                <w:sz w:val="28"/>
                <w:szCs w:val="28"/>
              </w:rPr>
            </w:pPr>
            <w:r w:rsidRPr="009F69D6">
              <w:rPr>
                <w:color w:val="000000"/>
                <w:sz w:val="28"/>
                <w:szCs w:val="28"/>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A80C95" w:rsidRPr="009F69D6" w:rsidP="00BF14E4">
            <w:pPr>
              <w:pStyle w:val="tvhtml"/>
              <w:spacing w:before="0" w:beforeAutospacing="0" w:after="0" w:afterAutospacing="0"/>
              <w:rPr>
                <w:color w:val="000000"/>
                <w:sz w:val="28"/>
                <w:szCs w:val="28"/>
              </w:rPr>
            </w:pPr>
            <w:r w:rsidRPr="009F69D6">
              <w:rPr>
                <w:color w:val="000000"/>
                <w:sz w:val="28"/>
                <w:szCs w:val="28"/>
              </w:rPr>
              <w:t>Nav</w:t>
            </w:r>
          </w:p>
        </w:tc>
      </w:tr>
    </w:tbl>
    <w:p w:rsidR="00A80C95" w:rsidRPr="009F69D6" w:rsidP="00A80C95">
      <w:pPr>
        <w:shd w:val="clear" w:color="auto" w:fill="FFFFFF"/>
        <w:ind w:firstLine="335"/>
        <w:rPr>
          <w:rFonts w:ascii="Arial" w:hAnsi="Arial" w:cs="Arial"/>
          <w:color w:val="414142"/>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2"/>
        <w:gridCol w:w="2811"/>
        <w:gridCol w:w="5792"/>
      </w:tblGrid>
      <w:tr w:rsidTr="00BF14E4">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80C95" w:rsidRPr="009F69D6" w:rsidP="00BF14E4">
            <w:pPr>
              <w:spacing w:before="100" w:beforeAutospacing="1" w:after="100" w:afterAutospacing="1" w:line="327" w:lineRule="atLeast"/>
              <w:jc w:val="center"/>
              <w:rPr>
                <w:b/>
                <w:bCs/>
                <w:sz w:val="28"/>
                <w:szCs w:val="28"/>
              </w:rPr>
            </w:pPr>
            <w:r w:rsidRPr="009F69D6">
              <w:rPr>
                <w:b/>
                <w:bCs/>
                <w:sz w:val="28"/>
                <w:szCs w:val="28"/>
              </w:rPr>
              <w:t>VII. Tiesību akta projekta izpildes nodrošināšana un tās ietekme uz institūcijām</w:t>
            </w:r>
          </w:p>
        </w:tc>
      </w:tr>
      <w:tr w:rsidTr="00BF14E4">
        <w:tblPrEx>
          <w:tblW w:w="5000" w:type="pct"/>
          <w:jc w:val="center"/>
          <w:tblCellMar>
            <w:top w:w="30" w:type="dxa"/>
            <w:left w:w="30" w:type="dxa"/>
            <w:bottom w:w="30" w:type="dxa"/>
            <w:right w:w="30" w:type="dxa"/>
          </w:tblCellMar>
          <w:tblLook w:val="04A0"/>
        </w:tblPrEx>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A80C95" w:rsidRPr="009F69D6" w:rsidP="00BF14E4">
            <w:pPr>
              <w:spacing w:before="40" w:after="40"/>
              <w:rPr>
                <w:sz w:val="28"/>
                <w:szCs w:val="28"/>
              </w:rPr>
            </w:pPr>
            <w:r w:rsidRPr="009F69D6">
              <w:rPr>
                <w:sz w:val="28"/>
                <w:szCs w:val="28"/>
              </w:rPr>
              <w:t>1.</w:t>
            </w:r>
          </w:p>
        </w:tc>
        <w:tc>
          <w:tcPr>
            <w:tcW w:w="1552" w:type="pct"/>
            <w:tcBorders>
              <w:top w:val="outset" w:sz="6" w:space="0" w:color="414142"/>
              <w:left w:val="outset" w:sz="6" w:space="0" w:color="414142"/>
              <w:bottom w:val="outset" w:sz="6" w:space="0" w:color="414142"/>
              <w:right w:val="outset" w:sz="6" w:space="0" w:color="414142"/>
            </w:tcBorders>
            <w:hideMark/>
          </w:tcPr>
          <w:p w:rsidR="00A80C95" w:rsidRPr="009F69D6" w:rsidP="00BF14E4">
            <w:pPr>
              <w:spacing w:before="40" w:after="40"/>
              <w:rPr>
                <w:sz w:val="28"/>
                <w:szCs w:val="28"/>
              </w:rPr>
            </w:pPr>
            <w:r w:rsidRPr="009F69D6">
              <w:rPr>
                <w:sz w:val="28"/>
                <w:szCs w:val="28"/>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rsidR="00A80C95" w:rsidRPr="009F69D6" w:rsidP="00BF14E4">
            <w:pPr>
              <w:pStyle w:val="naisnod"/>
              <w:numPr>
                <w:ilvl w:val="0"/>
                <w:numId w:val="7"/>
              </w:numPr>
              <w:spacing w:before="40" w:after="40"/>
              <w:ind w:left="227" w:hanging="227"/>
              <w:jc w:val="both"/>
              <w:rPr>
                <w:sz w:val="28"/>
                <w:szCs w:val="28"/>
              </w:rPr>
            </w:pPr>
            <w:r w:rsidRPr="009F69D6">
              <w:rPr>
                <w:b w:val="0"/>
                <w:sz w:val="28"/>
                <w:szCs w:val="28"/>
              </w:rPr>
              <w:t>Valsts sabi</w:t>
            </w:r>
            <w:r w:rsidRPr="009F69D6" w:rsidR="002F482D">
              <w:rPr>
                <w:b w:val="0"/>
                <w:sz w:val="28"/>
                <w:szCs w:val="28"/>
              </w:rPr>
              <w:t>edrība ar ierobežotu atbildību “</w:t>
            </w:r>
            <w:r w:rsidRPr="009F69D6">
              <w:rPr>
                <w:b w:val="0"/>
                <w:sz w:val="28"/>
                <w:szCs w:val="28"/>
              </w:rPr>
              <w:t>Latvijas Vides, ģeoloģijas un meteoroloģijas centrs”.</w:t>
            </w:r>
          </w:p>
          <w:p w:rsidR="001A07EA" w:rsidRPr="009F69D6" w:rsidP="00BF14E4">
            <w:pPr>
              <w:pStyle w:val="naisnod"/>
              <w:numPr>
                <w:ilvl w:val="0"/>
                <w:numId w:val="7"/>
              </w:numPr>
              <w:spacing w:before="40" w:after="40"/>
              <w:ind w:left="227" w:hanging="227"/>
              <w:jc w:val="both"/>
              <w:rPr>
                <w:sz w:val="28"/>
                <w:szCs w:val="28"/>
              </w:rPr>
            </w:pPr>
            <w:r w:rsidRPr="009F69D6">
              <w:rPr>
                <w:b w:val="0"/>
                <w:sz w:val="28"/>
                <w:szCs w:val="28"/>
              </w:rPr>
              <w:t>Valsts Vides dienests</w:t>
            </w:r>
          </w:p>
        </w:tc>
      </w:tr>
      <w:tr w:rsidTr="00BF14E4">
        <w:tblPrEx>
          <w:tblW w:w="5000" w:type="pct"/>
          <w:jc w:val="center"/>
          <w:tblCellMar>
            <w:top w:w="30" w:type="dxa"/>
            <w:left w:w="30" w:type="dxa"/>
            <w:bottom w:w="30" w:type="dxa"/>
            <w:right w:w="30" w:type="dxa"/>
          </w:tblCellMar>
          <w:tblLook w:val="04A0"/>
        </w:tblPrEx>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A80C95" w:rsidRPr="009F69D6" w:rsidP="00BF14E4">
            <w:pPr>
              <w:spacing w:before="40" w:after="40"/>
              <w:rPr>
                <w:sz w:val="28"/>
                <w:szCs w:val="28"/>
              </w:rPr>
            </w:pPr>
            <w:r w:rsidRPr="009F69D6">
              <w:rPr>
                <w:sz w:val="28"/>
                <w:szCs w:val="28"/>
              </w:rPr>
              <w:t>2.</w:t>
            </w:r>
          </w:p>
        </w:tc>
        <w:tc>
          <w:tcPr>
            <w:tcW w:w="1552" w:type="pct"/>
            <w:tcBorders>
              <w:top w:val="outset" w:sz="6" w:space="0" w:color="414142"/>
              <w:left w:val="outset" w:sz="6" w:space="0" w:color="414142"/>
              <w:bottom w:val="outset" w:sz="6" w:space="0" w:color="414142"/>
              <w:right w:val="outset" w:sz="6" w:space="0" w:color="414142"/>
            </w:tcBorders>
            <w:hideMark/>
          </w:tcPr>
          <w:p w:rsidR="00A80C95" w:rsidRPr="009F69D6" w:rsidP="00BF14E4">
            <w:pPr>
              <w:spacing w:before="40" w:after="40"/>
              <w:rPr>
                <w:sz w:val="28"/>
                <w:szCs w:val="28"/>
              </w:rPr>
            </w:pPr>
            <w:r w:rsidRPr="009F69D6">
              <w:rPr>
                <w:sz w:val="28"/>
                <w:szCs w:val="28"/>
              </w:rPr>
              <w:t>Projekta izpildes ietekme uz pārvaldes funkcijām un institucionālo struktūru.</w:t>
            </w:r>
          </w:p>
          <w:p w:rsidR="00A80C95" w:rsidRPr="009F69D6" w:rsidP="00BF14E4">
            <w:pPr>
              <w:spacing w:before="40" w:after="40"/>
              <w:rPr>
                <w:sz w:val="28"/>
                <w:szCs w:val="28"/>
              </w:rPr>
            </w:pPr>
            <w:r w:rsidRPr="009F69D6">
              <w:rPr>
                <w:sz w:val="28"/>
                <w:szCs w:val="28"/>
              </w:rPr>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rsidR="00085EA5" w:rsidRPr="009F69D6" w:rsidP="00BF14E4">
            <w:pPr>
              <w:spacing w:before="40" w:after="40"/>
              <w:jc w:val="both"/>
              <w:rPr>
                <w:sz w:val="28"/>
                <w:szCs w:val="28"/>
              </w:rPr>
            </w:pPr>
            <w:r w:rsidRPr="009F69D6">
              <w:rPr>
                <w:sz w:val="28"/>
                <w:szCs w:val="28"/>
              </w:rPr>
              <w:t>Nav paredzama noteikumu projekta ietekme uz valsts pārvaldes funkcijām.</w:t>
            </w:r>
          </w:p>
          <w:p w:rsidR="00A80C95" w:rsidRPr="009F69D6" w:rsidP="00BF14E4">
            <w:pPr>
              <w:spacing w:before="40" w:after="40"/>
              <w:jc w:val="both"/>
              <w:rPr>
                <w:sz w:val="28"/>
                <w:szCs w:val="28"/>
              </w:rPr>
            </w:pPr>
            <w:r w:rsidRPr="009F69D6">
              <w:rPr>
                <w:sz w:val="28"/>
                <w:szCs w:val="28"/>
              </w:rPr>
              <w:t>Saskaņā ar noteikumu projektu netiek plānota jauna institūciju izveide, esošo institūciju likvidācija vai reorganizācijā, kā arī netiek prognozēta ietekme uz institūcijas cilvēkresursiem.</w:t>
            </w:r>
          </w:p>
        </w:tc>
      </w:tr>
      <w:tr w:rsidTr="00BF14E4">
        <w:tblPrEx>
          <w:tblW w:w="5000" w:type="pct"/>
          <w:jc w:val="center"/>
          <w:tblCellMar>
            <w:top w:w="30" w:type="dxa"/>
            <w:left w:w="30" w:type="dxa"/>
            <w:bottom w:w="30" w:type="dxa"/>
            <w:right w:w="30" w:type="dxa"/>
          </w:tblCellMar>
          <w:tblLook w:val="04A0"/>
        </w:tblPrEx>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A80C95" w:rsidRPr="009F69D6" w:rsidP="00BF14E4">
            <w:pPr>
              <w:spacing w:before="40" w:after="40"/>
              <w:rPr>
                <w:sz w:val="28"/>
                <w:szCs w:val="28"/>
              </w:rPr>
            </w:pPr>
            <w:r w:rsidRPr="009F69D6">
              <w:rPr>
                <w:sz w:val="28"/>
                <w:szCs w:val="28"/>
              </w:rPr>
              <w:t>3.</w:t>
            </w:r>
          </w:p>
        </w:tc>
        <w:tc>
          <w:tcPr>
            <w:tcW w:w="1552" w:type="pct"/>
            <w:tcBorders>
              <w:top w:val="outset" w:sz="6" w:space="0" w:color="414142"/>
              <w:left w:val="outset" w:sz="6" w:space="0" w:color="414142"/>
              <w:bottom w:val="outset" w:sz="6" w:space="0" w:color="414142"/>
              <w:right w:val="outset" w:sz="6" w:space="0" w:color="414142"/>
            </w:tcBorders>
            <w:hideMark/>
          </w:tcPr>
          <w:p w:rsidR="00A80C95" w:rsidRPr="009F69D6" w:rsidP="00BF14E4">
            <w:pPr>
              <w:spacing w:before="40" w:after="40"/>
              <w:rPr>
                <w:sz w:val="28"/>
                <w:szCs w:val="28"/>
              </w:rPr>
            </w:pPr>
            <w:r w:rsidRPr="009F69D6">
              <w:rPr>
                <w:sz w:val="28"/>
                <w:szCs w:val="28"/>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A80C95" w:rsidRPr="009F69D6" w:rsidP="00BF14E4">
            <w:pPr>
              <w:spacing w:before="40" w:after="40"/>
              <w:rPr>
                <w:sz w:val="28"/>
                <w:szCs w:val="28"/>
              </w:rPr>
            </w:pPr>
            <w:r w:rsidRPr="009F69D6">
              <w:rPr>
                <w:sz w:val="28"/>
                <w:szCs w:val="28"/>
              </w:rPr>
              <w:t>Nav</w:t>
            </w:r>
          </w:p>
        </w:tc>
      </w:tr>
    </w:tbl>
    <w:p w:rsidR="00CA1D46" w:rsidRPr="009F69D6" w:rsidP="00AE1C5D">
      <w:pPr>
        <w:pStyle w:val="naisf"/>
        <w:spacing w:before="0" w:after="0"/>
        <w:ind w:firstLine="0"/>
        <w:rPr>
          <w:b/>
          <w:color w:val="000000"/>
          <w:sz w:val="28"/>
          <w:szCs w:val="28"/>
        </w:rPr>
      </w:pPr>
    </w:p>
    <w:p w:rsidR="00A80C95" w:rsidRPr="009670CC" w:rsidP="009670CC">
      <w:pPr>
        <w:pStyle w:val="naisf"/>
        <w:spacing w:before="0" w:after="0"/>
        <w:ind w:firstLine="0"/>
        <w:jc w:val="left"/>
        <w:rPr>
          <w:color w:val="000000"/>
          <w:sz w:val="28"/>
          <w:szCs w:val="28"/>
        </w:rPr>
      </w:pPr>
      <w:r w:rsidRPr="009670CC">
        <w:rPr>
          <w:color w:val="000000"/>
          <w:sz w:val="28"/>
          <w:szCs w:val="28"/>
        </w:rPr>
        <w:t xml:space="preserve">Anotācijas </w:t>
      </w:r>
      <w:r w:rsidRPr="009670CC" w:rsidR="00A00824">
        <w:rPr>
          <w:color w:val="000000"/>
          <w:sz w:val="28"/>
          <w:szCs w:val="28"/>
        </w:rPr>
        <w:t xml:space="preserve">III, </w:t>
      </w:r>
      <w:r w:rsidRPr="009670CC" w:rsidR="008B44CF">
        <w:rPr>
          <w:color w:val="000000"/>
          <w:sz w:val="28"/>
          <w:szCs w:val="28"/>
        </w:rPr>
        <w:t>I</w:t>
      </w:r>
      <w:r w:rsidRPr="009670CC" w:rsidR="00932FC6">
        <w:rPr>
          <w:color w:val="000000"/>
          <w:sz w:val="28"/>
          <w:szCs w:val="28"/>
        </w:rPr>
        <w:t>V</w:t>
      </w:r>
      <w:r w:rsidRPr="009670CC" w:rsidR="009F3006">
        <w:rPr>
          <w:color w:val="000000"/>
          <w:sz w:val="28"/>
          <w:szCs w:val="28"/>
        </w:rPr>
        <w:t>, V</w:t>
      </w:r>
      <w:r w:rsidRPr="009670CC">
        <w:rPr>
          <w:color w:val="000000"/>
          <w:sz w:val="28"/>
          <w:szCs w:val="28"/>
        </w:rPr>
        <w:t xml:space="preserve"> sadaļa – projekts šo jomu neskar</w:t>
      </w:r>
      <w:r w:rsidR="00BB301F">
        <w:rPr>
          <w:color w:val="000000"/>
          <w:sz w:val="28"/>
          <w:szCs w:val="28"/>
        </w:rPr>
        <w:t>.</w:t>
      </w:r>
    </w:p>
    <w:p w:rsidR="00A80C95" w:rsidRPr="009F69D6" w:rsidP="00A80C95">
      <w:pPr>
        <w:pStyle w:val="naisf"/>
        <w:tabs>
          <w:tab w:val="left" w:pos="6804"/>
        </w:tabs>
        <w:spacing w:before="0" w:after="0"/>
        <w:ind w:firstLine="0"/>
        <w:rPr>
          <w:sz w:val="28"/>
          <w:szCs w:val="28"/>
          <w:highlight w:val="yellow"/>
        </w:rPr>
      </w:pPr>
    </w:p>
    <w:p w:rsidR="00CA1D46" w:rsidRPr="009F69D6" w:rsidP="00A80C95">
      <w:pPr>
        <w:pStyle w:val="naisf"/>
        <w:tabs>
          <w:tab w:val="left" w:pos="6804"/>
        </w:tabs>
        <w:spacing w:before="0" w:after="0"/>
        <w:ind w:firstLine="0"/>
        <w:rPr>
          <w:sz w:val="28"/>
          <w:szCs w:val="28"/>
          <w:highlight w:val="yellow"/>
        </w:rPr>
      </w:pPr>
    </w:p>
    <w:p w:rsidR="00A80C95" w:rsidRPr="009F69D6" w:rsidP="00CF22DF">
      <w:pPr>
        <w:jc w:val="both"/>
        <w:rPr>
          <w:sz w:val="28"/>
          <w:szCs w:val="28"/>
        </w:rPr>
      </w:pPr>
      <w:r w:rsidRPr="009F69D6">
        <w:rPr>
          <w:sz w:val="28"/>
          <w:szCs w:val="28"/>
        </w:rPr>
        <w:t>Ministru prezidents</w:t>
      </w:r>
      <w:r w:rsidRPr="009F69D6">
        <w:rPr>
          <w:sz w:val="28"/>
          <w:szCs w:val="28"/>
        </w:rPr>
        <w:tab/>
      </w:r>
      <w:r w:rsidRPr="009F69D6">
        <w:rPr>
          <w:sz w:val="28"/>
          <w:szCs w:val="28"/>
        </w:rPr>
        <w:tab/>
      </w:r>
      <w:r w:rsidRPr="009F69D6">
        <w:rPr>
          <w:sz w:val="28"/>
          <w:szCs w:val="28"/>
        </w:rPr>
        <w:tab/>
      </w:r>
      <w:r w:rsidRPr="009F69D6">
        <w:rPr>
          <w:sz w:val="28"/>
          <w:szCs w:val="28"/>
        </w:rPr>
        <w:tab/>
      </w:r>
      <w:r w:rsidRPr="009F69D6">
        <w:rPr>
          <w:sz w:val="28"/>
          <w:szCs w:val="28"/>
        </w:rPr>
        <w:tab/>
      </w:r>
      <w:r w:rsidRPr="009F69D6">
        <w:rPr>
          <w:sz w:val="28"/>
          <w:szCs w:val="28"/>
        </w:rPr>
        <w:tab/>
      </w:r>
      <w:r w:rsidRPr="009F69D6">
        <w:rPr>
          <w:sz w:val="28"/>
          <w:szCs w:val="28"/>
        </w:rPr>
        <w:tab/>
        <w:t>M</w:t>
      </w:r>
      <w:r w:rsidRPr="009F69D6" w:rsidR="006F77A4">
        <w:rPr>
          <w:sz w:val="28"/>
          <w:szCs w:val="28"/>
        </w:rPr>
        <w:t xml:space="preserve">āris </w:t>
      </w:r>
      <w:r w:rsidRPr="009F69D6">
        <w:rPr>
          <w:sz w:val="28"/>
          <w:szCs w:val="28"/>
        </w:rPr>
        <w:t>Kučinskis</w:t>
      </w:r>
    </w:p>
    <w:p w:rsidR="00CF22DF" w:rsidRPr="009F69D6" w:rsidP="00CF22DF">
      <w:pPr>
        <w:jc w:val="both"/>
        <w:rPr>
          <w:sz w:val="28"/>
          <w:szCs w:val="28"/>
        </w:rPr>
      </w:pPr>
    </w:p>
    <w:p w:rsidR="00A80C95" w:rsidRPr="009F69D6" w:rsidP="00A80C95">
      <w:pPr>
        <w:pStyle w:val="naisf"/>
        <w:tabs>
          <w:tab w:val="left" w:pos="6804"/>
        </w:tabs>
        <w:spacing w:before="0" w:after="0"/>
        <w:ind w:firstLine="0"/>
        <w:rPr>
          <w:sz w:val="28"/>
          <w:szCs w:val="28"/>
        </w:rPr>
      </w:pPr>
      <w:r w:rsidRPr="009F69D6">
        <w:rPr>
          <w:sz w:val="28"/>
          <w:szCs w:val="28"/>
        </w:rPr>
        <w:t>V</w:t>
      </w:r>
      <w:r w:rsidRPr="009F69D6">
        <w:rPr>
          <w:sz w:val="28"/>
          <w:szCs w:val="28"/>
        </w:rPr>
        <w:t>ides aizsardzības un reģionālās</w:t>
      </w:r>
    </w:p>
    <w:p w:rsidR="00A80C95" w:rsidRPr="008B44CF" w:rsidP="00BB301F">
      <w:pPr>
        <w:pStyle w:val="naisf"/>
        <w:tabs>
          <w:tab w:val="left" w:pos="6804"/>
        </w:tabs>
        <w:spacing w:before="0" w:after="0"/>
        <w:ind w:left="7088" w:hanging="7088"/>
        <w:rPr>
          <w:sz w:val="28"/>
          <w:szCs w:val="28"/>
        </w:rPr>
      </w:pPr>
      <w:r w:rsidRPr="009F69D6">
        <w:rPr>
          <w:sz w:val="28"/>
          <w:szCs w:val="28"/>
        </w:rPr>
        <w:t>attīstības ministrs</w:t>
      </w:r>
      <w:r>
        <w:rPr>
          <w:sz w:val="28"/>
          <w:szCs w:val="28"/>
        </w:rPr>
        <w:tab/>
      </w:r>
      <w:r w:rsidR="00BF14E4">
        <w:rPr>
          <w:sz w:val="28"/>
          <w:szCs w:val="28"/>
        </w:rPr>
        <w:t xml:space="preserve">    </w:t>
      </w:r>
      <w:bookmarkStart w:id="2" w:name="_GoBack"/>
      <w:bookmarkEnd w:id="2"/>
      <w:r>
        <w:rPr>
          <w:sz w:val="28"/>
          <w:szCs w:val="28"/>
        </w:rPr>
        <w:t xml:space="preserve">Kaspars </w:t>
      </w:r>
      <w:r w:rsidRPr="008B44CF">
        <w:rPr>
          <w:sz w:val="28"/>
          <w:szCs w:val="28"/>
        </w:rPr>
        <w:t>Gerhards</w:t>
      </w:r>
    </w:p>
    <w:p w:rsidR="00A80C95" w:rsidRPr="008B44CF" w:rsidP="00A80C95">
      <w:pPr>
        <w:pStyle w:val="ListParagraph"/>
        <w:spacing w:after="0" w:line="240" w:lineRule="auto"/>
        <w:ind w:left="0"/>
        <w:jc w:val="both"/>
        <w:rPr>
          <w:rFonts w:ascii="Times New Roman" w:hAnsi="Times New Roman"/>
          <w:sz w:val="28"/>
          <w:szCs w:val="28"/>
        </w:rPr>
      </w:pPr>
    </w:p>
    <w:p w:rsidR="00A80C95" w:rsidRPr="008B44CF" w:rsidP="00A80C95">
      <w:pPr>
        <w:pStyle w:val="ListParagraph"/>
        <w:spacing w:after="0" w:line="240" w:lineRule="auto"/>
        <w:ind w:left="0"/>
        <w:jc w:val="both"/>
        <w:rPr>
          <w:rFonts w:ascii="Times New Roman" w:hAnsi="Times New Roman"/>
          <w:sz w:val="28"/>
          <w:szCs w:val="28"/>
        </w:rPr>
      </w:pPr>
    </w:p>
    <w:p w:rsidR="00A80C95" w:rsidRPr="008B44CF" w:rsidP="00A80C95">
      <w:pPr>
        <w:pStyle w:val="NormalWeb"/>
        <w:spacing w:before="0" w:beforeAutospacing="0" w:after="0" w:afterAutospacing="0"/>
        <w:rPr>
          <w:sz w:val="28"/>
          <w:szCs w:val="28"/>
        </w:rPr>
      </w:pPr>
    </w:p>
    <w:p w:rsidR="009F69D6" w:rsidP="009F69D6">
      <w:r>
        <w:t>Balode 67026578</w:t>
      </w:r>
    </w:p>
    <w:p w:rsidR="009F69D6" w:rsidP="009F69D6">
      <w:r>
        <w:fldChar w:fldCharType="begin"/>
      </w:r>
      <w:r>
        <w:instrText xml:space="preserve"> HYPERLINK "mailto:zita.balode@varam.gov.lv" </w:instrText>
      </w:r>
      <w:r>
        <w:fldChar w:fldCharType="separate"/>
      </w:r>
      <w:r>
        <w:rPr>
          <w:rStyle w:val="Hyperlink"/>
        </w:rPr>
        <w:t>zita.balode@varam.gov.lv</w:t>
      </w:r>
      <w:r>
        <w:fldChar w:fldCharType="end"/>
      </w:r>
    </w:p>
    <w:p w:rsidR="00C867E8" w:rsidRPr="00A022D4" w:rsidP="009F69D6">
      <w:pPr>
        <w:pStyle w:val="NormalWeb"/>
        <w:spacing w:before="0" w:beforeAutospacing="0" w:after="0" w:afterAutospacing="0"/>
        <w:rPr>
          <w:sz w:val="20"/>
          <w:szCs w:val="20"/>
        </w:rPr>
      </w:pPr>
    </w:p>
    <w:sectPr w:rsidSect="00643C59">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4E4" w:rsidRPr="009F0F28" w:rsidP="009F0F28">
    <w:pPr>
      <w:jc w:val="both"/>
      <w:rPr>
        <w:sz w:val="20"/>
        <w:szCs w:val="20"/>
      </w:rPr>
    </w:pPr>
    <w:r w:rsidRPr="004639EC">
      <w:rPr>
        <w:sz w:val="20"/>
        <w:szCs w:val="20"/>
      </w:rPr>
      <w:t>VARAMAnot_</w:t>
    </w:r>
    <w:r>
      <w:rPr>
        <w:sz w:val="20"/>
        <w:szCs w:val="20"/>
      </w:rPr>
      <w:t>110417</w:t>
    </w:r>
    <w:r w:rsidRPr="004639EC">
      <w:rPr>
        <w:sz w:val="20"/>
        <w:szCs w:val="20"/>
      </w:rPr>
      <w:t>_</w:t>
    </w:r>
    <w:r>
      <w:rPr>
        <w:sz w:val="20"/>
        <w:szCs w:val="20"/>
      </w:rPr>
      <w:t>StatVeidl</w:t>
    </w:r>
    <w:r w:rsidRPr="004639EC">
      <w:rPr>
        <w:sz w:val="20"/>
        <w:szCs w:val="20"/>
      </w:rPr>
      <w:t xml:space="preserve">; </w:t>
    </w:r>
    <w:r w:rsidRPr="00790510">
      <w:rPr>
        <w:sz w:val="20"/>
        <w:szCs w:val="20"/>
      </w:rPr>
      <w:t>Ministr</w:t>
    </w:r>
    <w:r>
      <w:rPr>
        <w:sz w:val="20"/>
        <w:szCs w:val="20"/>
      </w:rPr>
      <w:t>u kabineta noteikumu projekta “</w:t>
    </w:r>
    <w:r w:rsidRPr="00F44C41">
      <w:rPr>
        <w:sz w:val="20"/>
        <w:szCs w:val="20"/>
      </w:rPr>
      <w:t>Noteikumi par vides aizsardzības oficiālās statistikas veidlapām</w:t>
    </w:r>
    <w:r w:rsidRPr="00790510">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4E4" w:rsidRPr="009273B4" w:rsidP="009273B4">
    <w:pPr>
      <w:jc w:val="both"/>
      <w:rPr>
        <w:sz w:val="20"/>
        <w:szCs w:val="20"/>
      </w:rPr>
    </w:pPr>
    <w:r w:rsidRPr="004639EC">
      <w:rPr>
        <w:sz w:val="20"/>
        <w:szCs w:val="20"/>
      </w:rPr>
      <w:t>VARAMAnot_</w:t>
    </w:r>
    <w:r>
      <w:rPr>
        <w:sz w:val="20"/>
        <w:szCs w:val="20"/>
      </w:rPr>
      <w:t>110417</w:t>
    </w:r>
    <w:r w:rsidRPr="004639EC">
      <w:rPr>
        <w:sz w:val="20"/>
        <w:szCs w:val="20"/>
      </w:rPr>
      <w:t>_</w:t>
    </w:r>
    <w:r>
      <w:rPr>
        <w:sz w:val="20"/>
        <w:szCs w:val="20"/>
      </w:rPr>
      <w:t>StatVeidl</w:t>
    </w:r>
    <w:r w:rsidRPr="004639EC">
      <w:rPr>
        <w:sz w:val="20"/>
        <w:szCs w:val="20"/>
      </w:rPr>
      <w:t xml:space="preserve">; </w:t>
    </w:r>
    <w:r w:rsidRPr="00790510">
      <w:rPr>
        <w:sz w:val="20"/>
        <w:szCs w:val="20"/>
      </w:rPr>
      <w:t>Ministr</w:t>
    </w:r>
    <w:r>
      <w:rPr>
        <w:sz w:val="20"/>
        <w:szCs w:val="20"/>
      </w:rPr>
      <w:t>u kabineta noteikumu projekta “</w:t>
    </w:r>
    <w:r w:rsidRPr="00F44C41">
      <w:rPr>
        <w:sz w:val="20"/>
        <w:szCs w:val="20"/>
      </w:rPr>
      <w:t>Noteikumi par vides aizsardzības oficiālās statistikas veidlapām</w:t>
    </w:r>
    <w:r w:rsidRPr="00790510">
      <w:rPr>
        <w:sz w:val="20"/>
        <w:szCs w:val="20"/>
      </w:rPr>
      <w:t>” sākotnējās ietekmes novērtējuma ziņojums (anotācija)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4E4" w:rsidP="009B1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1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14E4" w:rsidP="009B17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BF14E4" w:rsidRPr="00BE0B3D">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86EC2"/>
    <w:multiLevelType w:val="hybridMultilevel"/>
    <w:tmpl w:val="8C367E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8F2D23"/>
    <w:multiLevelType w:val="hybridMultilevel"/>
    <w:tmpl w:val="AF0AA3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2D153A"/>
    <w:multiLevelType w:val="hybridMultilevel"/>
    <w:tmpl w:val="14463D42"/>
    <w:lvl w:ilvl="0">
      <w:start w:val="1"/>
      <w:numFmt w:val="bullet"/>
      <w:lvlText w:val="­"/>
      <w:lvlJc w:val="left"/>
      <w:pPr>
        <w:tabs>
          <w:tab w:val="num" w:pos="1085"/>
        </w:tabs>
        <w:ind w:left="1085" w:hanging="338"/>
      </w:pPr>
      <w:rPr>
        <w:rFonts w:ascii="Courier New" w:hAnsi="Courier New"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
    <w:nsid w:val="25CE195D"/>
    <w:multiLevelType w:val="hybridMultilevel"/>
    <w:tmpl w:val="82289CA8"/>
    <w:lvl w:ilvl="0">
      <w:start w:val="1"/>
      <w:numFmt w:val="bullet"/>
      <w:lvlText w:val=""/>
      <w:lvlJc w:val="left"/>
      <w:pPr>
        <w:ind w:left="952" w:hanging="360"/>
      </w:pPr>
      <w:rPr>
        <w:rFonts w:ascii="Symbol" w:hAnsi="Symbol" w:hint="default"/>
      </w:rPr>
    </w:lvl>
    <w:lvl w:ilvl="1" w:tentative="1">
      <w:start w:val="1"/>
      <w:numFmt w:val="bullet"/>
      <w:lvlText w:val="o"/>
      <w:lvlJc w:val="left"/>
      <w:pPr>
        <w:ind w:left="1672" w:hanging="360"/>
      </w:pPr>
      <w:rPr>
        <w:rFonts w:ascii="Courier New" w:hAnsi="Courier New" w:cs="Courier New" w:hint="default"/>
      </w:rPr>
    </w:lvl>
    <w:lvl w:ilvl="2" w:tentative="1">
      <w:start w:val="1"/>
      <w:numFmt w:val="bullet"/>
      <w:lvlText w:val=""/>
      <w:lvlJc w:val="left"/>
      <w:pPr>
        <w:ind w:left="2392" w:hanging="360"/>
      </w:pPr>
      <w:rPr>
        <w:rFonts w:ascii="Wingdings" w:hAnsi="Wingdings" w:hint="default"/>
      </w:rPr>
    </w:lvl>
    <w:lvl w:ilvl="3" w:tentative="1">
      <w:start w:val="1"/>
      <w:numFmt w:val="bullet"/>
      <w:lvlText w:val=""/>
      <w:lvlJc w:val="left"/>
      <w:pPr>
        <w:ind w:left="3112" w:hanging="360"/>
      </w:pPr>
      <w:rPr>
        <w:rFonts w:ascii="Symbol" w:hAnsi="Symbol" w:hint="default"/>
      </w:rPr>
    </w:lvl>
    <w:lvl w:ilvl="4" w:tentative="1">
      <w:start w:val="1"/>
      <w:numFmt w:val="bullet"/>
      <w:lvlText w:val="o"/>
      <w:lvlJc w:val="left"/>
      <w:pPr>
        <w:ind w:left="3832" w:hanging="360"/>
      </w:pPr>
      <w:rPr>
        <w:rFonts w:ascii="Courier New" w:hAnsi="Courier New" w:cs="Courier New" w:hint="default"/>
      </w:rPr>
    </w:lvl>
    <w:lvl w:ilvl="5" w:tentative="1">
      <w:start w:val="1"/>
      <w:numFmt w:val="bullet"/>
      <w:lvlText w:val=""/>
      <w:lvlJc w:val="left"/>
      <w:pPr>
        <w:ind w:left="4552" w:hanging="360"/>
      </w:pPr>
      <w:rPr>
        <w:rFonts w:ascii="Wingdings" w:hAnsi="Wingdings" w:hint="default"/>
      </w:rPr>
    </w:lvl>
    <w:lvl w:ilvl="6" w:tentative="1">
      <w:start w:val="1"/>
      <w:numFmt w:val="bullet"/>
      <w:lvlText w:val=""/>
      <w:lvlJc w:val="left"/>
      <w:pPr>
        <w:ind w:left="5272" w:hanging="360"/>
      </w:pPr>
      <w:rPr>
        <w:rFonts w:ascii="Symbol" w:hAnsi="Symbol" w:hint="default"/>
      </w:rPr>
    </w:lvl>
    <w:lvl w:ilvl="7" w:tentative="1">
      <w:start w:val="1"/>
      <w:numFmt w:val="bullet"/>
      <w:lvlText w:val="o"/>
      <w:lvlJc w:val="left"/>
      <w:pPr>
        <w:ind w:left="5992" w:hanging="360"/>
      </w:pPr>
      <w:rPr>
        <w:rFonts w:ascii="Courier New" w:hAnsi="Courier New" w:cs="Courier New" w:hint="default"/>
      </w:rPr>
    </w:lvl>
    <w:lvl w:ilvl="8" w:tentative="1">
      <w:start w:val="1"/>
      <w:numFmt w:val="bullet"/>
      <w:lvlText w:val=""/>
      <w:lvlJc w:val="left"/>
      <w:pPr>
        <w:ind w:left="6712" w:hanging="360"/>
      </w:pPr>
      <w:rPr>
        <w:rFonts w:ascii="Wingdings" w:hAnsi="Wingdings" w:hint="default"/>
      </w:rPr>
    </w:lvl>
  </w:abstractNum>
  <w:abstractNum w:abstractNumId="4">
    <w:nsid w:val="28E931BF"/>
    <w:multiLevelType w:val="hybridMultilevel"/>
    <w:tmpl w:val="67AA6042"/>
    <w:lvl w:ilvl="0">
      <w:start w:val="1"/>
      <w:numFmt w:val="bullet"/>
      <w:lvlText w:val="­"/>
      <w:lvlJc w:val="left"/>
      <w:pPr>
        <w:tabs>
          <w:tab w:val="num" w:pos="1085"/>
        </w:tabs>
        <w:ind w:left="1085" w:hanging="338"/>
      </w:pPr>
      <w:rPr>
        <w:rFonts w:ascii="Courier New" w:hAnsi="Courier New"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nsid w:val="3EB0279C"/>
    <w:multiLevelType w:val="hybridMultilevel"/>
    <w:tmpl w:val="7A5479B6"/>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6">
    <w:nsid w:val="40C919C9"/>
    <w:multiLevelType w:val="hybridMultilevel"/>
    <w:tmpl w:val="DBCE2030"/>
    <w:lvl w:ilvl="0">
      <w:start w:val="1"/>
      <w:numFmt w:val="bullet"/>
      <w:lvlText w:val="­"/>
      <w:lvlJc w:val="left"/>
      <w:pPr>
        <w:tabs>
          <w:tab w:val="num" w:pos="905"/>
        </w:tabs>
        <w:ind w:left="905" w:hanging="338"/>
      </w:pPr>
      <w:rPr>
        <w:rFonts w:ascii="Courier New" w:hAnsi="Courier New" w:hint="default"/>
      </w:rPr>
    </w:lvl>
    <w:lvl w:ilvl="1" w:tentative="1">
      <w:start w:val="1"/>
      <w:numFmt w:val="bullet"/>
      <w:lvlText w:val="o"/>
      <w:lvlJc w:val="left"/>
      <w:pPr>
        <w:tabs>
          <w:tab w:val="num" w:pos="1625"/>
        </w:tabs>
        <w:ind w:left="1625" w:hanging="360"/>
      </w:pPr>
      <w:rPr>
        <w:rFonts w:ascii="Courier New" w:hAnsi="Courier New" w:cs="Courier New" w:hint="default"/>
      </w:rPr>
    </w:lvl>
    <w:lvl w:ilvl="2" w:tentative="1">
      <w:start w:val="1"/>
      <w:numFmt w:val="bullet"/>
      <w:lvlText w:val=""/>
      <w:lvlJc w:val="left"/>
      <w:pPr>
        <w:tabs>
          <w:tab w:val="num" w:pos="2345"/>
        </w:tabs>
        <w:ind w:left="2345" w:hanging="360"/>
      </w:pPr>
      <w:rPr>
        <w:rFonts w:ascii="Wingdings" w:hAnsi="Wingdings" w:hint="default"/>
      </w:rPr>
    </w:lvl>
    <w:lvl w:ilvl="3" w:tentative="1">
      <w:start w:val="1"/>
      <w:numFmt w:val="bullet"/>
      <w:lvlText w:val=""/>
      <w:lvlJc w:val="left"/>
      <w:pPr>
        <w:tabs>
          <w:tab w:val="num" w:pos="3065"/>
        </w:tabs>
        <w:ind w:left="3065" w:hanging="360"/>
      </w:pPr>
      <w:rPr>
        <w:rFonts w:ascii="Symbol" w:hAnsi="Symbol" w:hint="default"/>
      </w:rPr>
    </w:lvl>
    <w:lvl w:ilvl="4" w:tentative="1">
      <w:start w:val="1"/>
      <w:numFmt w:val="bullet"/>
      <w:lvlText w:val="o"/>
      <w:lvlJc w:val="left"/>
      <w:pPr>
        <w:tabs>
          <w:tab w:val="num" w:pos="3785"/>
        </w:tabs>
        <w:ind w:left="3785" w:hanging="360"/>
      </w:pPr>
      <w:rPr>
        <w:rFonts w:ascii="Courier New" w:hAnsi="Courier New" w:cs="Courier New" w:hint="default"/>
      </w:rPr>
    </w:lvl>
    <w:lvl w:ilvl="5" w:tentative="1">
      <w:start w:val="1"/>
      <w:numFmt w:val="bullet"/>
      <w:lvlText w:val=""/>
      <w:lvlJc w:val="left"/>
      <w:pPr>
        <w:tabs>
          <w:tab w:val="num" w:pos="4505"/>
        </w:tabs>
        <w:ind w:left="4505" w:hanging="360"/>
      </w:pPr>
      <w:rPr>
        <w:rFonts w:ascii="Wingdings" w:hAnsi="Wingdings" w:hint="default"/>
      </w:rPr>
    </w:lvl>
    <w:lvl w:ilvl="6" w:tentative="1">
      <w:start w:val="1"/>
      <w:numFmt w:val="bullet"/>
      <w:lvlText w:val=""/>
      <w:lvlJc w:val="left"/>
      <w:pPr>
        <w:tabs>
          <w:tab w:val="num" w:pos="5225"/>
        </w:tabs>
        <w:ind w:left="5225" w:hanging="360"/>
      </w:pPr>
      <w:rPr>
        <w:rFonts w:ascii="Symbol" w:hAnsi="Symbol" w:hint="default"/>
      </w:rPr>
    </w:lvl>
    <w:lvl w:ilvl="7" w:tentative="1">
      <w:start w:val="1"/>
      <w:numFmt w:val="bullet"/>
      <w:lvlText w:val="o"/>
      <w:lvlJc w:val="left"/>
      <w:pPr>
        <w:tabs>
          <w:tab w:val="num" w:pos="5945"/>
        </w:tabs>
        <w:ind w:left="5945" w:hanging="360"/>
      </w:pPr>
      <w:rPr>
        <w:rFonts w:ascii="Courier New" w:hAnsi="Courier New" w:cs="Courier New" w:hint="default"/>
      </w:rPr>
    </w:lvl>
    <w:lvl w:ilvl="8" w:tentative="1">
      <w:start w:val="1"/>
      <w:numFmt w:val="bullet"/>
      <w:lvlText w:val=""/>
      <w:lvlJc w:val="left"/>
      <w:pPr>
        <w:tabs>
          <w:tab w:val="num" w:pos="6665"/>
        </w:tabs>
        <w:ind w:left="6665" w:hanging="360"/>
      </w:pPr>
      <w:rPr>
        <w:rFonts w:ascii="Wingdings" w:hAnsi="Wingdings" w:hint="default"/>
      </w:rPr>
    </w:lvl>
  </w:abstractNum>
  <w:abstractNum w:abstractNumId="7">
    <w:nsid w:val="4BC51C35"/>
    <w:multiLevelType w:val="hybridMultilevel"/>
    <w:tmpl w:val="16A2B430"/>
    <w:lvl w:ilvl="0">
      <w:start w:val="1"/>
      <w:numFmt w:val="bullet"/>
      <w:lvlText w:val="­"/>
      <w:lvlJc w:val="left"/>
      <w:pPr>
        <w:tabs>
          <w:tab w:val="num" w:pos="1085"/>
        </w:tabs>
        <w:ind w:left="1085" w:hanging="338"/>
      </w:pPr>
      <w:rPr>
        <w:rFonts w:ascii="Courier New" w:hAnsi="Courier New"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8">
    <w:nsid w:val="4C5809B7"/>
    <w:multiLevelType w:val="hybridMultilevel"/>
    <w:tmpl w:val="AE464C9A"/>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9">
    <w:nsid w:val="59776D37"/>
    <w:multiLevelType w:val="hybridMultilevel"/>
    <w:tmpl w:val="D3E6DF92"/>
    <w:lvl w:ilvl="0">
      <w:start w:val="1"/>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0">
    <w:nsid w:val="5ED32202"/>
    <w:multiLevelType w:val="hybridMultilevel"/>
    <w:tmpl w:val="B8E48524"/>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11">
    <w:nsid w:val="7AE74E82"/>
    <w:multiLevelType w:val="hybridMultilevel"/>
    <w:tmpl w:val="3CECAE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CD96C22"/>
    <w:multiLevelType w:val="hybridMultilevel"/>
    <w:tmpl w:val="3FCA72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10"/>
  </w:num>
  <w:num w:numId="6">
    <w:abstractNumId w:val="3"/>
  </w:num>
  <w:num w:numId="7">
    <w:abstractNumId w:val="5"/>
  </w:num>
  <w:num w:numId="8">
    <w:abstractNumId w:val="8"/>
  </w:num>
  <w:num w:numId="9">
    <w:abstractNumId w:val="12"/>
  </w:num>
  <w:num w:numId="10">
    <w:abstractNumId w:val="9"/>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D977FE48-6483-49AE-94C7-41C60DDD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81"/>
    <w:rPr>
      <w:sz w:val="24"/>
      <w:szCs w:val="24"/>
    </w:rPr>
  </w:style>
  <w:style w:type="paragraph" w:styleId="Heading3">
    <w:name w:val="heading 3"/>
    <w:basedOn w:val="Normal"/>
    <w:link w:val="Heading3Char"/>
    <w:qFormat/>
    <w:rsid w:val="000938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6F"/>
    <w:pPr>
      <w:tabs>
        <w:tab w:val="center" w:pos="4153"/>
        <w:tab w:val="right" w:pos="8306"/>
      </w:tabs>
    </w:pPr>
  </w:style>
  <w:style w:type="character" w:styleId="PageNumber">
    <w:name w:val="page number"/>
    <w:basedOn w:val="DefaultParagraphFont"/>
    <w:rsid w:val="0047576F"/>
  </w:style>
  <w:style w:type="paragraph" w:customStyle="1" w:styleId="naisf">
    <w:name w:val="naisf"/>
    <w:basedOn w:val="Normal"/>
    <w:uiPriority w:val="99"/>
    <w:rsid w:val="0047576F"/>
    <w:pPr>
      <w:spacing w:before="75" w:after="75"/>
      <w:ind w:firstLine="375"/>
      <w:jc w:val="both"/>
    </w:pPr>
  </w:style>
  <w:style w:type="paragraph" w:customStyle="1" w:styleId="naisnod">
    <w:name w:val="naisnod"/>
    <w:basedOn w:val="Normal"/>
    <w:uiPriority w:val="99"/>
    <w:rsid w:val="0047576F"/>
    <w:pPr>
      <w:spacing w:before="150" w:after="150"/>
      <w:jc w:val="center"/>
    </w:pPr>
    <w:rPr>
      <w:b/>
      <w:bCs/>
    </w:rPr>
  </w:style>
  <w:style w:type="paragraph" w:customStyle="1" w:styleId="naislab">
    <w:name w:val="naislab"/>
    <w:basedOn w:val="Normal"/>
    <w:rsid w:val="0047576F"/>
    <w:pPr>
      <w:spacing w:before="75" w:after="75"/>
      <w:jc w:val="right"/>
    </w:pPr>
  </w:style>
  <w:style w:type="paragraph" w:customStyle="1" w:styleId="naiskr">
    <w:name w:val="naiskr"/>
    <w:basedOn w:val="Normal"/>
    <w:rsid w:val="0047576F"/>
    <w:pPr>
      <w:spacing w:before="75" w:after="75"/>
    </w:pPr>
  </w:style>
  <w:style w:type="paragraph" w:styleId="FootnoteText">
    <w:name w:val="footnote text"/>
    <w:basedOn w:val="Normal"/>
    <w:semiHidden/>
    <w:rsid w:val="0047576F"/>
    <w:rPr>
      <w:sz w:val="20"/>
      <w:szCs w:val="20"/>
    </w:rPr>
  </w:style>
  <w:style w:type="paragraph" w:styleId="Footer">
    <w:name w:val="footer"/>
    <w:basedOn w:val="Normal"/>
    <w:link w:val="FooterChar"/>
    <w:rsid w:val="0047576F"/>
    <w:pPr>
      <w:tabs>
        <w:tab w:val="center" w:pos="4153"/>
        <w:tab w:val="right" w:pos="8306"/>
      </w:tabs>
    </w:pPr>
  </w:style>
  <w:style w:type="character" w:customStyle="1" w:styleId="FooterChar">
    <w:name w:val="Footer Char"/>
    <w:link w:val="Footer"/>
    <w:semiHidden/>
    <w:rsid w:val="0047576F"/>
    <w:rPr>
      <w:sz w:val="24"/>
      <w:szCs w:val="24"/>
      <w:lang w:val="lv-LV" w:eastAsia="lv-LV" w:bidi="ar-SA"/>
    </w:rPr>
  </w:style>
  <w:style w:type="character" w:styleId="Hyperlink">
    <w:name w:val="Hyperlink"/>
    <w:rsid w:val="0047576F"/>
    <w:rPr>
      <w:color w:val="0000FF"/>
      <w:u w:val="single"/>
    </w:rPr>
  </w:style>
  <w:style w:type="paragraph" w:styleId="NormalWeb">
    <w:name w:val="Normal (Web)"/>
    <w:basedOn w:val="Normal"/>
    <w:uiPriority w:val="99"/>
    <w:rsid w:val="0047576F"/>
    <w:pPr>
      <w:spacing w:before="100" w:beforeAutospacing="1" w:after="100" w:afterAutospacing="1"/>
    </w:pPr>
  </w:style>
  <w:style w:type="paragraph" w:styleId="ListParagraph">
    <w:name w:val="List Paragraph"/>
    <w:basedOn w:val="Normal"/>
    <w:qFormat/>
    <w:rsid w:val="0047576F"/>
    <w:pPr>
      <w:spacing w:after="200" w:line="276" w:lineRule="auto"/>
      <w:ind w:left="720"/>
      <w:contextualSpacing/>
    </w:pPr>
    <w:rPr>
      <w:rFonts w:ascii="Calibri" w:eastAsia="Calibri" w:hAnsi="Calibri"/>
      <w:sz w:val="22"/>
      <w:szCs w:val="22"/>
      <w:lang w:eastAsia="en-US"/>
    </w:rPr>
  </w:style>
  <w:style w:type="paragraph" w:customStyle="1" w:styleId="parasts">
    <w:name w:val="parasts"/>
    <w:basedOn w:val="Normal"/>
    <w:link w:val="parastsChar"/>
    <w:rsid w:val="0047576F"/>
    <w:pPr>
      <w:spacing w:before="50" w:after="50"/>
      <w:jc w:val="both"/>
    </w:pPr>
    <w:rPr>
      <w:lang w:eastAsia="en-US"/>
    </w:rPr>
  </w:style>
  <w:style w:type="character" w:customStyle="1" w:styleId="parastsChar">
    <w:name w:val="parasts Char"/>
    <w:link w:val="parasts"/>
    <w:rsid w:val="0047576F"/>
    <w:rPr>
      <w:sz w:val="24"/>
      <w:szCs w:val="24"/>
      <w:lang w:val="lv-LV" w:eastAsia="en-US" w:bidi="ar-SA"/>
    </w:rPr>
  </w:style>
  <w:style w:type="paragraph" w:customStyle="1" w:styleId="tvhtmlmktable">
    <w:name w:val="tv_html mk_table"/>
    <w:basedOn w:val="Normal"/>
    <w:rsid w:val="0047576F"/>
    <w:pPr>
      <w:spacing w:before="100" w:beforeAutospacing="1" w:after="100" w:afterAutospacing="1"/>
    </w:pPr>
    <w:rPr>
      <w:rFonts w:ascii="Verdana" w:hAnsi="Verdana"/>
      <w:sz w:val="18"/>
      <w:szCs w:val="18"/>
    </w:rPr>
  </w:style>
  <w:style w:type="character" w:styleId="Strong">
    <w:name w:val="Strong"/>
    <w:qFormat/>
    <w:rsid w:val="003739F5"/>
    <w:rPr>
      <w:b/>
      <w:bCs/>
    </w:rPr>
  </w:style>
  <w:style w:type="paragraph" w:customStyle="1" w:styleId="naisc">
    <w:name w:val="naisc"/>
    <w:basedOn w:val="Normal"/>
    <w:rsid w:val="003B2E04"/>
    <w:pPr>
      <w:spacing w:before="75" w:after="75"/>
      <w:jc w:val="center"/>
    </w:pPr>
  </w:style>
  <w:style w:type="character" w:customStyle="1" w:styleId="Heading3Char">
    <w:name w:val="Heading 3 Char"/>
    <w:link w:val="Heading3"/>
    <w:locked/>
    <w:rsid w:val="00093832"/>
    <w:rPr>
      <w:b/>
      <w:bCs/>
      <w:sz w:val="27"/>
      <w:szCs w:val="27"/>
      <w:lang w:val="lv-LV" w:eastAsia="lv-LV" w:bidi="ar-SA"/>
    </w:rPr>
  </w:style>
  <w:style w:type="character" w:styleId="CommentReference">
    <w:name w:val="annotation reference"/>
    <w:semiHidden/>
    <w:rsid w:val="00945C56"/>
    <w:rPr>
      <w:sz w:val="16"/>
      <w:szCs w:val="16"/>
    </w:rPr>
  </w:style>
  <w:style w:type="paragraph" w:styleId="CommentText">
    <w:name w:val="annotation text"/>
    <w:basedOn w:val="Normal"/>
    <w:link w:val="CommentTextChar"/>
    <w:semiHidden/>
    <w:rsid w:val="00945C56"/>
    <w:rPr>
      <w:sz w:val="20"/>
      <w:szCs w:val="20"/>
    </w:rPr>
  </w:style>
  <w:style w:type="paragraph" w:styleId="BalloonText">
    <w:name w:val="Balloon Text"/>
    <w:basedOn w:val="Normal"/>
    <w:semiHidden/>
    <w:rsid w:val="00945C56"/>
    <w:rPr>
      <w:rFonts w:ascii="Tahoma" w:hAnsi="Tahoma" w:cs="Tahoma"/>
      <w:sz w:val="16"/>
      <w:szCs w:val="16"/>
    </w:rPr>
  </w:style>
  <w:style w:type="character" w:customStyle="1" w:styleId="CommentTextChar">
    <w:name w:val="Comment Text Char"/>
    <w:link w:val="CommentText"/>
    <w:locked/>
    <w:rsid w:val="00E564A7"/>
    <w:rPr>
      <w:lang w:val="lv-LV" w:eastAsia="lv-LV" w:bidi="ar-SA"/>
    </w:rPr>
  </w:style>
  <w:style w:type="paragraph" w:styleId="CommentSubject">
    <w:name w:val="annotation subject"/>
    <w:basedOn w:val="CommentText"/>
    <w:next w:val="CommentText"/>
    <w:link w:val="CommentSubjectChar"/>
    <w:rsid w:val="005D1561"/>
    <w:rPr>
      <w:b/>
      <w:bCs/>
    </w:rPr>
  </w:style>
  <w:style w:type="character" w:customStyle="1" w:styleId="CommentSubjectChar">
    <w:name w:val="Comment Subject Char"/>
    <w:link w:val="CommentSubject"/>
    <w:rsid w:val="005D1561"/>
    <w:rPr>
      <w:b/>
      <w:bCs/>
      <w:lang w:val="lv-LV" w:eastAsia="lv-LV" w:bidi="ar-SA"/>
    </w:rPr>
  </w:style>
  <w:style w:type="paragraph" w:customStyle="1" w:styleId="tvhtml">
    <w:name w:val="tv_html"/>
    <w:basedOn w:val="Normal"/>
    <w:rsid w:val="00A80C95"/>
    <w:pPr>
      <w:spacing w:before="100" w:beforeAutospacing="1" w:after="100" w:afterAutospacing="1"/>
    </w:pPr>
  </w:style>
  <w:style w:type="paragraph" w:styleId="BodyTextIndent2">
    <w:name w:val="Body Text Indent 2"/>
    <w:basedOn w:val="Normal"/>
    <w:link w:val="BodyTextIndent2Char"/>
    <w:uiPriority w:val="99"/>
    <w:rsid w:val="00A80C95"/>
    <w:pPr>
      <w:spacing w:after="120" w:line="480" w:lineRule="auto"/>
      <w:ind w:left="283"/>
    </w:pPr>
  </w:style>
  <w:style w:type="character" w:customStyle="1" w:styleId="BodyTextIndent2Char">
    <w:name w:val="Body Text Indent 2 Char"/>
    <w:basedOn w:val="DefaultParagraphFont"/>
    <w:link w:val="BodyTextIndent2"/>
    <w:uiPriority w:val="99"/>
    <w:rsid w:val="00A80C95"/>
    <w:rPr>
      <w:sz w:val="24"/>
      <w:szCs w:val="24"/>
    </w:rPr>
  </w:style>
  <w:style w:type="character" w:customStyle="1" w:styleId="FontStyle96">
    <w:name w:val="Font Style96"/>
    <w:basedOn w:val="DefaultParagraphFont"/>
    <w:uiPriority w:val="99"/>
    <w:rsid w:val="007D78FC"/>
    <w:rPr>
      <w:rFonts w:ascii="Times New Roman" w:hAnsi="Times New Roman" w:cs="Times New Roman"/>
      <w:b/>
      <w:bCs/>
      <w:color w:val="000000"/>
      <w:sz w:val="22"/>
      <w:szCs w:val="22"/>
    </w:rPr>
  </w:style>
  <w:style w:type="paragraph" w:customStyle="1" w:styleId="Style36">
    <w:name w:val="Style36"/>
    <w:basedOn w:val="Normal"/>
    <w:uiPriority w:val="99"/>
    <w:rsid w:val="007D78FC"/>
    <w:pPr>
      <w:widowControl w:val="0"/>
      <w:autoSpaceDE w:val="0"/>
      <w:autoSpaceDN w:val="0"/>
      <w:adjustRightInd w:val="0"/>
    </w:pPr>
    <w:rPr>
      <w:rFonts w:ascii="Arial" w:hAnsi="Arial"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BCF3-DC4C-4C78-9F62-D964C1F8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Ministru kabineta noteikumu projekta “Noteikumi par vides aizsardzības oficiālās statistikas veidlapām” sākotnējās ietekmes novērtējuma ziņojums (anotācija)</vt:lpstr>
    </vt:vector>
  </TitlesOfParts>
  <Company>VARAM</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vides aizsardzības oficiālās statistikas veidlapām” sākotnējās ietekmes novērtējuma ziņojums (anotācija)</dc:title>
  <dc:subject>Anotācija</dc:subject>
  <dc:creator>Zita.Balode@varam.gov.lv</dc:creator>
  <dc:description>67026578, zita.balode@varam.gov.lv</dc:description>
  <cp:lastModifiedBy>Marta Ošleja</cp:lastModifiedBy>
  <cp:revision>6</cp:revision>
  <cp:lastPrinted>2016-09-07T07:50:00Z</cp:lastPrinted>
  <dcterms:created xsi:type="dcterms:W3CDTF">2017-03-31T08:42:00Z</dcterms:created>
  <dcterms:modified xsi:type="dcterms:W3CDTF">2017-04-18T08:44:00Z</dcterms:modified>
</cp:coreProperties>
</file>