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FDC" w:rsidRDefault="004F53C9" w:rsidP="00B13FD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02C35">
        <w:rPr>
          <w:rFonts w:ascii="Times New Roman" w:eastAsia="Times New Roman" w:hAnsi="Times New Roman" w:cs="Times New Roman"/>
          <w:sz w:val="24"/>
          <w:szCs w:val="24"/>
          <w:lang w:eastAsia="lv-LV"/>
        </w:rPr>
        <w:t>7</w:t>
      </w:r>
      <w:r w:rsidR="00B13FDC" w:rsidRPr="00C02C35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9B4B91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="00B13FDC" w:rsidRPr="00C02C35">
        <w:rPr>
          <w:rFonts w:ascii="Times New Roman" w:eastAsia="Times New Roman" w:hAnsi="Times New Roman" w:cs="Times New Roman"/>
          <w:sz w:val="24"/>
          <w:szCs w:val="24"/>
          <w:lang w:eastAsia="lv-LV"/>
        </w:rPr>
        <w:t>pielikums</w:t>
      </w:r>
      <w:r w:rsidR="00B13FDC" w:rsidRPr="00B13FD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 </w:t>
      </w:r>
      <w:r w:rsidR="00B13FDC" w:rsidRPr="00B13FD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br/>
      </w:r>
      <w:r w:rsidR="00B13FDC" w:rsidRPr="00826784">
        <w:rPr>
          <w:rFonts w:ascii="Times New Roman" w:eastAsia="Times New Roman" w:hAnsi="Times New Roman" w:cs="Times New Roman"/>
          <w:sz w:val="24"/>
          <w:szCs w:val="24"/>
          <w:lang w:eastAsia="lv-LV"/>
        </w:rPr>
        <w:t>Ministru kabineta </w:t>
      </w:r>
      <w:r w:rsidR="00B13FDC" w:rsidRPr="00826784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201</w:t>
      </w:r>
      <w:r w:rsidR="00617806">
        <w:rPr>
          <w:rFonts w:ascii="Times New Roman" w:eastAsia="Times New Roman" w:hAnsi="Times New Roman" w:cs="Times New Roman"/>
          <w:sz w:val="24"/>
          <w:szCs w:val="24"/>
          <w:lang w:eastAsia="lv-LV"/>
        </w:rPr>
        <w:t>7</w:t>
      </w:r>
      <w:r w:rsidR="00B13FDC" w:rsidRPr="00826784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9B4B91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="00B13FDC" w:rsidRPr="0082678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gada </w:t>
      </w:r>
      <w:r w:rsidR="00617806">
        <w:rPr>
          <w:rFonts w:ascii="Times New Roman" w:eastAsia="Times New Roman" w:hAnsi="Times New Roman" w:cs="Times New Roman"/>
          <w:sz w:val="24"/>
          <w:szCs w:val="24"/>
          <w:lang w:eastAsia="lv-LV"/>
        </w:rPr>
        <w:t>___</w:t>
      </w:r>
      <w:r w:rsidR="00B13FDC" w:rsidRPr="00826784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617806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</w:t>
      </w:r>
      <w:r w:rsidR="00B13FDC" w:rsidRPr="0082678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noteikumiem Nr.</w:t>
      </w:r>
      <w:r w:rsidR="00617806">
        <w:rPr>
          <w:rFonts w:ascii="Times New Roman" w:eastAsia="Times New Roman" w:hAnsi="Times New Roman" w:cs="Times New Roman"/>
          <w:sz w:val="24"/>
          <w:szCs w:val="24"/>
          <w:lang w:eastAsia="lv-LV"/>
        </w:rPr>
        <w:t>____</w:t>
      </w:r>
    </w:p>
    <w:p w:rsidR="00B13FDC" w:rsidRPr="00C02C35" w:rsidRDefault="00B13FDC" w:rsidP="00B13FD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lv-LV"/>
        </w:rPr>
      </w:pPr>
    </w:p>
    <w:p w:rsidR="00B13FDC" w:rsidRPr="00C02C35" w:rsidRDefault="00B13FDC" w:rsidP="00B13F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lv-LV"/>
        </w:rPr>
      </w:pPr>
      <w:bookmarkStart w:id="0" w:name="466467"/>
      <w:bookmarkEnd w:id="0"/>
      <w:r w:rsidRPr="00C02C35">
        <w:rPr>
          <w:rFonts w:ascii="Times New Roman" w:eastAsia="Times New Roman" w:hAnsi="Times New Roman" w:cs="Times New Roman"/>
          <w:b/>
          <w:bCs/>
          <w:sz w:val="24"/>
          <w:szCs w:val="28"/>
          <w:lang w:eastAsia="lv-LV"/>
        </w:rPr>
        <w:t xml:space="preserve">Emisijas robežvērtības </w:t>
      </w:r>
      <w:r w:rsidR="00F94DC6" w:rsidRPr="00C02C35">
        <w:rPr>
          <w:rFonts w:ascii="Times New Roman" w:eastAsia="Times New Roman" w:hAnsi="Times New Roman" w:cs="Times New Roman"/>
          <w:b/>
          <w:bCs/>
          <w:sz w:val="24"/>
          <w:szCs w:val="28"/>
          <w:lang w:eastAsia="lv-LV"/>
        </w:rPr>
        <w:t>jaunajām</w:t>
      </w:r>
      <w:r w:rsidRPr="00C02C35">
        <w:rPr>
          <w:rFonts w:ascii="Times New Roman" w:eastAsia="Times New Roman" w:hAnsi="Times New Roman" w:cs="Times New Roman"/>
          <w:b/>
          <w:bCs/>
          <w:sz w:val="24"/>
          <w:szCs w:val="28"/>
          <w:lang w:eastAsia="lv-LV"/>
        </w:rPr>
        <w:t xml:space="preserve"> vidēj</w:t>
      </w:r>
      <w:r w:rsidR="00E839D3">
        <w:rPr>
          <w:rFonts w:ascii="Times New Roman" w:eastAsia="Times New Roman" w:hAnsi="Times New Roman" w:cs="Times New Roman"/>
          <w:b/>
          <w:bCs/>
          <w:sz w:val="24"/>
          <w:szCs w:val="28"/>
          <w:lang w:eastAsia="lv-LV"/>
        </w:rPr>
        <w:t>as jaudas</w:t>
      </w:r>
      <w:r w:rsidRPr="00C02C35">
        <w:rPr>
          <w:rFonts w:ascii="Times New Roman" w:eastAsia="Times New Roman" w:hAnsi="Times New Roman" w:cs="Times New Roman"/>
          <w:b/>
          <w:bCs/>
          <w:sz w:val="24"/>
          <w:szCs w:val="28"/>
          <w:lang w:eastAsia="lv-LV"/>
        </w:rPr>
        <w:t xml:space="preserve"> sadedzināšanas iekārtām</w:t>
      </w:r>
      <w:r w:rsidR="0076389D" w:rsidRPr="00C02C35">
        <w:rPr>
          <w:rFonts w:ascii="Times New Roman" w:eastAsia="Times New Roman" w:hAnsi="Times New Roman" w:cs="Times New Roman"/>
          <w:b/>
          <w:bCs/>
          <w:sz w:val="24"/>
          <w:szCs w:val="28"/>
          <w:lang w:eastAsia="lv-LV"/>
        </w:rPr>
        <w:t>, izņemot dzinējus un gāzturbīnas, kas jāievēro sākot no 2018.</w:t>
      </w:r>
      <w:r w:rsidR="009B4B91">
        <w:t> </w:t>
      </w:r>
      <w:r w:rsidR="0076389D" w:rsidRPr="00C02C35">
        <w:rPr>
          <w:rFonts w:ascii="Times New Roman" w:eastAsia="Times New Roman" w:hAnsi="Times New Roman" w:cs="Times New Roman"/>
          <w:b/>
          <w:bCs/>
          <w:sz w:val="24"/>
          <w:szCs w:val="28"/>
          <w:lang w:eastAsia="lv-LV"/>
        </w:rPr>
        <w:t>gada 20.</w:t>
      </w:r>
      <w:r w:rsidR="009B4B91">
        <w:rPr>
          <w:rFonts w:ascii="Times New Roman" w:eastAsia="Times New Roman" w:hAnsi="Times New Roman" w:cs="Times New Roman"/>
          <w:b/>
          <w:bCs/>
          <w:sz w:val="24"/>
          <w:szCs w:val="28"/>
          <w:lang w:eastAsia="lv-LV"/>
        </w:rPr>
        <w:t> </w:t>
      </w:r>
      <w:r w:rsidR="0076389D" w:rsidRPr="00C02C35">
        <w:rPr>
          <w:rFonts w:ascii="Times New Roman" w:eastAsia="Times New Roman" w:hAnsi="Times New Roman" w:cs="Times New Roman"/>
          <w:b/>
          <w:bCs/>
          <w:sz w:val="24"/>
          <w:szCs w:val="28"/>
          <w:lang w:eastAsia="lv-LV"/>
        </w:rPr>
        <w:t>decembra</w:t>
      </w:r>
    </w:p>
    <w:p w:rsidR="00B13FDC" w:rsidRPr="00826784" w:rsidRDefault="00B13FDC" w:rsidP="00B13FDC">
      <w:pPr>
        <w:shd w:val="clear" w:color="auto" w:fill="FFFFFF"/>
        <w:spacing w:before="100" w:beforeAutospacing="1" w:after="100" w:afterAutospacing="1" w:line="293" w:lineRule="atLeast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BF4DA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I.</w:t>
      </w:r>
      <w:r w:rsidR="009B4B91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 </w:t>
      </w:r>
      <w:r w:rsidRPr="0082678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Emisijas robežvērtības </w:t>
      </w:r>
      <w:r w:rsidR="0076389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jaunām</w:t>
      </w:r>
      <w:r w:rsidR="00455F11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Pr="0082678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sadedzināšanas iekārtām</w:t>
      </w:r>
      <w:r w:rsidR="00917AE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, izņemot dzinējus un gāzturbīnas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4"/>
        <w:gridCol w:w="1611"/>
        <w:gridCol w:w="1674"/>
        <w:gridCol w:w="1573"/>
        <w:gridCol w:w="1286"/>
        <w:gridCol w:w="1286"/>
        <w:gridCol w:w="1291"/>
      </w:tblGrid>
      <w:tr w:rsidR="00F00CF6" w:rsidRPr="00D16D20" w:rsidTr="0094616D">
        <w:trPr>
          <w:trHeight w:val="315"/>
        </w:trPr>
        <w:tc>
          <w:tcPr>
            <w:tcW w:w="232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0CF6" w:rsidRPr="00D16D20" w:rsidRDefault="00F00CF6" w:rsidP="003465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6D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 p.k.</w:t>
            </w:r>
          </w:p>
        </w:tc>
        <w:tc>
          <w:tcPr>
            <w:tcW w:w="881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0CF6" w:rsidRPr="00D16D20" w:rsidRDefault="00F00CF6" w:rsidP="003465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6D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Kurināmā veids</w:t>
            </w:r>
          </w:p>
        </w:tc>
        <w:tc>
          <w:tcPr>
            <w:tcW w:w="915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</w:tcPr>
          <w:p w:rsidR="00F00CF6" w:rsidRPr="00D16D20" w:rsidRDefault="00F00CF6" w:rsidP="003465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Nominālā siltum</w:t>
            </w:r>
            <w:r w:rsidR="00EE1D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jauda (MW)</w:t>
            </w:r>
          </w:p>
        </w:tc>
        <w:tc>
          <w:tcPr>
            <w:tcW w:w="2972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0CF6" w:rsidRPr="00D16D20" w:rsidRDefault="00F00CF6" w:rsidP="008B6D5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6D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Emisijas robežvērtības (mg/Nm</w:t>
            </w:r>
            <w:r w:rsidRPr="00D16D2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3</w:t>
            </w:r>
            <w:r w:rsidR="008B6D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</w:tr>
      <w:tr w:rsidR="00E952C4" w:rsidRPr="00D16D20" w:rsidTr="0094616D">
        <w:trPr>
          <w:trHeight w:val="630"/>
        </w:trPr>
        <w:tc>
          <w:tcPr>
            <w:tcW w:w="232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0CF6" w:rsidRPr="00D16D20" w:rsidRDefault="00F00CF6" w:rsidP="0034655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81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0CF6" w:rsidRPr="00D16D20" w:rsidRDefault="00F00CF6" w:rsidP="0034655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15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F00CF6" w:rsidRPr="00D16D20" w:rsidRDefault="00F00CF6" w:rsidP="003465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60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vAlign w:val="center"/>
            <w:hideMark/>
          </w:tcPr>
          <w:p w:rsidR="00F00CF6" w:rsidRPr="00D16D20" w:rsidRDefault="00F00CF6" w:rsidP="003465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6D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SO</w:t>
            </w:r>
            <w:r w:rsidRPr="00D16D2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bscript"/>
                <w:lang w:eastAsia="lv-LV"/>
              </w:rPr>
              <w:t>2</w:t>
            </w:r>
          </w:p>
        </w:tc>
        <w:tc>
          <w:tcPr>
            <w:tcW w:w="703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vAlign w:val="center"/>
            <w:hideMark/>
          </w:tcPr>
          <w:p w:rsidR="00F00CF6" w:rsidRPr="00D16D20" w:rsidRDefault="00F00CF6" w:rsidP="003465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6D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</w:t>
            </w:r>
            <w:r w:rsidRPr="00D16D2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bscript"/>
                <w:lang w:eastAsia="lv-LV"/>
              </w:rPr>
              <w:t>x</w:t>
            </w:r>
          </w:p>
        </w:tc>
        <w:tc>
          <w:tcPr>
            <w:tcW w:w="703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vAlign w:val="center"/>
            <w:hideMark/>
          </w:tcPr>
          <w:p w:rsidR="00F00CF6" w:rsidRPr="00D16D20" w:rsidRDefault="00F00CF6" w:rsidP="003465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6D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CO</w:t>
            </w: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vAlign w:val="center"/>
            <w:hideMark/>
          </w:tcPr>
          <w:p w:rsidR="00F00CF6" w:rsidRPr="00D16D20" w:rsidRDefault="00F00CF6" w:rsidP="003465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6D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Putekļi jeb daļiņas</w:t>
            </w:r>
          </w:p>
        </w:tc>
      </w:tr>
      <w:tr w:rsidR="0094616D" w:rsidRPr="00D16D20" w:rsidTr="0094616D">
        <w:trPr>
          <w:trHeight w:val="255"/>
        </w:trPr>
        <w:tc>
          <w:tcPr>
            <w:tcW w:w="232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:rsidR="003373B9" w:rsidRPr="00D16D20" w:rsidRDefault="003373B9" w:rsidP="003373B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Pr="00D16D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81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:rsidR="003373B9" w:rsidRPr="00D16D20" w:rsidRDefault="003373B9" w:rsidP="0091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6D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Biomasa</w:t>
            </w:r>
          </w:p>
        </w:tc>
        <w:tc>
          <w:tcPr>
            <w:tcW w:w="9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vAlign w:val="center"/>
          </w:tcPr>
          <w:p w:rsidR="003373B9" w:rsidRPr="00D16D20" w:rsidRDefault="003373B9" w:rsidP="003373B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1-5 MW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B9" w:rsidRPr="002B113F" w:rsidRDefault="003373B9" w:rsidP="003373B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113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B9" w:rsidRPr="002B113F" w:rsidRDefault="003373B9" w:rsidP="003373B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B9" w:rsidRDefault="003373B9" w:rsidP="00390173">
            <w:pPr>
              <w:spacing w:after="0" w:line="240" w:lineRule="auto"/>
              <w:jc w:val="center"/>
            </w:pPr>
            <w:r w:rsidRPr="00AB03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B9" w:rsidRPr="002B113F" w:rsidRDefault="003373B9" w:rsidP="003373B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</w:t>
            </w:r>
          </w:p>
        </w:tc>
      </w:tr>
      <w:tr w:rsidR="0094616D" w:rsidRPr="00D16D20" w:rsidTr="0094616D">
        <w:trPr>
          <w:trHeight w:val="255"/>
        </w:trPr>
        <w:tc>
          <w:tcPr>
            <w:tcW w:w="232" w:type="pct"/>
            <w:vMerge/>
            <w:tcBorders>
              <w:left w:val="outset" w:sz="6" w:space="0" w:color="414142"/>
              <w:right w:val="outset" w:sz="6" w:space="0" w:color="414142"/>
            </w:tcBorders>
            <w:vAlign w:val="center"/>
          </w:tcPr>
          <w:p w:rsidR="003373B9" w:rsidRDefault="003373B9" w:rsidP="003373B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81" w:type="pct"/>
            <w:vMerge/>
            <w:tcBorders>
              <w:left w:val="outset" w:sz="6" w:space="0" w:color="414142"/>
              <w:right w:val="outset" w:sz="6" w:space="0" w:color="414142"/>
            </w:tcBorders>
            <w:vAlign w:val="center"/>
          </w:tcPr>
          <w:p w:rsidR="003373B9" w:rsidRPr="00D16D20" w:rsidRDefault="003373B9" w:rsidP="0091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vAlign w:val="center"/>
          </w:tcPr>
          <w:p w:rsidR="003373B9" w:rsidRPr="00D16D20" w:rsidRDefault="003373B9" w:rsidP="003373B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5-20 MW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B9" w:rsidRPr="002B113F" w:rsidRDefault="003373B9" w:rsidP="003373B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B9" w:rsidRPr="002B113F" w:rsidRDefault="003373B9" w:rsidP="003373B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B9" w:rsidRDefault="003373B9" w:rsidP="00390173">
            <w:pPr>
              <w:spacing w:after="0" w:line="240" w:lineRule="auto"/>
              <w:jc w:val="center"/>
            </w:pPr>
            <w:r w:rsidRPr="00AB03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B9" w:rsidRPr="002B113F" w:rsidRDefault="003373B9" w:rsidP="003373B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</w:t>
            </w:r>
          </w:p>
        </w:tc>
      </w:tr>
      <w:tr w:rsidR="0094616D" w:rsidRPr="00D16D20" w:rsidTr="0094616D">
        <w:trPr>
          <w:trHeight w:val="412"/>
        </w:trPr>
        <w:tc>
          <w:tcPr>
            <w:tcW w:w="232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3373B9" w:rsidRDefault="003373B9" w:rsidP="003373B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81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3373B9" w:rsidRPr="00D16D20" w:rsidRDefault="003373B9" w:rsidP="0091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vAlign w:val="center"/>
          </w:tcPr>
          <w:p w:rsidR="003373B9" w:rsidRPr="00D16D20" w:rsidRDefault="003373B9" w:rsidP="003373B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20-50 MW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B9" w:rsidRPr="002B113F" w:rsidRDefault="003373B9" w:rsidP="003373B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414142"/>
            </w:tcBorders>
            <w:vAlign w:val="center"/>
          </w:tcPr>
          <w:p w:rsidR="003373B9" w:rsidRPr="002B113F" w:rsidRDefault="003373B9" w:rsidP="003373B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300</w:t>
            </w:r>
          </w:p>
        </w:tc>
        <w:tc>
          <w:tcPr>
            <w:tcW w:w="703" w:type="pct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single" w:sz="4" w:space="0" w:color="auto"/>
            </w:tcBorders>
            <w:vAlign w:val="center"/>
          </w:tcPr>
          <w:p w:rsidR="003373B9" w:rsidRDefault="003373B9" w:rsidP="00390173">
            <w:pPr>
              <w:spacing w:after="0" w:line="240" w:lineRule="auto"/>
              <w:jc w:val="center"/>
            </w:pPr>
            <w:r w:rsidRPr="00AB03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B9" w:rsidRPr="002B113F" w:rsidRDefault="003373B9" w:rsidP="003373B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</w:tr>
      <w:tr w:rsidR="0094616D" w:rsidRPr="00D16D20" w:rsidTr="0094616D">
        <w:trPr>
          <w:trHeight w:val="725"/>
        </w:trPr>
        <w:tc>
          <w:tcPr>
            <w:tcW w:w="232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:rsidR="003373B9" w:rsidRPr="00D16D20" w:rsidRDefault="003373B9" w:rsidP="003373B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Pr="00D16D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81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:rsidR="003373B9" w:rsidRPr="00D16D20" w:rsidRDefault="003373B9" w:rsidP="0091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6D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Akmeņogles, brūnogles, kūdra un citi cietie kurināmie (izņemot biomasu)</w:t>
            </w:r>
          </w:p>
        </w:tc>
        <w:tc>
          <w:tcPr>
            <w:tcW w:w="9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vAlign w:val="center"/>
          </w:tcPr>
          <w:p w:rsidR="003373B9" w:rsidRPr="00D16D20" w:rsidRDefault="003373B9" w:rsidP="003373B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1-5 MW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B9" w:rsidRPr="002B113F" w:rsidRDefault="003373B9" w:rsidP="003373B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B9" w:rsidRPr="002B113F" w:rsidRDefault="003373B9" w:rsidP="003373B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B9" w:rsidRDefault="003373B9" w:rsidP="00390173">
            <w:pPr>
              <w:spacing w:after="0" w:line="240" w:lineRule="auto"/>
              <w:jc w:val="center"/>
            </w:pPr>
            <w:r w:rsidRPr="00AB03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B9" w:rsidRPr="002B113F" w:rsidRDefault="003373B9" w:rsidP="003373B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</w:t>
            </w:r>
          </w:p>
        </w:tc>
      </w:tr>
      <w:tr w:rsidR="0094616D" w:rsidRPr="00D16D20" w:rsidTr="0094616D">
        <w:trPr>
          <w:trHeight w:val="725"/>
        </w:trPr>
        <w:tc>
          <w:tcPr>
            <w:tcW w:w="232" w:type="pct"/>
            <w:vMerge/>
            <w:tcBorders>
              <w:left w:val="outset" w:sz="6" w:space="0" w:color="414142"/>
              <w:right w:val="outset" w:sz="6" w:space="0" w:color="414142"/>
            </w:tcBorders>
            <w:vAlign w:val="center"/>
          </w:tcPr>
          <w:p w:rsidR="003373B9" w:rsidRDefault="003373B9" w:rsidP="003373B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81" w:type="pct"/>
            <w:vMerge/>
            <w:tcBorders>
              <w:left w:val="outset" w:sz="6" w:space="0" w:color="414142"/>
              <w:right w:val="outset" w:sz="6" w:space="0" w:color="414142"/>
            </w:tcBorders>
            <w:vAlign w:val="center"/>
          </w:tcPr>
          <w:p w:rsidR="003373B9" w:rsidRPr="00D16D20" w:rsidRDefault="003373B9" w:rsidP="0091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vAlign w:val="center"/>
          </w:tcPr>
          <w:p w:rsidR="003373B9" w:rsidRPr="00D16D20" w:rsidRDefault="003373B9" w:rsidP="003373B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5-20 MW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B9" w:rsidRPr="002B113F" w:rsidRDefault="003373B9" w:rsidP="003373B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B9" w:rsidRPr="002B113F" w:rsidRDefault="003373B9" w:rsidP="003373B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B9" w:rsidRDefault="003373B9" w:rsidP="00390173">
            <w:pPr>
              <w:spacing w:after="0" w:line="240" w:lineRule="auto"/>
              <w:jc w:val="center"/>
            </w:pPr>
            <w:r w:rsidRPr="00AB03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B9" w:rsidRPr="002B113F" w:rsidRDefault="003373B9" w:rsidP="003373B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</w:t>
            </w:r>
          </w:p>
        </w:tc>
      </w:tr>
      <w:tr w:rsidR="0094616D" w:rsidRPr="00D16D20" w:rsidTr="0094616D">
        <w:trPr>
          <w:trHeight w:val="725"/>
        </w:trPr>
        <w:tc>
          <w:tcPr>
            <w:tcW w:w="232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DC0425" w:rsidRDefault="00DC0425" w:rsidP="00DC042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81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DC0425" w:rsidRPr="00D16D20" w:rsidRDefault="00DC0425" w:rsidP="0091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vAlign w:val="center"/>
          </w:tcPr>
          <w:p w:rsidR="00DC0425" w:rsidRPr="00D16D20" w:rsidRDefault="00DC0425" w:rsidP="00DC042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20-50 MW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425" w:rsidRPr="002B113F" w:rsidRDefault="00DC0425" w:rsidP="00DC042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425" w:rsidRPr="002B113F" w:rsidRDefault="00DC0425" w:rsidP="00DC042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425" w:rsidRPr="002B113F" w:rsidRDefault="003373B9" w:rsidP="003373B9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04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425" w:rsidRPr="002B113F" w:rsidRDefault="00DC0425" w:rsidP="00DC042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</w:tr>
      <w:tr w:rsidR="0094616D" w:rsidRPr="00D16D20" w:rsidTr="0094616D">
        <w:trPr>
          <w:trHeight w:val="825"/>
        </w:trPr>
        <w:tc>
          <w:tcPr>
            <w:tcW w:w="2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0CF6" w:rsidRPr="00D16D20" w:rsidRDefault="00F00CF6" w:rsidP="003465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6D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8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0CF6" w:rsidRPr="00D16D20" w:rsidRDefault="00F00CF6" w:rsidP="0091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6D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Dīzeļdegviela (gāzeļļa)</w:t>
            </w:r>
          </w:p>
        </w:tc>
        <w:tc>
          <w:tcPr>
            <w:tcW w:w="9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F00CF6" w:rsidRDefault="00122F8B" w:rsidP="003465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1-50 MW</w:t>
            </w:r>
          </w:p>
        </w:tc>
        <w:tc>
          <w:tcPr>
            <w:tcW w:w="860" w:type="pct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  <w:vAlign w:val="center"/>
          </w:tcPr>
          <w:p w:rsidR="00F00CF6" w:rsidRPr="002B113F" w:rsidRDefault="003373B9" w:rsidP="003465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703" w:type="pct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  <w:vAlign w:val="center"/>
          </w:tcPr>
          <w:p w:rsidR="00F00CF6" w:rsidRPr="002B113F" w:rsidRDefault="003373B9" w:rsidP="003465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</w:t>
            </w:r>
          </w:p>
        </w:tc>
        <w:tc>
          <w:tcPr>
            <w:tcW w:w="703" w:type="pct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  <w:vAlign w:val="center"/>
          </w:tcPr>
          <w:p w:rsidR="00F00CF6" w:rsidRPr="002B113F" w:rsidRDefault="003373B9" w:rsidP="003465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04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400</w:t>
            </w:r>
          </w:p>
        </w:tc>
        <w:tc>
          <w:tcPr>
            <w:tcW w:w="706" w:type="pct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  <w:vAlign w:val="center"/>
          </w:tcPr>
          <w:p w:rsidR="00F00CF6" w:rsidRPr="002B113F" w:rsidRDefault="003373B9" w:rsidP="003465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</w:tr>
      <w:tr w:rsidR="00E952C4" w:rsidRPr="00D16D20" w:rsidTr="0094616D">
        <w:trPr>
          <w:trHeight w:val="675"/>
        </w:trPr>
        <w:tc>
          <w:tcPr>
            <w:tcW w:w="232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:rsidR="00FE6BC8" w:rsidRPr="00D16D20" w:rsidRDefault="00FE6BC8" w:rsidP="003465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6D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881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:rsidR="00FE6BC8" w:rsidRPr="00D16D20" w:rsidRDefault="00FE6BC8" w:rsidP="0091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6D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Šķidrais kurināmais (izņemot dīzeļdegvielu)</w:t>
            </w:r>
          </w:p>
        </w:tc>
        <w:tc>
          <w:tcPr>
            <w:tcW w:w="9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vAlign w:val="center"/>
          </w:tcPr>
          <w:p w:rsidR="00FE6BC8" w:rsidRDefault="00FE6BC8" w:rsidP="00F576E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1-5 MW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C8" w:rsidRPr="002B113F" w:rsidRDefault="003373B9" w:rsidP="00F576E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C8" w:rsidRPr="003373B9" w:rsidRDefault="003373B9" w:rsidP="003465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C8" w:rsidRPr="002B113F" w:rsidRDefault="003373B9" w:rsidP="003465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04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C8" w:rsidRPr="002B113F" w:rsidRDefault="003373B9" w:rsidP="003465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</w:t>
            </w:r>
          </w:p>
        </w:tc>
      </w:tr>
      <w:tr w:rsidR="00E952C4" w:rsidRPr="00D16D20" w:rsidTr="0094616D">
        <w:trPr>
          <w:trHeight w:val="675"/>
        </w:trPr>
        <w:tc>
          <w:tcPr>
            <w:tcW w:w="232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FE6BC8" w:rsidRPr="00D16D20" w:rsidRDefault="00FE6BC8" w:rsidP="003465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81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FE6BC8" w:rsidRPr="00D16D20" w:rsidRDefault="00FE6BC8" w:rsidP="0091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vAlign w:val="center"/>
          </w:tcPr>
          <w:p w:rsidR="00FE6BC8" w:rsidRDefault="00FE6BC8" w:rsidP="00F576E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5-50 MW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C8" w:rsidRPr="002B113F" w:rsidRDefault="003373B9" w:rsidP="00F576E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C8" w:rsidRPr="003373B9" w:rsidRDefault="003373B9" w:rsidP="003465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C8" w:rsidRPr="002B113F" w:rsidRDefault="003373B9" w:rsidP="003465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04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C8" w:rsidRPr="002B113F" w:rsidRDefault="003373B9" w:rsidP="003465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</w:tr>
      <w:tr w:rsidR="0094616D" w:rsidRPr="00D16D20" w:rsidTr="0094616D">
        <w:trPr>
          <w:trHeight w:val="240"/>
        </w:trPr>
        <w:tc>
          <w:tcPr>
            <w:tcW w:w="2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0CF6" w:rsidRPr="00D16D20" w:rsidRDefault="00F00CF6" w:rsidP="003465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6D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8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0CF6" w:rsidRPr="00D16D20" w:rsidRDefault="00F00CF6" w:rsidP="0091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6D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Dabas gāze</w:t>
            </w:r>
          </w:p>
        </w:tc>
        <w:tc>
          <w:tcPr>
            <w:tcW w:w="9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F00CF6" w:rsidRDefault="00122F8B" w:rsidP="003465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1-50 MW</w:t>
            </w:r>
          </w:p>
        </w:tc>
        <w:tc>
          <w:tcPr>
            <w:tcW w:w="860" w:type="pct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F00CF6" w:rsidRPr="002B113F" w:rsidRDefault="003373B9" w:rsidP="003465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703" w:type="pct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F00CF6" w:rsidRPr="002B113F" w:rsidRDefault="003373B9" w:rsidP="003465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</w:t>
            </w:r>
          </w:p>
        </w:tc>
        <w:tc>
          <w:tcPr>
            <w:tcW w:w="703" w:type="pct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F00CF6" w:rsidRPr="002B113F" w:rsidRDefault="003373B9" w:rsidP="003465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04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150</w:t>
            </w:r>
          </w:p>
        </w:tc>
        <w:tc>
          <w:tcPr>
            <w:tcW w:w="706" w:type="pct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F00CF6" w:rsidRPr="002B113F" w:rsidRDefault="003373B9" w:rsidP="003465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</w:tr>
      <w:tr w:rsidR="0094616D" w:rsidRPr="00D16D20" w:rsidTr="0094616D">
        <w:trPr>
          <w:trHeight w:val="465"/>
        </w:trPr>
        <w:tc>
          <w:tcPr>
            <w:tcW w:w="2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0CF6" w:rsidRPr="00D16D20" w:rsidRDefault="00F00CF6" w:rsidP="003465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6D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8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0CF6" w:rsidRPr="00D16D20" w:rsidRDefault="00F00CF6" w:rsidP="0091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6D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Gāzveida kurināmais (izņemot dabas gāzi)</w:t>
            </w:r>
          </w:p>
        </w:tc>
        <w:tc>
          <w:tcPr>
            <w:tcW w:w="9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F00CF6" w:rsidRDefault="00122F8B" w:rsidP="00F576E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1-50 MW</w:t>
            </w:r>
          </w:p>
        </w:tc>
        <w:tc>
          <w:tcPr>
            <w:tcW w:w="8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F00CF6" w:rsidRPr="003373B9" w:rsidRDefault="003373B9" w:rsidP="00F576E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3, 4</w:t>
            </w:r>
          </w:p>
        </w:tc>
        <w:tc>
          <w:tcPr>
            <w:tcW w:w="7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F00CF6" w:rsidRPr="002B113F" w:rsidRDefault="003373B9" w:rsidP="003465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</w:t>
            </w:r>
          </w:p>
        </w:tc>
        <w:tc>
          <w:tcPr>
            <w:tcW w:w="7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F00CF6" w:rsidRPr="002B113F" w:rsidRDefault="003373B9" w:rsidP="003465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04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150</w:t>
            </w: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F00CF6" w:rsidRPr="002B113F" w:rsidRDefault="003373B9" w:rsidP="003465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</w:tr>
    </w:tbl>
    <w:p w:rsidR="000225F6" w:rsidRDefault="000225F6" w:rsidP="000225F6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B13FDC" w:rsidRPr="00826784" w:rsidRDefault="00B13FDC" w:rsidP="000225F6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26784">
        <w:rPr>
          <w:rFonts w:ascii="Times New Roman" w:eastAsia="Times New Roman" w:hAnsi="Times New Roman" w:cs="Times New Roman"/>
          <w:sz w:val="24"/>
          <w:szCs w:val="24"/>
          <w:lang w:eastAsia="lv-LV"/>
        </w:rPr>
        <w:t>Piezīmes.</w:t>
      </w:r>
    </w:p>
    <w:p w:rsidR="00687D23" w:rsidRPr="008B6D50" w:rsidRDefault="00687D23" w:rsidP="000225F6">
      <w:pPr>
        <w:shd w:val="clear" w:color="auto" w:fill="FFFFFF"/>
        <w:spacing w:after="0" w:line="240" w:lineRule="auto"/>
        <w:ind w:firstLine="301"/>
        <w:rPr>
          <w:rFonts w:ascii="Times New Roman" w:hAnsi="Times New Roman" w:cs="Times New Roman"/>
          <w:sz w:val="24"/>
          <w:szCs w:val="24"/>
        </w:rPr>
      </w:pPr>
      <w:r w:rsidRPr="008B6D5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B6D50">
        <w:rPr>
          <w:rFonts w:ascii="Times New Roman" w:hAnsi="Times New Roman" w:cs="Times New Roman"/>
          <w:sz w:val="24"/>
          <w:szCs w:val="24"/>
        </w:rPr>
        <w:t xml:space="preserve"> Vērtība neattiecas uz iekārtām, kurās dedzina tikai cieto koksnes biomasu. </w:t>
      </w:r>
    </w:p>
    <w:p w:rsidR="00290B57" w:rsidRDefault="00F576E2" w:rsidP="00290B57">
      <w:pPr>
        <w:shd w:val="clear" w:color="auto" w:fill="FFFFFF"/>
        <w:spacing w:after="0" w:line="240" w:lineRule="auto"/>
        <w:ind w:firstLine="301"/>
        <w:jc w:val="both"/>
        <w:rPr>
          <w:rFonts w:ascii="Times New Roman" w:hAnsi="Times New Roman" w:cs="Times New Roman"/>
          <w:sz w:val="24"/>
          <w:szCs w:val="24"/>
        </w:rPr>
      </w:pPr>
      <w:r w:rsidRPr="003373B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E6ECB">
        <w:rPr>
          <w:rFonts w:ascii="Times New Roman" w:hAnsi="Times New Roman" w:cs="Times New Roman"/>
          <w:sz w:val="24"/>
          <w:szCs w:val="24"/>
          <w:vertAlign w:val="superscript"/>
        </w:rPr>
        <w:t> </w:t>
      </w:r>
      <w:bookmarkStart w:id="1" w:name="_GoBack"/>
      <w:bookmarkEnd w:id="1"/>
      <w:r w:rsidR="003373B9" w:rsidRPr="003373B9">
        <w:rPr>
          <w:rFonts w:ascii="Times New Roman" w:hAnsi="Times New Roman" w:cs="Times New Roman"/>
          <w:sz w:val="24"/>
          <w:szCs w:val="24"/>
        </w:rPr>
        <w:t>Līdz 2025. gada 1. janvārim – 450 mg/Nm</w:t>
      </w:r>
      <w:r w:rsidR="003373B9" w:rsidRPr="008B6D5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3373B9" w:rsidRPr="003373B9">
        <w:rPr>
          <w:rFonts w:ascii="Times New Roman" w:hAnsi="Times New Roman" w:cs="Times New Roman"/>
          <w:sz w:val="24"/>
          <w:szCs w:val="24"/>
        </w:rPr>
        <w:t>, ja dedzina mazu</w:t>
      </w:r>
      <w:r w:rsidR="00E952C4">
        <w:rPr>
          <w:rFonts w:ascii="Times New Roman" w:hAnsi="Times New Roman" w:cs="Times New Roman"/>
          <w:sz w:val="24"/>
          <w:szCs w:val="24"/>
        </w:rPr>
        <w:t xml:space="preserve">tu, kas satur no 0,2 % līdz 0,3 </w:t>
      </w:r>
      <w:r w:rsidR="003373B9" w:rsidRPr="003373B9">
        <w:rPr>
          <w:rFonts w:ascii="Times New Roman" w:hAnsi="Times New Roman" w:cs="Times New Roman"/>
          <w:sz w:val="24"/>
          <w:szCs w:val="24"/>
        </w:rPr>
        <w:t>% N.</w:t>
      </w:r>
    </w:p>
    <w:p w:rsidR="00F576E2" w:rsidRPr="00F576E2" w:rsidRDefault="003373B9" w:rsidP="00290B57">
      <w:pPr>
        <w:shd w:val="clear" w:color="auto" w:fill="FFFFFF"/>
        <w:spacing w:after="0" w:line="240" w:lineRule="auto"/>
        <w:ind w:firstLine="301"/>
        <w:jc w:val="both"/>
        <w:rPr>
          <w:rFonts w:ascii="Times New Roman" w:hAnsi="Times New Roman" w:cs="Times New Roman"/>
          <w:sz w:val="24"/>
          <w:szCs w:val="24"/>
        </w:rPr>
      </w:pPr>
      <w:r w:rsidRPr="003373B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F576E2" w:rsidRPr="003373B9">
        <w:rPr>
          <w:rFonts w:ascii="Times New Roman" w:hAnsi="Times New Roman" w:cs="Times New Roman"/>
          <w:sz w:val="24"/>
          <w:szCs w:val="24"/>
        </w:rPr>
        <w:t>400</w:t>
      </w:r>
      <w:r w:rsidR="00F576E2" w:rsidRPr="00F576E2">
        <w:rPr>
          <w:rFonts w:ascii="Times New Roman" w:hAnsi="Times New Roman" w:cs="Times New Roman"/>
          <w:sz w:val="24"/>
          <w:szCs w:val="24"/>
        </w:rPr>
        <w:t xml:space="preserve"> mg/Nm</w:t>
      </w:r>
      <w:r w:rsidR="00F576E2" w:rsidRPr="00F576E2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="00F576E2" w:rsidRPr="00F576E2">
        <w:rPr>
          <w:rFonts w:ascii="Times New Roman" w:hAnsi="Times New Roman" w:cs="Times New Roman"/>
          <w:sz w:val="24"/>
          <w:szCs w:val="24"/>
        </w:rPr>
        <w:t>attiecībā uz zemas kaloritātes koksa krāšņu gāzēm un 200 mg/Nm</w:t>
      </w:r>
      <w:r w:rsidR="00F576E2" w:rsidRPr="009337F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F576E2" w:rsidRPr="00F576E2">
        <w:rPr>
          <w:rFonts w:ascii="Times New Roman" w:hAnsi="Times New Roman" w:cs="Times New Roman"/>
          <w:sz w:val="24"/>
          <w:szCs w:val="24"/>
        </w:rPr>
        <w:t xml:space="preserve"> attiecībā uz zemas kaloritātes domnu gāzēm, dzelzs un tērauda rūpniecībā.</w:t>
      </w:r>
    </w:p>
    <w:p w:rsidR="00F576E2" w:rsidRPr="00290B57" w:rsidRDefault="003373B9" w:rsidP="00290B57">
      <w:pPr>
        <w:shd w:val="clear" w:color="auto" w:fill="FFFFFF"/>
        <w:spacing w:after="0" w:line="240" w:lineRule="auto"/>
        <w:ind w:firstLine="3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>4</w:t>
      </w:r>
      <w:r w:rsidR="00F576E2" w:rsidRPr="00F576E2">
        <w:rPr>
          <w:rFonts w:ascii="Times New Roman" w:hAnsi="Times New Roman" w:cs="Times New Roman"/>
          <w:sz w:val="24"/>
          <w:szCs w:val="24"/>
        </w:rPr>
        <w:t xml:space="preserve"> 100 mg/Nm</w:t>
      </w:r>
      <w:r w:rsidR="00F576E2" w:rsidRPr="00F576E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F576E2" w:rsidRPr="00F576E2">
        <w:rPr>
          <w:rFonts w:ascii="Times New Roman" w:hAnsi="Times New Roman" w:cs="Times New Roman"/>
          <w:sz w:val="24"/>
          <w:szCs w:val="24"/>
        </w:rPr>
        <w:t xml:space="preserve"> attiecībā uz biogāzi. </w:t>
      </w:r>
    </w:p>
    <w:p w:rsidR="00A47FF2" w:rsidRPr="00826784" w:rsidRDefault="00A47FF2" w:rsidP="00A47FF2">
      <w:pPr>
        <w:shd w:val="clear" w:color="auto" w:fill="FFFFFF"/>
        <w:spacing w:before="100" w:beforeAutospacing="1" w:after="100" w:afterAutospacing="1" w:line="293" w:lineRule="atLeast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16077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II.</w:t>
      </w:r>
      <w:r w:rsidR="009B4B91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 </w:t>
      </w:r>
      <w:r w:rsidRPr="0082678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Emisijas robežvērtības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jaunām </w:t>
      </w:r>
      <w:r w:rsidRPr="0082678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sadedzināšanas iekārtām</w:t>
      </w:r>
      <w:r w:rsidR="00B36A7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, kas ir dzinēji un gāzturbīnas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4"/>
        <w:gridCol w:w="1284"/>
        <w:gridCol w:w="1428"/>
        <w:gridCol w:w="1573"/>
        <w:gridCol w:w="1716"/>
        <w:gridCol w:w="1286"/>
        <w:gridCol w:w="1434"/>
      </w:tblGrid>
      <w:tr w:rsidR="00540B13" w:rsidRPr="00D16D20" w:rsidTr="00A20AEB">
        <w:trPr>
          <w:trHeight w:val="315"/>
        </w:trPr>
        <w:tc>
          <w:tcPr>
            <w:tcW w:w="232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40B13" w:rsidRPr="00D16D20" w:rsidRDefault="00540B13" w:rsidP="00A20AE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6D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 p.k.</w:t>
            </w:r>
          </w:p>
        </w:tc>
        <w:tc>
          <w:tcPr>
            <w:tcW w:w="702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40B13" w:rsidRPr="00D16D20" w:rsidRDefault="00540B13" w:rsidP="00A20AE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Piesārņojošā viela</w:t>
            </w:r>
          </w:p>
        </w:tc>
        <w:tc>
          <w:tcPr>
            <w:tcW w:w="781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vAlign w:val="center"/>
          </w:tcPr>
          <w:p w:rsidR="00540B13" w:rsidRPr="00D16D20" w:rsidRDefault="00540B13" w:rsidP="00A20AE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Iekārtas tips</w:t>
            </w:r>
          </w:p>
        </w:tc>
        <w:tc>
          <w:tcPr>
            <w:tcW w:w="3285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40B13" w:rsidRPr="00D16D20" w:rsidRDefault="00540B13" w:rsidP="00A20AE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6D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Emisijas robežvērtības (mg/Nm</w:t>
            </w:r>
            <w:r w:rsidRPr="00D16D2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3</w:t>
            </w:r>
            <w:r w:rsidRPr="00D16D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</w:tr>
      <w:tr w:rsidR="00160773" w:rsidRPr="00D16D20" w:rsidTr="003614DE">
        <w:trPr>
          <w:trHeight w:val="630"/>
        </w:trPr>
        <w:tc>
          <w:tcPr>
            <w:tcW w:w="232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40B13" w:rsidRPr="00D16D20" w:rsidRDefault="00540B13" w:rsidP="00A20AE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02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40B13" w:rsidRPr="00D16D20" w:rsidRDefault="00540B13" w:rsidP="00A20AE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81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540B13" w:rsidRPr="00D16D20" w:rsidRDefault="00540B13" w:rsidP="00A20AE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40B13" w:rsidRPr="00D16D20" w:rsidRDefault="00540B13" w:rsidP="00A20AE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6D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Dīzeļdegviela (gāzeļļa)</w:t>
            </w:r>
          </w:p>
        </w:tc>
        <w:tc>
          <w:tcPr>
            <w:tcW w:w="9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40B13" w:rsidRPr="00D16D20" w:rsidRDefault="00540B13" w:rsidP="00A20AE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6D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Šķidrais kurināmais (izņemot dīzeļdegvielu)</w:t>
            </w:r>
          </w:p>
        </w:tc>
        <w:tc>
          <w:tcPr>
            <w:tcW w:w="7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40B13" w:rsidRPr="00D16D20" w:rsidRDefault="00540B13" w:rsidP="00A20AE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6D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Dabas gāze</w:t>
            </w:r>
          </w:p>
        </w:tc>
        <w:tc>
          <w:tcPr>
            <w:tcW w:w="78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40B13" w:rsidRPr="00D16D20" w:rsidRDefault="00540B13" w:rsidP="00A20AE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6D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Gāzveida kurināmais (izņemot dabas gāzi)</w:t>
            </w:r>
          </w:p>
        </w:tc>
      </w:tr>
      <w:tr w:rsidR="00160773" w:rsidRPr="00D16D20" w:rsidTr="003614DE">
        <w:trPr>
          <w:trHeight w:val="825"/>
        </w:trPr>
        <w:tc>
          <w:tcPr>
            <w:tcW w:w="2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40B13" w:rsidRPr="00D16D20" w:rsidRDefault="00540B13" w:rsidP="00A20AE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Pr="00D16D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7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40B13" w:rsidRPr="00D16D20" w:rsidRDefault="00540B13" w:rsidP="00A20AE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6D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SO</w:t>
            </w:r>
            <w:r w:rsidRPr="00D16D2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bscript"/>
                <w:lang w:eastAsia="lv-LV"/>
              </w:rPr>
              <w:t>2</w:t>
            </w:r>
          </w:p>
        </w:tc>
        <w:tc>
          <w:tcPr>
            <w:tcW w:w="7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540B13" w:rsidRPr="00D16D20" w:rsidRDefault="00540B13" w:rsidP="00A20AE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Dzinēji un gāzturbīnas</w:t>
            </w:r>
          </w:p>
        </w:tc>
        <w:tc>
          <w:tcPr>
            <w:tcW w:w="860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vAlign w:val="center"/>
          </w:tcPr>
          <w:p w:rsidR="00540B13" w:rsidRPr="00D16D20" w:rsidRDefault="00461ACE" w:rsidP="00A20AE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-</w:t>
            </w:r>
          </w:p>
        </w:tc>
        <w:tc>
          <w:tcPr>
            <w:tcW w:w="938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vAlign w:val="center"/>
          </w:tcPr>
          <w:p w:rsidR="00540B13" w:rsidRPr="00540B13" w:rsidRDefault="00540B13" w:rsidP="00ED0B2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</w:t>
            </w:r>
          </w:p>
        </w:tc>
        <w:tc>
          <w:tcPr>
            <w:tcW w:w="703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vAlign w:val="center"/>
          </w:tcPr>
          <w:p w:rsidR="00540B13" w:rsidRPr="00D16D20" w:rsidRDefault="00540B13" w:rsidP="00A20AE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784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vAlign w:val="center"/>
          </w:tcPr>
          <w:p w:rsidR="00540B13" w:rsidRPr="00E700B2" w:rsidRDefault="00ED0B2A" w:rsidP="00ED0B2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</w:p>
        </w:tc>
      </w:tr>
      <w:tr w:rsidR="00160773" w:rsidRPr="00D16D20" w:rsidTr="003614DE">
        <w:trPr>
          <w:trHeight w:val="413"/>
        </w:trPr>
        <w:tc>
          <w:tcPr>
            <w:tcW w:w="232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:rsidR="00540B13" w:rsidRPr="00D16D20" w:rsidRDefault="00540B13" w:rsidP="00A20AE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Pr="00D16D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702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:rsidR="00540B13" w:rsidRPr="00D16D20" w:rsidRDefault="00540B13" w:rsidP="00A20AE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6D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</w:t>
            </w:r>
            <w:r w:rsidRPr="00D16D2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bscript"/>
                <w:lang w:eastAsia="lv-LV"/>
              </w:rPr>
              <w:t>x</w:t>
            </w:r>
          </w:p>
        </w:tc>
        <w:tc>
          <w:tcPr>
            <w:tcW w:w="7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</w:tcPr>
          <w:p w:rsidR="00540B13" w:rsidRPr="00540B13" w:rsidRDefault="00ED0B2A" w:rsidP="007D026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Dzinēji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13" w:rsidRPr="00540B13" w:rsidRDefault="00ED0B2A" w:rsidP="008911D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190</w:t>
            </w:r>
            <w:r w:rsidR="008911D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3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13" w:rsidRPr="00E700B2" w:rsidRDefault="00ED0B2A" w:rsidP="008911D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190</w:t>
            </w:r>
            <w:r w:rsidR="008911D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3</w:t>
            </w:r>
            <w:r w:rsidR="00540B1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 xml:space="preserve">, </w:t>
            </w:r>
            <w:r w:rsidR="008911D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4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13" w:rsidRPr="00E700B2" w:rsidRDefault="00ED0B2A" w:rsidP="008911D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95</w:t>
            </w:r>
            <w:r w:rsidR="008911D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5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13" w:rsidRPr="00E700B2" w:rsidRDefault="00540B13" w:rsidP="00540B1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190</w:t>
            </w:r>
          </w:p>
        </w:tc>
      </w:tr>
      <w:tr w:rsidR="00160773" w:rsidRPr="00D16D20" w:rsidTr="003614DE">
        <w:trPr>
          <w:trHeight w:val="412"/>
        </w:trPr>
        <w:tc>
          <w:tcPr>
            <w:tcW w:w="232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540B13" w:rsidRDefault="00540B13" w:rsidP="00A20AE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02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540B13" w:rsidRPr="00D16D20" w:rsidRDefault="00540B13" w:rsidP="00A20AE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</w:tcPr>
          <w:p w:rsidR="00540B13" w:rsidRPr="00783725" w:rsidRDefault="00ED0B2A" w:rsidP="008911D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Gāzturbīnas</w:t>
            </w:r>
            <w:r w:rsidR="008911D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6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13" w:rsidRPr="00D16D20" w:rsidRDefault="00540B13" w:rsidP="00A20AE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75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13" w:rsidRPr="00540B13" w:rsidRDefault="00ED0B2A" w:rsidP="001607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75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13" w:rsidRPr="00D16D20" w:rsidRDefault="00540B13" w:rsidP="00A20AE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13" w:rsidRPr="007D221E" w:rsidRDefault="00540B13" w:rsidP="00A20AE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75</w:t>
            </w:r>
          </w:p>
        </w:tc>
      </w:tr>
      <w:tr w:rsidR="00160773" w:rsidRPr="00D16D20" w:rsidTr="003614DE">
        <w:trPr>
          <w:trHeight w:val="825"/>
        </w:trPr>
        <w:tc>
          <w:tcPr>
            <w:tcW w:w="2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40B13" w:rsidRPr="00D16D20" w:rsidRDefault="00540B13" w:rsidP="00A20AE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6D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7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40B13" w:rsidRPr="00D16D20" w:rsidRDefault="00540B13" w:rsidP="00A20AE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6D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Putekļi jeb daļiņas</w:t>
            </w:r>
          </w:p>
        </w:tc>
        <w:tc>
          <w:tcPr>
            <w:tcW w:w="7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540B13" w:rsidRDefault="00540B13" w:rsidP="00A20AE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Dzinēji un gāzturbīnas</w:t>
            </w:r>
          </w:p>
        </w:tc>
        <w:tc>
          <w:tcPr>
            <w:tcW w:w="860" w:type="pct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540B13" w:rsidRPr="00D16D20" w:rsidRDefault="00540B13" w:rsidP="00A20AE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938" w:type="pct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540B13" w:rsidRPr="00E700B2" w:rsidRDefault="00ED0B2A" w:rsidP="008911D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  <w:r w:rsidR="008911D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7</w:t>
            </w:r>
          </w:p>
        </w:tc>
        <w:tc>
          <w:tcPr>
            <w:tcW w:w="703" w:type="pct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540B13" w:rsidRPr="00D16D20" w:rsidRDefault="00540B13" w:rsidP="00A20AE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784" w:type="pct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540B13" w:rsidRPr="00D16D20" w:rsidRDefault="00540B13" w:rsidP="00A20AE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</w:tr>
    </w:tbl>
    <w:p w:rsidR="00C06B53" w:rsidRDefault="00C06B53" w:rsidP="00C06B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97B27" w:rsidRPr="00197B27" w:rsidRDefault="00ED0B2A" w:rsidP="00C06B5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ED0B2A">
        <w:rPr>
          <w:rFonts w:ascii="Times New Roman" w:hAnsi="Times New Roman" w:cs="Times New Roman"/>
          <w:sz w:val="24"/>
          <w:szCs w:val="24"/>
        </w:rPr>
        <w:t xml:space="preserve"> 40 mg/Nm</w:t>
      </w:r>
      <w:r w:rsidRPr="00E952C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D0B2A">
        <w:rPr>
          <w:rFonts w:ascii="Times New Roman" w:hAnsi="Times New Roman" w:cs="Times New Roman"/>
          <w:sz w:val="24"/>
          <w:szCs w:val="24"/>
        </w:rPr>
        <w:t xml:space="preserve"> attiecībā uz biogāzi. </w:t>
      </w:r>
    </w:p>
    <w:p w:rsidR="0070760D" w:rsidRPr="00ED0B2A" w:rsidRDefault="0070760D" w:rsidP="007076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D0B2A">
        <w:rPr>
          <w:rFonts w:ascii="Times New Roman" w:hAnsi="Times New Roman" w:cs="Times New Roman"/>
          <w:sz w:val="24"/>
          <w:szCs w:val="24"/>
        </w:rPr>
        <w:t xml:space="preserve"> Dzinēji</w:t>
      </w:r>
      <w:r>
        <w:rPr>
          <w:rFonts w:ascii="Times New Roman" w:hAnsi="Times New Roman" w:cs="Times New Roman"/>
          <w:sz w:val="24"/>
          <w:szCs w:val="24"/>
        </w:rPr>
        <w:t>em, kurus darbina no 500 līdz 1</w:t>
      </w:r>
      <w:r w:rsidRPr="00ED0B2A">
        <w:rPr>
          <w:rFonts w:ascii="Times New Roman" w:hAnsi="Times New Roman" w:cs="Times New Roman"/>
          <w:sz w:val="24"/>
          <w:szCs w:val="24"/>
        </w:rPr>
        <w:t xml:space="preserve">500 stundām gadā, var noteikt atbrīvojumu no prasības nodrošināt atbilstību minētajām emisijas robežvērtībām, ja tiek piemēroti primārie pasākumi, lai ierobežotu NOx </w:t>
      </w:r>
      <w:r>
        <w:rPr>
          <w:rFonts w:ascii="Times New Roman" w:hAnsi="Times New Roman" w:cs="Times New Roman"/>
          <w:sz w:val="24"/>
          <w:szCs w:val="24"/>
        </w:rPr>
        <w:t>emisijas un ievērotu šādas robežvērtības</w:t>
      </w:r>
      <w:r w:rsidRPr="008F5B25">
        <w:rPr>
          <w:rFonts w:ascii="Times New Roman" w:hAnsi="Times New Roman" w:cs="Times New Roman"/>
          <w:sz w:val="24"/>
          <w:szCs w:val="24"/>
        </w:rPr>
        <w:t>: 1 850 mg/Nm</w:t>
      </w:r>
      <w:r w:rsidRPr="008F5B2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F5B25">
        <w:rPr>
          <w:rFonts w:ascii="Times New Roman" w:hAnsi="Times New Roman" w:cs="Times New Roman"/>
          <w:sz w:val="24"/>
          <w:szCs w:val="24"/>
        </w:rPr>
        <w:t xml:space="preserve"> divu kurināmo dzinējiem šķidrā kurināmā režīmā un 380 mg/Nm</w:t>
      </w:r>
      <w:r w:rsidRPr="008F5B2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F5B25">
        <w:rPr>
          <w:rFonts w:ascii="Times New Roman" w:hAnsi="Times New Roman" w:cs="Times New Roman"/>
          <w:sz w:val="24"/>
          <w:szCs w:val="24"/>
        </w:rPr>
        <w:t xml:space="preserve"> gāzveida kurināmā režīmā; 1 300 mg/Nm</w:t>
      </w:r>
      <w:r w:rsidRPr="008F5B2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F5B25">
        <w:rPr>
          <w:rFonts w:ascii="Times New Roman" w:hAnsi="Times New Roman" w:cs="Times New Roman"/>
          <w:sz w:val="24"/>
          <w:szCs w:val="24"/>
        </w:rPr>
        <w:t xml:space="preserve"> dīzeļdzinējiem ar ≤ 1 200 apgriezieniem minūtē, kuru kopējā nominālā siltum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8F5B25">
        <w:rPr>
          <w:rFonts w:ascii="Times New Roman" w:hAnsi="Times New Roman" w:cs="Times New Roman"/>
          <w:sz w:val="24"/>
          <w:szCs w:val="24"/>
        </w:rPr>
        <w:t>jauda ir mazāka kā vai vienāda ar 20 MW, un 1 850 mg/Nm</w:t>
      </w:r>
      <w:r w:rsidRPr="008F5B2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F5B25">
        <w:rPr>
          <w:rFonts w:ascii="Times New Roman" w:hAnsi="Times New Roman" w:cs="Times New Roman"/>
          <w:sz w:val="24"/>
          <w:szCs w:val="24"/>
        </w:rPr>
        <w:t xml:space="preserve"> dīzeļdzinējiem, kuru kopējā nominālā siltum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8F5B25">
        <w:rPr>
          <w:rFonts w:ascii="Times New Roman" w:hAnsi="Times New Roman" w:cs="Times New Roman"/>
          <w:sz w:val="24"/>
          <w:szCs w:val="24"/>
        </w:rPr>
        <w:t>jauda ir lielāka par 20 MW; 750 mg/Nm</w:t>
      </w:r>
      <w:r w:rsidRPr="008F5B2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F5B25">
        <w:rPr>
          <w:rFonts w:ascii="Times New Roman" w:hAnsi="Times New Roman" w:cs="Times New Roman"/>
          <w:sz w:val="24"/>
          <w:szCs w:val="24"/>
        </w:rPr>
        <w:t xml:space="preserve"> dīzeļdzinējiem ar &gt; 1 200 apgriezieniem minūtē.</w:t>
      </w:r>
    </w:p>
    <w:p w:rsidR="0070760D" w:rsidRPr="00ED0B2A" w:rsidRDefault="0070760D" w:rsidP="007076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ED0B2A">
        <w:rPr>
          <w:rFonts w:ascii="Times New Roman" w:hAnsi="Times New Roman" w:cs="Times New Roman"/>
          <w:sz w:val="24"/>
          <w:szCs w:val="24"/>
        </w:rPr>
        <w:t>225 mg/Nm</w:t>
      </w:r>
      <w:r w:rsidRPr="00E952C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D0B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divu kurināmo dzinējiem šķidrā kurināmā režīmā.</w:t>
      </w:r>
      <w:r w:rsidRPr="00ED0B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760D" w:rsidRPr="00ED0B2A" w:rsidRDefault="0070760D" w:rsidP="007076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B25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0B2A">
        <w:rPr>
          <w:rFonts w:ascii="Times New Roman" w:hAnsi="Times New Roman" w:cs="Times New Roman"/>
          <w:sz w:val="24"/>
          <w:szCs w:val="24"/>
        </w:rPr>
        <w:t>225 mg/Nm</w:t>
      </w:r>
      <w:r w:rsidRPr="00E952C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D0B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dīzeļdzinējiem ar ≤ 1</w:t>
      </w:r>
      <w:r w:rsidRPr="00ED0B2A">
        <w:rPr>
          <w:rFonts w:ascii="Times New Roman" w:hAnsi="Times New Roman" w:cs="Times New Roman"/>
          <w:sz w:val="24"/>
          <w:szCs w:val="24"/>
        </w:rPr>
        <w:t>200 apgriezieniem minūtē, kuru kopējā nominālā siltum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ED0B2A">
        <w:rPr>
          <w:rFonts w:ascii="Times New Roman" w:hAnsi="Times New Roman" w:cs="Times New Roman"/>
          <w:sz w:val="24"/>
          <w:szCs w:val="24"/>
        </w:rPr>
        <w:t xml:space="preserve">jauda ir mazāka nekā vai vienāda ar 20 MW. </w:t>
      </w:r>
    </w:p>
    <w:p w:rsidR="0070760D" w:rsidRDefault="0070760D" w:rsidP="007076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5 </w:t>
      </w:r>
      <w:r w:rsidRPr="00ED0B2A">
        <w:rPr>
          <w:rFonts w:ascii="Times New Roman" w:hAnsi="Times New Roman" w:cs="Times New Roman"/>
          <w:sz w:val="24"/>
          <w:szCs w:val="24"/>
        </w:rPr>
        <w:t>190 mg/Nm</w:t>
      </w:r>
      <w:r w:rsidRPr="00E952C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D0B2A">
        <w:rPr>
          <w:rFonts w:ascii="Times New Roman" w:hAnsi="Times New Roman" w:cs="Times New Roman"/>
          <w:sz w:val="24"/>
          <w:szCs w:val="24"/>
        </w:rPr>
        <w:t xml:space="preserve"> divu kurināmo dzinējiem gāzveida kurināmā režīmā. </w:t>
      </w:r>
    </w:p>
    <w:p w:rsidR="0070760D" w:rsidRPr="00ED0B2A" w:rsidRDefault="0070760D" w:rsidP="007076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ED0B2A">
        <w:rPr>
          <w:rFonts w:ascii="Times New Roman" w:hAnsi="Times New Roman" w:cs="Times New Roman"/>
          <w:sz w:val="24"/>
          <w:szCs w:val="24"/>
        </w:rPr>
        <w:t xml:space="preserve"> Šīs emisijas robežvērtības ir piemērojamas tikai tad, ja </w:t>
      </w:r>
      <w:r>
        <w:rPr>
          <w:rFonts w:ascii="Times New Roman" w:hAnsi="Times New Roman" w:cs="Times New Roman"/>
          <w:sz w:val="24"/>
          <w:szCs w:val="24"/>
        </w:rPr>
        <w:t xml:space="preserve">iekārtas </w:t>
      </w:r>
      <w:r w:rsidRPr="00ED0B2A">
        <w:rPr>
          <w:rFonts w:ascii="Times New Roman" w:hAnsi="Times New Roman" w:cs="Times New Roman"/>
          <w:sz w:val="24"/>
          <w:szCs w:val="24"/>
        </w:rPr>
        <w:t xml:space="preserve">noslodze pārsniedz 70 %. </w:t>
      </w:r>
    </w:p>
    <w:p w:rsidR="0070760D" w:rsidRPr="00ED0B2A" w:rsidRDefault="0070760D" w:rsidP="007076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0B2A">
        <w:rPr>
          <w:rFonts w:ascii="Times New Roman" w:hAnsi="Times New Roman" w:cs="Times New Roman"/>
          <w:sz w:val="24"/>
          <w:szCs w:val="24"/>
        </w:rPr>
        <w:t>20 mg/Nm</w:t>
      </w:r>
      <w:r w:rsidRPr="00E952C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D0B2A">
        <w:rPr>
          <w:rFonts w:ascii="Times New Roman" w:hAnsi="Times New Roman" w:cs="Times New Roman"/>
          <w:sz w:val="24"/>
          <w:szCs w:val="24"/>
        </w:rPr>
        <w:t xml:space="preserve"> attiecībā uz iekārtām, kuru kopējā nominālā siltum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ED0B2A">
        <w:rPr>
          <w:rFonts w:ascii="Times New Roman" w:hAnsi="Times New Roman" w:cs="Times New Roman"/>
          <w:sz w:val="24"/>
          <w:szCs w:val="24"/>
        </w:rPr>
        <w:t>jauda ir vienāda ar vai lielāka par 1 MW un mazāka nekā vai vienāda ar 5 MW.</w:t>
      </w:r>
    </w:p>
    <w:p w:rsidR="000B7CA3" w:rsidRDefault="000B7CA3" w:rsidP="00C06B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60773" w:rsidRDefault="00160773" w:rsidP="00C06B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60773" w:rsidRDefault="00160773" w:rsidP="00C06B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B4B91" w:rsidRDefault="00B13FDC" w:rsidP="00C02C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2678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Vides aizsardzības un reģionālās </w:t>
      </w:r>
    </w:p>
    <w:p w:rsidR="00B13FDC" w:rsidRPr="00826784" w:rsidRDefault="00B13FDC" w:rsidP="00C02C3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784">
        <w:rPr>
          <w:rFonts w:ascii="Times New Roman" w:eastAsia="Times New Roman" w:hAnsi="Times New Roman" w:cs="Times New Roman"/>
          <w:sz w:val="24"/>
          <w:szCs w:val="24"/>
          <w:lang w:eastAsia="lv-LV"/>
        </w:rPr>
        <w:t>attīstības ministrs</w:t>
      </w:r>
      <w:r w:rsidR="00C06B53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C06B53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C06B53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9B4B91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9B4B91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9B4B91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9B4B91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9B4B91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 xml:space="preserve">K. </w:t>
      </w:r>
      <w:r w:rsidR="00FE6BC8">
        <w:rPr>
          <w:rFonts w:ascii="Times New Roman" w:eastAsia="Times New Roman" w:hAnsi="Times New Roman" w:cs="Times New Roman"/>
          <w:sz w:val="24"/>
          <w:szCs w:val="24"/>
          <w:lang w:eastAsia="lv-LV"/>
        </w:rPr>
        <w:t>Gerhards</w:t>
      </w:r>
    </w:p>
    <w:p w:rsidR="005E6689" w:rsidRDefault="005E6689"/>
    <w:sectPr w:rsidR="005E6689" w:rsidSect="002A5698">
      <w:footerReference w:type="default" r:id="rId6"/>
      <w:footerReference w:type="first" r:id="rId7"/>
      <w:type w:val="continuous"/>
      <w:pgSz w:w="11920" w:h="16840"/>
      <w:pgMar w:top="1134" w:right="1134" w:bottom="1134" w:left="1701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B59" w:rsidRDefault="00C30B59" w:rsidP="001E7AEB">
      <w:pPr>
        <w:spacing w:after="0" w:line="240" w:lineRule="auto"/>
      </w:pPr>
      <w:r>
        <w:separator/>
      </w:r>
    </w:p>
  </w:endnote>
  <w:endnote w:type="continuationSeparator" w:id="0">
    <w:p w:rsidR="00C30B59" w:rsidRDefault="00C30B59" w:rsidP="001E7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AEB" w:rsidRPr="001E7AEB" w:rsidRDefault="001E7AEB" w:rsidP="001E7AEB">
    <w:pPr>
      <w:spacing w:after="0" w:line="240" w:lineRule="auto"/>
      <w:jc w:val="both"/>
      <w:rPr>
        <w:rFonts w:ascii="Times New Roman" w:hAnsi="Times New Roman" w:cs="Times New Roman"/>
        <w:bCs/>
      </w:rPr>
    </w:pPr>
    <w:r>
      <w:rPr>
        <w:rFonts w:ascii="Times New Roman" w:hAnsi="Times New Roman" w:cs="Times New Roman"/>
      </w:rPr>
      <w:t>VARAMNotp</w:t>
    </w:r>
    <w:r w:rsidR="00AB118D">
      <w:rPr>
        <w:rFonts w:ascii="Times New Roman" w:hAnsi="Times New Roman" w:cs="Times New Roman"/>
      </w:rPr>
      <w:t>7</w:t>
    </w:r>
    <w:r>
      <w:rPr>
        <w:rFonts w:ascii="Times New Roman" w:hAnsi="Times New Roman" w:cs="Times New Roman"/>
      </w:rPr>
      <w:t xml:space="preserve"> _250417_MCP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AEB" w:rsidRPr="001E7AEB" w:rsidRDefault="001E7AEB" w:rsidP="001E7AEB">
    <w:pPr>
      <w:spacing w:after="0" w:line="240" w:lineRule="auto"/>
      <w:jc w:val="both"/>
      <w:rPr>
        <w:rFonts w:ascii="Times New Roman" w:hAnsi="Times New Roman" w:cs="Times New Roman"/>
        <w:bCs/>
      </w:rPr>
    </w:pPr>
    <w:r>
      <w:rPr>
        <w:rFonts w:ascii="Times New Roman" w:hAnsi="Times New Roman" w:cs="Times New Roman"/>
      </w:rPr>
      <w:t>VARAMNotp7 _250417_MCP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B59" w:rsidRDefault="00C30B59" w:rsidP="001E7AEB">
      <w:pPr>
        <w:spacing w:after="0" w:line="240" w:lineRule="auto"/>
      </w:pPr>
      <w:r>
        <w:separator/>
      </w:r>
    </w:p>
  </w:footnote>
  <w:footnote w:type="continuationSeparator" w:id="0">
    <w:p w:rsidR="00C30B59" w:rsidRDefault="00C30B59" w:rsidP="001E7A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3FDC"/>
    <w:rsid w:val="000225F6"/>
    <w:rsid w:val="000319B2"/>
    <w:rsid w:val="000439B4"/>
    <w:rsid w:val="00047FB1"/>
    <w:rsid w:val="000B7CA3"/>
    <w:rsid w:val="000E1B2F"/>
    <w:rsid w:val="00113750"/>
    <w:rsid w:val="00120DF0"/>
    <w:rsid w:val="00122F8B"/>
    <w:rsid w:val="00160773"/>
    <w:rsid w:val="00197B27"/>
    <w:rsid w:val="001E7AEB"/>
    <w:rsid w:val="00247CCE"/>
    <w:rsid w:val="00290B57"/>
    <w:rsid w:val="00296C8C"/>
    <w:rsid w:val="002A4838"/>
    <w:rsid w:val="002A5698"/>
    <w:rsid w:val="002B113F"/>
    <w:rsid w:val="0033134E"/>
    <w:rsid w:val="003373B9"/>
    <w:rsid w:val="003409A7"/>
    <w:rsid w:val="0034441E"/>
    <w:rsid w:val="0034655E"/>
    <w:rsid w:val="003614DE"/>
    <w:rsid w:val="00390173"/>
    <w:rsid w:val="00455F11"/>
    <w:rsid w:val="00461ACE"/>
    <w:rsid w:val="004E30FE"/>
    <w:rsid w:val="004F53C9"/>
    <w:rsid w:val="00533049"/>
    <w:rsid w:val="00540B13"/>
    <w:rsid w:val="00557C04"/>
    <w:rsid w:val="005B2D3C"/>
    <w:rsid w:val="005D04EB"/>
    <w:rsid w:val="005E1493"/>
    <w:rsid w:val="005E6689"/>
    <w:rsid w:val="00617806"/>
    <w:rsid w:val="00676700"/>
    <w:rsid w:val="00687D23"/>
    <w:rsid w:val="0070760D"/>
    <w:rsid w:val="0076389D"/>
    <w:rsid w:val="00783725"/>
    <w:rsid w:val="007859CF"/>
    <w:rsid w:val="007B6E10"/>
    <w:rsid w:val="007D0265"/>
    <w:rsid w:val="007D221E"/>
    <w:rsid w:val="007F137D"/>
    <w:rsid w:val="007F2861"/>
    <w:rsid w:val="00824543"/>
    <w:rsid w:val="008911D7"/>
    <w:rsid w:val="008B21E7"/>
    <w:rsid w:val="008B6D50"/>
    <w:rsid w:val="00917AEA"/>
    <w:rsid w:val="00926A13"/>
    <w:rsid w:val="009337FC"/>
    <w:rsid w:val="0094616D"/>
    <w:rsid w:val="00946A9F"/>
    <w:rsid w:val="009632AB"/>
    <w:rsid w:val="009B4B91"/>
    <w:rsid w:val="009D4DDC"/>
    <w:rsid w:val="00A47FF2"/>
    <w:rsid w:val="00AB118D"/>
    <w:rsid w:val="00AE6ECB"/>
    <w:rsid w:val="00B13FDC"/>
    <w:rsid w:val="00B36A7E"/>
    <w:rsid w:val="00B77399"/>
    <w:rsid w:val="00BF4DAF"/>
    <w:rsid w:val="00C02C35"/>
    <w:rsid w:val="00C037E3"/>
    <w:rsid w:val="00C06B53"/>
    <w:rsid w:val="00C30B59"/>
    <w:rsid w:val="00CC2606"/>
    <w:rsid w:val="00CE258A"/>
    <w:rsid w:val="00D16D20"/>
    <w:rsid w:val="00DC0425"/>
    <w:rsid w:val="00DD72C3"/>
    <w:rsid w:val="00E700B2"/>
    <w:rsid w:val="00E839D3"/>
    <w:rsid w:val="00E952C4"/>
    <w:rsid w:val="00ED0B2A"/>
    <w:rsid w:val="00EE1D94"/>
    <w:rsid w:val="00F00CF6"/>
    <w:rsid w:val="00F576E2"/>
    <w:rsid w:val="00F94DC6"/>
    <w:rsid w:val="00FB3CE9"/>
    <w:rsid w:val="00FE6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29329FF-7E88-4315-AD85-CBDBE18B7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F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0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B2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607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07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07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07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077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E7A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AEB"/>
  </w:style>
  <w:style w:type="paragraph" w:styleId="Footer">
    <w:name w:val="footer"/>
    <w:basedOn w:val="Normal"/>
    <w:link w:val="FooterChar"/>
    <w:uiPriority w:val="99"/>
    <w:unhideWhenUsed/>
    <w:rsid w:val="001E7A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5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1907</Words>
  <Characters>1087</Characters>
  <Application>Microsoft Office Word</Application>
  <DocSecurity>0</DocSecurity>
  <Lines>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7.pielikums</vt:lpstr>
    </vt:vector>
  </TitlesOfParts>
  <Company>Grizli777</Company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7.pielikums</dc:title>
  <dc:creator>Lana Maslova</dc:creator>
  <dc:description>Lana.maslova@varam.gov.lv; 67026586</dc:description>
  <cp:lastModifiedBy>Lana Maslova</cp:lastModifiedBy>
  <cp:revision>16</cp:revision>
  <dcterms:created xsi:type="dcterms:W3CDTF">2017-04-11T05:13:00Z</dcterms:created>
  <dcterms:modified xsi:type="dcterms:W3CDTF">2017-05-24T10:56:00Z</dcterms:modified>
</cp:coreProperties>
</file>