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5542" w14:textId="77777777" w:rsidR="00441496" w:rsidRPr="00C51D39" w:rsidRDefault="003B585F" w:rsidP="00685934">
      <w:pPr>
        <w:autoSpaceDE w:val="0"/>
        <w:autoSpaceDN w:val="0"/>
        <w:adjustRightInd w:val="0"/>
        <w:jc w:val="center"/>
        <w:rPr>
          <w:b/>
          <w:sz w:val="28"/>
          <w:szCs w:val="28"/>
        </w:rPr>
      </w:pPr>
      <w:r w:rsidRPr="00C51D39">
        <w:rPr>
          <w:b/>
          <w:sz w:val="28"/>
          <w:szCs w:val="28"/>
        </w:rPr>
        <w:t xml:space="preserve">Ministru kabineta noteikumu projekta </w:t>
      </w:r>
    </w:p>
    <w:p w14:paraId="1EFE9E25" w14:textId="2FB52B2E" w:rsidR="00441496" w:rsidRPr="00C51D39" w:rsidRDefault="00441496" w:rsidP="00685934">
      <w:pPr>
        <w:autoSpaceDE w:val="0"/>
        <w:autoSpaceDN w:val="0"/>
        <w:adjustRightInd w:val="0"/>
        <w:jc w:val="center"/>
        <w:rPr>
          <w:b/>
          <w:sz w:val="28"/>
          <w:szCs w:val="28"/>
        </w:rPr>
      </w:pPr>
      <w:r w:rsidRPr="00C51D39">
        <w:rPr>
          <w:b/>
          <w:sz w:val="28"/>
          <w:szCs w:val="28"/>
        </w:rPr>
        <w:t xml:space="preserve"> </w:t>
      </w:r>
      <w:r w:rsidR="00A443F7" w:rsidRPr="00C51D39">
        <w:rPr>
          <w:b/>
          <w:sz w:val="28"/>
          <w:szCs w:val="28"/>
        </w:rPr>
        <w:t xml:space="preserve">„Hroniskās novājēšanas slimības uzraudzības un kontroles </w:t>
      </w:r>
      <w:r w:rsidR="00B741FA" w:rsidRPr="00C51D39">
        <w:rPr>
          <w:b/>
          <w:sz w:val="28"/>
          <w:szCs w:val="28"/>
        </w:rPr>
        <w:t>kārtība</w:t>
      </w:r>
      <w:r w:rsidR="00A443F7" w:rsidRPr="00C51D39">
        <w:rPr>
          <w:b/>
          <w:sz w:val="28"/>
          <w:szCs w:val="28"/>
        </w:rPr>
        <w:t>”</w:t>
      </w:r>
      <w:r w:rsidR="003B585F" w:rsidRPr="00C51D39">
        <w:rPr>
          <w:b/>
          <w:sz w:val="28"/>
          <w:szCs w:val="28"/>
        </w:rPr>
        <w:t xml:space="preserve"> </w:t>
      </w:r>
    </w:p>
    <w:p w14:paraId="2905AAC3" w14:textId="77777777" w:rsidR="00F37F7E" w:rsidRPr="00C51D39" w:rsidRDefault="003B585F" w:rsidP="002137EE">
      <w:pPr>
        <w:autoSpaceDE w:val="0"/>
        <w:autoSpaceDN w:val="0"/>
        <w:adjustRightInd w:val="0"/>
        <w:jc w:val="center"/>
        <w:rPr>
          <w:b/>
          <w:sz w:val="28"/>
          <w:szCs w:val="28"/>
        </w:rPr>
      </w:pPr>
      <w:r w:rsidRPr="00C51D39">
        <w:rPr>
          <w:b/>
          <w:sz w:val="28"/>
          <w:szCs w:val="28"/>
        </w:rPr>
        <w:t xml:space="preserve">sākotnējās ietekmes novērtējuma ziņojums </w:t>
      </w:r>
      <w:r w:rsidR="0002029A" w:rsidRPr="00C51D39">
        <w:rPr>
          <w:b/>
          <w:sz w:val="28"/>
          <w:szCs w:val="28"/>
        </w:rPr>
        <w:t>(anotācija)</w:t>
      </w:r>
    </w:p>
    <w:p w14:paraId="5974D2F4" w14:textId="77777777" w:rsidR="009430E6" w:rsidRPr="00C51D39" w:rsidRDefault="009430E6" w:rsidP="002137EE">
      <w:pPr>
        <w:autoSpaceDE w:val="0"/>
        <w:autoSpaceDN w:val="0"/>
        <w:adjustRightInd w:val="0"/>
        <w:jc w:val="center"/>
        <w:rPr>
          <w:b/>
          <w:bCs/>
          <w:color w:val="FF0000"/>
          <w:sz w:val="28"/>
          <w:szCs w:val="28"/>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825"/>
        <w:gridCol w:w="116"/>
        <w:gridCol w:w="6968"/>
      </w:tblGrid>
      <w:tr w:rsidR="00901A4F" w:rsidRPr="00276F72" w14:paraId="7F127C01" w14:textId="77777777" w:rsidTr="0019031A">
        <w:tc>
          <w:tcPr>
            <w:tcW w:w="5000" w:type="pct"/>
            <w:gridSpan w:val="4"/>
          </w:tcPr>
          <w:p w14:paraId="71CDCBDB" w14:textId="77777777" w:rsidR="00AC145B" w:rsidRPr="00276F72" w:rsidRDefault="00AC145B" w:rsidP="003037FE">
            <w:pPr>
              <w:pStyle w:val="naislab"/>
              <w:spacing w:before="0" w:after="0"/>
              <w:jc w:val="center"/>
              <w:outlineLvl w:val="0"/>
              <w:rPr>
                <w:b/>
              </w:rPr>
            </w:pPr>
            <w:r w:rsidRPr="00276F72">
              <w:rPr>
                <w:b/>
              </w:rPr>
              <w:t>I. Tiesību akta projekta izstrādes nepieciešamība</w:t>
            </w:r>
          </w:p>
        </w:tc>
      </w:tr>
      <w:tr w:rsidR="00901A4F" w:rsidRPr="00276F72" w14:paraId="61710AFC" w14:textId="77777777" w:rsidTr="0019031A">
        <w:tc>
          <w:tcPr>
            <w:tcW w:w="300" w:type="pct"/>
          </w:tcPr>
          <w:p w14:paraId="032C1E7D" w14:textId="77777777" w:rsidR="00AC145B" w:rsidRPr="00276F72" w:rsidRDefault="00AC145B" w:rsidP="003037FE">
            <w:pPr>
              <w:pStyle w:val="naislab"/>
              <w:spacing w:before="0" w:after="0"/>
              <w:jc w:val="center"/>
              <w:outlineLvl w:val="0"/>
            </w:pPr>
            <w:r w:rsidRPr="00276F72">
              <w:t>1.</w:t>
            </w:r>
          </w:p>
        </w:tc>
        <w:tc>
          <w:tcPr>
            <w:tcW w:w="963" w:type="pct"/>
          </w:tcPr>
          <w:p w14:paraId="4E9A5915" w14:textId="77777777" w:rsidR="00AC145B" w:rsidRPr="00276F72" w:rsidRDefault="00AC145B" w:rsidP="003037FE">
            <w:pPr>
              <w:pStyle w:val="naislab"/>
              <w:spacing w:before="0" w:after="0"/>
              <w:jc w:val="both"/>
              <w:outlineLvl w:val="0"/>
            </w:pPr>
            <w:r w:rsidRPr="00276F72">
              <w:t>Pamatojums</w:t>
            </w:r>
          </w:p>
        </w:tc>
        <w:tc>
          <w:tcPr>
            <w:tcW w:w="3732" w:type="pct"/>
            <w:gridSpan w:val="2"/>
          </w:tcPr>
          <w:p w14:paraId="125852E6" w14:textId="14985D28" w:rsidR="00AC145B" w:rsidRPr="00276F72" w:rsidRDefault="00193C5A" w:rsidP="00A31449">
            <w:pPr>
              <w:pStyle w:val="Pamatteksts"/>
              <w:jc w:val="both"/>
              <w:rPr>
                <w:b w:val="0"/>
                <w:sz w:val="24"/>
                <w:szCs w:val="24"/>
              </w:rPr>
            </w:pPr>
            <w:r w:rsidRPr="00276F72">
              <w:rPr>
                <w:b w:val="0"/>
                <w:sz w:val="24"/>
                <w:szCs w:val="24"/>
              </w:rPr>
              <w:t>Veterinārmedicīnas likuma 25. panta 1</w:t>
            </w:r>
            <w:r w:rsidR="00A31449" w:rsidRPr="00276F72">
              <w:rPr>
                <w:b w:val="0"/>
                <w:sz w:val="24"/>
                <w:szCs w:val="24"/>
              </w:rPr>
              <w:t>. un 1</w:t>
            </w:r>
            <w:r w:rsidRPr="00276F72">
              <w:rPr>
                <w:b w:val="0"/>
                <w:sz w:val="24"/>
                <w:szCs w:val="24"/>
              </w:rPr>
              <w:t>7.</w:t>
            </w:r>
            <w:r w:rsidR="0019031A" w:rsidRPr="00276F72">
              <w:rPr>
                <w:b w:val="0"/>
                <w:sz w:val="24"/>
                <w:szCs w:val="24"/>
              </w:rPr>
              <w:t> </w:t>
            </w:r>
            <w:r w:rsidRPr="00276F72">
              <w:rPr>
                <w:b w:val="0"/>
                <w:sz w:val="24"/>
                <w:szCs w:val="24"/>
              </w:rPr>
              <w:t>punkt</w:t>
            </w:r>
            <w:r w:rsidR="00A31449" w:rsidRPr="00276F72">
              <w:rPr>
                <w:b w:val="0"/>
                <w:sz w:val="24"/>
                <w:szCs w:val="24"/>
              </w:rPr>
              <w:t>s</w:t>
            </w:r>
            <w:r w:rsidRPr="00276F72">
              <w:rPr>
                <w:b w:val="0"/>
                <w:sz w:val="24"/>
                <w:szCs w:val="24"/>
              </w:rPr>
              <w:t>.</w:t>
            </w:r>
          </w:p>
        </w:tc>
      </w:tr>
      <w:tr w:rsidR="00650C5A" w:rsidRPr="00276F72" w14:paraId="2986E7AC" w14:textId="77777777" w:rsidTr="0019031A">
        <w:tc>
          <w:tcPr>
            <w:tcW w:w="300" w:type="pct"/>
          </w:tcPr>
          <w:p w14:paraId="48BF3FAF" w14:textId="77777777" w:rsidR="00AC145B" w:rsidRPr="00276F72" w:rsidRDefault="00AC145B" w:rsidP="003037FE">
            <w:pPr>
              <w:pStyle w:val="naislab"/>
              <w:spacing w:before="0" w:after="0"/>
              <w:jc w:val="center"/>
              <w:outlineLvl w:val="0"/>
            </w:pPr>
            <w:r w:rsidRPr="00276F72">
              <w:t>2.</w:t>
            </w:r>
          </w:p>
        </w:tc>
        <w:tc>
          <w:tcPr>
            <w:tcW w:w="963" w:type="pct"/>
          </w:tcPr>
          <w:p w14:paraId="6BFB0A1E" w14:textId="59D87ED8" w:rsidR="0069104F" w:rsidRPr="00276F72" w:rsidRDefault="00AC145B" w:rsidP="003037FE">
            <w:pPr>
              <w:pStyle w:val="naislab"/>
              <w:spacing w:before="0" w:after="0"/>
              <w:jc w:val="both"/>
              <w:outlineLvl w:val="0"/>
            </w:pPr>
            <w:r w:rsidRPr="00276F72">
              <w:t>Pašreizējā situācija un problēmas, kuru risināšanai tiesību akta projekts izstrādāts, tiesiskā regulējuma mērķis un būtība</w:t>
            </w:r>
          </w:p>
          <w:p w14:paraId="75A07938" w14:textId="77777777" w:rsidR="0069104F" w:rsidRPr="00276F72" w:rsidRDefault="0069104F" w:rsidP="0069104F"/>
          <w:p w14:paraId="3A88FC3B" w14:textId="77777777" w:rsidR="0069104F" w:rsidRPr="00276F72" w:rsidRDefault="0069104F" w:rsidP="0069104F"/>
          <w:p w14:paraId="437433A6" w14:textId="77777777" w:rsidR="0069104F" w:rsidRPr="00276F72" w:rsidRDefault="0069104F" w:rsidP="0069104F"/>
          <w:p w14:paraId="5D8562C7" w14:textId="77777777" w:rsidR="0069104F" w:rsidRPr="00276F72" w:rsidRDefault="0069104F" w:rsidP="0069104F"/>
          <w:p w14:paraId="553F6BBD" w14:textId="77777777" w:rsidR="0069104F" w:rsidRPr="00276F72" w:rsidRDefault="0069104F" w:rsidP="0069104F"/>
          <w:p w14:paraId="2A27ED87" w14:textId="77777777" w:rsidR="0069104F" w:rsidRPr="00276F72" w:rsidRDefault="0069104F" w:rsidP="0069104F"/>
          <w:p w14:paraId="44FE8E77" w14:textId="77777777" w:rsidR="0069104F" w:rsidRPr="00276F72" w:rsidRDefault="0069104F" w:rsidP="0069104F"/>
          <w:p w14:paraId="0E3EE819" w14:textId="77777777" w:rsidR="0069104F" w:rsidRPr="00276F72" w:rsidRDefault="0069104F" w:rsidP="0069104F"/>
          <w:p w14:paraId="17D0E75A" w14:textId="77777777" w:rsidR="0069104F" w:rsidRPr="00276F72" w:rsidRDefault="0069104F" w:rsidP="0069104F"/>
          <w:p w14:paraId="1D7AF655" w14:textId="77777777" w:rsidR="0069104F" w:rsidRPr="00276F72" w:rsidRDefault="0069104F" w:rsidP="0069104F"/>
          <w:p w14:paraId="3171C71C" w14:textId="77777777" w:rsidR="0069104F" w:rsidRPr="00276F72" w:rsidRDefault="0069104F" w:rsidP="0069104F"/>
          <w:p w14:paraId="432A210E" w14:textId="77777777" w:rsidR="0069104F" w:rsidRPr="00276F72" w:rsidRDefault="0069104F" w:rsidP="0069104F"/>
          <w:p w14:paraId="1D5724A2" w14:textId="77777777" w:rsidR="0069104F" w:rsidRPr="00276F72" w:rsidRDefault="0069104F" w:rsidP="0069104F"/>
          <w:p w14:paraId="32CE19B8" w14:textId="77777777" w:rsidR="0069104F" w:rsidRPr="00276F72" w:rsidRDefault="0069104F" w:rsidP="0069104F"/>
          <w:p w14:paraId="2A647C6C" w14:textId="77777777" w:rsidR="0069104F" w:rsidRPr="00276F72" w:rsidRDefault="0069104F" w:rsidP="0069104F"/>
          <w:p w14:paraId="3EED9C63" w14:textId="77777777" w:rsidR="0069104F" w:rsidRPr="00276F72" w:rsidRDefault="0069104F" w:rsidP="0069104F"/>
          <w:p w14:paraId="48AAC29D" w14:textId="77777777" w:rsidR="0069104F" w:rsidRPr="00276F72" w:rsidRDefault="0069104F" w:rsidP="0069104F"/>
          <w:p w14:paraId="387371C2" w14:textId="77777777" w:rsidR="0069104F" w:rsidRPr="00276F72" w:rsidRDefault="0069104F" w:rsidP="0069104F"/>
          <w:p w14:paraId="0D7AF4F7" w14:textId="77777777" w:rsidR="0069104F" w:rsidRPr="00276F72" w:rsidRDefault="0069104F" w:rsidP="0069104F"/>
          <w:p w14:paraId="450D1126" w14:textId="77777777" w:rsidR="0069104F" w:rsidRPr="00276F72" w:rsidRDefault="0069104F" w:rsidP="0069104F"/>
          <w:p w14:paraId="3F4D4CDA" w14:textId="77777777" w:rsidR="0069104F" w:rsidRPr="00276F72" w:rsidRDefault="0069104F" w:rsidP="0069104F"/>
          <w:p w14:paraId="359AE283" w14:textId="77777777" w:rsidR="0069104F" w:rsidRPr="00276F72" w:rsidRDefault="0069104F" w:rsidP="0069104F"/>
          <w:p w14:paraId="529F114B" w14:textId="77777777" w:rsidR="0069104F" w:rsidRPr="00276F72" w:rsidRDefault="0069104F" w:rsidP="0069104F"/>
          <w:p w14:paraId="02642069" w14:textId="77777777" w:rsidR="0069104F" w:rsidRPr="00276F72" w:rsidRDefault="0069104F" w:rsidP="0069104F"/>
          <w:p w14:paraId="5A8908EA" w14:textId="77777777" w:rsidR="0069104F" w:rsidRPr="00276F72" w:rsidRDefault="0069104F" w:rsidP="0069104F"/>
          <w:p w14:paraId="54D2D255" w14:textId="77777777" w:rsidR="0069104F" w:rsidRPr="00276F72" w:rsidRDefault="0069104F" w:rsidP="0069104F"/>
          <w:p w14:paraId="2FF4BA3A" w14:textId="77777777" w:rsidR="0069104F" w:rsidRPr="00276F72" w:rsidRDefault="0069104F" w:rsidP="0069104F"/>
          <w:p w14:paraId="3E2AD180" w14:textId="77777777" w:rsidR="0069104F" w:rsidRPr="00276F72" w:rsidRDefault="0069104F" w:rsidP="0069104F"/>
          <w:p w14:paraId="0FA195C2" w14:textId="77777777" w:rsidR="0069104F" w:rsidRPr="00276F72" w:rsidRDefault="0069104F" w:rsidP="0069104F"/>
          <w:p w14:paraId="6958465A" w14:textId="2444EBBB" w:rsidR="0069104F" w:rsidRPr="00276F72" w:rsidRDefault="0069104F" w:rsidP="0069104F">
            <w:pPr>
              <w:tabs>
                <w:tab w:val="left" w:pos="1327"/>
              </w:tabs>
            </w:pPr>
            <w:r w:rsidRPr="00276F72">
              <w:tab/>
            </w:r>
          </w:p>
          <w:p w14:paraId="61871097" w14:textId="44FAECB9" w:rsidR="00AC145B" w:rsidRPr="00276F72" w:rsidRDefault="00AC145B" w:rsidP="0069104F"/>
        </w:tc>
        <w:tc>
          <w:tcPr>
            <w:tcW w:w="3732" w:type="pct"/>
            <w:gridSpan w:val="2"/>
          </w:tcPr>
          <w:p w14:paraId="37B6DFFC" w14:textId="728DA390" w:rsidR="00810CE0" w:rsidRPr="00276F72" w:rsidRDefault="0034323B" w:rsidP="004739F2">
            <w:pPr>
              <w:jc w:val="both"/>
            </w:pPr>
            <w:r w:rsidRPr="00276F72">
              <w:t xml:space="preserve">Saskaņā ar </w:t>
            </w:r>
            <w:r w:rsidR="00DA2BDA" w:rsidRPr="00276F72">
              <w:t>Eiropas Ekonomiskās zonas dibināšanas līguma I pielikuma 4. nodaļas 4.1.</w:t>
            </w:r>
            <w:r w:rsidR="00493C4F" w:rsidRPr="00276F72">
              <w:t xml:space="preserve"> </w:t>
            </w:r>
            <w:r w:rsidR="00DA2BDA" w:rsidRPr="00276F72">
              <w:t>apakšnodaļas 9.</w:t>
            </w:r>
            <w:r w:rsidR="0019031A" w:rsidRPr="00276F72">
              <w:t> </w:t>
            </w:r>
            <w:r w:rsidR="00DA2BDA" w:rsidRPr="00276F72">
              <w:t>punktā noteikto</w:t>
            </w:r>
            <w:r w:rsidR="00493C4F" w:rsidRPr="00276F72">
              <w:t xml:space="preserve"> (http://www.efta.int/media/documents/legal-texts/eea/the-eea-agreement/Annexes%20to%20the%20Agreement/annex1.pdf), Eiropas Ekonomisk</w:t>
            </w:r>
            <w:r w:rsidR="00645BC5" w:rsidRPr="00276F72">
              <w:t>ās</w:t>
            </w:r>
            <w:r w:rsidR="00493C4F" w:rsidRPr="00276F72">
              <w:t xml:space="preserve"> zon</w:t>
            </w:r>
            <w:r w:rsidR="00645BC5" w:rsidRPr="00276F72">
              <w:t>as</w:t>
            </w:r>
            <w:r w:rsidR="00493C4F" w:rsidRPr="00276F72">
              <w:t xml:space="preserve"> valstis, tostarp Norvēģija</w:t>
            </w:r>
            <w:r w:rsidR="00645BC5" w:rsidRPr="00276F72">
              <w:t>,</w:t>
            </w:r>
            <w:r w:rsidR="00493C4F" w:rsidRPr="00276F72">
              <w:t xml:space="preserve"> </w:t>
            </w:r>
            <w:r w:rsidR="00DA2BDA" w:rsidRPr="00276F72">
              <w:t>tirdzniecīb</w:t>
            </w:r>
            <w:r w:rsidR="00493C4F" w:rsidRPr="00276F72">
              <w:t>ā</w:t>
            </w:r>
            <w:r w:rsidR="00DA2BDA" w:rsidRPr="00276F72">
              <w:t xml:space="preserve"> </w:t>
            </w:r>
            <w:r w:rsidR="00493C4F" w:rsidRPr="00276F72">
              <w:t xml:space="preserve">ar briežu dzimtas dzīvniekiem </w:t>
            </w:r>
            <w:r w:rsidR="00645BC5" w:rsidRPr="00276F72">
              <w:t>ar</w:t>
            </w:r>
            <w:r w:rsidR="00493C4F" w:rsidRPr="00276F72">
              <w:t xml:space="preserve"> Eiropas Savienīb</w:t>
            </w:r>
            <w:r w:rsidR="00645BC5" w:rsidRPr="00276F72">
              <w:t>as</w:t>
            </w:r>
            <w:r w:rsidR="00493C4F" w:rsidRPr="00276F72">
              <w:t xml:space="preserve"> dalībvalstīm</w:t>
            </w:r>
            <w:r w:rsidR="00197AF3" w:rsidRPr="00276F72">
              <w:t xml:space="preserve"> (turpmāk – dalībvalstis)</w:t>
            </w:r>
            <w:r w:rsidR="00493C4F" w:rsidRPr="00276F72">
              <w:t xml:space="preserve"> piemēro </w:t>
            </w:r>
            <w:r w:rsidR="009C2A43" w:rsidRPr="00276F72">
              <w:t>Padomes 1992. gada 13. jūlija Direktīvā Nr.</w:t>
            </w:r>
            <w:r w:rsidR="0019031A" w:rsidRPr="00276F72">
              <w:t> </w:t>
            </w:r>
            <w:r w:rsidR="009C2A43" w:rsidRPr="00276F72">
              <w:t>92/65/</w:t>
            </w:r>
            <w:smartTag w:uri="schemas-tilde-lv/tildestengine" w:element="currency2">
              <w:smartTagPr>
                <w:attr w:name="currency_id" w:val="14"/>
                <w:attr w:name="currency_key" w:val="EEK"/>
                <w:attr w:name="currency_value" w:val="1"/>
                <w:attr w:name="currency_text" w:val="EEK"/>
              </w:smartTagPr>
              <w:r w:rsidR="009C2A43" w:rsidRPr="00276F72">
                <w:t>EEK</w:t>
              </w:r>
            </w:smartTag>
            <w:r w:rsidR="009C2A43" w:rsidRPr="00276F72">
              <w:t>, ar ko paredz dzīvnieku veselības prasības attiecībā uz tādu dzīvnieku, spermas, olšūnu un embriju tirdzniecību un importu Kopienā, uz kuriem neattiecas dzīvnieku veselības prasības, kas paredzētas īpašos Kopienas noteikumos, kuri minēti Direktīvas 90/425/EEK A</w:t>
            </w:r>
            <w:r w:rsidR="007F1118" w:rsidRPr="00276F72">
              <w:t> </w:t>
            </w:r>
            <w:r w:rsidR="009C2A43" w:rsidRPr="00276F72">
              <w:t>(I) pielikumā, noteiktās prasības</w:t>
            </w:r>
            <w:r w:rsidR="00493C4F" w:rsidRPr="00276F72">
              <w:t>, kura</w:t>
            </w:r>
            <w:r w:rsidR="009C2A43" w:rsidRPr="00276F72">
              <w:t>s</w:t>
            </w:r>
            <w:r w:rsidR="00493C4F" w:rsidRPr="00276F72">
              <w:t xml:space="preserve"> pārņemta</w:t>
            </w:r>
            <w:r w:rsidR="009C2A43" w:rsidRPr="00276F72">
              <w:t>s</w:t>
            </w:r>
            <w:r w:rsidR="00493C4F" w:rsidRPr="00276F72">
              <w:t xml:space="preserve"> ar </w:t>
            </w:r>
            <w:r w:rsidR="00810CE0" w:rsidRPr="00276F72">
              <w:t>Ministru kabineta 2017. </w:t>
            </w:r>
            <w:r w:rsidR="00174119" w:rsidRPr="00276F72">
              <w:t>gada 3. janvāra noteikumiem Nr. 17 “</w:t>
            </w:r>
            <w:r w:rsidR="00810CE0" w:rsidRPr="00276F72">
              <w:t>Veterinārās prasības to dzīvnieku apritei, kas nav minēti citos normatīvajos aktos par veterināro kontroli”</w:t>
            </w:r>
            <w:r w:rsidR="004739F2" w:rsidRPr="00276F72">
              <w:t xml:space="preserve">. </w:t>
            </w:r>
          </w:p>
          <w:p w14:paraId="1B39116C" w14:textId="03AC9578" w:rsidR="00197AF3" w:rsidRPr="00276F72" w:rsidRDefault="000E1EB6" w:rsidP="004739F2">
            <w:pPr>
              <w:pStyle w:val="naiskr"/>
              <w:spacing w:before="0" w:beforeAutospacing="0" w:after="0" w:afterAutospacing="0"/>
              <w:jc w:val="both"/>
              <w:rPr>
                <w:bCs/>
              </w:rPr>
            </w:pPr>
            <w:r w:rsidRPr="00276F72">
              <w:t>Ņemot vērā, ka Norvēģijā kopš 2016. gada 15. mart</w:t>
            </w:r>
            <w:r w:rsidR="00521289" w:rsidRPr="00276F72">
              <w:t>a</w:t>
            </w:r>
            <w:r w:rsidRPr="00276F72">
              <w:t xml:space="preserve"> ir konstatēti pieci </w:t>
            </w:r>
            <w:r w:rsidR="00521289" w:rsidRPr="00276F72">
              <w:t xml:space="preserve">saslimšanas gadījumi </w:t>
            </w:r>
            <w:r w:rsidRPr="00276F72">
              <w:t>ar hroniskā</w:t>
            </w:r>
            <w:r w:rsidR="00521289" w:rsidRPr="00276F72">
              <w:t>s</w:t>
            </w:r>
            <w:r w:rsidRPr="00276F72">
              <w:t xml:space="preserve"> novājēšanas slimību (turpmāk – HNS) savvaļas un ierobežotajās platībās audzētajiem ziemeļbriežiem, kā arī savvaļas aļ</w:t>
            </w:r>
            <w:r w:rsidR="00197AF3" w:rsidRPr="00276F72">
              <w:t>ņiem un</w:t>
            </w:r>
            <w:r w:rsidR="005B1291" w:rsidRPr="00276F72">
              <w:t>,</w:t>
            </w:r>
            <w:r w:rsidR="00197AF3" w:rsidRPr="00276F72">
              <w:t xml:space="preserve"> lai ierobežotu HNS izplatību Eiropas Savienībā, ir pieņemts Komisijas </w:t>
            </w:r>
            <w:r w:rsidR="00197AF3" w:rsidRPr="00276F72">
              <w:rPr>
                <w:bCs/>
              </w:rPr>
              <w:t>2016. gada 28. oktobra Īstenošanas lēmums (ES) Nr.</w:t>
            </w:r>
            <w:r w:rsidR="0019031A" w:rsidRPr="00276F72">
              <w:rPr>
                <w:bCs/>
              </w:rPr>
              <w:t> </w:t>
            </w:r>
            <w:r w:rsidR="00197AF3" w:rsidRPr="00276F72">
              <w:rPr>
                <w:bCs/>
              </w:rPr>
              <w:t xml:space="preserve">2016/1918 par dažiem drošības pasākumiem attiecībā uz hronisko novājēšanas slimību (turpmāk </w:t>
            </w:r>
            <w:r w:rsidR="00197AF3" w:rsidRPr="00276F72">
              <w:t xml:space="preserve">– </w:t>
            </w:r>
            <w:r w:rsidR="006A2C50" w:rsidRPr="00276F72">
              <w:t xml:space="preserve">Īstenošanas </w:t>
            </w:r>
            <w:r w:rsidR="00197AF3" w:rsidRPr="00276F72">
              <w:t>lēmums Nr.</w:t>
            </w:r>
            <w:r w:rsidR="0019031A" w:rsidRPr="00276F72">
              <w:t> </w:t>
            </w:r>
            <w:r w:rsidR="00197AF3" w:rsidRPr="00276F72">
              <w:t>2016/1918)</w:t>
            </w:r>
            <w:r w:rsidR="00197AF3" w:rsidRPr="00276F72">
              <w:rPr>
                <w:bCs/>
              </w:rPr>
              <w:t>, kurā līdz 2017. gada 31. decembrim ir noteiktas briežu dzimtas dzīvnieku pārvietošanas prasības starp Norvēģiju un dalībvalstīm.</w:t>
            </w:r>
          </w:p>
          <w:p w14:paraId="775E20DE" w14:textId="77777777" w:rsidR="005B1291" w:rsidRPr="00276F72" w:rsidRDefault="005B1291" w:rsidP="00197AF3">
            <w:pPr>
              <w:pStyle w:val="naiskr"/>
              <w:spacing w:before="0" w:beforeAutospacing="0" w:after="0" w:afterAutospacing="0"/>
              <w:jc w:val="both"/>
              <w:rPr>
                <w:bCs/>
              </w:rPr>
            </w:pPr>
          </w:p>
          <w:p w14:paraId="711FCD2C" w14:textId="5ED97C36" w:rsidR="005B1291" w:rsidRPr="00276F72" w:rsidRDefault="005B1291" w:rsidP="0068643B">
            <w:pPr>
              <w:pStyle w:val="naiskr"/>
              <w:spacing w:before="0" w:beforeAutospacing="0" w:after="0" w:afterAutospacing="0"/>
              <w:jc w:val="both"/>
              <w:rPr>
                <w:iCs/>
                <w:lang w:eastAsia="ko-KR"/>
              </w:rPr>
            </w:pPr>
            <w:r w:rsidRPr="00276F72">
              <w:t>HNS ir hroniska centrālās nervu sistēmas slimība briežu dzimtas dzīvniekiem, kuriem novēro sugai neraksturīgas pārmaiņas uzvedībā, kustību traucējumus un organisma vispārējā stāvokļa pasliktināšanos, kā arī nav izslēgtas a</w:t>
            </w:r>
            <w:r w:rsidRPr="00276F72">
              <w:rPr>
                <w:iCs/>
              </w:rPr>
              <w:t>izdomas, ka HNS var ra</w:t>
            </w:r>
            <w:r w:rsidRPr="00276F72">
              <w:rPr>
                <w:iCs/>
                <w:lang w:eastAsia="ko-KR"/>
              </w:rPr>
              <w:t xml:space="preserve">dīt risku sabiedrības veselībai. </w:t>
            </w:r>
            <w:r w:rsidRPr="00276F72">
              <w:t>HNS ir viena no slimībām, kas ietilpst transmisīv</w:t>
            </w:r>
            <w:r w:rsidR="00103581" w:rsidRPr="00276F72">
              <w:t>o</w:t>
            </w:r>
            <w:r w:rsidRPr="00276F72">
              <w:t xml:space="preserve"> sūkļveida encefalopātij</w:t>
            </w:r>
            <w:r w:rsidR="00103581" w:rsidRPr="00276F72">
              <w:t>u</w:t>
            </w:r>
            <w:r w:rsidRPr="00276F72">
              <w:t xml:space="preserve"> (turpmāk – TSE) </w:t>
            </w:r>
            <w:r w:rsidRPr="00276F72">
              <w:rPr>
                <w:iCs/>
              </w:rPr>
              <w:t xml:space="preserve">slimību grupā. Vēl TSE slimību grupā ietilpst </w:t>
            </w:r>
            <w:r w:rsidRPr="00276F72">
              <w:t xml:space="preserve">šādas slimības – </w:t>
            </w:r>
            <w:r w:rsidRPr="00276F72">
              <w:rPr>
                <w:i/>
              </w:rPr>
              <w:t>g</w:t>
            </w:r>
            <w:r w:rsidRPr="00276F72">
              <w:rPr>
                <w:rStyle w:val="Izclums"/>
                <w:bCs/>
                <w:i w:val="0"/>
              </w:rPr>
              <w:t>ovju sūkļveida encefalopātija (turpmāk – GSE),</w:t>
            </w:r>
            <w:r w:rsidRPr="00276F72">
              <w:rPr>
                <w:rStyle w:val="Izclums"/>
                <w:bCs/>
              </w:rPr>
              <w:t xml:space="preserve"> s</w:t>
            </w:r>
            <w:r w:rsidRPr="00276F72">
              <w:t>krepi slimība, ūdeļu transmisīvā encefalopātija, kaķu sūkļvei</w:t>
            </w:r>
            <w:r w:rsidR="004739F2" w:rsidRPr="00276F72">
              <w:t>da encefalopātija, Kreicfelda-Ja</w:t>
            </w:r>
            <w:r w:rsidRPr="00276F72">
              <w:t>koba slimība (pārsvarā slimo vecāki cilvēki, slimība zināma kopš 1920. gada), Kreicfelda-Jakoba slimības variants (pārsvarā slimo jaunāki cilvēki, slimība zināma kopš 1996. gada un tiek uzskatīts, ka šīs slimības cēlonis ir ar GSE slimu dzīvnieku gaļas un š</w:t>
            </w:r>
            <w:r w:rsidR="003827EF" w:rsidRPr="00276F72">
              <w:t>ā</w:t>
            </w:r>
            <w:r w:rsidRPr="00276F72">
              <w:t>das gaļas produktu lietošana cilvēku uzturā).</w:t>
            </w:r>
          </w:p>
          <w:p w14:paraId="6C0EF9CF" w14:textId="77777777" w:rsidR="00197AF3" w:rsidRPr="00276F72" w:rsidRDefault="00197AF3" w:rsidP="00F768AC">
            <w:pPr>
              <w:pStyle w:val="Default"/>
              <w:jc w:val="both"/>
            </w:pPr>
          </w:p>
          <w:p w14:paraId="15925889" w14:textId="7E321832" w:rsidR="00F768AC" w:rsidRPr="00276F72" w:rsidRDefault="00F768AC" w:rsidP="00F768AC">
            <w:pPr>
              <w:pStyle w:val="Default"/>
              <w:jc w:val="both"/>
            </w:pPr>
            <w:r w:rsidRPr="00276F72">
              <w:t xml:space="preserve">2016. gada 2. decembrī Eiropas Pārtikas nekaitīguma iestāde (turpmāk – EFSA) </w:t>
            </w:r>
            <w:r w:rsidR="0068643B" w:rsidRPr="00276F72">
              <w:t xml:space="preserve">sniedza </w:t>
            </w:r>
            <w:r w:rsidRPr="00276F72">
              <w:t>atzinumu</w:t>
            </w:r>
            <w:r w:rsidR="00AF11A6" w:rsidRPr="00276F72">
              <w:t xml:space="preserve">, </w:t>
            </w:r>
            <w:r w:rsidRPr="00276F72">
              <w:t xml:space="preserve">kurā ir norādīts, ka nepieciešams veikt laboratoriskos izmeklējumus augsta riska briežu dzimtas dzīvniekiem. Atzinumā noteikts, ka augsta riska briežu dzimtas dzīvnieki ir aļņi, </w:t>
            </w:r>
            <w:r w:rsidRPr="00276F72">
              <w:lastRenderedPageBreak/>
              <w:t>baltastes brieži, staltbrieži, stirnas un ziemeļbrieži, kuri ir vecāki par 12 mēnešiem un atrasti beigti vecum</w:t>
            </w:r>
            <w:r w:rsidR="00B05994" w:rsidRPr="00276F72">
              <w:t>a</w:t>
            </w:r>
            <w:r w:rsidRPr="00276F72">
              <w:t>, slimību, citu dzīvnieku uzbrukumu dēļ vai notriekti transporta negadījumā uz autoceļiem vai dzelzceļa, kā arī t</w:t>
            </w:r>
            <w:r w:rsidR="00472BA4" w:rsidRPr="00276F72">
              <w:t>ie</w:t>
            </w:r>
            <w:r w:rsidRPr="00276F72">
              <w:t>, kuri nokauti, nošauti un atzīti kā pārtikai nederīgi, tāpat arī t</w:t>
            </w:r>
            <w:r w:rsidR="00472BA4" w:rsidRPr="00276F72">
              <w:t>ie,</w:t>
            </w:r>
            <w:r w:rsidRPr="00276F72">
              <w:t xml:space="preserve"> kuriem novēro HNS raksturīgās klīniski patoloģiskās pazīmes – siekalošanā</w:t>
            </w:r>
            <w:r w:rsidR="00472BA4" w:rsidRPr="00276F72">
              <w:t>s</w:t>
            </w:r>
            <w:r w:rsidRPr="00276F72">
              <w:t>, novājēšana, kustību traucējumi, sugai neraksturīgas pārmaiņas uzvedībā, nīkuļošana vai neiroloģiskas pazīmes</w:t>
            </w:r>
            <w:r w:rsidR="00AF11A6" w:rsidRPr="00276F72">
              <w:rPr>
                <w:bCs/>
              </w:rPr>
              <w:t xml:space="preserve"> (</w:t>
            </w:r>
            <w:hyperlink r:id="rId8" w:history="1">
              <w:r w:rsidR="00AF11A6" w:rsidRPr="00276F72">
                <w:rPr>
                  <w:rStyle w:val="Hipersaite"/>
                </w:rPr>
                <w:t>http://www.efsa.europa.eu/en/efsajournal/pub/4667</w:t>
              </w:r>
            </w:hyperlink>
            <w:r w:rsidR="00AF11A6" w:rsidRPr="00276F72">
              <w:rPr>
                <w:rStyle w:val="Hipersaite"/>
              </w:rPr>
              <w:t>)</w:t>
            </w:r>
            <w:r w:rsidRPr="00276F72">
              <w:t>.</w:t>
            </w:r>
          </w:p>
          <w:p w14:paraId="2A5B4D9F" w14:textId="764CAB56" w:rsidR="00F768AC" w:rsidRPr="00276F72" w:rsidRDefault="00F768AC" w:rsidP="00F768AC">
            <w:pPr>
              <w:pStyle w:val="Default"/>
              <w:jc w:val="both"/>
            </w:pPr>
            <w:r w:rsidRPr="00276F72">
              <w:t>Pamatojoties uz EFSA atzinumu</w:t>
            </w:r>
            <w:r w:rsidR="005B1291" w:rsidRPr="00276F72">
              <w:t>,</w:t>
            </w:r>
            <w:r w:rsidRPr="00276F72">
              <w:t xml:space="preserve"> Eiropas Komisija gatavo sešām dalībvalstīm, t.sk. Latvijai</w:t>
            </w:r>
            <w:r w:rsidR="00DB18D3" w:rsidRPr="00276F72">
              <w:t>,</w:t>
            </w:r>
            <w:r w:rsidRPr="00276F72">
              <w:t xml:space="preserve"> HN</w:t>
            </w:r>
            <w:r w:rsidR="005B1291" w:rsidRPr="00276F72">
              <w:t>S uzraudzības programmu 2018. – </w:t>
            </w:r>
            <w:r w:rsidRPr="00276F72">
              <w:t xml:space="preserve">2020. gadam. </w:t>
            </w:r>
          </w:p>
          <w:p w14:paraId="0BBD9C0A" w14:textId="69A27F07" w:rsidR="00197AF3" w:rsidRPr="00276F72" w:rsidRDefault="00197AF3" w:rsidP="00197AF3">
            <w:pPr>
              <w:pStyle w:val="Default"/>
              <w:jc w:val="both"/>
            </w:pPr>
            <w:r w:rsidRPr="00276F72">
              <w:t>Tāpat EFSA atzinumā ir norādīts, ka HNS izraisītais risks sabiedrības veselībai tiek pētīts, bet ir secināts, ka</w:t>
            </w:r>
            <w:r w:rsidR="00174119" w:rsidRPr="00276F72">
              <w:t xml:space="preserve"> HNS nav saistīta ar Kreicfel</w:t>
            </w:r>
            <w:r w:rsidR="00557BAE" w:rsidRPr="00276F72">
              <w:t>da -</w:t>
            </w:r>
            <w:r w:rsidR="00174119" w:rsidRPr="00276F72">
              <w:t>J</w:t>
            </w:r>
            <w:r w:rsidRPr="00276F72">
              <w:t>akoba slimības variantu.</w:t>
            </w:r>
          </w:p>
          <w:p w14:paraId="0417E5DB" w14:textId="0E365703" w:rsidR="00197AF3" w:rsidRPr="00276F72" w:rsidRDefault="005B1291" w:rsidP="005B1291">
            <w:pPr>
              <w:pStyle w:val="Default"/>
              <w:jc w:val="both"/>
            </w:pPr>
            <w:r w:rsidRPr="00276F72">
              <w:t>Tāpat EFSA</w:t>
            </w:r>
            <w:r w:rsidRPr="00276F72">
              <w:rPr>
                <w:i/>
              </w:rPr>
              <w:t xml:space="preserve"> </w:t>
            </w:r>
            <w:r w:rsidR="00197AF3" w:rsidRPr="00276F72">
              <w:t>atzinumā ir norādīts, ka ir nepieciešams noteikt aizliegumu ievest briežu dzimtas dzīvnieku urīnu, kas pare</w:t>
            </w:r>
            <w:r w:rsidRPr="00276F72">
              <w:t>dzēts dzīvnieku pievilināšanai. Ņemot vērā minēto, i</w:t>
            </w:r>
            <w:r w:rsidR="00197AF3" w:rsidRPr="00276F72">
              <w:rPr>
                <w:bCs/>
              </w:rPr>
              <w:t xml:space="preserve">r stājušies spēkā Ministru kabineta </w:t>
            </w:r>
            <w:r w:rsidR="00197AF3" w:rsidRPr="00276F72">
              <w:t xml:space="preserve">2016. gada 6. decembra </w:t>
            </w:r>
            <w:r w:rsidR="00197AF3" w:rsidRPr="00276F72">
              <w:rPr>
                <w:bCs/>
              </w:rPr>
              <w:t>noteikumi Nr.762 “</w:t>
            </w:r>
            <w:r w:rsidR="00197AF3" w:rsidRPr="00276F72">
              <w:t xml:space="preserve">Grozījumi Ministru kabineta 2012. gada 17. aprīļa noteikumos Nr. 275 </w:t>
            </w:r>
            <w:r w:rsidR="00117C2C" w:rsidRPr="00276F72">
              <w:t>“</w:t>
            </w:r>
            <w:hyperlink r:id="rId9" w:tgtFrame="_blank" w:history="1">
              <w:r w:rsidR="00197AF3" w:rsidRPr="00276F72">
                <w:t>Prasības tādu dzīvnieku izcelsmes blakusproduktu un atvasinātu produktu apritei, kas nav paredzēti cilvēku patēriņam</w:t>
              </w:r>
            </w:hyperlink>
            <w:r w:rsidR="00197AF3" w:rsidRPr="00276F72">
              <w:t xml:space="preserve">””, kuros ir noteikts </w:t>
            </w:r>
            <w:r w:rsidR="00197AF3" w:rsidRPr="00276F72">
              <w:rPr>
                <w:bCs/>
              </w:rPr>
              <w:t>aizliegums dzīvnieku pievilināšanai paredzētā briežu dzimtas dzīvnieku urīna izmantošanai, laišanai tirgū Latvijas teritorijā, ievešanai no trešajām valstīm un dalībvalstīm, kā arī eksportēšanai.</w:t>
            </w:r>
          </w:p>
          <w:p w14:paraId="23D9BB35" w14:textId="77777777" w:rsidR="00B05994" w:rsidRPr="00276F72" w:rsidRDefault="00B05994" w:rsidP="002F6C76">
            <w:pPr>
              <w:autoSpaceDE w:val="0"/>
              <w:autoSpaceDN w:val="0"/>
              <w:adjustRightInd w:val="0"/>
              <w:jc w:val="both"/>
            </w:pPr>
          </w:p>
          <w:p w14:paraId="6DDAA965" w14:textId="60E87138" w:rsidR="00A64AB0" w:rsidRPr="00276F72" w:rsidRDefault="00890B8F" w:rsidP="00557BAE">
            <w:pPr>
              <w:jc w:val="both"/>
              <w:rPr>
                <w:i/>
              </w:rPr>
            </w:pPr>
            <w:r w:rsidRPr="00276F72">
              <w:rPr>
                <w:bCs/>
              </w:rPr>
              <w:t>P</w:t>
            </w:r>
            <w:r w:rsidRPr="00276F72">
              <w:rPr>
                <w:iCs/>
              </w:rPr>
              <w:t xml:space="preserve">ašlaik Latvijā </w:t>
            </w:r>
            <w:r w:rsidR="002F6C76" w:rsidRPr="00276F72">
              <w:rPr>
                <w:iCs/>
              </w:rPr>
              <w:t>TSE</w:t>
            </w:r>
            <w:r w:rsidRPr="00276F72">
              <w:rPr>
                <w:iCs/>
              </w:rPr>
              <w:t xml:space="preserve"> uzraudzības, kontroles un </w:t>
            </w:r>
            <w:r w:rsidRPr="00276F72">
              <w:t>apkarošanas pasākumus dzīvnieku ganāmpulkos reglamentē</w:t>
            </w:r>
            <w:r w:rsidRPr="00276F72">
              <w:rPr>
                <w:iCs/>
              </w:rPr>
              <w:t xml:space="preserve"> Eiropas Parlamenta un Padomes 2001. gada 22. maija Regula Nr.</w:t>
            </w:r>
            <w:r w:rsidR="0019031A" w:rsidRPr="00276F72">
              <w:rPr>
                <w:iCs/>
              </w:rPr>
              <w:t> </w:t>
            </w:r>
            <w:r w:rsidRPr="00276F72">
              <w:rPr>
                <w:iCs/>
              </w:rPr>
              <w:t>999/2001, ar ko paredz noteikumus transmisīvo sūkļveida encefalopātiju profilaksei, kontrolei un apkarošanai (turpmāk – Regula Nr.</w:t>
            </w:r>
            <w:r w:rsidR="0019031A" w:rsidRPr="00276F72">
              <w:rPr>
                <w:iCs/>
              </w:rPr>
              <w:t> </w:t>
            </w:r>
            <w:r w:rsidRPr="00276F72">
              <w:rPr>
                <w:iCs/>
              </w:rPr>
              <w:t xml:space="preserve">999/2001), </w:t>
            </w:r>
            <w:r w:rsidRPr="00276F72">
              <w:t xml:space="preserve">kuras mērķis ir nodrošināt, lai tiktu veikti atbilstoši pasākumi TSE noteikšanai, kontrolei un apkarošanai. </w:t>
            </w:r>
            <w:r w:rsidR="002F6C76" w:rsidRPr="00276F72">
              <w:t>Tāpat s</w:t>
            </w:r>
            <w:r w:rsidR="000E1EB6" w:rsidRPr="00276F72">
              <w:t xml:space="preserve">askaņā ar </w:t>
            </w:r>
            <w:r w:rsidR="00071FCC" w:rsidRPr="00276F72">
              <w:t xml:space="preserve">Regulas </w:t>
            </w:r>
            <w:r w:rsidR="00D34DEB" w:rsidRPr="00276F72">
              <w:t>Nr.</w:t>
            </w:r>
            <w:r w:rsidR="0019031A" w:rsidRPr="00276F72">
              <w:t> </w:t>
            </w:r>
            <w:r w:rsidR="00D34DEB" w:rsidRPr="00276F72">
              <w:t>999/2001</w:t>
            </w:r>
            <w:r w:rsidRPr="00276F72">
              <w:t xml:space="preserve"> </w:t>
            </w:r>
            <w:r w:rsidR="00D34DEB" w:rsidRPr="00276F72">
              <w:t>III pielikuma A nodaļas III daļā</w:t>
            </w:r>
            <w:r w:rsidRPr="00276F72">
              <w:t xml:space="preserve"> </w:t>
            </w:r>
            <w:r w:rsidR="000E1EB6" w:rsidRPr="00276F72">
              <w:t xml:space="preserve">noteikto, </w:t>
            </w:r>
            <w:r w:rsidR="00521289" w:rsidRPr="00276F72">
              <w:t>dalībvalstis</w:t>
            </w:r>
            <w:r w:rsidR="00D34DEB" w:rsidRPr="00276F72">
              <w:t xml:space="preserve"> var veikt TSE uzraudzības </w:t>
            </w:r>
            <w:r w:rsidR="00660596" w:rsidRPr="00276F72">
              <w:t>pasākumus dzīvniekiem, kuri nav govju, kazas vai aitu dzimtas dz</w:t>
            </w:r>
            <w:r w:rsidR="00C25DAB" w:rsidRPr="00276F72">
              <w:t>īvnieki</w:t>
            </w:r>
            <w:r w:rsidR="002F6C76" w:rsidRPr="00276F72">
              <w:t xml:space="preserve">. Ņemot vērā minēto, ir nepieciešams noteikt </w:t>
            </w:r>
            <w:r w:rsidR="00A64AB0" w:rsidRPr="00276F72">
              <w:t>HNS uzraudzības un kontroles pasākumus Latvijā, ar mērķi veikt epidemioloģisko izmeklēšanu un patoloģiskā materiāla laboratorisko izmeklēšanu, ja rodas aizdomas par briežu dzimtas dzīvnieku inficēšanos ar HNS</w:t>
            </w:r>
            <w:r w:rsidR="00BD28F2" w:rsidRPr="00276F72">
              <w:t xml:space="preserve"> (</w:t>
            </w:r>
            <w:r w:rsidR="005B1291" w:rsidRPr="00276F72">
              <w:t>briežu dzimtas dzīvniekam novēro hroniskās novājēšanas slimības raksturīgās klīniski patoloģiskās pazīmes (siekalošanā</w:t>
            </w:r>
            <w:r w:rsidR="00921E32" w:rsidRPr="00276F72">
              <w:t>s</w:t>
            </w:r>
            <w:r w:rsidR="005B1291" w:rsidRPr="00276F72">
              <w:t xml:space="preserve">, novājēšana, kustību traucējumi, sugai neraksturīgas pārmaiņas uzvedībā, nīkuļošana vai neiroloģiskas pazīmes) vai dzīvnieks atrasts beigts vecuma, slimību, citu dzīvnieku uzbrukumu dēļ vai notriekts transporta negadījumā uz autoceļa vai dzelzceļa, kā arī tas, kurš nokauts, nošauts un atzīts kā pārtikai nederīgs). </w:t>
            </w:r>
            <w:r w:rsidR="00A64AB0" w:rsidRPr="00276F72">
              <w:t xml:space="preserve">Pasākuma ieviešana </w:t>
            </w:r>
            <w:r w:rsidR="00BD28F2" w:rsidRPr="00276F72">
              <w:t>veicinās</w:t>
            </w:r>
            <w:r w:rsidR="00A64AB0" w:rsidRPr="00276F72">
              <w:t xml:space="preserve"> jebkurai personai ziņot </w:t>
            </w:r>
            <w:r w:rsidR="005B1291" w:rsidRPr="00276F72">
              <w:t>Valsts meža dienesta</w:t>
            </w:r>
            <w:r w:rsidR="00A5762E" w:rsidRPr="00276F72">
              <w:t>m</w:t>
            </w:r>
            <w:r w:rsidR="00F942BF" w:rsidRPr="00276F72">
              <w:t xml:space="preserve"> </w:t>
            </w:r>
            <w:r w:rsidR="0068643B" w:rsidRPr="00276F72">
              <w:t>par briežu dzimtas dzīvnieku, par kuru ir aizdomas, ka tas inficējies ar HNS</w:t>
            </w:r>
            <w:r w:rsidR="00AF11A6" w:rsidRPr="00276F72">
              <w:t xml:space="preserve">, </w:t>
            </w:r>
            <w:r w:rsidR="00A64AB0" w:rsidRPr="00276F72">
              <w:t xml:space="preserve">tā </w:t>
            </w:r>
            <w:r w:rsidR="00BD28F2" w:rsidRPr="00276F72">
              <w:t xml:space="preserve">savlaicīgi konstatējot HNS uzliesmojumu, kā arī </w:t>
            </w:r>
            <w:r w:rsidR="00A64AB0" w:rsidRPr="00276F72">
              <w:t xml:space="preserve">ilgtermiņā pasargājot valsti no </w:t>
            </w:r>
            <w:r w:rsidR="00BD28F2" w:rsidRPr="00276F72">
              <w:t xml:space="preserve">HNS </w:t>
            </w:r>
            <w:r w:rsidR="00A64AB0" w:rsidRPr="00276F72">
              <w:t>uzliesmojuma</w:t>
            </w:r>
            <w:r w:rsidR="00BD28F2" w:rsidRPr="00276F72">
              <w:t xml:space="preserve"> izplatības</w:t>
            </w:r>
            <w:r w:rsidR="00A64AB0" w:rsidRPr="00276F72">
              <w:t>.</w:t>
            </w:r>
          </w:p>
          <w:p w14:paraId="78A16FEA" w14:textId="77777777" w:rsidR="00B05994" w:rsidRPr="00276F72" w:rsidRDefault="00B05994" w:rsidP="001B6512">
            <w:pPr>
              <w:autoSpaceDE w:val="0"/>
              <w:autoSpaceDN w:val="0"/>
              <w:adjustRightInd w:val="0"/>
              <w:jc w:val="both"/>
              <w:rPr>
                <w:bCs/>
              </w:rPr>
            </w:pPr>
          </w:p>
          <w:p w14:paraId="644F5752" w14:textId="1152DF29" w:rsidR="003652E2" w:rsidRPr="00276F72" w:rsidRDefault="001B6512" w:rsidP="001B6512">
            <w:pPr>
              <w:autoSpaceDE w:val="0"/>
              <w:autoSpaceDN w:val="0"/>
              <w:adjustRightInd w:val="0"/>
              <w:jc w:val="both"/>
              <w:rPr>
                <w:rFonts w:eastAsiaTheme="minorHAnsi"/>
                <w:bCs/>
                <w:lang w:eastAsia="en-US"/>
              </w:rPr>
            </w:pPr>
            <w:r w:rsidRPr="00276F72">
              <w:rPr>
                <w:bCs/>
              </w:rPr>
              <w:t xml:space="preserve">Ir spēkā Eiropas Komisijas 2007. gada 19. marta lēmums </w:t>
            </w:r>
            <w:r w:rsidRPr="00276F72">
              <w:rPr>
                <w:bCs/>
              </w:rPr>
              <w:lastRenderedPageBreak/>
              <w:t>Nr.</w:t>
            </w:r>
            <w:r w:rsidR="00AF11A6" w:rsidRPr="00276F72">
              <w:rPr>
                <w:bCs/>
              </w:rPr>
              <w:t> </w:t>
            </w:r>
            <w:r w:rsidRPr="00276F72">
              <w:rPr>
                <w:bCs/>
              </w:rPr>
              <w:t xml:space="preserve">2007/182/EK </w:t>
            </w:r>
            <w:r w:rsidRPr="00276F72">
              <w:rPr>
                <w:rFonts w:eastAsiaTheme="minorHAnsi"/>
                <w:bCs/>
                <w:lang w:eastAsia="en-US"/>
              </w:rPr>
              <w:t>par apsekojumu saistībā ar briežu dzimtas dzīvnieku hronisko novājēšanas slimību</w:t>
            </w:r>
            <w:r w:rsidR="003652E2" w:rsidRPr="00276F72">
              <w:rPr>
                <w:rFonts w:eastAsiaTheme="minorHAnsi"/>
                <w:bCs/>
                <w:lang w:eastAsia="en-US"/>
              </w:rPr>
              <w:t xml:space="preserve"> (turpmāk - </w:t>
            </w:r>
            <w:r w:rsidR="003652E2" w:rsidRPr="00276F72">
              <w:rPr>
                <w:bCs/>
              </w:rPr>
              <w:t>lēmums Nr.</w:t>
            </w:r>
            <w:r w:rsidR="00AF11A6" w:rsidRPr="00276F72">
              <w:rPr>
                <w:bCs/>
              </w:rPr>
              <w:t> </w:t>
            </w:r>
            <w:r w:rsidR="003652E2" w:rsidRPr="00276F72">
              <w:rPr>
                <w:bCs/>
              </w:rPr>
              <w:t>2007/182/EK)</w:t>
            </w:r>
            <w:r w:rsidRPr="00276F72">
              <w:rPr>
                <w:rFonts w:eastAsiaTheme="minorHAnsi"/>
                <w:bCs/>
                <w:lang w:eastAsia="en-US"/>
              </w:rPr>
              <w:t xml:space="preserve">, kurā ir noteiktas </w:t>
            </w:r>
            <w:r w:rsidR="003652E2" w:rsidRPr="00276F72">
              <w:rPr>
                <w:rFonts w:eastAsiaTheme="minorHAnsi"/>
                <w:bCs/>
                <w:lang w:eastAsia="en-US"/>
              </w:rPr>
              <w:t>patoloģiskā materiāla parauga laboratoriskās izmeklēšanas kārtība HNS diagnozes noteikšanas gadījumā.</w:t>
            </w:r>
          </w:p>
          <w:p w14:paraId="52D5D39B" w14:textId="7A7147FE" w:rsidR="00776449" w:rsidRPr="00276F72" w:rsidRDefault="00CA041E" w:rsidP="001B6512">
            <w:pPr>
              <w:autoSpaceDE w:val="0"/>
              <w:autoSpaceDN w:val="0"/>
              <w:adjustRightInd w:val="0"/>
              <w:jc w:val="both"/>
              <w:rPr>
                <w:b/>
              </w:rPr>
            </w:pPr>
            <w:r w:rsidRPr="00276F72">
              <w:t>Ievērojot minēto, ir nepieciešams izstrādāt Minist</w:t>
            </w:r>
            <w:r w:rsidR="00A443F7" w:rsidRPr="00276F72">
              <w:t xml:space="preserve">ru kabineta noteikuma projektu „Hroniskās novājēšanas slimības uzraudzības un kontroles </w:t>
            </w:r>
            <w:r w:rsidR="00AF11A6" w:rsidRPr="00276F72">
              <w:t>kārtība</w:t>
            </w:r>
            <w:r w:rsidR="00A443F7" w:rsidRPr="00276F72">
              <w:t xml:space="preserve">” (turpmāk – noteikuma </w:t>
            </w:r>
            <w:r w:rsidR="00615E79" w:rsidRPr="00276F72">
              <w:t xml:space="preserve">projekts), </w:t>
            </w:r>
            <w:r w:rsidR="00776449" w:rsidRPr="00276F72">
              <w:t>kas reglamentē</w:t>
            </w:r>
            <w:r w:rsidR="00615E79" w:rsidRPr="00276F72">
              <w:t>tu</w:t>
            </w:r>
            <w:r w:rsidR="00776449" w:rsidRPr="00276F72">
              <w:t xml:space="preserve"> briežu dzimtas dzīvnieku pārvietošanas nosacījumus starp </w:t>
            </w:r>
            <w:r w:rsidR="00521289" w:rsidRPr="00276F72">
              <w:t>dalībvalstīm</w:t>
            </w:r>
            <w:r w:rsidR="00615E79" w:rsidRPr="00276F72">
              <w:rPr>
                <w:b/>
              </w:rPr>
              <w:t xml:space="preserve"> </w:t>
            </w:r>
            <w:r w:rsidR="00776449" w:rsidRPr="00276F72">
              <w:t>un Norvēģiju, kā arī HNS uzraudzības un kontroles pasākumus, nosakot tiesisko regulējumu iesaistītajām personām un institūcijām.</w:t>
            </w:r>
          </w:p>
          <w:p w14:paraId="7023D3F2" w14:textId="77777777" w:rsidR="00AB2F51" w:rsidRPr="00276F72" w:rsidRDefault="00CF16CB" w:rsidP="00072B42">
            <w:pPr>
              <w:jc w:val="both"/>
            </w:pPr>
            <w:r w:rsidRPr="00276F72">
              <w:rPr>
                <w:bCs/>
              </w:rPr>
              <w:t xml:space="preserve">Noteikumu projektā </w:t>
            </w:r>
            <w:r w:rsidR="00901A4F" w:rsidRPr="00276F72">
              <w:rPr>
                <w:bCs/>
              </w:rPr>
              <w:t xml:space="preserve">noteiktie nosacījumi </w:t>
            </w:r>
            <w:r w:rsidR="008A28DC" w:rsidRPr="00276F72">
              <w:rPr>
                <w:bCs/>
              </w:rPr>
              <w:t xml:space="preserve">ļaus kontrolējošai institūcijai atbilstoši </w:t>
            </w:r>
            <w:r w:rsidR="00AF42E7" w:rsidRPr="00276F72">
              <w:rPr>
                <w:bCs/>
              </w:rPr>
              <w:t xml:space="preserve">īstenot </w:t>
            </w:r>
            <w:r w:rsidR="009874BB" w:rsidRPr="00276F72">
              <w:rPr>
                <w:bCs/>
              </w:rPr>
              <w:t xml:space="preserve">piesardzības pasākumus attiecībā uz HNS, kā arī </w:t>
            </w:r>
            <w:r w:rsidR="008A28DC" w:rsidRPr="00276F72">
              <w:rPr>
                <w:bCs/>
              </w:rPr>
              <w:t>dzīvnieku infekcijas slimību uzraudzību un kontroli</w:t>
            </w:r>
            <w:r w:rsidR="00072B42" w:rsidRPr="00276F72">
              <w:rPr>
                <w:bCs/>
              </w:rPr>
              <w:t>.</w:t>
            </w:r>
            <w:r w:rsidR="008A28DC" w:rsidRPr="00276F72">
              <w:rPr>
                <w:bCs/>
              </w:rPr>
              <w:t xml:space="preserve"> </w:t>
            </w:r>
            <w:r w:rsidR="00926503" w:rsidRPr="00276F72">
              <w:t>Minētās problēmas noteikumu projekts atrisinās pilnībā.</w:t>
            </w:r>
          </w:p>
        </w:tc>
      </w:tr>
      <w:tr w:rsidR="00901A4F" w:rsidRPr="00276F72" w14:paraId="6538F16B" w14:textId="77777777" w:rsidTr="0019031A">
        <w:tc>
          <w:tcPr>
            <w:tcW w:w="300" w:type="pct"/>
          </w:tcPr>
          <w:p w14:paraId="37727598" w14:textId="77777777" w:rsidR="00AC145B" w:rsidRPr="00276F72" w:rsidRDefault="00243D1D" w:rsidP="003037FE">
            <w:pPr>
              <w:pStyle w:val="Galvene"/>
              <w:jc w:val="center"/>
              <w:outlineLvl w:val="0"/>
            </w:pPr>
            <w:r w:rsidRPr="00276F72">
              <w:lastRenderedPageBreak/>
              <w:t>3</w:t>
            </w:r>
            <w:r w:rsidR="00AC145B" w:rsidRPr="00276F72">
              <w:t>.</w:t>
            </w:r>
          </w:p>
        </w:tc>
        <w:tc>
          <w:tcPr>
            <w:tcW w:w="963" w:type="pct"/>
          </w:tcPr>
          <w:p w14:paraId="3D162654" w14:textId="77777777" w:rsidR="00AC145B" w:rsidRPr="00276F72" w:rsidRDefault="00AC145B" w:rsidP="003037FE">
            <w:pPr>
              <w:pStyle w:val="Galvene"/>
              <w:jc w:val="both"/>
              <w:outlineLvl w:val="0"/>
            </w:pPr>
            <w:r w:rsidRPr="00276F72">
              <w:t>Projekta izstrādē iesaistītās institūcijas</w:t>
            </w:r>
          </w:p>
        </w:tc>
        <w:tc>
          <w:tcPr>
            <w:tcW w:w="3732" w:type="pct"/>
            <w:gridSpan w:val="2"/>
          </w:tcPr>
          <w:p w14:paraId="15C943C1" w14:textId="4FD6CE75" w:rsidR="00AC145B" w:rsidRPr="00276F72" w:rsidRDefault="00940B60" w:rsidP="003037FE">
            <w:pPr>
              <w:jc w:val="both"/>
            </w:pPr>
            <w:r w:rsidRPr="00276F72">
              <w:t>Pārtikas un veterinārais dienests</w:t>
            </w:r>
            <w:r w:rsidR="00776449" w:rsidRPr="00276F72">
              <w:t xml:space="preserve">, </w:t>
            </w:r>
            <w:r w:rsidR="00B926D9" w:rsidRPr="00276F72">
              <w:t>valsts zinātniskais institūts „</w:t>
            </w:r>
            <w:r w:rsidR="00776449" w:rsidRPr="00276F72">
              <w:t>Pārtikas drošības, dzīvnieku veselības un vides zinātniskais institūts „BIOR”</w:t>
            </w:r>
            <w:r w:rsidR="00B926D9" w:rsidRPr="00276F72">
              <w:t>”</w:t>
            </w:r>
            <w:r w:rsidR="00CF43E9" w:rsidRPr="00276F72">
              <w:t>, Lauksaimniecības datu centrs</w:t>
            </w:r>
            <w:r w:rsidR="00A5762E" w:rsidRPr="00276F72">
              <w:t>, Valsts meža dienests, Lauksaimniecības datu centrs.</w:t>
            </w:r>
          </w:p>
        </w:tc>
      </w:tr>
      <w:tr w:rsidR="00901A4F" w:rsidRPr="00276F72" w14:paraId="6BD747C0" w14:textId="77777777" w:rsidTr="0019031A">
        <w:tc>
          <w:tcPr>
            <w:tcW w:w="300" w:type="pct"/>
          </w:tcPr>
          <w:p w14:paraId="54927973" w14:textId="77777777" w:rsidR="00AC145B" w:rsidRPr="00276F72" w:rsidRDefault="00243D1D" w:rsidP="003037FE">
            <w:pPr>
              <w:pStyle w:val="naislab"/>
              <w:spacing w:before="0" w:after="0"/>
              <w:jc w:val="center"/>
              <w:outlineLvl w:val="0"/>
            </w:pPr>
            <w:r w:rsidRPr="00276F72">
              <w:t>4</w:t>
            </w:r>
            <w:r w:rsidR="00AC145B" w:rsidRPr="00276F72">
              <w:t>.</w:t>
            </w:r>
          </w:p>
        </w:tc>
        <w:tc>
          <w:tcPr>
            <w:tcW w:w="963" w:type="pct"/>
          </w:tcPr>
          <w:p w14:paraId="124A19FB" w14:textId="77777777" w:rsidR="00AC145B" w:rsidRPr="00276F72" w:rsidRDefault="00AC145B" w:rsidP="003037FE">
            <w:pPr>
              <w:pStyle w:val="naislab"/>
              <w:spacing w:before="0" w:after="0"/>
              <w:jc w:val="both"/>
              <w:outlineLvl w:val="0"/>
            </w:pPr>
            <w:r w:rsidRPr="00276F72">
              <w:t>Cita informācija</w:t>
            </w:r>
          </w:p>
        </w:tc>
        <w:tc>
          <w:tcPr>
            <w:tcW w:w="3732" w:type="pct"/>
            <w:gridSpan w:val="2"/>
          </w:tcPr>
          <w:p w14:paraId="3FD3668F" w14:textId="77777777" w:rsidR="00B05994" w:rsidRPr="00276F72" w:rsidRDefault="00B05994" w:rsidP="00B05994">
            <w:pPr>
              <w:pStyle w:val="naiskr"/>
              <w:spacing w:before="0" w:beforeAutospacing="0" w:after="0" w:afterAutospacing="0"/>
              <w:jc w:val="both"/>
            </w:pPr>
            <w:r w:rsidRPr="00276F72">
              <w:t xml:space="preserve">HNS ir zināma kopš 1967. gada. Eiropas Savienībā slimība līdz šim nav konstatēta. HNS ir konstatēta Amerikas Savienotajās Valstīs un Kanādā savvaļas vai ierobežotās platībās audzētiem staltbriežiem un savvaļas baltastes briežiem, bet kopš 2016. gada 15. marta ir konstatēti pieci saslimšanas gadījumi Norvēģijā savvaļas ziemeļbriežiem un aļņiem. </w:t>
            </w:r>
          </w:p>
          <w:p w14:paraId="2C125484" w14:textId="77777777" w:rsidR="00B05994" w:rsidRPr="00276F72" w:rsidRDefault="00B05994" w:rsidP="00B05994">
            <w:pPr>
              <w:pStyle w:val="naiskr"/>
              <w:spacing w:before="0" w:beforeAutospacing="0" w:after="0" w:afterAutospacing="0"/>
              <w:jc w:val="both"/>
            </w:pPr>
            <w:r w:rsidRPr="00276F72">
              <w:t xml:space="preserve">TSE ierosinātājs ir priona proteīns (turpmāk </w:t>
            </w:r>
            <w:r w:rsidRPr="00276F72">
              <w:softHyphen/>
              <w:t xml:space="preserve"> – PrP) – izmainītas, modificētas olbaltumvielas paveids. Inficēšanās parasti notiek apēdot inficētu olbaltumvielas saturošu barību, vai cieša kontakta ceļā ar inficētiem audiem, organisma šķidrumiem vai arī inficētiem medicīniskiem instrumentiem. Slimības inkubācijas periods ir garš – vairāki mēneši, dažreiz gadi. PrP pēc iekļūšanas organismā vairojas limfoīdajos audos un šūnās, ar virzību uz centrālo nervu sistēmu. Pirmās slimības pazīmes ir pārejoši nervu darbības traucējumi, ar pēkšņu samaņas zudumu, biežu uzvedības maiņu, kas var pāraugt agresivitātē. Slimībai progresējot, dzīvnieki novājē, tiem novēro izteiktu muskuļu vājumu un rīšanas, kustības koordinācijas traucējumus. TSE nav ārstējama. Laboratoriskās metodes slimības noteikšanai dzīviem dzīvniekiem šobrīd nav izstrādātas. Slimību apstiprina laboratoriski, izmeklējot galvas smadzeņu paraugu.</w:t>
            </w:r>
          </w:p>
          <w:p w14:paraId="56411A41" w14:textId="77777777" w:rsidR="00B05994" w:rsidRPr="00276F72" w:rsidRDefault="00B05994" w:rsidP="000E1EB6">
            <w:pPr>
              <w:jc w:val="both"/>
            </w:pPr>
          </w:p>
          <w:p w14:paraId="19625157" w14:textId="0DAD5F35" w:rsidR="00121286" w:rsidRPr="00276F72" w:rsidRDefault="00AB2F51" w:rsidP="00AB2F51">
            <w:pPr>
              <w:pStyle w:val="Paraststmeklis"/>
              <w:spacing w:before="0" w:beforeAutospacing="0" w:after="0" w:afterAutospacing="0"/>
              <w:jc w:val="both"/>
            </w:pPr>
            <w:r w:rsidRPr="00276F72">
              <w:t xml:space="preserve">2017. gadā nepieciešamais finansējums, ja rastos aizdomas par saslimšanu ar HNS vai tiktu apstiprināta HNS diagnoze, tiks nodrošināts no </w:t>
            </w:r>
            <w:r w:rsidR="001A257D" w:rsidRPr="00276F72">
              <w:t>valsts</w:t>
            </w:r>
            <w:r w:rsidRPr="00276F72">
              <w:t xml:space="preserve"> budžeta līdzekļiem, izmantojot ārpuskārtas un aizdomu gadījumu izmeklēšanai, t.sk. epidemioloģiskai izmeklēšanai, paredzēto finansējumu dzīvnieku infekcijas slimību (epizootiju un zoonožu) aizdomu gadījumu epidemioloģisko izmeklēšanai un laboratoriskai diagnostikai saskaņā ar Veterinārmedicīnas likumā un Epidemioloģiskās drošības likumā noteikto</w:t>
            </w:r>
            <w:r w:rsidR="00B05994" w:rsidRPr="00276F72">
              <w:t>. Savukārt</w:t>
            </w:r>
            <w:r w:rsidRPr="00276F72">
              <w:t xml:space="preserve"> 2018. – 2020. gadam finansējuma jautājums tiks skatīts saistībā ar informatīvā ziņojuma “Par finanšu līdzekļu piešķiršanu dzīvnieku infekcijas slimību uzraudzības programmas “Hroniskās novājēšanas slimības uzraudzības un kontroles programma” īstenošanai 2018. – 2020. gadā” </w:t>
            </w:r>
            <w:r w:rsidRPr="00276F72">
              <w:lastRenderedPageBreak/>
              <w:t>iesniegšanu Ministru kabinetā.</w:t>
            </w:r>
          </w:p>
        </w:tc>
      </w:tr>
      <w:tr w:rsidR="00582D3C" w:rsidRPr="00276F72" w14:paraId="3F6CE537" w14:textId="77777777" w:rsidTr="0019031A">
        <w:tc>
          <w:tcPr>
            <w:tcW w:w="5000" w:type="pct"/>
            <w:gridSpan w:val="4"/>
          </w:tcPr>
          <w:p w14:paraId="3CE88617" w14:textId="77777777" w:rsidR="00AC145B" w:rsidRPr="00276F72" w:rsidRDefault="00AC145B" w:rsidP="003037FE">
            <w:pPr>
              <w:jc w:val="center"/>
              <w:rPr>
                <w:b/>
              </w:rPr>
            </w:pPr>
            <w:r w:rsidRPr="00276F72">
              <w:rPr>
                <w:b/>
              </w:rPr>
              <w:lastRenderedPageBreak/>
              <w:t>II. Tiesību akta projekta ietekme uz sabiedrību, tautsaimniecības attīstību un administratīvo slogu</w:t>
            </w:r>
          </w:p>
        </w:tc>
      </w:tr>
      <w:tr w:rsidR="00582D3C" w:rsidRPr="00276F72" w14:paraId="104B2034" w14:textId="77777777" w:rsidTr="0019031A">
        <w:tc>
          <w:tcPr>
            <w:tcW w:w="300" w:type="pct"/>
          </w:tcPr>
          <w:p w14:paraId="4FA2460C" w14:textId="77777777" w:rsidR="00AC145B" w:rsidRPr="00276F72" w:rsidRDefault="00AC145B" w:rsidP="003037FE">
            <w:pPr>
              <w:pStyle w:val="naislab"/>
              <w:spacing w:before="0" w:after="0"/>
              <w:jc w:val="center"/>
              <w:outlineLvl w:val="0"/>
            </w:pPr>
            <w:r w:rsidRPr="00276F72">
              <w:t>1.</w:t>
            </w:r>
          </w:p>
        </w:tc>
        <w:tc>
          <w:tcPr>
            <w:tcW w:w="1024" w:type="pct"/>
            <w:gridSpan w:val="2"/>
          </w:tcPr>
          <w:p w14:paraId="1F6616C0" w14:textId="77777777" w:rsidR="00AC145B" w:rsidRPr="00276F72" w:rsidRDefault="00AC145B" w:rsidP="003037FE">
            <w:pPr>
              <w:pStyle w:val="naislab"/>
              <w:spacing w:before="0" w:after="0"/>
              <w:jc w:val="both"/>
              <w:outlineLvl w:val="0"/>
            </w:pPr>
            <w:r w:rsidRPr="00276F72">
              <w:t>Sabiedrības mērķgrupas, kuras tiesiskais regulējums ietekmē vai varētu ietekmēt</w:t>
            </w:r>
          </w:p>
        </w:tc>
        <w:tc>
          <w:tcPr>
            <w:tcW w:w="3672" w:type="pct"/>
          </w:tcPr>
          <w:p w14:paraId="2A8375CE" w14:textId="3181EE3D" w:rsidR="00072B42" w:rsidRPr="00276F72" w:rsidRDefault="00940B60" w:rsidP="00E07B52">
            <w:pPr>
              <w:jc w:val="both"/>
            </w:pPr>
            <w:r w:rsidRPr="00276F72">
              <w:t>Noteikumu projekta tiesiskais regulējums attieksies uz</w:t>
            </w:r>
            <w:r w:rsidR="00C6168F" w:rsidRPr="00276F72">
              <w:t xml:space="preserve"> </w:t>
            </w:r>
            <w:r w:rsidR="00441496" w:rsidRPr="00276F72">
              <w:t>dzīvnieku</w:t>
            </w:r>
            <w:r w:rsidR="00072B42" w:rsidRPr="00276F72">
              <w:t xml:space="preserve"> īpašniekiem vai turētājiem, kas audzē un tur </w:t>
            </w:r>
            <w:r w:rsidR="00582D3C" w:rsidRPr="00276F72">
              <w:t>briežu dzimtas dzīvniekus</w:t>
            </w:r>
            <w:r w:rsidR="00072B42" w:rsidRPr="00276F72">
              <w:t xml:space="preserve">. </w:t>
            </w:r>
            <w:r w:rsidR="00E07B52" w:rsidRPr="00276F72">
              <w:t xml:space="preserve">Saskaņā ar </w:t>
            </w:r>
            <w:r w:rsidR="00A5762E" w:rsidRPr="00276F72">
              <w:t>Lauksaimniecības datu centra informācij</w:t>
            </w:r>
            <w:r w:rsidR="00E07B52" w:rsidRPr="00276F72">
              <w:t>u</w:t>
            </w:r>
            <w:r w:rsidR="00A5762E" w:rsidRPr="00276F72">
              <w:t xml:space="preserve">, Latvijā 2017. gada 1. janvārī ir reģistrēti 111 briežu dzimtas dzīvnieku īpašnieki un 12 590 briežu dzimtas dzīvnieki iežogotajās platībās. Savukārt </w:t>
            </w:r>
            <w:r w:rsidR="00E07B52" w:rsidRPr="00276F72">
              <w:t xml:space="preserve">saskaņā ar </w:t>
            </w:r>
            <w:r w:rsidR="00A5762E" w:rsidRPr="00276F72">
              <w:t>Valsts meža dienesta informācij</w:t>
            </w:r>
            <w:r w:rsidR="00E07B52" w:rsidRPr="00276F72">
              <w:t>u</w:t>
            </w:r>
            <w:r w:rsidR="0019031A" w:rsidRPr="00276F72">
              <w:t>, Latvijā 2017. </w:t>
            </w:r>
            <w:r w:rsidR="00A5762E" w:rsidRPr="00276F72">
              <w:t xml:space="preserve">gada </w:t>
            </w:r>
            <w:r w:rsidR="0068643B" w:rsidRPr="00276F72">
              <w:t xml:space="preserve">1. </w:t>
            </w:r>
            <w:r w:rsidR="00A5762E" w:rsidRPr="00276F72">
              <w:t>mart</w:t>
            </w:r>
            <w:r w:rsidR="0068643B" w:rsidRPr="00276F72">
              <w:t>ā</w:t>
            </w:r>
            <w:r w:rsidR="00A5762E" w:rsidRPr="00276F72">
              <w:t xml:space="preserve"> savvaļā ir 230 000 briežu dzimtas dzīvnieki. Tāpat noteikumu projekta tiesiskais regulējums attieksies uz 490 pilnvarotajiem veterinārārstiem un 23 500 medību tiesību lietotāji</w:t>
            </w:r>
            <w:r w:rsidR="0068643B" w:rsidRPr="00276F72">
              <w:t>em</w:t>
            </w:r>
            <w:r w:rsidR="00A5762E" w:rsidRPr="00276F72">
              <w:t>.</w:t>
            </w:r>
          </w:p>
        </w:tc>
      </w:tr>
      <w:tr w:rsidR="00FE22EE" w:rsidRPr="00276F72" w14:paraId="2874F67B" w14:textId="77777777" w:rsidTr="0019031A">
        <w:tc>
          <w:tcPr>
            <w:tcW w:w="300" w:type="pct"/>
          </w:tcPr>
          <w:p w14:paraId="2D1F1F7E" w14:textId="77777777" w:rsidR="00FE22EE" w:rsidRPr="00276F72" w:rsidRDefault="00FE22EE" w:rsidP="00FE22EE">
            <w:pPr>
              <w:pStyle w:val="naislab"/>
              <w:spacing w:before="0" w:after="0"/>
              <w:jc w:val="center"/>
              <w:outlineLvl w:val="0"/>
            </w:pPr>
            <w:r w:rsidRPr="00276F72">
              <w:t>2.</w:t>
            </w:r>
          </w:p>
        </w:tc>
        <w:tc>
          <w:tcPr>
            <w:tcW w:w="1024" w:type="pct"/>
            <w:gridSpan w:val="2"/>
          </w:tcPr>
          <w:p w14:paraId="1E07EBE2" w14:textId="77777777" w:rsidR="00FE22EE" w:rsidRPr="00276F72" w:rsidRDefault="00FE22EE" w:rsidP="00FE22EE">
            <w:pPr>
              <w:pStyle w:val="naislab"/>
              <w:spacing w:before="0" w:after="0"/>
              <w:jc w:val="both"/>
              <w:outlineLvl w:val="0"/>
            </w:pPr>
            <w:r w:rsidRPr="00276F72">
              <w:t>Tiesiskā regulējuma ietekme uz tautsaimniecību un administratīvo slogu</w:t>
            </w:r>
          </w:p>
        </w:tc>
        <w:tc>
          <w:tcPr>
            <w:tcW w:w="3672" w:type="pct"/>
          </w:tcPr>
          <w:p w14:paraId="30F0FF0A" w14:textId="5BBEEFA9" w:rsidR="00FE22EE" w:rsidRPr="00276F72" w:rsidRDefault="00FE22EE" w:rsidP="000C6532">
            <w:pPr>
              <w:jc w:val="both"/>
            </w:pPr>
            <w:r w:rsidRPr="00276F72">
              <w:t xml:space="preserve">Saskaņā ar noteikumu projektu </w:t>
            </w:r>
            <w:r w:rsidR="00F942BF" w:rsidRPr="00276F72">
              <w:t xml:space="preserve">jebkura persona varēs informēt </w:t>
            </w:r>
            <w:r w:rsidR="0059489D" w:rsidRPr="00276F72">
              <w:t>Valsts meža dienestu</w:t>
            </w:r>
            <w:r w:rsidR="004A02E5" w:rsidRPr="00276F72">
              <w:t>, ja</w:t>
            </w:r>
            <w:r w:rsidR="00F942BF" w:rsidRPr="00276F72">
              <w:t xml:space="preserve"> </w:t>
            </w:r>
            <w:r w:rsidR="004A02E5" w:rsidRPr="00276F72">
              <w:t xml:space="preserve">rodas aizdomas par briežu dzimtas dzīvnieku inficēšanos ar HNS. Tāpat </w:t>
            </w:r>
            <w:r w:rsidRPr="00276F72">
              <w:t xml:space="preserve">briežu dzimtas dzīvnieku īpašniekam vai turētājam </w:t>
            </w:r>
            <w:r w:rsidR="004A02E5" w:rsidRPr="00276F72">
              <w:t xml:space="preserve">HNS diagnozes gadījumā </w:t>
            </w:r>
            <w:r w:rsidRPr="00276F72">
              <w:t xml:space="preserve">būs </w:t>
            </w:r>
            <w:r w:rsidR="00072D3B" w:rsidRPr="00276F72">
              <w:t xml:space="preserve">jāievēro briežu dzimtas dzīvnieku pārvietošanas nosacījumi un </w:t>
            </w:r>
            <w:r w:rsidR="00F942BF" w:rsidRPr="00276F72">
              <w:t>jāiznīcina briežu dzimtas dzīvnieka līķis</w:t>
            </w:r>
            <w:r w:rsidR="00A63D6B" w:rsidRPr="00276F72">
              <w:t xml:space="preserve"> </w:t>
            </w:r>
            <w:r w:rsidR="00F942BF" w:rsidRPr="00276F72">
              <w:t xml:space="preserve">saskaņā ar Eiropas Parlamenta un Padomes 2009. gada 21. oktobra Regulas (EK) Nr. </w:t>
            </w:r>
            <w:hyperlink r:id="rId10" w:tgtFrame="_blank" w:history="1">
              <w:r w:rsidR="00F942BF" w:rsidRPr="00276F72">
                <w:t>1069/2009</w:t>
              </w:r>
            </w:hyperlink>
            <w:r w:rsidR="00F942BF" w:rsidRPr="00276F72">
              <w:t xml:space="preserve">, ar ko nosaka veselības aizsardzības noteikumus attiecībā uz dzīvnieku izcelsmes blakusproduktiem un atvasinātajiem produktiem, kuri nav paredzēti cilvēku patēriņam, un ar ko atceļ Regulu (EK) Nr. </w:t>
            </w:r>
            <w:hyperlink r:id="rId11" w:tgtFrame="_blank" w:history="1">
              <w:r w:rsidR="00F942BF" w:rsidRPr="00276F72">
                <w:t>1774/2002</w:t>
              </w:r>
            </w:hyperlink>
            <w:r w:rsidR="00F942BF" w:rsidRPr="00276F72">
              <w:t xml:space="preserve"> (Dzīvnieku izcelsmes blakusproduktu regula)</w:t>
            </w:r>
            <w:r w:rsidR="003652E2" w:rsidRPr="00276F72">
              <w:t xml:space="preserve"> (turpmāk – Regula Nr. 1069/2009)</w:t>
            </w:r>
            <w:r w:rsidR="00F942BF" w:rsidRPr="00276F72">
              <w:t>, 12. pantā noteiktajām prasībām.</w:t>
            </w:r>
          </w:p>
        </w:tc>
      </w:tr>
      <w:tr w:rsidR="00FE22EE" w:rsidRPr="00276F72" w14:paraId="4AC7CEF7" w14:textId="77777777" w:rsidTr="0019031A">
        <w:tc>
          <w:tcPr>
            <w:tcW w:w="300" w:type="pct"/>
          </w:tcPr>
          <w:p w14:paraId="2A2089FA" w14:textId="77777777" w:rsidR="00FE22EE" w:rsidRPr="00276F72" w:rsidRDefault="00FE22EE" w:rsidP="00FE22EE">
            <w:pPr>
              <w:pStyle w:val="naislab"/>
              <w:spacing w:before="0" w:after="0"/>
              <w:jc w:val="center"/>
              <w:outlineLvl w:val="0"/>
            </w:pPr>
            <w:r w:rsidRPr="00276F72">
              <w:t>3.</w:t>
            </w:r>
          </w:p>
        </w:tc>
        <w:tc>
          <w:tcPr>
            <w:tcW w:w="1024" w:type="pct"/>
            <w:gridSpan w:val="2"/>
          </w:tcPr>
          <w:p w14:paraId="3D5A05A0" w14:textId="77777777" w:rsidR="00FE22EE" w:rsidRPr="00276F72" w:rsidRDefault="00FE22EE" w:rsidP="00FE22EE">
            <w:pPr>
              <w:pStyle w:val="naislab"/>
              <w:spacing w:before="0" w:after="0"/>
              <w:jc w:val="both"/>
              <w:outlineLvl w:val="0"/>
            </w:pPr>
            <w:r w:rsidRPr="00276F72">
              <w:t>Administratīvo izmaksu monetārs novērtējums</w:t>
            </w:r>
          </w:p>
        </w:tc>
        <w:tc>
          <w:tcPr>
            <w:tcW w:w="3672" w:type="pct"/>
          </w:tcPr>
          <w:p w14:paraId="185E205A" w14:textId="164E274E" w:rsidR="00FD1A64" w:rsidRPr="00276F72" w:rsidRDefault="00FD1A64" w:rsidP="00FD1A64">
            <w:pPr>
              <w:pStyle w:val="Bezatstarpm"/>
              <w:jc w:val="both"/>
              <w:rPr>
                <w:rFonts w:ascii="Times New Roman" w:hAnsi="Times New Roman"/>
                <w:sz w:val="24"/>
                <w:szCs w:val="24"/>
              </w:rPr>
            </w:pPr>
            <w:r w:rsidRPr="00276F72">
              <w:rPr>
                <w:rFonts w:ascii="Times New Roman" w:hAnsi="Times New Roman"/>
                <w:iCs/>
                <w:sz w:val="24"/>
                <w:szCs w:val="24"/>
              </w:rPr>
              <w:t>Fiziskai personai administratīvās izmaksas nepārsnie</w:t>
            </w:r>
            <w:r w:rsidR="00A23D8A" w:rsidRPr="00276F72">
              <w:rPr>
                <w:rFonts w:ascii="Times New Roman" w:hAnsi="Times New Roman"/>
                <w:iCs/>
                <w:sz w:val="24"/>
                <w:szCs w:val="24"/>
              </w:rPr>
              <w:t>gs</w:t>
            </w:r>
            <w:r w:rsidRPr="00276F72">
              <w:rPr>
                <w:rFonts w:ascii="Times New Roman" w:hAnsi="Times New Roman"/>
                <w:iCs/>
                <w:sz w:val="24"/>
                <w:szCs w:val="24"/>
              </w:rPr>
              <w:t xml:space="preserve"> atbilstošās robežas.  </w:t>
            </w:r>
          </w:p>
          <w:p w14:paraId="70DEED28" w14:textId="3DEBE4B7" w:rsidR="00975570" w:rsidRPr="00276F72" w:rsidRDefault="00A23D8A" w:rsidP="00975570">
            <w:pPr>
              <w:pStyle w:val="Bezatstarpm"/>
              <w:jc w:val="both"/>
              <w:rPr>
                <w:rFonts w:ascii="Times New Roman" w:hAnsi="Times New Roman"/>
                <w:sz w:val="24"/>
                <w:szCs w:val="24"/>
              </w:rPr>
            </w:pPr>
            <w:r w:rsidRPr="00276F72">
              <w:rPr>
                <w:rFonts w:ascii="Times New Roman" w:hAnsi="Times New Roman"/>
                <w:sz w:val="24"/>
                <w:szCs w:val="24"/>
              </w:rPr>
              <w:t>Plānots, ka valsts institūcijas</w:t>
            </w:r>
            <w:r w:rsidR="007C039B" w:rsidRPr="00276F72">
              <w:rPr>
                <w:rFonts w:ascii="Times New Roman" w:hAnsi="Times New Roman"/>
                <w:sz w:val="24"/>
                <w:szCs w:val="24"/>
              </w:rPr>
              <w:t xml:space="preserve"> (Valsts meža dienests, Pārtikas un veterinārais dienests, </w:t>
            </w:r>
            <w:r w:rsidR="00B926D9" w:rsidRPr="00276F72">
              <w:rPr>
                <w:rFonts w:ascii="Times New Roman" w:hAnsi="Times New Roman"/>
                <w:sz w:val="24"/>
                <w:szCs w:val="24"/>
              </w:rPr>
              <w:t>valsts zinātniskais institūts „</w:t>
            </w:r>
            <w:r w:rsidR="007C039B" w:rsidRPr="00276F72">
              <w:rPr>
                <w:rFonts w:ascii="Times New Roman" w:hAnsi="Times New Roman"/>
                <w:sz w:val="24"/>
                <w:szCs w:val="24"/>
              </w:rPr>
              <w:t>Pārtikas drošības, dzīvnieku veselības un vides zinātniskais institūts „BIOR”</w:t>
            </w:r>
            <w:r w:rsidR="00B926D9" w:rsidRPr="00276F72">
              <w:rPr>
                <w:rFonts w:ascii="Times New Roman" w:hAnsi="Times New Roman"/>
                <w:sz w:val="24"/>
                <w:szCs w:val="24"/>
              </w:rPr>
              <w:t>”</w:t>
            </w:r>
            <w:r w:rsidR="007C039B" w:rsidRPr="00276F72">
              <w:rPr>
                <w:rFonts w:ascii="Times New Roman" w:hAnsi="Times New Roman"/>
                <w:sz w:val="24"/>
                <w:szCs w:val="24"/>
              </w:rPr>
              <w:t>)</w:t>
            </w:r>
            <w:r w:rsidR="007C039B" w:rsidRPr="00276F72">
              <w:rPr>
                <w:sz w:val="24"/>
                <w:szCs w:val="24"/>
              </w:rPr>
              <w:t xml:space="preserve"> </w:t>
            </w:r>
            <w:r w:rsidRPr="00276F72">
              <w:rPr>
                <w:rFonts w:ascii="Times New Roman" w:hAnsi="Times New Roman"/>
                <w:sz w:val="24"/>
                <w:szCs w:val="24"/>
              </w:rPr>
              <w:t xml:space="preserve">saistībā par hroniskās novājēšanas saslimšanas gadījumiem </w:t>
            </w:r>
            <w:r w:rsidR="00975570" w:rsidRPr="00276F72">
              <w:rPr>
                <w:rFonts w:ascii="Times New Roman" w:hAnsi="Times New Roman"/>
                <w:sz w:val="24"/>
                <w:szCs w:val="24"/>
              </w:rPr>
              <w:t xml:space="preserve">sniegs desmit informācijas </w:t>
            </w:r>
            <w:r w:rsidR="00FD1A64" w:rsidRPr="00276F72">
              <w:rPr>
                <w:rFonts w:ascii="Times New Roman" w:hAnsi="Times New Roman"/>
                <w:sz w:val="24"/>
                <w:szCs w:val="24"/>
              </w:rPr>
              <w:t>gadā</w:t>
            </w:r>
            <w:r w:rsidR="00975570" w:rsidRPr="00276F72">
              <w:rPr>
                <w:rFonts w:ascii="Times New Roman" w:hAnsi="Times New Roman"/>
                <w:sz w:val="24"/>
                <w:szCs w:val="24"/>
              </w:rPr>
              <w:t>. Līdz ar to, pamatojoties, ka vidējā bruto alga valsts sektorā pēc www.csb.gov.lv datiem 2016. gadā bija EUR 8</w:t>
            </w:r>
            <w:r w:rsidR="00E62801" w:rsidRPr="00276F72">
              <w:rPr>
                <w:rFonts w:ascii="Times New Roman" w:hAnsi="Times New Roman"/>
                <w:sz w:val="24"/>
                <w:szCs w:val="24"/>
              </w:rPr>
              <w:t>17,57</w:t>
            </w:r>
            <w:r w:rsidR="00975570" w:rsidRPr="00276F72">
              <w:rPr>
                <w:rFonts w:ascii="Times New Roman" w:hAnsi="Times New Roman"/>
                <w:sz w:val="24"/>
                <w:szCs w:val="24"/>
              </w:rPr>
              <w:t xml:space="preserve"> mēnesī un vienas informācijas sagatavošana varētu aizņemt vienu stundu, valsts pārvaldes administratīvās izmaksas ir šādas:</w:t>
            </w:r>
          </w:p>
          <w:p w14:paraId="4196A1BE" w14:textId="651F908C" w:rsidR="00FE22EE" w:rsidRPr="00276F72" w:rsidRDefault="00975570" w:rsidP="00E62801">
            <w:pPr>
              <w:pStyle w:val="Bezatstarpm"/>
              <w:jc w:val="both"/>
              <w:rPr>
                <w:rFonts w:ascii="Times New Roman" w:hAnsi="Times New Roman"/>
                <w:sz w:val="24"/>
                <w:szCs w:val="24"/>
              </w:rPr>
            </w:pPr>
            <w:r w:rsidRPr="00276F72">
              <w:rPr>
                <w:rFonts w:ascii="Times New Roman" w:hAnsi="Times New Roman"/>
                <w:sz w:val="24"/>
                <w:szCs w:val="24"/>
              </w:rPr>
              <w:t xml:space="preserve">EUR </w:t>
            </w:r>
            <w:r w:rsidR="00E62801" w:rsidRPr="00276F72">
              <w:rPr>
                <w:rFonts w:ascii="Times New Roman" w:hAnsi="Times New Roman"/>
                <w:sz w:val="24"/>
                <w:szCs w:val="24"/>
              </w:rPr>
              <w:t>4,87</w:t>
            </w:r>
            <w:r w:rsidR="008F0CD2" w:rsidRPr="00276F72">
              <w:rPr>
                <w:rFonts w:ascii="Times New Roman" w:hAnsi="Times New Roman"/>
                <w:sz w:val="24"/>
                <w:szCs w:val="24"/>
              </w:rPr>
              <w:t xml:space="preserve"> x 1 </w:t>
            </w:r>
            <w:r w:rsidRPr="00276F72">
              <w:rPr>
                <w:rFonts w:ascii="Times New Roman" w:hAnsi="Times New Roman"/>
                <w:sz w:val="24"/>
                <w:szCs w:val="24"/>
              </w:rPr>
              <w:t>h x 10 x 3 x EUR 1</w:t>
            </w:r>
            <w:r w:rsidR="008F0CD2" w:rsidRPr="00276F72">
              <w:rPr>
                <w:rFonts w:ascii="Times New Roman" w:hAnsi="Times New Roman"/>
                <w:sz w:val="24"/>
                <w:szCs w:val="24"/>
              </w:rPr>
              <w:t>,0</w:t>
            </w:r>
            <w:r w:rsidRPr="00276F72">
              <w:rPr>
                <w:rFonts w:ascii="Times New Roman" w:hAnsi="Times New Roman"/>
                <w:sz w:val="24"/>
                <w:szCs w:val="24"/>
              </w:rPr>
              <w:t xml:space="preserve"> (tālruņa </w:t>
            </w:r>
            <w:r w:rsidR="007C039B" w:rsidRPr="00276F72">
              <w:rPr>
                <w:rFonts w:ascii="Times New Roman" w:hAnsi="Times New Roman"/>
                <w:sz w:val="24"/>
                <w:szCs w:val="24"/>
              </w:rPr>
              <w:t xml:space="preserve">vai interneta </w:t>
            </w:r>
            <w:r w:rsidRPr="00276F72">
              <w:rPr>
                <w:rFonts w:ascii="Times New Roman" w:hAnsi="Times New Roman"/>
                <w:sz w:val="24"/>
                <w:szCs w:val="24"/>
              </w:rPr>
              <w:t xml:space="preserve">pakalpojumi informācijas sniegšanai) = EUR </w:t>
            </w:r>
            <w:r w:rsidR="00E62801" w:rsidRPr="00276F72">
              <w:rPr>
                <w:rFonts w:ascii="Times New Roman" w:hAnsi="Times New Roman"/>
                <w:sz w:val="24"/>
                <w:szCs w:val="24"/>
              </w:rPr>
              <w:t>146,1</w:t>
            </w:r>
            <w:r w:rsidR="007C039B" w:rsidRPr="00276F72">
              <w:rPr>
                <w:rFonts w:ascii="Times New Roman" w:hAnsi="Times New Roman"/>
                <w:sz w:val="24"/>
                <w:szCs w:val="24"/>
              </w:rPr>
              <w:t>0</w:t>
            </w:r>
            <w:r w:rsidRPr="00276F72">
              <w:rPr>
                <w:rFonts w:ascii="Times New Roman" w:hAnsi="Times New Roman"/>
                <w:sz w:val="24"/>
                <w:szCs w:val="24"/>
              </w:rPr>
              <w:t>.</w:t>
            </w:r>
          </w:p>
        </w:tc>
      </w:tr>
      <w:tr w:rsidR="00FE22EE" w:rsidRPr="00276F72" w14:paraId="43AEF79E" w14:textId="77777777" w:rsidTr="0019031A">
        <w:tc>
          <w:tcPr>
            <w:tcW w:w="300" w:type="pct"/>
          </w:tcPr>
          <w:p w14:paraId="6E5BA482" w14:textId="77777777" w:rsidR="00FE22EE" w:rsidRPr="00276F72" w:rsidRDefault="00FE22EE" w:rsidP="00FE22EE">
            <w:pPr>
              <w:pStyle w:val="naislab"/>
              <w:spacing w:before="0" w:after="0"/>
              <w:jc w:val="center"/>
              <w:outlineLvl w:val="0"/>
            </w:pPr>
            <w:r w:rsidRPr="00276F72">
              <w:t>4.</w:t>
            </w:r>
          </w:p>
        </w:tc>
        <w:tc>
          <w:tcPr>
            <w:tcW w:w="1024" w:type="pct"/>
            <w:gridSpan w:val="2"/>
          </w:tcPr>
          <w:p w14:paraId="4CC2F3B4" w14:textId="77777777" w:rsidR="00FE22EE" w:rsidRPr="00276F72" w:rsidRDefault="00FE22EE" w:rsidP="00FE22EE">
            <w:pPr>
              <w:pStyle w:val="naislab"/>
              <w:spacing w:before="0" w:after="0"/>
              <w:jc w:val="both"/>
              <w:outlineLvl w:val="0"/>
            </w:pPr>
            <w:r w:rsidRPr="00276F72">
              <w:t>Cita informācija</w:t>
            </w:r>
          </w:p>
        </w:tc>
        <w:tc>
          <w:tcPr>
            <w:tcW w:w="3672" w:type="pct"/>
          </w:tcPr>
          <w:p w14:paraId="6E0C308E" w14:textId="77777777" w:rsidR="00FE22EE" w:rsidRPr="00276F72" w:rsidRDefault="00BD28F2" w:rsidP="00FE22EE">
            <w:pPr>
              <w:jc w:val="both"/>
              <w:rPr>
                <w:u w:val="single"/>
              </w:rPr>
            </w:pPr>
            <w:r w:rsidRPr="00276F72">
              <w:t>Pārtikas un veterinārais d</w:t>
            </w:r>
            <w:r w:rsidR="00FE22EE" w:rsidRPr="00276F72">
              <w:t xml:space="preserve">ienests pieņem lēmumu </w:t>
            </w:r>
            <w:r w:rsidR="00FE22EE" w:rsidRPr="00276F72">
              <w:rPr>
                <w:spacing w:val="-3"/>
              </w:rPr>
              <w:t>apstiprināt TSE apkarošanas pasākumu plānu</w:t>
            </w:r>
            <w:r w:rsidR="00FE22EE" w:rsidRPr="00276F72">
              <w:t xml:space="preserve"> Administratīvā procesa likuma noteiktajā kārtībā. </w:t>
            </w:r>
          </w:p>
          <w:p w14:paraId="64AFB490" w14:textId="77777777" w:rsidR="00532FB9" w:rsidRPr="00276F72" w:rsidRDefault="00FE22EE" w:rsidP="008E31B9">
            <w:pPr>
              <w:jc w:val="both"/>
            </w:pPr>
            <w:r w:rsidRPr="00276F72">
              <w:t>Saskaņā ar Veterinārmedicīnas likuma 10.</w:t>
            </w:r>
            <w:r w:rsidR="0083014C" w:rsidRPr="00276F72">
              <w:t xml:space="preserve"> </w:t>
            </w:r>
            <w:r w:rsidRPr="00276F72">
              <w:t xml:space="preserve">panta trešajā daļā noteikto </w:t>
            </w:r>
            <w:r w:rsidR="00BD28F2" w:rsidRPr="00276F72">
              <w:t xml:space="preserve">Pārtikas un veterinārais </w:t>
            </w:r>
            <w:r w:rsidRPr="00276F72">
              <w:t>dienesta pieņemto lēmumu apstrīdēšana un pārsūdzēšana neaptur to izpildi.</w:t>
            </w:r>
          </w:p>
        </w:tc>
      </w:tr>
    </w:tbl>
    <w:p w14:paraId="2A5E332E" w14:textId="77777777" w:rsidR="0060636F" w:rsidRPr="00C51D39" w:rsidRDefault="0060636F" w:rsidP="00656C9A">
      <w:pPr>
        <w:rPr>
          <w:color w:val="FF0000"/>
          <w:sz w:val="28"/>
          <w:szCs w:val="28"/>
        </w:rPr>
      </w:pPr>
    </w:p>
    <w:p w14:paraId="7ADE29D3" w14:textId="77777777" w:rsidR="00650C5A" w:rsidRPr="00C51D39" w:rsidRDefault="00650C5A" w:rsidP="00650C5A">
      <w:pPr>
        <w:jc w:val="both"/>
        <w:rPr>
          <w:i/>
          <w:sz w:val="28"/>
          <w:szCs w:val="28"/>
        </w:rPr>
      </w:pPr>
      <w:r w:rsidRPr="00C51D39">
        <w:rPr>
          <w:i/>
          <w:sz w:val="28"/>
          <w:szCs w:val="28"/>
        </w:rPr>
        <w:t>Anotācijas III sadaļa – projekts š</w:t>
      </w:r>
      <w:r w:rsidR="00121286" w:rsidRPr="00C51D39">
        <w:rPr>
          <w:i/>
          <w:sz w:val="28"/>
          <w:szCs w:val="28"/>
        </w:rPr>
        <w:t>o</w:t>
      </w:r>
      <w:r w:rsidRPr="00C51D39">
        <w:rPr>
          <w:i/>
          <w:sz w:val="28"/>
          <w:szCs w:val="28"/>
        </w:rPr>
        <w:t xml:space="preserve"> jom</w:t>
      </w:r>
      <w:r w:rsidR="00121286" w:rsidRPr="00C51D39">
        <w:rPr>
          <w:i/>
          <w:sz w:val="28"/>
          <w:szCs w:val="28"/>
        </w:rPr>
        <w:t>u</w:t>
      </w:r>
      <w:r w:rsidRPr="00C51D39">
        <w:rPr>
          <w:i/>
          <w:sz w:val="28"/>
          <w:szCs w:val="28"/>
        </w:rPr>
        <w:t xml:space="preserve"> neskar.</w:t>
      </w:r>
    </w:p>
    <w:p w14:paraId="37F773BF" w14:textId="77777777" w:rsidR="00650C5A" w:rsidRPr="00C51D39" w:rsidRDefault="00650C5A" w:rsidP="00820436">
      <w:pPr>
        <w:pStyle w:val="naisf"/>
        <w:spacing w:before="0" w:beforeAutospacing="0" w:after="0" w:afterAutospacing="0"/>
        <w:rPr>
          <w:color w:val="FF000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5974"/>
      </w:tblGrid>
      <w:tr w:rsidR="00121286" w:rsidRPr="00276F72" w14:paraId="0DC5D455" w14:textId="77777777" w:rsidTr="00121286">
        <w:tc>
          <w:tcPr>
            <w:tcW w:w="9214" w:type="dxa"/>
            <w:gridSpan w:val="3"/>
          </w:tcPr>
          <w:p w14:paraId="2B203609" w14:textId="77777777" w:rsidR="00121286" w:rsidRPr="00276F72" w:rsidRDefault="00121286" w:rsidP="00426678">
            <w:pPr>
              <w:pStyle w:val="naisnod"/>
              <w:spacing w:before="0" w:after="0"/>
              <w:jc w:val="center"/>
              <w:rPr>
                <w:b/>
                <w:szCs w:val="28"/>
              </w:rPr>
            </w:pPr>
            <w:r w:rsidRPr="00276F72">
              <w:rPr>
                <w:b/>
                <w:szCs w:val="28"/>
              </w:rPr>
              <w:t>IV. Tiesību akta projekta ietekme uz spēkā esošo tiesību normu sistēmu</w:t>
            </w:r>
          </w:p>
        </w:tc>
      </w:tr>
      <w:tr w:rsidR="00121286" w:rsidRPr="00276F72" w14:paraId="494458E7" w14:textId="77777777" w:rsidTr="00121286">
        <w:tc>
          <w:tcPr>
            <w:tcW w:w="798" w:type="dxa"/>
          </w:tcPr>
          <w:p w14:paraId="796F8B48" w14:textId="77777777" w:rsidR="00121286" w:rsidRPr="00276F72" w:rsidRDefault="00121286" w:rsidP="00426678">
            <w:pPr>
              <w:pStyle w:val="Galvene"/>
              <w:tabs>
                <w:tab w:val="left" w:pos="2628"/>
              </w:tabs>
              <w:jc w:val="both"/>
              <w:rPr>
                <w:iCs/>
                <w:szCs w:val="28"/>
              </w:rPr>
            </w:pPr>
            <w:r w:rsidRPr="00276F72">
              <w:rPr>
                <w:iCs/>
                <w:szCs w:val="28"/>
              </w:rPr>
              <w:t>1.</w:t>
            </w:r>
          </w:p>
        </w:tc>
        <w:tc>
          <w:tcPr>
            <w:tcW w:w="2442" w:type="dxa"/>
          </w:tcPr>
          <w:p w14:paraId="473F3128" w14:textId="77777777" w:rsidR="00121286" w:rsidRPr="00276F72" w:rsidRDefault="00121286" w:rsidP="00426678">
            <w:pPr>
              <w:pStyle w:val="Galvene"/>
              <w:tabs>
                <w:tab w:val="left" w:pos="2628"/>
              </w:tabs>
              <w:jc w:val="both"/>
              <w:rPr>
                <w:iCs/>
                <w:szCs w:val="28"/>
              </w:rPr>
            </w:pPr>
            <w:r w:rsidRPr="00276F72">
              <w:rPr>
                <w:szCs w:val="28"/>
              </w:rPr>
              <w:t>Nepieciešamie saistītie tiesību aktu projekti</w:t>
            </w:r>
          </w:p>
        </w:tc>
        <w:tc>
          <w:tcPr>
            <w:tcW w:w="5974" w:type="dxa"/>
          </w:tcPr>
          <w:p w14:paraId="647A776C" w14:textId="5DDB2248" w:rsidR="00121286" w:rsidRPr="00276F72" w:rsidRDefault="00121286" w:rsidP="00121286">
            <w:pPr>
              <w:jc w:val="both"/>
              <w:rPr>
                <w:szCs w:val="28"/>
              </w:rPr>
            </w:pPr>
            <w:r w:rsidRPr="00276F72">
              <w:rPr>
                <w:rFonts w:eastAsia="Arial Unicode MS"/>
                <w:szCs w:val="28"/>
              </w:rPr>
              <w:t xml:space="preserve">Nepieciešami </w:t>
            </w:r>
            <w:r w:rsidR="00AF11A6" w:rsidRPr="00276F72">
              <w:rPr>
                <w:rFonts w:eastAsia="Arial Unicode MS"/>
                <w:szCs w:val="28"/>
              </w:rPr>
              <w:t>grozījumi</w:t>
            </w:r>
            <w:r w:rsidR="0019031A" w:rsidRPr="00276F72">
              <w:rPr>
                <w:szCs w:val="28"/>
              </w:rPr>
              <w:t xml:space="preserve"> Ministru kabineta 2005. </w:t>
            </w:r>
            <w:r w:rsidR="00AF11A6" w:rsidRPr="00276F72">
              <w:rPr>
                <w:szCs w:val="28"/>
              </w:rPr>
              <w:t>gada 15. marta noteikumos Nr.</w:t>
            </w:r>
            <w:r w:rsidR="0019031A" w:rsidRPr="00276F72">
              <w:rPr>
                <w:szCs w:val="28"/>
              </w:rPr>
              <w:t> </w:t>
            </w:r>
            <w:r w:rsidR="00AF11A6" w:rsidRPr="00276F72">
              <w:rPr>
                <w:szCs w:val="28"/>
              </w:rPr>
              <w:t xml:space="preserve">177 „Kārtība, kādā piešķir un dzīvnieku īpašnieks saņem kompensāciju par zaudējumiem, </w:t>
            </w:r>
            <w:r w:rsidR="00AF11A6" w:rsidRPr="00276F72">
              <w:rPr>
                <w:szCs w:val="28"/>
              </w:rPr>
              <w:lastRenderedPageBreak/>
              <w:t>kas radušies valsts uzraudzībā esošās dzīvnieku infekcijas slimības vai epizootijas uzliesmojuma laikā” (turpmāk – noteikumi Nr.</w:t>
            </w:r>
            <w:r w:rsidR="0019031A" w:rsidRPr="00276F72">
              <w:rPr>
                <w:szCs w:val="28"/>
              </w:rPr>
              <w:t> </w:t>
            </w:r>
            <w:r w:rsidR="00AF11A6" w:rsidRPr="00276F72">
              <w:rPr>
                <w:szCs w:val="28"/>
              </w:rPr>
              <w:t>177), nosakot, ka pie TSE slimību grupas pieder arī HNS un, ka briežu dzimtas dzīvnieku īpašnieki</w:t>
            </w:r>
            <w:r w:rsidR="00E86654" w:rsidRPr="00276F72">
              <w:rPr>
                <w:szCs w:val="28"/>
              </w:rPr>
              <w:t>,</w:t>
            </w:r>
            <w:r w:rsidR="00AF11A6" w:rsidRPr="00276F72">
              <w:rPr>
                <w:szCs w:val="28"/>
              </w:rPr>
              <w:t xml:space="preserve"> HNS uzliesmojumu un tās apkarošanas laikā par radītajiem zaudējumiem un briežu dzimtas dzīvnieku nogalināšanu</w:t>
            </w:r>
            <w:r w:rsidR="00E86654" w:rsidRPr="00276F72">
              <w:rPr>
                <w:szCs w:val="28"/>
              </w:rPr>
              <w:t>,</w:t>
            </w:r>
            <w:r w:rsidR="00AF11A6" w:rsidRPr="00276F72">
              <w:rPr>
                <w:szCs w:val="28"/>
              </w:rPr>
              <w:t xml:space="preserve"> saņem kompensāciju.</w:t>
            </w:r>
          </w:p>
        </w:tc>
      </w:tr>
      <w:tr w:rsidR="00121286" w:rsidRPr="00276F72" w14:paraId="6EFD67CA" w14:textId="77777777" w:rsidTr="00121286">
        <w:tc>
          <w:tcPr>
            <w:tcW w:w="798" w:type="dxa"/>
          </w:tcPr>
          <w:p w14:paraId="5E137A9F" w14:textId="77777777" w:rsidR="00121286" w:rsidRPr="00276F72" w:rsidRDefault="00121286" w:rsidP="00426678">
            <w:pPr>
              <w:pStyle w:val="Galvene"/>
              <w:tabs>
                <w:tab w:val="left" w:pos="2628"/>
              </w:tabs>
              <w:jc w:val="both"/>
              <w:rPr>
                <w:iCs/>
                <w:szCs w:val="28"/>
              </w:rPr>
            </w:pPr>
            <w:r w:rsidRPr="00276F72">
              <w:rPr>
                <w:iCs/>
                <w:szCs w:val="28"/>
              </w:rPr>
              <w:lastRenderedPageBreak/>
              <w:t>2.</w:t>
            </w:r>
          </w:p>
        </w:tc>
        <w:tc>
          <w:tcPr>
            <w:tcW w:w="2442" w:type="dxa"/>
          </w:tcPr>
          <w:p w14:paraId="2C540466" w14:textId="77777777" w:rsidR="00121286" w:rsidRPr="00276F72" w:rsidRDefault="00121286" w:rsidP="00426678">
            <w:pPr>
              <w:pStyle w:val="Galvene"/>
              <w:tabs>
                <w:tab w:val="left" w:pos="2628"/>
              </w:tabs>
              <w:jc w:val="both"/>
              <w:rPr>
                <w:szCs w:val="28"/>
              </w:rPr>
            </w:pPr>
            <w:r w:rsidRPr="00276F72">
              <w:rPr>
                <w:szCs w:val="28"/>
              </w:rPr>
              <w:t>Atbildīgā institūcija</w:t>
            </w:r>
          </w:p>
        </w:tc>
        <w:tc>
          <w:tcPr>
            <w:tcW w:w="5974" w:type="dxa"/>
          </w:tcPr>
          <w:p w14:paraId="2E398057" w14:textId="77777777" w:rsidR="00121286" w:rsidRPr="00276F72" w:rsidRDefault="00121286" w:rsidP="00426678">
            <w:pPr>
              <w:pStyle w:val="naiskr"/>
              <w:spacing w:before="0" w:beforeAutospacing="0" w:after="0" w:afterAutospacing="0"/>
              <w:jc w:val="both"/>
              <w:rPr>
                <w:szCs w:val="28"/>
              </w:rPr>
            </w:pPr>
            <w:r w:rsidRPr="00276F72">
              <w:rPr>
                <w:szCs w:val="28"/>
              </w:rPr>
              <w:t>Par normatīvo aktu projektu sagatavošanu ir atbildīga Zemkopības ministrija.</w:t>
            </w:r>
          </w:p>
        </w:tc>
      </w:tr>
      <w:tr w:rsidR="00121286" w:rsidRPr="00276F72" w14:paraId="07E62853" w14:textId="77777777" w:rsidTr="00121286">
        <w:tc>
          <w:tcPr>
            <w:tcW w:w="798" w:type="dxa"/>
          </w:tcPr>
          <w:p w14:paraId="0A839697" w14:textId="77777777" w:rsidR="00121286" w:rsidRPr="00276F72" w:rsidRDefault="00121286" w:rsidP="00426678">
            <w:pPr>
              <w:pStyle w:val="Galvene"/>
              <w:tabs>
                <w:tab w:val="left" w:pos="2628"/>
              </w:tabs>
              <w:jc w:val="both"/>
              <w:rPr>
                <w:iCs/>
                <w:szCs w:val="28"/>
              </w:rPr>
            </w:pPr>
            <w:r w:rsidRPr="00276F72">
              <w:rPr>
                <w:iCs/>
                <w:szCs w:val="28"/>
              </w:rPr>
              <w:t>3.</w:t>
            </w:r>
          </w:p>
        </w:tc>
        <w:tc>
          <w:tcPr>
            <w:tcW w:w="2442" w:type="dxa"/>
          </w:tcPr>
          <w:p w14:paraId="7534C90A" w14:textId="77777777" w:rsidR="00121286" w:rsidRPr="00276F72" w:rsidRDefault="00121286" w:rsidP="00426678">
            <w:pPr>
              <w:pStyle w:val="Galvene"/>
              <w:tabs>
                <w:tab w:val="left" w:pos="2628"/>
              </w:tabs>
              <w:jc w:val="both"/>
              <w:rPr>
                <w:iCs/>
                <w:szCs w:val="28"/>
              </w:rPr>
            </w:pPr>
            <w:r w:rsidRPr="00276F72">
              <w:rPr>
                <w:szCs w:val="28"/>
              </w:rPr>
              <w:t>Cita informācija</w:t>
            </w:r>
          </w:p>
        </w:tc>
        <w:tc>
          <w:tcPr>
            <w:tcW w:w="5974" w:type="dxa"/>
          </w:tcPr>
          <w:p w14:paraId="05116897" w14:textId="48D26D35" w:rsidR="00AF11A6" w:rsidRPr="00276F72" w:rsidRDefault="00810CE0" w:rsidP="00AF11A6">
            <w:pPr>
              <w:rPr>
                <w:szCs w:val="28"/>
              </w:rPr>
            </w:pPr>
            <w:r w:rsidRPr="00276F72">
              <w:rPr>
                <w:szCs w:val="28"/>
              </w:rPr>
              <w:t>Noteikumi Nr.</w:t>
            </w:r>
            <w:r w:rsidR="0019031A" w:rsidRPr="00276F72">
              <w:rPr>
                <w:szCs w:val="28"/>
              </w:rPr>
              <w:t> </w:t>
            </w:r>
            <w:r w:rsidRPr="00276F72">
              <w:rPr>
                <w:szCs w:val="28"/>
              </w:rPr>
              <w:t>177 ar noteikumu projektu tiks virzīti vienotā paketē pieņemšanai vienlaikus.</w:t>
            </w:r>
          </w:p>
        </w:tc>
      </w:tr>
    </w:tbl>
    <w:p w14:paraId="23A5A5DC" w14:textId="77777777" w:rsidR="00121286" w:rsidRPr="00C51D39" w:rsidRDefault="00121286" w:rsidP="00820436">
      <w:pPr>
        <w:pStyle w:val="naisf"/>
        <w:spacing w:before="0" w:beforeAutospacing="0" w:after="0" w:afterAutospacing="0"/>
        <w:rPr>
          <w:color w:val="FF0000"/>
          <w:sz w:val="28"/>
          <w:szCs w:val="28"/>
        </w:rPr>
      </w:pPr>
    </w:p>
    <w:p w14:paraId="24D8BB1F" w14:textId="77777777" w:rsidR="00121286" w:rsidRPr="00C51D39" w:rsidRDefault="00121286" w:rsidP="00820436">
      <w:pPr>
        <w:pStyle w:val="naisf"/>
        <w:spacing w:before="0" w:beforeAutospacing="0" w:after="0" w:afterAutospacing="0"/>
        <w:rPr>
          <w:color w:val="FF0000"/>
          <w:sz w:val="28"/>
          <w:szCs w:val="28"/>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2"/>
        <w:gridCol w:w="1921"/>
        <w:gridCol w:w="732"/>
        <w:gridCol w:w="1743"/>
        <w:gridCol w:w="1983"/>
        <w:gridCol w:w="2270"/>
      </w:tblGrid>
      <w:tr w:rsidR="00B739CD" w:rsidRPr="00276F72" w14:paraId="7A3E3E21" w14:textId="77777777" w:rsidTr="00426678">
        <w:tc>
          <w:tcPr>
            <w:tcW w:w="5000" w:type="pct"/>
            <w:gridSpan w:val="7"/>
            <w:tcBorders>
              <w:top w:val="single" w:sz="4" w:space="0" w:color="auto"/>
              <w:left w:val="single" w:sz="4" w:space="0" w:color="auto"/>
              <w:bottom w:val="outset" w:sz="6" w:space="0" w:color="000000"/>
              <w:right w:val="single" w:sz="4" w:space="0" w:color="auto"/>
            </w:tcBorders>
          </w:tcPr>
          <w:p w14:paraId="298F51B4" w14:textId="77777777" w:rsidR="00650C5A" w:rsidRPr="00276F72" w:rsidRDefault="00650C5A" w:rsidP="00426678">
            <w:pPr>
              <w:jc w:val="center"/>
              <w:rPr>
                <w:b/>
                <w:bCs/>
              </w:rPr>
            </w:pPr>
            <w:r w:rsidRPr="00276F72">
              <w:rPr>
                <w:b/>
                <w:bCs/>
              </w:rPr>
              <w:t>V. Tiesību akta projekta atbilstība Latvijas Republikas starptautiskajām saistībām</w:t>
            </w:r>
          </w:p>
        </w:tc>
      </w:tr>
      <w:tr w:rsidR="004602C9" w:rsidRPr="00276F72" w14:paraId="1AE92F5F"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40E26CBA" w14:textId="77777777" w:rsidR="00650C5A" w:rsidRPr="00276F72" w:rsidRDefault="00650C5A" w:rsidP="00426678">
            <w:r w:rsidRPr="00276F72">
              <w:t>1.</w:t>
            </w:r>
          </w:p>
        </w:tc>
        <w:tc>
          <w:tcPr>
            <w:tcW w:w="1450" w:type="pct"/>
            <w:gridSpan w:val="2"/>
            <w:tcBorders>
              <w:top w:val="outset" w:sz="6" w:space="0" w:color="000000"/>
              <w:left w:val="outset" w:sz="6" w:space="0" w:color="000000"/>
              <w:bottom w:val="outset" w:sz="6" w:space="0" w:color="000000"/>
              <w:right w:val="outset" w:sz="6" w:space="0" w:color="000000"/>
            </w:tcBorders>
          </w:tcPr>
          <w:p w14:paraId="4971F569" w14:textId="77777777" w:rsidR="00650C5A" w:rsidRPr="00276F72" w:rsidRDefault="00650C5A" w:rsidP="00426678">
            <w:pPr>
              <w:jc w:val="both"/>
            </w:pPr>
            <w:r w:rsidRPr="00276F72">
              <w:t>Saistības pret Eiropas Savienību</w:t>
            </w:r>
          </w:p>
        </w:tc>
        <w:tc>
          <w:tcPr>
            <w:tcW w:w="3278" w:type="pct"/>
            <w:gridSpan w:val="3"/>
            <w:tcBorders>
              <w:top w:val="outset" w:sz="6" w:space="0" w:color="000000"/>
              <w:left w:val="outset" w:sz="6" w:space="0" w:color="000000"/>
              <w:bottom w:val="outset" w:sz="6" w:space="0" w:color="000000"/>
              <w:right w:val="outset" w:sz="6" w:space="0" w:color="000000"/>
            </w:tcBorders>
          </w:tcPr>
          <w:p w14:paraId="33E08ED1" w14:textId="77777777" w:rsidR="004602C9" w:rsidRPr="00276F72" w:rsidRDefault="00650C5A" w:rsidP="004602C9">
            <w:pPr>
              <w:jc w:val="both"/>
            </w:pPr>
            <w:r w:rsidRPr="00276F72">
              <w:t>Noteikumu projektā iekļauta</w:t>
            </w:r>
            <w:r w:rsidR="004602C9" w:rsidRPr="00276F72">
              <w:t>s tiesību normas, kas izriet no šādiem ES tiesību aktiem:</w:t>
            </w:r>
          </w:p>
          <w:p w14:paraId="48D3C151" w14:textId="58395F3D" w:rsidR="004602C9" w:rsidRPr="00276F72" w:rsidRDefault="004602C9" w:rsidP="004602C9">
            <w:pPr>
              <w:jc w:val="both"/>
            </w:pPr>
            <w:r w:rsidRPr="00276F72">
              <w:t xml:space="preserve">1) </w:t>
            </w:r>
            <w:r w:rsidR="003652E2" w:rsidRPr="00276F72">
              <w:rPr>
                <w:iCs/>
              </w:rPr>
              <w:t>Eiropas Parla</w:t>
            </w:r>
            <w:r w:rsidR="0019031A" w:rsidRPr="00276F72">
              <w:rPr>
                <w:iCs/>
              </w:rPr>
              <w:t>menta un Padomes 2001. gada 22. </w:t>
            </w:r>
            <w:r w:rsidR="003652E2" w:rsidRPr="00276F72">
              <w:rPr>
                <w:iCs/>
              </w:rPr>
              <w:t>maija Regula Nr.</w:t>
            </w:r>
            <w:r w:rsidR="007C11D9" w:rsidRPr="00276F72">
              <w:rPr>
                <w:iCs/>
              </w:rPr>
              <w:t> </w:t>
            </w:r>
            <w:r w:rsidR="003652E2" w:rsidRPr="00276F72">
              <w:rPr>
                <w:iCs/>
              </w:rPr>
              <w:t>999/2001, ar ko paredz noteikumus transmisīvo sūkļveida encefalopātiju profilaksei, kontrolei un apkarošanai;</w:t>
            </w:r>
          </w:p>
          <w:p w14:paraId="7EAC0EA6" w14:textId="4EFF3317" w:rsidR="004602C9" w:rsidRPr="00276F72" w:rsidRDefault="004602C9" w:rsidP="004602C9">
            <w:pPr>
              <w:jc w:val="both"/>
            </w:pPr>
            <w:r w:rsidRPr="00276F72">
              <w:rPr>
                <w:iCs/>
              </w:rPr>
              <w:t xml:space="preserve">2) </w:t>
            </w:r>
            <w:r w:rsidR="003652E2" w:rsidRPr="00276F72">
              <w:t>Eiropas Parla</w:t>
            </w:r>
            <w:r w:rsidR="0019031A" w:rsidRPr="00276F72">
              <w:t>menta un Padomes 2009. gada 21. </w:t>
            </w:r>
            <w:r w:rsidR="003652E2" w:rsidRPr="00276F72">
              <w:t xml:space="preserve">oktobra Regula (EK) Nr. </w:t>
            </w:r>
            <w:hyperlink r:id="rId12" w:tgtFrame="_blank" w:history="1">
              <w:r w:rsidR="003652E2" w:rsidRPr="00276F72">
                <w:t>1069/2009</w:t>
              </w:r>
            </w:hyperlink>
            <w:r w:rsidR="003652E2" w:rsidRPr="00276F72">
              <w:t>, ar ko nosaka veselības aizsardzības noteikumus attiecībā uz dzīvnieku izcelsmes blakusproduktiem un atvasinātajiem produktiem, kuri nav, paredzēti cilvēku patēriņam, un ar ko atceļ Regulu (EK) Nr.</w:t>
            </w:r>
            <w:r w:rsidR="0019031A" w:rsidRPr="00276F72">
              <w:t> </w:t>
            </w:r>
            <w:hyperlink r:id="rId13" w:tgtFrame="_blank" w:history="1">
              <w:r w:rsidR="003652E2" w:rsidRPr="00276F72">
                <w:t>1774/2002</w:t>
              </w:r>
            </w:hyperlink>
            <w:r w:rsidR="003652E2" w:rsidRPr="00276F72">
              <w:t xml:space="preserve"> (Dzīvnieku izcelsmes blakusproduktu regula);</w:t>
            </w:r>
          </w:p>
          <w:p w14:paraId="29BAE86C" w14:textId="30EBB841" w:rsidR="004602C9" w:rsidRPr="00276F72" w:rsidRDefault="004602C9" w:rsidP="004602C9">
            <w:pPr>
              <w:jc w:val="both"/>
              <w:rPr>
                <w:bCs/>
              </w:rPr>
            </w:pPr>
            <w:r w:rsidRPr="00276F72">
              <w:t xml:space="preserve">3) Komisijas </w:t>
            </w:r>
            <w:r w:rsidRPr="00276F72">
              <w:rPr>
                <w:bCs/>
              </w:rPr>
              <w:t xml:space="preserve">2016. gada 28. </w:t>
            </w:r>
            <w:r w:rsidR="0098138B" w:rsidRPr="00276F72">
              <w:rPr>
                <w:bCs/>
              </w:rPr>
              <w:t>o</w:t>
            </w:r>
            <w:r w:rsidRPr="00276F72">
              <w:rPr>
                <w:bCs/>
              </w:rPr>
              <w:t>ktobra</w:t>
            </w:r>
            <w:r w:rsidR="00004C6B" w:rsidRPr="00276F72">
              <w:rPr>
                <w:bCs/>
              </w:rPr>
              <w:t xml:space="preserve"> Īstenošanas</w:t>
            </w:r>
            <w:r w:rsidRPr="00276F72">
              <w:rPr>
                <w:bCs/>
              </w:rPr>
              <w:t xml:space="preserve"> lēmums (ES) Nr.</w:t>
            </w:r>
            <w:r w:rsidR="007C11D9" w:rsidRPr="00276F72">
              <w:rPr>
                <w:bCs/>
              </w:rPr>
              <w:t> </w:t>
            </w:r>
            <w:r w:rsidRPr="00276F72">
              <w:rPr>
                <w:bCs/>
              </w:rPr>
              <w:t>2016/1918 par dažiem drošības pasākumiem attiecībā uz hronisko novājēšanas slimību;</w:t>
            </w:r>
          </w:p>
          <w:p w14:paraId="0273434A" w14:textId="77777777" w:rsidR="00650C5A" w:rsidRPr="00276F72" w:rsidRDefault="004602C9" w:rsidP="004602C9">
            <w:pPr>
              <w:jc w:val="both"/>
            </w:pPr>
            <w:r w:rsidRPr="00276F72">
              <w:rPr>
                <w:bCs/>
              </w:rPr>
              <w:t>4) Komisijas 2007. gada 19. marta lēmums Nr.</w:t>
            </w:r>
            <w:r w:rsidR="007C11D9" w:rsidRPr="00276F72">
              <w:rPr>
                <w:bCs/>
              </w:rPr>
              <w:t> </w:t>
            </w:r>
            <w:r w:rsidRPr="00276F72">
              <w:rPr>
                <w:bCs/>
              </w:rPr>
              <w:t xml:space="preserve">2007/182/EK </w:t>
            </w:r>
            <w:r w:rsidRPr="00276F72">
              <w:rPr>
                <w:rFonts w:eastAsiaTheme="minorHAnsi"/>
                <w:bCs/>
                <w:lang w:eastAsia="en-US"/>
              </w:rPr>
              <w:t>par apsekojumu saistībā ar briežu dzimtas dzīvnieku hronisko novājēšanas slimību.</w:t>
            </w:r>
            <w:r w:rsidRPr="00276F72">
              <w:rPr>
                <w:bCs/>
              </w:rPr>
              <w:t xml:space="preserve"> </w:t>
            </w:r>
          </w:p>
        </w:tc>
      </w:tr>
      <w:tr w:rsidR="004602C9" w:rsidRPr="00276F72" w14:paraId="7485BD1C"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7ECB1FE9" w14:textId="77777777" w:rsidR="00650C5A" w:rsidRPr="00276F72" w:rsidRDefault="00650C5A" w:rsidP="00426678">
            <w:r w:rsidRPr="00276F72">
              <w:t>2.</w:t>
            </w:r>
          </w:p>
        </w:tc>
        <w:tc>
          <w:tcPr>
            <w:tcW w:w="1450" w:type="pct"/>
            <w:gridSpan w:val="2"/>
            <w:tcBorders>
              <w:top w:val="outset" w:sz="6" w:space="0" w:color="000000"/>
              <w:left w:val="outset" w:sz="6" w:space="0" w:color="000000"/>
              <w:bottom w:val="outset" w:sz="6" w:space="0" w:color="000000"/>
              <w:right w:val="outset" w:sz="6" w:space="0" w:color="000000"/>
            </w:tcBorders>
          </w:tcPr>
          <w:p w14:paraId="51941AAA" w14:textId="77777777" w:rsidR="00650C5A" w:rsidRPr="00276F72" w:rsidRDefault="00650C5A" w:rsidP="00426678">
            <w:pPr>
              <w:jc w:val="both"/>
            </w:pPr>
            <w:r w:rsidRPr="00276F72">
              <w:t>Citas starptautiskās saistības</w:t>
            </w:r>
          </w:p>
        </w:tc>
        <w:tc>
          <w:tcPr>
            <w:tcW w:w="3278" w:type="pct"/>
            <w:gridSpan w:val="3"/>
            <w:tcBorders>
              <w:top w:val="outset" w:sz="6" w:space="0" w:color="000000"/>
              <w:left w:val="outset" w:sz="6" w:space="0" w:color="000000"/>
              <w:bottom w:val="outset" w:sz="6" w:space="0" w:color="000000"/>
              <w:right w:val="outset" w:sz="6" w:space="0" w:color="000000"/>
            </w:tcBorders>
          </w:tcPr>
          <w:p w14:paraId="39CFD0B0" w14:textId="77777777" w:rsidR="00650C5A" w:rsidRPr="00276F72" w:rsidRDefault="00650C5A" w:rsidP="00426678">
            <w:r w:rsidRPr="00276F72">
              <w:t>Projekts šo jomu neskar.</w:t>
            </w:r>
          </w:p>
        </w:tc>
      </w:tr>
      <w:tr w:rsidR="004602C9" w:rsidRPr="00276F72" w14:paraId="683557B1" w14:textId="77777777" w:rsidTr="00426678">
        <w:tc>
          <w:tcPr>
            <w:tcW w:w="272" w:type="pct"/>
            <w:gridSpan w:val="2"/>
            <w:tcBorders>
              <w:top w:val="outset" w:sz="6" w:space="0" w:color="000000"/>
              <w:left w:val="outset" w:sz="6" w:space="0" w:color="000000"/>
              <w:bottom w:val="outset" w:sz="6" w:space="0" w:color="000000"/>
              <w:right w:val="outset" w:sz="6" w:space="0" w:color="000000"/>
            </w:tcBorders>
          </w:tcPr>
          <w:p w14:paraId="49B4DED2" w14:textId="77777777" w:rsidR="00650C5A" w:rsidRPr="00276F72" w:rsidRDefault="00650C5A" w:rsidP="00426678">
            <w:r w:rsidRPr="00276F72">
              <w:t>3.</w:t>
            </w:r>
          </w:p>
        </w:tc>
        <w:tc>
          <w:tcPr>
            <w:tcW w:w="1450" w:type="pct"/>
            <w:gridSpan w:val="2"/>
            <w:tcBorders>
              <w:top w:val="outset" w:sz="6" w:space="0" w:color="000000"/>
              <w:left w:val="outset" w:sz="6" w:space="0" w:color="000000"/>
              <w:bottom w:val="outset" w:sz="6" w:space="0" w:color="000000"/>
              <w:right w:val="outset" w:sz="6" w:space="0" w:color="000000"/>
            </w:tcBorders>
          </w:tcPr>
          <w:p w14:paraId="3AD4FDAC" w14:textId="77777777" w:rsidR="00650C5A" w:rsidRPr="00276F72" w:rsidRDefault="00650C5A" w:rsidP="00426678">
            <w:pPr>
              <w:jc w:val="both"/>
            </w:pPr>
            <w:r w:rsidRPr="00276F72">
              <w:t>Cita informācija</w:t>
            </w:r>
          </w:p>
        </w:tc>
        <w:tc>
          <w:tcPr>
            <w:tcW w:w="3278" w:type="pct"/>
            <w:gridSpan w:val="3"/>
            <w:tcBorders>
              <w:top w:val="outset" w:sz="6" w:space="0" w:color="000000"/>
              <w:left w:val="outset" w:sz="6" w:space="0" w:color="000000"/>
              <w:bottom w:val="outset" w:sz="6" w:space="0" w:color="000000"/>
              <w:right w:val="outset" w:sz="6" w:space="0" w:color="000000"/>
            </w:tcBorders>
          </w:tcPr>
          <w:p w14:paraId="18149218" w14:textId="77777777" w:rsidR="00650C5A" w:rsidRPr="00276F72" w:rsidRDefault="00650C5A" w:rsidP="00426678">
            <w:r w:rsidRPr="00276F72">
              <w:t>Nav.</w:t>
            </w:r>
          </w:p>
        </w:tc>
      </w:tr>
      <w:tr w:rsidR="004602C9" w:rsidRPr="00276F72" w14:paraId="2FBB3EA2"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14:paraId="61720B3F" w14:textId="77777777" w:rsidR="00650C5A" w:rsidRPr="00276F72" w:rsidRDefault="00650C5A" w:rsidP="00426678">
            <w:pPr>
              <w:pStyle w:val="naisnod"/>
              <w:spacing w:before="0" w:after="0"/>
            </w:pPr>
            <w:r w:rsidRPr="00276F72">
              <w:t>1.tabula</w:t>
            </w:r>
          </w:p>
          <w:p w14:paraId="6F2669F1" w14:textId="77777777" w:rsidR="00650C5A" w:rsidRPr="00276F72" w:rsidRDefault="00650C5A" w:rsidP="00426678">
            <w:pPr>
              <w:pStyle w:val="naisnod"/>
              <w:spacing w:before="0" w:after="0"/>
              <w:rPr>
                <w:i/>
              </w:rPr>
            </w:pPr>
            <w:r w:rsidRPr="00276F72">
              <w:t>Tiesību akta projekta atbilstība ES tiesību aktiem</w:t>
            </w:r>
          </w:p>
        </w:tc>
      </w:tr>
      <w:tr w:rsidR="004602C9" w:rsidRPr="00276F72" w14:paraId="72725E5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19" w:type="pct"/>
            <w:gridSpan w:val="2"/>
            <w:vAlign w:val="center"/>
          </w:tcPr>
          <w:p w14:paraId="3D5E9EE6" w14:textId="77777777" w:rsidR="00650C5A" w:rsidRPr="00276F72" w:rsidRDefault="00650C5A" w:rsidP="00426678">
            <w:pPr>
              <w:pStyle w:val="naiskr"/>
              <w:spacing w:before="0" w:beforeAutospacing="0" w:after="0" w:afterAutospacing="0"/>
              <w:ind w:hanging="10"/>
              <w:jc w:val="center"/>
            </w:pPr>
            <w:r w:rsidRPr="00276F72">
              <w:t>Attiecīgā ES tiesību akta datums, numurs un nosaukums</w:t>
            </w:r>
          </w:p>
        </w:tc>
        <w:tc>
          <w:tcPr>
            <w:tcW w:w="3678" w:type="pct"/>
            <w:gridSpan w:val="4"/>
          </w:tcPr>
          <w:p w14:paraId="7202B36B" w14:textId="77777777" w:rsidR="004602C9" w:rsidRPr="00276F72" w:rsidRDefault="004602C9" w:rsidP="004602C9">
            <w:pPr>
              <w:jc w:val="both"/>
            </w:pPr>
            <w:r w:rsidRPr="00276F72">
              <w:t xml:space="preserve">1) </w:t>
            </w:r>
            <w:r w:rsidR="003652E2" w:rsidRPr="00276F72">
              <w:rPr>
                <w:iCs/>
              </w:rPr>
              <w:t>Regula Nr.</w:t>
            </w:r>
            <w:r w:rsidR="007C11D9" w:rsidRPr="00276F72">
              <w:rPr>
                <w:iCs/>
              </w:rPr>
              <w:t> </w:t>
            </w:r>
            <w:r w:rsidR="003652E2" w:rsidRPr="00276F72">
              <w:rPr>
                <w:iCs/>
              </w:rPr>
              <w:t>999/2001</w:t>
            </w:r>
            <w:r w:rsidRPr="00276F72">
              <w:t>;</w:t>
            </w:r>
          </w:p>
          <w:p w14:paraId="6CAA1637" w14:textId="77777777" w:rsidR="004602C9" w:rsidRPr="00276F72" w:rsidRDefault="004602C9" w:rsidP="004602C9">
            <w:pPr>
              <w:jc w:val="both"/>
            </w:pPr>
            <w:r w:rsidRPr="00276F72">
              <w:rPr>
                <w:iCs/>
              </w:rPr>
              <w:t>2)</w:t>
            </w:r>
            <w:r w:rsidR="003652E2" w:rsidRPr="00276F72">
              <w:t xml:space="preserve"> Regula Nr. </w:t>
            </w:r>
            <w:hyperlink r:id="rId14" w:tgtFrame="_blank" w:history="1">
              <w:r w:rsidR="003652E2" w:rsidRPr="00276F72">
                <w:t>1069/2009</w:t>
              </w:r>
            </w:hyperlink>
            <w:r w:rsidRPr="00276F72">
              <w:rPr>
                <w:iCs/>
              </w:rPr>
              <w:t>;</w:t>
            </w:r>
          </w:p>
          <w:p w14:paraId="5423300B" w14:textId="77777777" w:rsidR="004602C9" w:rsidRPr="00276F72" w:rsidRDefault="004602C9" w:rsidP="004602C9">
            <w:pPr>
              <w:jc w:val="both"/>
              <w:rPr>
                <w:bCs/>
              </w:rPr>
            </w:pPr>
            <w:r w:rsidRPr="00276F72">
              <w:t xml:space="preserve">3) </w:t>
            </w:r>
            <w:r w:rsidRPr="00276F72">
              <w:rPr>
                <w:bCs/>
              </w:rPr>
              <w:t>Īstenošanas lēmums Nr.</w:t>
            </w:r>
            <w:r w:rsidR="007C11D9" w:rsidRPr="00276F72">
              <w:rPr>
                <w:bCs/>
              </w:rPr>
              <w:t> </w:t>
            </w:r>
            <w:r w:rsidRPr="00276F72">
              <w:rPr>
                <w:bCs/>
              </w:rPr>
              <w:t>2016/1918;</w:t>
            </w:r>
          </w:p>
          <w:p w14:paraId="64F6FDC5" w14:textId="06E77943" w:rsidR="00650C5A" w:rsidRPr="00276F72" w:rsidRDefault="004602C9" w:rsidP="00B9577F">
            <w:pPr>
              <w:jc w:val="both"/>
            </w:pPr>
            <w:r w:rsidRPr="00276F72">
              <w:rPr>
                <w:bCs/>
              </w:rPr>
              <w:t xml:space="preserve">4) </w:t>
            </w:r>
            <w:r w:rsidR="00B9577F" w:rsidRPr="00276F72">
              <w:rPr>
                <w:bCs/>
              </w:rPr>
              <w:t>L</w:t>
            </w:r>
            <w:r w:rsidRPr="00276F72">
              <w:rPr>
                <w:bCs/>
              </w:rPr>
              <w:t>ēmums Nr.</w:t>
            </w:r>
            <w:r w:rsidR="007C11D9" w:rsidRPr="00276F72">
              <w:rPr>
                <w:bCs/>
              </w:rPr>
              <w:t> </w:t>
            </w:r>
            <w:r w:rsidRPr="00276F72">
              <w:rPr>
                <w:bCs/>
              </w:rPr>
              <w:t>2007/182/EK.</w:t>
            </w:r>
          </w:p>
        </w:tc>
      </w:tr>
      <w:tr w:rsidR="00426678" w:rsidRPr="00276F72" w14:paraId="3D5C411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vAlign w:val="center"/>
          </w:tcPr>
          <w:p w14:paraId="289AC990" w14:textId="77777777" w:rsidR="00650C5A" w:rsidRPr="00276F72" w:rsidRDefault="00650C5A" w:rsidP="00426678">
            <w:pPr>
              <w:pStyle w:val="naiskr"/>
              <w:spacing w:before="0" w:beforeAutospacing="0" w:after="0" w:afterAutospacing="0"/>
              <w:jc w:val="center"/>
            </w:pPr>
            <w:r w:rsidRPr="00276F72">
              <w:t>A</w:t>
            </w:r>
          </w:p>
        </w:tc>
        <w:tc>
          <w:tcPr>
            <w:tcW w:w="1353" w:type="pct"/>
            <w:gridSpan w:val="2"/>
            <w:vAlign w:val="center"/>
          </w:tcPr>
          <w:p w14:paraId="55336091" w14:textId="77777777" w:rsidR="00650C5A" w:rsidRPr="00276F72" w:rsidRDefault="00650C5A" w:rsidP="00426678">
            <w:pPr>
              <w:pStyle w:val="naiskr"/>
              <w:spacing w:before="0" w:beforeAutospacing="0" w:after="0" w:afterAutospacing="0"/>
              <w:jc w:val="center"/>
            </w:pPr>
            <w:r w:rsidRPr="00276F72">
              <w:t>B</w:t>
            </w:r>
          </w:p>
        </w:tc>
        <w:tc>
          <w:tcPr>
            <w:tcW w:w="1084" w:type="pct"/>
            <w:vAlign w:val="center"/>
          </w:tcPr>
          <w:p w14:paraId="2F0C90EA" w14:textId="77777777" w:rsidR="00650C5A" w:rsidRPr="00276F72" w:rsidRDefault="00650C5A" w:rsidP="00426678">
            <w:pPr>
              <w:pStyle w:val="naiskr"/>
              <w:spacing w:before="0" w:beforeAutospacing="0" w:after="0" w:afterAutospacing="0"/>
              <w:jc w:val="center"/>
            </w:pPr>
            <w:r w:rsidRPr="00276F72">
              <w:t>C</w:t>
            </w:r>
          </w:p>
        </w:tc>
        <w:tc>
          <w:tcPr>
            <w:tcW w:w="1241" w:type="pct"/>
            <w:vAlign w:val="center"/>
          </w:tcPr>
          <w:p w14:paraId="10202C9D" w14:textId="77777777" w:rsidR="00650C5A" w:rsidRPr="00276F72" w:rsidRDefault="00650C5A" w:rsidP="00426678">
            <w:pPr>
              <w:pStyle w:val="naiskr"/>
              <w:spacing w:before="0" w:beforeAutospacing="0" w:after="0" w:afterAutospacing="0"/>
              <w:jc w:val="center"/>
            </w:pPr>
            <w:r w:rsidRPr="00276F72">
              <w:t>D</w:t>
            </w:r>
          </w:p>
        </w:tc>
      </w:tr>
      <w:tr w:rsidR="00426678" w:rsidRPr="00276F72" w14:paraId="097359AD"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19" w:type="pct"/>
            <w:gridSpan w:val="2"/>
          </w:tcPr>
          <w:p w14:paraId="17395F08" w14:textId="77777777" w:rsidR="00650C5A" w:rsidRPr="00276F72" w:rsidRDefault="00650C5A" w:rsidP="00426678">
            <w:pPr>
              <w:pStyle w:val="naiskr"/>
              <w:spacing w:before="0" w:beforeAutospacing="0" w:after="0" w:afterAutospacing="0"/>
              <w:jc w:val="both"/>
            </w:pPr>
            <w:r w:rsidRPr="00276F72">
              <w:t>Attiecīgā ES tiesību akta panta numurs (uzskaitot katru tiesību akta vienību – pantu, daļu, punktu, apakšpunktu)</w:t>
            </w:r>
          </w:p>
        </w:tc>
        <w:tc>
          <w:tcPr>
            <w:tcW w:w="1353" w:type="pct"/>
            <w:gridSpan w:val="2"/>
          </w:tcPr>
          <w:p w14:paraId="0EFF6351" w14:textId="77777777" w:rsidR="00650C5A" w:rsidRPr="00276F72" w:rsidRDefault="00650C5A" w:rsidP="00426678">
            <w:pPr>
              <w:pStyle w:val="naiskr"/>
              <w:spacing w:before="0" w:beforeAutospacing="0" w:after="0" w:afterAutospacing="0"/>
              <w:jc w:val="both"/>
            </w:pPr>
            <w:r w:rsidRPr="00276F72">
              <w:t xml:space="preserve">Projekta vienība, kas pārņem vai ievieš katru šīs tabulas A ailē minēto ES tiesību akta vienību, vai tiesību akts, kur attiecīgā ES tiesību akta </w:t>
            </w:r>
            <w:r w:rsidRPr="00276F72">
              <w:lastRenderedPageBreak/>
              <w:t>vienība pārņemta vai ieviesta</w:t>
            </w:r>
          </w:p>
        </w:tc>
        <w:tc>
          <w:tcPr>
            <w:tcW w:w="1084" w:type="pct"/>
          </w:tcPr>
          <w:p w14:paraId="7691D0BF" w14:textId="77777777" w:rsidR="00650C5A" w:rsidRPr="00276F72" w:rsidRDefault="00650C5A" w:rsidP="00426678">
            <w:pPr>
              <w:pStyle w:val="naiskr"/>
              <w:spacing w:before="0" w:beforeAutospacing="0" w:after="0" w:afterAutospacing="0"/>
              <w:jc w:val="both"/>
            </w:pPr>
            <w:r w:rsidRPr="00276F72">
              <w:lastRenderedPageBreak/>
              <w:t xml:space="preserve">Informācija par to, vai šīs tabulas A ailē minētās ES tiesību akta vienības tiek pārņemtas vai </w:t>
            </w:r>
            <w:r w:rsidRPr="00276F72">
              <w:lastRenderedPageBreak/>
              <w:t>ieviestas pilnībā vai daļēji.</w:t>
            </w:r>
          </w:p>
          <w:p w14:paraId="530223AD" w14:textId="77777777" w:rsidR="00650C5A" w:rsidRPr="00276F72" w:rsidRDefault="00650C5A" w:rsidP="00426678">
            <w:pPr>
              <w:pStyle w:val="naiskr"/>
              <w:spacing w:before="0" w:beforeAutospacing="0" w:after="0" w:afterAutospacing="0"/>
              <w:jc w:val="both"/>
            </w:pPr>
            <w:r w:rsidRPr="00276F72">
              <w:t>Ja attiecīgā ES tiesību akta vienība tiek pārņemta vai ieviesta daļēji,  sniedz attiecīgu skaidrojumu, kā arī precīzi norāda, kad un kādā veidā ES tiesību akta vienība tiks pārņemta vai ieviesta pilnībā.</w:t>
            </w:r>
          </w:p>
          <w:p w14:paraId="141F7A18" w14:textId="77777777" w:rsidR="00650C5A" w:rsidRPr="00276F72" w:rsidRDefault="00650C5A" w:rsidP="00426678">
            <w:pPr>
              <w:pStyle w:val="naiskr"/>
              <w:spacing w:before="0" w:beforeAutospacing="0" w:after="0" w:afterAutospacing="0"/>
              <w:jc w:val="both"/>
            </w:pPr>
            <w:r w:rsidRPr="00276F72">
              <w:t>Norāda institūciju, kas ir atbildīga par šo saistību izpildi pilnībā</w:t>
            </w:r>
          </w:p>
        </w:tc>
        <w:tc>
          <w:tcPr>
            <w:tcW w:w="1241" w:type="pct"/>
            <w:vAlign w:val="center"/>
          </w:tcPr>
          <w:p w14:paraId="169BA0D2" w14:textId="77777777" w:rsidR="00650C5A" w:rsidRPr="00276F72" w:rsidRDefault="00650C5A" w:rsidP="00426678">
            <w:pPr>
              <w:pStyle w:val="naiskr"/>
              <w:spacing w:before="0" w:beforeAutospacing="0" w:after="0" w:afterAutospacing="0"/>
              <w:jc w:val="both"/>
            </w:pPr>
            <w:r w:rsidRPr="00276F72">
              <w:lastRenderedPageBreak/>
              <w:t xml:space="preserve">Informācija par to, vai šīs tabulas B ailē minētās projekta vienības paredz stingrākas prasības nekā šīs tabulas A ailē </w:t>
            </w:r>
            <w:r w:rsidRPr="00276F72">
              <w:lastRenderedPageBreak/>
              <w:t>minētās ES tiesību akta vienības.</w:t>
            </w:r>
          </w:p>
          <w:p w14:paraId="6B75514F" w14:textId="77777777" w:rsidR="00650C5A" w:rsidRPr="00276F72" w:rsidRDefault="00650C5A" w:rsidP="00426678">
            <w:pPr>
              <w:pStyle w:val="naiskr"/>
              <w:spacing w:before="0" w:beforeAutospacing="0" w:after="0" w:afterAutospacing="0"/>
              <w:jc w:val="both"/>
            </w:pPr>
            <w:r w:rsidRPr="00276F72">
              <w:t>Ja projekts satur stingrākas prasības nekā attiecīgais ES tiesību akts, norāda pamatojumu un samērīgumu.</w:t>
            </w:r>
          </w:p>
          <w:p w14:paraId="0EBD264F" w14:textId="77777777" w:rsidR="00650C5A" w:rsidRPr="00276F72" w:rsidRDefault="00650C5A" w:rsidP="00426678">
            <w:pPr>
              <w:pStyle w:val="naiskr"/>
              <w:spacing w:before="0" w:beforeAutospacing="0" w:after="0" w:afterAutospacing="0"/>
              <w:jc w:val="both"/>
            </w:pPr>
            <w:r w:rsidRPr="00276F72">
              <w:t>Norāda iespējamās alternatīvas (t.sk. alternatīvas, kas neparedz tiesiskā regulējuma izstrādi) – kādos gadījumos būtu iespējams izvairīties no stingrāku prasību noteikšanas, nekā paredzēts attiecīgajos ES tiesību aktos</w:t>
            </w:r>
          </w:p>
        </w:tc>
      </w:tr>
      <w:tr w:rsidR="00426678" w:rsidRPr="00276F72" w14:paraId="5578DCC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944056F" w14:textId="30DA2FAC" w:rsidR="00426678" w:rsidRPr="00276F72" w:rsidRDefault="00426678" w:rsidP="00426678">
            <w:pPr>
              <w:jc w:val="both"/>
              <w:rPr>
                <w:iCs/>
              </w:rPr>
            </w:pPr>
            <w:r w:rsidRPr="00276F72">
              <w:rPr>
                <w:iCs/>
              </w:rPr>
              <w:lastRenderedPageBreak/>
              <w:t>Regulas Nr.</w:t>
            </w:r>
            <w:r w:rsidR="0019031A" w:rsidRPr="00276F72">
              <w:rPr>
                <w:iCs/>
              </w:rPr>
              <w:t> </w:t>
            </w:r>
            <w:r w:rsidRPr="00276F72">
              <w:rPr>
                <w:iCs/>
              </w:rPr>
              <w:t>999/2001 6. pants</w:t>
            </w:r>
          </w:p>
        </w:tc>
        <w:tc>
          <w:tcPr>
            <w:tcW w:w="1353" w:type="pct"/>
            <w:gridSpan w:val="2"/>
          </w:tcPr>
          <w:p w14:paraId="31914705" w14:textId="77777777" w:rsidR="00426678" w:rsidRPr="00276F72" w:rsidRDefault="00426678" w:rsidP="00426678">
            <w:pPr>
              <w:pStyle w:val="naiskr"/>
              <w:spacing w:before="0" w:beforeAutospacing="0" w:after="0" w:afterAutospacing="0"/>
              <w:jc w:val="both"/>
              <w:rPr>
                <w:rFonts w:eastAsia="Calibri"/>
                <w:lang w:eastAsia="en-US"/>
              </w:rPr>
            </w:pPr>
            <w:r w:rsidRPr="00276F72">
              <w:rPr>
                <w:rFonts w:eastAsia="Calibri"/>
                <w:lang w:eastAsia="en-US"/>
              </w:rPr>
              <w:t>3. punkts</w:t>
            </w:r>
          </w:p>
        </w:tc>
        <w:tc>
          <w:tcPr>
            <w:tcW w:w="1084" w:type="pct"/>
          </w:tcPr>
          <w:p w14:paraId="2D5E6089"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18AA39D2"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4F60206A"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8BB37BB" w14:textId="28EEDF51" w:rsidR="00426678" w:rsidRPr="00276F72" w:rsidRDefault="00426678" w:rsidP="00426678">
            <w:pPr>
              <w:jc w:val="both"/>
              <w:rPr>
                <w:iCs/>
              </w:rPr>
            </w:pPr>
            <w:r w:rsidRPr="00276F72">
              <w:rPr>
                <w:iCs/>
              </w:rPr>
              <w:t>Regulas Nr.</w:t>
            </w:r>
            <w:r w:rsidR="0019031A" w:rsidRPr="00276F72">
              <w:rPr>
                <w:iCs/>
              </w:rPr>
              <w:t> </w:t>
            </w:r>
            <w:r w:rsidRPr="00276F72">
              <w:rPr>
                <w:iCs/>
              </w:rPr>
              <w:t>999/2001 11. pants</w:t>
            </w:r>
          </w:p>
        </w:tc>
        <w:tc>
          <w:tcPr>
            <w:tcW w:w="1353" w:type="pct"/>
            <w:gridSpan w:val="2"/>
          </w:tcPr>
          <w:p w14:paraId="6155CE8F" w14:textId="77777777" w:rsidR="00426678" w:rsidRPr="00276F72" w:rsidRDefault="00426678" w:rsidP="00426678">
            <w:pPr>
              <w:pStyle w:val="naiskr"/>
              <w:spacing w:before="0" w:beforeAutospacing="0" w:after="0" w:afterAutospacing="0"/>
              <w:jc w:val="both"/>
              <w:rPr>
                <w:rFonts w:eastAsia="Calibri"/>
                <w:lang w:eastAsia="en-US"/>
              </w:rPr>
            </w:pPr>
            <w:r w:rsidRPr="00276F72">
              <w:rPr>
                <w:rFonts w:eastAsia="Calibri"/>
                <w:lang w:eastAsia="en-US"/>
              </w:rPr>
              <w:t>5. punkts</w:t>
            </w:r>
          </w:p>
        </w:tc>
        <w:tc>
          <w:tcPr>
            <w:tcW w:w="1084" w:type="pct"/>
          </w:tcPr>
          <w:p w14:paraId="33E224AF"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05A61429"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1B5019E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5C87333" w14:textId="3476FE04" w:rsidR="00426678" w:rsidRPr="00276F72" w:rsidRDefault="00426678" w:rsidP="00426678">
            <w:pPr>
              <w:jc w:val="both"/>
              <w:rPr>
                <w:iCs/>
              </w:rPr>
            </w:pPr>
            <w:r w:rsidRPr="00276F72">
              <w:rPr>
                <w:iCs/>
              </w:rPr>
              <w:t>Regulas Nr.</w:t>
            </w:r>
            <w:r w:rsidR="0019031A" w:rsidRPr="00276F72">
              <w:rPr>
                <w:iCs/>
              </w:rPr>
              <w:t> </w:t>
            </w:r>
            <w:r w:rsidRPr="00276F72">
              <w:rPr>
                <w:iCs/>
              </w:rPr>
              <w:t xml:space="preserve">999/2001 12. panta 1. punkts </w:t>
            </w:r>
          </w:p>
        </w:tc>
        <w:tc>
          <w:tcPr>
            <w:tcW w:w="1353" w:type="pct"/>
            <w:gridSpan w:val="2"/>
          </w:tcPr>
          <w:p w14:paraId="65F84C8F" w14:textId="4CE2D17F" w:rsidR="00426678" w:rsidRPr="00276F72" w:rsidRDefault="00426678" w:rsidP="00054E63">
            <w:pPr>
              <w:pStyle w:val="naiskr"/>
              <w:spacing w:before="0" w:beforeAutospacing="0" w:after="0" w:afterAutospacing="0"/>
              <w:jc w:val="both"/>
              <w:rPr>
                <w:rFonts w:eastAsia="Calibri"/>
                <w:lang w:eastAsia="en-US"/>
              </w:rPr>
            </w:pPr>
            <w:r w:rsidRPr="00276F72">
              <w:rPr>
                <w:rFonts w:eastAsia="Calibri"/>
                <w:lang w:eastAsia="en-US"/>
              </w:rPr>
              <w:t>1</w:t>
            </w:r>
            <w:r w:rsidR="00054E63" w:rsidRPr="00276F72">
              <w:rPr>
                <w:rFonts w:eastAsia="Calibri"/>
                <w:lang w:eastAsia="en-US"/>
              </w:rPr>
              <w:t>6</w:t>
            </w:r>
            <w:r w:rsidRPr="00276F72">
              <w:rPr>
                <w:rFonts w:eastAsia="Calibri"/>
                <w:lang w:eastAsia="en-US"/>
              </w:rPr>
              <w:t>.</w:t>
            </w:r>
            <w:r w:rsidR="00F17024" w:rsidRPr="00276F72">
              <w:rPr>
                <w:rFonts w:eastAsia="Calibri"/>
                <w:lang w:eastAsia="en-US"/>
              </w:rPr>
              <w:t>3.</w:t>
            </w:r>
            <w:r w:rsidR="0019031A" w:rsidRPr="00276F72">
              <w:rPr>
                <w:rFonts w:eastAsia="Calibri"/>
                <w:lang w:eastAsia="en-US"/>
              </w:rPr>
              <w:t> </w:t>
            </w:r>
            <w:r w:rsidR="00F17024" w:rsidRPr="00276F72">
              <w:rPr>
                <w:rFonts w:eastAsia="Calibri"/>
                <w:lang w:eastAsia="en-US"/>
              </w:rPr>
              <w:t>apakš</w:t>
            </w:r>
            <w:r w:rsidRPr="00276F72">
              <w:rPr>
                <w:rFonts w:eastAsia="Calibri"/>
                <w:lang w:eastAsia="en-US"/>
              </w:rPr>
              <w:t>punkts</w:t>
            </w:r>
          </w:p>
        </w:tc>
        <w:tc>
          <w:tcPr>
            <w:tcW w:w="1084" w:type="pct"/>
          </w:tcPr>
          <w:p w14:paraId="019DEC69"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22831F2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5CCE393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AFE915D" w14:textId="2C6D8D05" w:rsidR="00426678" w:rsidRPr="00276F72" w:rsidRDefault="00426678" w:rsidP="00426678">
            <w:pPr>
              <w:jc w:val="both"/>
              <w:rPr>
                <w:iCs/>
              </w:rPr>
            </w:pPr>
            <w:r w:rsidRPr="00276F72">
              <w:rPr>
                <w:iCs/>
              </w:rPr>
              <w:t>Regulas Nr.</w:t>
            </w:r>
            <w:r w:rsidR="0019031A" w:rsidRPr="00276F72">
              <w:rPr>
                <w:iCs/>
              </w:rPr>
              <w:t> </w:t>
            </w:r>
            <w:r w:rsidRPr="00276F72">
              <w:rPr>
                <w:iCs/>
              </w:rPr>
              <w:t xml:space="preserve">999/2001 12. panta 2. punkts </w:t>
            </w:r>
          </w:p>
        </w:tc>
        <w:tc>
          <w:tcPr>
            <w:tcW w:w="1353" w:type="pct"/>
            <w:gridSpan w:val="2"/>
          </w:tcPr>
          <w:p w14:paraId="431B8832" w14:textId="77777777" w:rsidR="00426678" w:rsidRPr="00276F72" w:rsidRDefault="00426678" w:rsidP="00F17024">
            <w:pPr>
              <w:pStyle w:val="naiskr"/>
              <w:spacing w:before="0" w:beforeAutospacing="0" w:after="0" w:afterAutospacing="0"/>
              <w:jc w:val="both"/>
              <w:rPr>
                <w:rFonts w:eastAsia="Calibri"/>
                <w:lang w:eastAsia="en-US"/>
              </w:rPr>
            </w:pPr>
            <w:r w:rsidRPr="00276F72">
              <w:rPr>
                <w:rFonts w:eastAsia="Calibri"/>
                <w:lang w:eastAsia="en-US"/>
              </w:rPr>
              <w:t>1</w:t>
            </w:r>
            <w:r w:rsidR="00F17024" w:rsidRPr="00276F72">
              <w:rPr>
                <w:rFonts w:eastAsia="Calibri"/>
                <w:lang w:eastAsia="en-US"/>
              </w:rPr>
              <w:t>5</w:t>
            </w:r>
            <w:r w:rsidRPr="00276F72">
              <w:rPr>
                <w:rFonts w:eastAsia="Calibri"/>
                <w:lang w:eastAsia="en-US"/>
              </w:rPr>
              <w:t>. punkts</w:t>
            </w:r>
          </w:p>
        </w:tc>
        <w:tc>
          <w:tcPr>
            <w:tcW w:w="1084" w:type="pct"/>
          </w:tcPr>
          <w:p w14:paraId="1244BB83"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71DA3FCB"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29488C9F"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E75F787" w14:textId="3A5D0678" w:rsidR="00426678" w:rsidRPr="00276F72" w:rsidRDefault="00426678" w:rsidP="00426678">
            <w:pPr>
              <w:jc w:val="both"/>
              <w:rPr>
                <w:iCs/>
              </w:rPr>
            </w:pPr>
            <w:r w:rsidRPr="00276F72">
              <w:rPr>
                <w:iCs/>
              </w:rPr>
              <w:t>Regulas Nr.</w:t>
            </w:r>
            <w:r w:rsidR="0019031A" w:rsidRPr="00276F72">
              <w:rPr>
                <w:iCs/>
              </w:rPr>
              <w:t> </w:t>
            </w:r>
            <w:r w:rsidRPr="00276F72">
              <w:rPr>
                <w:iCs/>
              </w:rPr>
              <w:t>999/2001 13. pants</w:t>
            </w:r>
          </w:p>
        </w:tc>
        <w:tc>
          <w:tcPr>
            <w:tcW w:w="1353" w:type="pct"/>
            <w:gridSpan w:val="2"/>
          </w:tcPr>
          <w:p w14:paraId="3EA5DC3F" w14:textId="432011AE" w:rsidR="00426678" w:rsidRPr="00276F72" w:rsidRDefault="00426678" w:rsidP="00054E63">
            <w:pPr>
              <w:pStyle w:val="naiskr"/>
              <w:spacing w:before="0" w:beforeAutospacing="0" w:after="0" w:afterAutospacing="0"/>
              <w:jc w:val="both"/>
              <w:rPr>
                <w:rFonts w:eastAsia="Calibri"/>
                <w:lang w:eastAsia="en-US"/>
              </w:rPr>
            </w:pPr>
            <w:r w:rsidRPr="00276F72">
              <w:rPr>
                <w:rFonts w:eastAsia="Calibri"/>
                <w:lang w:eastAsia="en-US"/>
              </w:rPr>
              <w:t>2</w:t>
            </w:r>
            <w:r w:rsidR="00C51D39" w:rsidRPr="00276F72">
              <w:rPr>
                <w:rFonts w:eastAsia="Calibri"/>
                <w:lang w:eastAsia="en-US"/>
              </w:rPr>
              <w:t>3</w:t>
            </w:r>
            <w:r w:rsidRPr="00276F72">
              <w:rPr>
                <w:rFonts w:eastAsia="Calibri"/>
                <w:lang w:eastAsia="en-US"/>
              </w:rPr>
              <w:t>. punkts</w:t>
            </w:r>
          </w:p>
        </w:tc>
        <w:tc>
          <w:tcPr>
            <w:tcW w:w="1084" w:type="pct"/>
          </w:tcPr>
          <w:p w14:paraId="7BFF2D6E"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077EDF48"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23F7D417"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F4783D4" w14:textId="78C4A605" w:rsidR="00426678" w:rsidRPr="00276F72" w:rsidRDefault="00426678" w:rsidP="00426678">
            <w:pPr>
              <w:jc w:val="both"/>
              <w:rPr>
                <w:iCs/>
              </w:rPr>
            </w:pPr>
            <w:r w:rsidRPr="00276F72">
              <w:rPr>
                <w:iCs/>
              </w:rPr>
              <w:t>Regulas Nr.</w:t>
            </w:r>
            <w:r w:rsidR="0019031A" w:rsidRPr="00276F72">
              <w:rPr>
                <w:iCs/>
              </w:rPr>
              <w:t> </w:t>
            </w:r>
            <w:r w:rsidRPr="00276F72">
              <w:rPr>
                <w:iCs/>
              </w:rPr>
              <w:t>999/2001 III pielikuma A nodaļas III daļa</w:t>
            </w:r>
          </w:p>
        </w:tc>
        <w:tc>
          <w:tcPr>
            <w:tcW w:w="1353" w:type="pct"/>
            <w:gridSpan w:val="2"/>
          </w:tcPr>
          <w:p w14:paraId="55995493" w14:textId="77777777" w:rsidR="00426678" w:rsidRPr="00276F72" w:rsidRDefault="00426678" w:rsidP="00426678">
            <w:pPr>
              <w:pStyle w:val="naiskr"/>
              <w:spacing w:before="0" w:beforeAutospacing="0" w:after="0" w:afterAutospacing="0"/>
              <w:jc w:val="both"/>
              <w:rPr>
                <w:rFonts w:eastAsia="Calibri"/>
                <w:lang w:eastAsia="en-US"/>
              </w:rPr>
            </w:pPr>
            <w:r w:rsidRPr="00276F72">
              <w:rPr>
                <w:rFonts w:eastAsia="Calibri"/>
                <w:lang w:eastAsia="en-US"/>
              </w:rPr>
              <w:t>3. punkts</w:t>
            </w:r>
          </w:p>
        </w:tc>
        <w:tc>
          <w:tcPr>
            <w:tcW w:w="1084" w:type="pct"/>
          </w:tcPr>
          <w:p w14:paraId="764E6F34"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3A0D1BF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26E211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59030A6" w14:textId="7518ED1C" w:rsidR="00426678" w:rsidRPr="00276F72" w:rsidRDefault="00426678" w:rsidP="00426678">
            <w:pPr>
              <w:jc w:val="both"/>
              <w:rPr>
                <w:iCs/>
              </w:rPr>
            </w:pPr>
            <w:r w:rsidRPr="00276F72">
              <w:rPr>
                <w:iCs/>
              </w:rPr>
              <w:lastRenderedPageBreak/>
              <w:t>Regulas Nr.</w:t>
            </w:r>
            <w:r w:rsidR="0019031A" w:rsidRPr="00276F72">
              <w:rPr>
                <w:iCs/>
              </w:rPr>
              <w:t> </w:t>
            </w:r>
            <w:r w:rsidRPr="00276F72">
              <w:rPr>
                <w:iCs/>
              </w:rPr>
              <w:t>999/2001 III pielikuma B nodaļas III daļas 2. punkts</w:t>
            </w:r>
          </w:p>
        </w:tc>
        <w:tc>
          <w:tcPr>
            <w:tcW w:w="1353" w:type="pct"/>
            <w:gridSpan w:val="2"/>
          </w:tcPr>
          <w:p w14:paraId="37A73648" w14:textId="6AE5F33D" w:rsidR="00426678" w:rsidRPr="00276F72" w:rsidRDefault="00426678" w:rsidP="00C51D39">
            <w:pPr>
              <w:pStyle w:val="naiskr"/>
              <w:spacing w:before="0" w:beforeAutospacing="0" w:after="0" w:afterAutospacing="0"/>
              <w:jc w:val="both"/>
              <w:rPr>
                <w:rFonts w:eastAsia="Calibri"/>
                <w:lang w:eastAsia="en-US"/>
              </w:rPr>
            </w:pPr>
            <w:r w:rsidRPr="00276F72">
              <w:rPr>
                <w:rFonts w:eastAsia="Calibri"/>
                <w:lang w:eastAsia="en-US"/>
              </w:rPr>
              <w:t>2</w:t>
            </w:r>
            <w:r w:rsidR="00C51D39" w:rsidRPr="00276F72">
              <w:rPr>
                <w:rFonts w:eastAsia="Calibri"/>
                <w:lang w:eastAsia="en-US"/>
              </w:rPr>
              <w:t>2</w:t>
            </w:r>
            <w:r w:rsidRPr="00276F72">
              <w:rPr>
                <w:rFonts w:eastAsia="Calibri"/>
                <w:lang w:eastAsia="en-US"/>
              </w:rPr>
              <w:t>. punkts</w:t>
            </w:r>
          </w:p>
        </w:tc>
        <w:tc>
          <w:tcPr>
            <w:tcW w:w="1084" w:type="pct"/>
          </w:tcPr>
          <w:p w14:paraId="24DA4A3D"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655ED715"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FE2927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5F733E2" w14:textId="2B1A27AD" w:rsidR="00426678" w:rsidRPr="00276F72" w:rsidRDefault="00426678" w:rsidP="00426678">
            <w:pPr>
              <w:jc w:val="both"/>
              <w:rPr>
                <w:iCs/>
              </w:rPr>
            </w:pPr>
            <w:r w:rsidRPr="00276F72">
              <w:rPr>
                <w:iCs/>
              </w:rPr>
              <w:t>Regulas Nr.</w:t>
            </w:r>
            <w:r w:rsidR="0019031A" w:rsidRPr="00276F72">
              <w:rPr>
                <w:iCs/>
              </w:rPr>
              <w:t> </w:t>
            </w:r>
            <w:r w:rsidRPr="00276F72">
              <w:rPr>
                <w:iCs/>
              </w:rPr>
              <w:t xml:space="preserve">999/2001 X pielikuma A nodaļas 3.punkts </w:t>
            </w:r>
          </w:p>
        </w:tc>
        <w:tc>
          <w:tcPr>
            <w:tcW w:w="1353" w:type="pct"/>
            <w:gridSpan w:val="2"/>
          </w:tcPr>
          <w:p w14:paraId="078E537A" w14:textId="77777777" w:rsidR="00426678" w:rsidRPr="00276F72" w:rsidRDefault="00426678" w:rsidP="004E6F13">
            <w:pPr>
              <w:pStyle w:val="naiskr"/>
              <w:spacing w:before="0" w:beforeAutospacing="0" w:after="0" w:afterAutospacing="0"/>
              <w:jc w:val="both"/>
              <w:rPr>
                <w:rFonts w:eastAsia="Calibri"/>
                <w:lang w:eastAsia="en-US"/>
              </w:rPr>
            </w:pPr>
            <w:r w:rsidRPr="00276F72">
              <w:rPr>
                <w:rFonts w:eastAsia="Calibri"/>
                <w:lang w:eastAsia="en-US"/>
              </w:rPr>
              <w:t>1</w:t>
            </w:r>
            <w:r w:rsidR="004E6F13" w:rsidRPr="00276F72">
              <w:rPr>
                <w:rFonts w:eastAsia="Calibri"/>
                <w:lang w:eastAsia="en-US"/>
              </w:rPr>
              <w:t>5</w:t>
            </w:r>
            <w:r w:rsidRPr="00276F72">
              <w:rPr>
                <w:rFonts w:eastAsia="Calibri"/>
                <w:lang w:eastAsia="en-US"/>
              </w:rPr>
              <w:t>. punkts</w:t>
            </w:r>
          </w:p>
        </w:tc>
        <w:tc>
          <w:tcPr>
            <w:tcW w:w="1084" w:type="pct"/>
          </w:tcPr>
          <w:p w14:paraId="7A2528C9"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7E9AB36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767EDB77"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021919A0" w14:textId="2DF2FFA5" w:rsidR="00426678" w:rsidRPr="00276F72" w:rsidRDefault="00426678" w:rsidP="00426678">
            <w:pPr>
              <w:jc w:val="both"/>
              <w:rPr>
                <w:bCs/>
              </w:rPr>
            </w:pPr>
            <w:r w:rsidRPr="00276F72">
              <w:rPr>
                <w:iCs/>
              </w:rPr>
              <w:t>Regulas Nr.</w:t>
            </w:r>
            <w:r w:rsidR="0019031A" w:rsidRPr="00276F72">
              <w:rPr>
                <w:iCs/>
              </w:rPr>
              <w:t> </w:t>
            </w:r>
            <w:r w:rsidRPr="00276F72">
              <w:rPr>
                <w:iCs/>
              </w:rPr>
              <w:t>999/2001 X pielikuma C nodaļas 3.</w:t>
            </w:r>
            <w:r w:rsidR="0019031A" w:rsidRPr="00276F72">
              <w:rPr>
                <w:iCs/>
              </w:rPr>
              <w:t> </w:t>
            </w:r>
            <w:r w:rsidRPr="00276F72">
              <w:rPr>
                <w:iCs/>
              </w:rPr>
              <w:t>punkta 3.2.</w:t>
            </w:r>
            <w:r w:rsidR="0019031A" w:rsidRPr="00276F72">
              <w:rPr>
                <w:iCs/>
              </w:rPr>
              <w:t> </w:t>
            </w:r>
            <w:r w:rsidR="007A245C" w:rsidRPr="00276F72">
              <w:rPr>
                <w:iCs/>
              </w:rPr>
              <w:t>apakšpunkta</w:t>
            </w:r>
            <w:r w:rsidRPr="00276F72">
              <w:rPr>
                <w:iCs/>
              </w:rPr>
              <w:t xml:space="preserve"> “c”</w:t>
            </w:r>
            <w:r w:rsidR="007A245C" w:rsidRPr="00276F72">
              <w:rPr>
                <w:iCs/>
              </w:rPr>
              <w:t xml:space="preserve"> apakšpunkta</w:t>
            </w:r>
            <w:r w:rsidRPr="00276F72">
              <w:rPr>
                <w:iCs/>
              </w:rPr>
              <w:t xml:space="preserve"> “i” un “ii” apakšpunkts</w:t>
            </w:r>
          </w:p>
        </w:tc>
        <w:tc>
          <w:tcPr>
            <w:tcW w:w="1353" w:type="pct"/>
            <w:gridSpan w:val="2"/>
          </w:tcPr>
          <w:p w14:paraId="17F8CC6B" w14:textId="77777777" w:rsidR="00426678" w:rsidRPr="00276F72" w:rsidRDefault="00426678" w:rsidP="00426678">
            <w:pPr>
              <w:pStyle w:val="naiskr"/>
              <w:spacing w:before="0" w:beforeAutospacing="0" w:after="0" w:afterAutospacing="0"/>
              <w:jc w:val="both"/>
            </w:pPr>
            <w:r w:rsidRPr="00276F72">
              <w:rPr>
                <w:rFonts w:eastAsia="Calibri"/>
                <w:lang w:eastAsia="en-US"/>
              </w:rPr>
              <w:t>2.4. apakšpunkts</w:t>
            </w:r>
          </w:p>
        </w:tc>
        <w:tc>
          <w:tcPr>
            <w:tcW w:w="1084" w:type="pct"/>
          </w:tcPr>
          <w:p w14:paraId="3EC6EEAE"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70BF5077"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283E78EE"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BB65658" w14:textId="57C07CDC" w:rsidR="00426678" w:rsidRPr="00276F72" w:rsidRDefault="00426678" w:rsidP="00426678">
            <w:r w:rsidRPr="00276F72">
              <w:t>Regulas Nr.</w:t>
            </w:r>
            <w:r w:rsidR="0019031A" w:rsidRPr="00276F72">
              <w:t> </w:t>
            </w:r>
            <w:r w:rsidRPr="00276F72">
              <w:t xml:space="preserve">1069/2009 </w:t>
            </w:r>
          </w:p>
          <w:p w14:paraId="1D1B6063" w14:textId="25E5931C" w:rsidR="00426678" w:rsidRPr="00276F72" w:rsidRDefault="00426678" w:rsidP="00C51D39">
            <w:pPr>
              <w:jc w:val="both"/>
              <w:rPr>
                <w:bCs/>
              </w:rPr>
            </w:pPr>
            <w:r w:rsidRPr="00276F72">
              <w:t>12. pants</w:t>
            </w:r>
          </w:p>
        </w:tc>
        <w:tc>
          <w:tcPr>
            <w:tcW w:w="1353" w:type="pct"/>
            <w:gridSpan w:val="2"/>
          </w:tcPr>
          <w:p w14:paraId="3E4D7787" w14:textId="77777777" w:rsidR="00426678" w:rsidRPr="00276F72" w:rsidRDefault="00426678" w:rsidP="00054E63">
            <w:pPr>
              <w:pStyle w:val="naiskr"/>
              <w:spacing w:before="0" w:beforeAutospacing="0" w:after="0" w:afterAutospacing="0"/>
              <w:jc w:val="both"/>
            </w:pPr>
            <w:r w:rsidRPr="00276F72">
              <w:rPr>
                <w:rFonts w:eastAsia="Calibri"/>
                <w:lang w:eastAsia="en-US"/>
              </w:rPr>
              <w:t>1</w:t>
            </w:r>
            <w:r w:rsidR="00054E63" w:rsidRPr="00276F72">
              <w:rPr>
                <w:rFonts w:eastAsia="Calibri"/>
                <w:lang w:eastAsia="en-US"/>
              </w:rPr>
              <w:t>8</w:t>
            </w:r>
            <w:r w:rsidRPr="00276F72">
              <w:rPr>
                <w:rFonts w:eastAsia="Calibri"/>
                <w:lang w:eastAsia="en-US"/>
              </w:rPr>
              <w:t>. punkts</w:t>
            </w:r>
          </w:p>
        </w:tc>
        <w:tc>
          <w:tcPr>
            <w:tcW w:w="1084" w:type="pct"/>
          </w:tcPr>
          <w:p w14:paraId="3CEF4D69" w14:textId="77777777" w:rsidR="00426678" w:rsidRPr="00276F72" w:rsidRDefault="00426678" w:rsidP="00426678">
            <w:pPr>
              <w:pStyle w:val="naiskr"/>
              <w:spacing w:before="0" w:beforeAutospacing="0" w:after="0" w:afterAutospacing="0"/>
              <w:jc w:val="both"/>
            </w:pPr>
            <w:r w:rsidRPr="00276F72">
              <w:rPr>
                <w:lang w:eastAsia="en-US"/>
              </w:rPr>
              <w:t>ES tiesību akta vienība tiek ieviesta pilnībā.</w:t>
            </w:r>
          </w:p>
        </w:tc>
        <w:tc>
          <w:tcPr>
            <w:tcW w:w="1241" w:type="pct"/>
          </w:tcPr>
          <w:p w14:paraId="4379870B"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5C2E223"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FB20452" w14:textId="77777777" w:rsidR="00426678" w:rsidRPr="00276F72" w:rsidRDefault="00426678" w:rsidP="00426678">
            <w:pPr>
              <w:jc w:val="both"/>
              <w:rPr>
                <w:bCs/>
                <w:highlight w:val="yellow"/>
              </w:rPr>
            </w:pPr>
            <w:r w:rsidRPr="00276F72">
              <w:rPr>
                <w:bCs/>
              </w:rPr>
              <w:t>Īstenošanas lēmuma 2016/1918 1. panta 1. punkts</w:t>
            </w:r>
          </w:p>
        </w:tc>
        <w:tc>
          <w:tcPr>
            <w:tcW w:w="1353" w:type="pct"/>
            <w:gridSpan w:val="2"/>
          </w:tcPr>
          <w:p w14:paraId="6B5CB107" w14:textId="77777777" w:rsidR="00426678" w:rsidRPr="00276F72" w:rsidRDefault="00426678" w:rsidP="00426678">
            <w:pPr>
              <w:pStyle w:val="naiskr"/>
              <w:spacing w:before="0" w:beforeAutospacing="0" w:after="0" w:afterAutospacing="0"/>
              <w:jc w:val="both"/>
            </w:pPr>
            <w:r w:rsidRPr="00276F72">
              <w:t>1.1. apakšpunkts</w:t>
            </w:r>
          </w:p>
        </w:tc>
        <w:tc>
          <w:tcPr>
            <w:tcW w:w="1084" w:type="pct"/>
          </w:tcPr>
          <w:p w14:paraId="5E004178" w14:textId="39528BB8"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2921C8" w:rsidRPr="00276F72">
              <w:rPr>
                <w:lang w:eastAsia="en-US"/>
              </w:rPr>
              <w:t>pārņemta</w:t>
            </w:r>
            <w:r w:rsidRPr="00276F72">
              <w:rPr>
                <w:lang w:eastAsia="en-US"/>
              </w:rPr>
              <w:t xml:space="preserve"> pilnībā.</w:t>
            </w:r>
          </w:p>
        </w:tc>
        <w:tc>
          <w:tcPr>
            <w:tcW w:w="1241" w:type="pct"/>
          </w:tcPr>
          <w:p w14:paraId="4ADC7009"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1D676025"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06A1C87" w14:textId="45E190D8"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1. panta 2. punkts</w:t>
            </w:r>
          </w:p>
        </w:tc>
        <w:tc>
          <w:tcPr>
            <w:tcW w:w="1353" w:type="pct"/>
            <w:gridSpan w:val="2"/>
          </w:tcPr>
          <w:p w14:paraId="21D52948" w14:textId="77777777" w:rsidR="00426678" w:rsidRPr="00276F72" w:rsidRDefault="00426678" w:rsidP="00426678">
            <w:pPr>
              <w:pStyle w:val="naiskr"/>
              <w:spacing w:before="0" w:beforeAutospacing="0" w:after="0" w:afterAutospacing="0"/>
              <w:jc w:val="both"/>
            </w:pPr>
            <w:r w:rsidRPr="00276F72">
              <w:t>9. punkta ievaddaļa</w:t>
            </w:r>
          </w:p>
        </w:tc>
        <w:tc>
          <w:tcPr>
            <w:tcW w:w="1084" w:type="pct"/>
          </w:tcPr>
          <w:p w14:paraId="099D7884" w14:textId="5DD6F6B8"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2921C8" w:rsidRPr="00276F72">
              <w:rPr>
                <w:lang w:eastAsia="en-US"/>
              </w:rPr>
              <w:t>pārņemta</w:t>
            </w:r>
            <w:r w:rsidRPr="00276F72">
              <w:rPr>
                <w:lang w:eastAsia="en-US"/>
              </w:rPr>
              <w:t xml:space="preserve"> pilnībā.</w:t>
            </w:r>
          </w:p>
        </w:tc>
        <w:tc>
          <w:tcPr>
            <w:tcW w:w="1241" w:type="pct"/>
          </w:tcPr>
          <w:p w14:paraId="79250CC2"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1CCB579D"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21E0340D" w14:textId="0071D8E3"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2. panta 1. punkts un 2. punkta ievaddaļa</w:t>
            </w:r>
          </w:p>
        </w:tc>
        <w:tc>
          <w:tcPr>
            <w:tcW w:w="1353" w:type="pct"/>
            <w:gridSpan w:val="2"/>
          </w:tcPr>
          <w:p w14:paraId="31398A93" w14:textId="77777777" w:rsidR="00426678" w:rsidRPr="00276F72" w:rsidRDefault="00426678" w:rsidP="00426678">
            <w:pPr>
              <w:pStyle w:val="naiskr"/>
              <w:spacing w:before="0" w:beforeAutospacing="0" w:after="0" w:afterAutospacing="0"/>
              <w:jc w:val="both"/>
            </w:pPr>
            <w:r w:rsidRPr="00276F72">
              <w:t>7. punkts</w:t>
            </w:r>
          </w:p>
        </w:tc>
        <w:tc>
          <w:tcPr>
            <w:tcW w:w="1084" w:type="pct"/>
          </w:tcPr>
          <w:p w14:paraId="0785F78E" w14:textId="09029F17"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2921C8" w:rsidRPr="00276F72">
              <w:rPr>
                <w:lang w:eastAsia="en-US"/>
              </w:rPr>
              <w:t>pārņemta</w:t>
            </w:r>
            <w:r w:rsidRPr="00276F72">
              <w:rPr>
                <w:lang w:eastAsia="en-US"/>
              </w:rPr>
              <w:t xml:space="preserve"> pilnībā.</w:t>
            </w:r>
          </w:p>
        </w:tc>
        <w:tc>
          <w:tcPr>
            <w:tcW w:w="1241" w:type="pct"/>
          </w:tcPr>
          <w:p w14:paraId="3976C75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2266F33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FECDC2E" w14:textId="03B2D375"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2. panta 2. punkta “a” apakšpunkts</w:t>
            </w:r>
          </w:p>
        </w:tc>
        <w:tc>
          <w:tcPr>
            <w:tcW w:w="1353" w:type="pct"/>
            <w:gridSpan w:val="2"/>
          </w:tcPr>
          <w:p w14:paraId="7CC7A8C0" w14:textId="77777777" w:rsidR="00426678" w:rsidRPr="00276F72" w:rsidRDefault="00426678" w:rsidP="00426678">
            <w:pPr>
              <w:pStyle w:val="naiskr"/>
              <w:spacing w:before="0" w:beforeAutospacing="0" w:after="0" w:afterAutospacing="0"/>
              <w:jc w:val="both"/>
            </w:pPr>
            <w:r w:rsidRPr="00276F72">
              <w:t>9.1. apakšpunkts</w:t>
            </w:r>
          </w:p>
        </w:tc>
        <w:tc>
          <w:tcPr>
            <w:tcW w:w="1084" w:type="pct"/>
          </w:tcPr>
          <w:p w14:paraId="12A1B800" w14:textId="64FE897D"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993C0F" w:rsidRPr="00276F72">
              <w:rPr>
                <w:lang w:eastAsia="en-US"/>
              </w:rPr>
              <w:t>pārņemta</w:t>
            </w:r>
            <w:r w:rsidRPr="00276F72">
              <w:rPr>
                <w:lang w:eastAsia="en-US"/>
              </w:rPr>
              <w:t xml:space="preserve"> pilnībā.</w:t>
            </w:r>
          </w:p>
        </w:tc>
        <w:tc>
          <w:tcPr>
            <w:tcW w:w="1241" w:type="pct"/>
          </w:tcPr>
          <w:p w14:paraId="611CA15A"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6AFFD42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8DE9BC" w14:textId="27FAE144"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2. panta 2. punkta “b” apakšpunkts</w:t>
            </w:r>
          </w:p>
        </w:tc>
        <w:tc>
          <w:tcPr>
            <w:tcW w:w="1353" w:type="pct"/>
            <w:gridSpan w:val="2"/>
          </w:tcPr>
          <w:p w14:paraId="794CC030" w14:textId="77777777" w:rsidR="00426678" w:rsidRPr="00276F72" w:rsidRDefault="00426678" w:rsidP="00426678">
            <w:pPr>
              <w:pStyle w:val="naiskr"/>
              <w:spacing w:before="0" w:beforeAutospacing="0" w:after="0" w:afterAutospacing="0"/>
              <w:jc w:val="both"/>
            </w:pPr>
            <w:r w:rsidRPr="00276F72">
              <w:t>9.3. apakšpunkts</w:t>
            </w:r>
          </w:p>
        </w:tc>
        <w:tc>
          <w:tcPr>
            <w:tcW w:w="1084" w:type="pct"/>
          </w:tcPr>
          <w:p w14:paraId="1075EB0D" w14:textId="7CE1C53D"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993C0F" w:rsidRPr="00276F72">
              <w:rPr>
                <w:lang w:eastAsia="en-US"/>
              </w:rPr>
              <w:t>pārņemta</w:t>
            </w:r>
            <w:r w:rsidRPr="00276F72">
              <w:rPr>
                <w:lang w:eastAsia="en-US"/>
              </w:rPr>
              <w:t xml:space="preserve"> pilnībā.</w:t>
            </w:r>
          </w:p>
        </w:tc>
        <w:tc>
          <w:tcPr>
            <w:tcW w:w="1241" w:type="pct"/>
          </w:tcPr>
          <w:p w14:paraId="16C6FDB5"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4E72A4E0"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379EBD9" w14:textId="482C2892"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 xml:space="preserve">2016/1918 2. panta 2. punkta “c” </w:t>
            </w:r>
            <w:r w:rsidRPr="00276F72">
              <w:rPr>
                <w:bCs/>
              </w:rPr>
              <w:lastRenderedPageBreak/>
              <w:t>apakšpunkts</w:t>
            </w:r>
          </w:p>
        </w:tc>
        <w:tc>
          <w:tcPr>
            <w:tcW w:w="1353" w:type="pct"/>
            <w:gridSpan w:val="2"/>
          </w:tcPr>
          <w:p w14:paraId="2759D965" w14:textId="77777777" w:rsidR="00426678" w:rsidRPr="00276F72" w:rsidRDefault="00426678" w:rsidP="00426678">
            <w:pPr>
              <w:pStyle w:val="naiskr"/>
              <w:spacing w:before="0" w:beforeAutospacing="0" w:after="0" w:afterAutospacing="0"/>
              <w:jc w:val="both"/>
            </w:pPr>
            <w:r w:rsidRPr="00276F72">
              <w:lastRenderedPageBreak/>
              <w:t>9.4. apakšpunkts</w:t>
            </w:r>
          </w:p>
        </w:tc>
        <w:tc>
          <w:tcPr>
            <w:tcW w:w="1084" w:type="pct"/>
          </w:tcPr>
          <w:p w14:paraId="3CF5D162" w14:textId="0CD6BA43"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E16D11" w:rsidRPr="00276F72">
              <w:rPr>
                <w:lang w:eastAsia="en-US"/>
              </w:rPr>
              <w:t>pārņemta</w:t>
            </w:r>
            <w:r w:rsidRPr="00276F72">
              <w:rPr>
                <w:lang w:eastAsia="en-US"/>
              </w:rPr>
              <w:t xml:space="preserve"> pilnībā.</w:t>
            </w:r>
          </w:p>
        </w:tc>
        <w:tc>
          <w:tcPr>
            <w:tcW w:w="1241" w:type="pct"/>
          </w:tcPr>
          <w:p w14:paraId="3D6E6056" w14:textId="77777777" w:rsidR="00426678" w:rsidRPr="00276F72" w:rsidRDefault="00426678" w:rsidP="00426678">
            <w:pPr>
              <w:pStyle w:val="naiskr"/>
              <w:spacing w:before="0" w:beforeAutospacing="0" w:after="0" w:afterAutospacing="0"/>
              <w:jc w:val="both"/>
            </w:pPr>
            <w:r w:rsidRPr="00276F72">
              <w:t xml:space="preserve">Attiecīgais noteikumu projekta punkts neparedz stingrākas </w:t>
            </w:r>
            <w:r w:rsidRPr="00276F72">
              <w:lastRenderedPageBreak/>
              <w:t>prasības kā ES tiesību aktā.</w:t>
            </w:r>
          </w:p>
        </w:tc>
      </w:tr>
      <w:tr w:rsidR="00426678" w:rsidRPr="00276F72" w14:paraId="2BA3FBB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F2BF2DA" w14:textId="53314E5B" w:rsidR="00426678" w:rsidRPr="00276F72" w:rsidRDefault="00426678" w:rsidP="00426678">
            <w:pPr>
              <w:jc w:val="both"/>
              <w:rPr>
                <w:bCs/>
              </w:rPr>
            </w:pPr>
            <w:r w:rsidRPr="00276F72">
              <w:rPr>
                <w:bCs/>
              </w:rPr>
              <w:lastRenderedPageBreak/>
              <w:t xml:space="preserve">Īstenošanas lēmuma </w:t>
            </w:r>
            <w:r w:rsidR="0019031A" w:rsidRPr="00276F72">
              <w:rPr>
                <w:bCs/>
              </w:rPr>
              <w:t>Nr. </w:t>
            </w:r>
            <w:r w:rsidRPr="00276F72">
              <w:rPr>
                <w:bCs/>
              </w:rPr>
              <w:t>2016/1918 2. panta 2. punkta “d” apakšpunkts</w:t>
            </w:r>
          </w:p>
        </w:tc>
        <w:tc>
          <w:tcPr>
            <w:tcW w:w="1353" w:type="pct"/>
            <w:gridSpan w:val="2"/>
          </w:tcPr>
          <w:p w14:paraId="741067FD" w14:textId="77777777" w:rsidR="00426678" w:rsidRPr="00276F72" w:rsidRDefault="00426678" w:rsidP="00426678">
            <w:pPr>
              <w:pStyle w:val="naiskr"/>
              <w:spacing w:before="0" w:beforeAutospacing="0" w:after="0" w:afterAutospacing="0"/>
              <w:jc w:val="both"/>
            </w:pPr>
            <w:r w:rsidRPr="00276F72">
              <w:t>8.1. apakšpunkts</w:t>
            </w:r>
          </w:p>
        </w:tc>
        <w:tc>
          <w:tcPr>
            <w:tcW w:w="1084" w:type="pct"/>
          </w:tcPr>
          <w:p w14:paraId="34724A19" w14:textId="5862A94F"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E16D11" w:rsidRPr="00276F72">
              <w:rPr>
                <w:lang w:eastAsia="en-US"/>
              </w:rPr>
              <w:t>pārņemta</w:t>
            </w:r>
            <w:r w:rsidRPr="00276F72">
              <w:rPr>
                <w:lang w:eastAsia="en-US"/>
              </w:rPr>
              <w:t xml:space="preserve"> pilnībā.</w:t>
            </w:r>
          </w:p>
        </w:tc>
        <w:tc>
          <w:tcPr>
            <w:tcW w:w="1241" w:type="pct"/>
          </w:tcPr>
          <w:p w14:paraId="1F917E38"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914D01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4CFC7F5C" w14:textId="3864344E"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2016/1918 2. panta 2. punkta “e” apakšpunkts</w:t>
            </w:r>
          </w:p>
        </w:tc>
        <w:tc>
          <w:tcPr>
            <w:tcW w:w="1353" w:type="pct"/>
            <w:gridSpan w:val="2"/>
          </w:tcPr>
          <w:p w14:paraId="0DAECB22" w14:textId="77777777" w:rsidR="00426678" w:rsidRPr="00276F72" w:rsidRDefault="00426678" w:rsidP="00426678">
            <w:pPr>
              <w:pStyle w:val="naiskr"/>
              <w:spacing w:before="0" w:beforeAutospacing="0" w:after="0" w:afterAutospacing="0"/>
              <w:jc w:val="both"/>
            </w:pPr>
            <w:r w:rsidRPr="00276F72">
              <w:t>9.2. apakšpunkts</w:t>
            </w:r>
          </w:p>
        </w:tc>
        <w:tc>
          <w:tcPr>
            <w:tcW w:w="1084" w:type="pct"/>
          </w:tcPr>
          <w:p w14:paraId="05B3A19C" w14:textId="773E2BC9"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E16D11" w:rsidRPr="00276F72">
              <w:rPr>
                <w:lang w:eastAsia="en-US"/>
              </w:rPr>
              <w:t>pārņemta</w:t>
            </w:r>
            <w:r w:rsidRPr="00276F72">
              <w:rPr>
                <w:lang w:eastAsia="en-US"/>
              </w:rPr>
              <w:t xml:space="preserve"> pilnībā.</w:t>
            </w:r>
          </w:p>
        </w:tc>
        <w:tc>
          <w:tcPr>
            <w:tcW w:w="1241" w:type="pct"/>
          </w:tcPr>
          <w:p w14:paraId="574B915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2865BF50"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E7FCF61" w14:textId="5BDF1003"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2016/1918 2. panta 2.punkta “f” apakšpunkts</w:t>
            </w:r>
          </w:p>
        </w:tc>
        <w:tc>
          <w:tcPr>
            <w:tcW w:w="1353" w:type="pct"/>
            <w:gridSpan w:val="2"/>
          </w:tcPr>
          <w:p w14:paraId="0843B1F4" w14:textId="77777777" w:rsidR="00426678" w:rsidRPr="00276F72" w:rsidRDefault="00426678" w:rsidP="00426678">
            <w:pPr>
              <w:pStyle w:val="naiskr"/>
              <w:spacing w:before="0" w:beforeAutospacing="0" w:after="0" w:afterAutospacing="0"/>
              <w:jc w:val="both"/>
            </w:pPr>
            <w:r w:rsidRPr="00276F72">
              <w:t>8.2. apakšpunkts</w:t>
            </w:r>
          </w:p>
        </w:tc>
        <w:tc>
          <w:tcPr>
            <w:tcW w:w="1084" w:type="pct"/>
          </w:tcPr>
          <w:p w14:paraId="280E9EE8" w14:textId="0BA5AF89"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A4295C" w:rsidRPr="00276F72">
              <w:rPr>
                <w:lang w:eastAsia="en-US"/>
              </w:rPr>
              <w:t>pārņemta</w:t>
            </w:r>
            <w:r w:rsidRPr="00276F72">
              <w:rPr>
                <w:lang w:eastAsia="en-US"/>
              </w:rPr>
              <w:t xml:space="preserve"> pilnībā.</w:t>
            </w:r>
          </w:p>
        </w:tc>
        <w:tc>
          <w:tcPr>
            <w:tcW w:w="1241" w:type="pct"/>
          </w:tcPr>
          <w:p w14:paraId="53F2E5C6"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7234608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69267E" w14:textId="68DCB2A2"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 xml:space="preserve">2016/1918 3. panta 1. punkts </w:t>
            </w:r>
          </w:p>
        </w:tc>
        <w:tc>
          <w:tcPr>
            <w:tcW w:w="1353" w:type="pct"/>
            <w:gridSpan w:val="2"/>
          </w:tcPr>
          <w:p w14:paraId="76F6A615" w14:textId="77777777" w:rsidR="00426678" w:rsidRPr="00276F72" w:rsidRDefault="00426678" w:rsidP="00426678">
            <w:pPr>
              <w:pStyle w:val="naiskr"/>
              <w:spacing w:before="0" w:beforeAutospacing="0" w:after="0" w:afterAutospacing="0"/>
              <w:jc w:val="both"/>
            </w:pPr>
            <w:r w:rsidRPr="00276F72">
              <w:t>10. punkts</w:t>
            </w:r>
          </w:p>
        </w:tc>
        <w:tc>
          <w:tcPr>
            <w:tcW w:w="1084" w:type="pct"/>
          </w:tcPr>
          <w:p w14:paraId="6F4E6C90" w14:textId="29516BB1"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A4295C" w:rsidRPr="00276F72">
              <w:rPr>
                <w:lang w:eastAsia="en-US"/>
              </w:rPr>
              <w:t>pārņemta</w:t>
            </w:r>
            <w:r w:rsidRPr="00276F72">
              <w:rPr>
                <w:lang w:eastAsia="en-US"/>
              </w:rPr>
              <w:t xml:space="preserve"> pilnībā.</w:t>
            </w:r>
          </w:p>
        </w:tc>
        <w:tc>
          <w:tcPr>
            <w:tcW w:w="1241" w:type="pct"/>
          </w:tcPr>
          <w:p w14:paraId="2EA7B0B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CD64709"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E6836BE" w14:textId="26F52E5B"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2016/1918 3. panta 2. punkts</w:t>
            </w:r>
          </w:p>
        </w:tc>
        <w:tc>
          <w:tcPr>
            <w:tcW w:w="1353" w:type="pct"/>
            <w:gridSpan w:val="2"/>
          </w:tcPr>
          <w:p w14:paraId="5F09023F" w14:textId="77777777" w:rsidR="00426678" w:rsidRPr="00276F72" w:rsidRDefault="00426678" w:rsidP="00426678">
            <w:pPr>
              <w:pStyle w:val="naiskr"/>
              <w:spacing w:before="0" w:beforeAutospacing="0" w:after="0" w:afterAutospacing="0"/>
              <w:jc w:val="both"/>
            </w:pPr>
            <w:r w:rsidRPr="00276F72">
              <w:t>10. punkts un 11.1. apakšpunkts</w:t>
            </w:r>
          </w:p>
        </w:tc>
        <w:tc>
          <w:tcPr>
            <w:tcW w:w="1084" w:type="pct"/>
          </w:tcPr>
          <w:p w14:paraId="77A801F3" w14:textId="0AB1ADB9"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A4295C" w:rsidRPr="00276F72">
              <w:rPr>
                <w:lang w:eastAsia="en-US"/>
              </w:rPr>
              <w:t>pārņemta</w:t>
            </w:r>
            <w:r w:rsidRPr="00276F72">
              <w:rPr>
                <w:lang w:eastAsia="en-US"/>
              </w:rPr>
              <w:t xml:space="preserve"> pilnībā.</w:t>
            </w:r>
          </w:p>
        </w:tc>
        <w:tc>
          <w:tcPr>
            <w:tcW w:w="1241" w:type="pct"/>
          </w:tcPr>
          <w:p w14:paraId="035FCA08"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1A503B6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36FEB9B" w14:textId="11EA5EE8" w:rsidR="00426678" w:rsidRPr="00276F72" w:rsidRDefault="00426678" w:rsidP="00426678">
            <w:r w:rsidRPr="00276F72">
              <w:rPr>
                <w:bCs/>
              </w:rPr>
              <w:t xml:space="preserve">Īstenošanas lēmuma </w:t>
            </w:r>
            <w:r w:rsidR="0019031A" w:rsidRPr="00276F72">
              <w:rPr>
                <w:bCs/>
              </w:rPr>
              <w:t>Nr. </w:t>
            </w:r>
            <w:r w:rsidRPr="00276F72">
              <w:rPr>
                <w:bCs/>
              </w:rPr>
              <w:t>2016/1918 3. panta 3. punkts</w:t>
            </w:r>
          </w:p>
        </w:tc>
        <w:tc>
          <w:tcPr>
            <w:tcW w:w="1353" w:type="pct"/>
            <w:gridSpan w:val="2"/>
          </w:tcPr>
          <w:p w14:paraId="47AE49C9" w14:textId="77777777" w:rsidR="00426678" w:rsidRPr="00276F72" w:rsidRDefault="00426678" w:rsidP="00426678">
            <w:pPr>
              <w:pStyle w:val="naiskr"/>
              <w:spacing w:before="0" w:beforeAutospacing="0" w:after="0" w:afterAutospacing="0"/>
              <w:jc w:val="both"/>
            </w:pPr>
            <w:r w:rsidRPr="00276F72">
              <w:t>11.2. un 11.3. apakšpunkts</w:t>
            </w:r>
          </w:p>
        </w:tc>
        <w:tc>
          <w:tcPr>
            <w:tcW w:w="1084" w:type="pct"/>
          </w:tcPr>
          <w:p w14:paraId="045191DE" w14:textId="0FC4E542"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251315" w:rsidRPr="00276F72">
              <w:rPr>
                <w:lang w:eastAsia="en-US"/>
              </w:rPr>
              <w:t>pārņemta</w:t>
            </w:r>
            <w:r w:rsidRPr="00276F72">
              <w:rPr>
                <w:lang w:eastAsia="en-US"/>
              </w:rPr>
              <w:t xml:space="preserve"> pilnībā.</w:t>
            </w:r>
          </w:p>
        </w:tc>
        <w:tc>
          <w:tcPr>
            <w:tcW w:w="1241" w:type="pct"/>
          </w:tcPr>
          <w:p w14:paraId="4855B010"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4DCFBEEC"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1304370A" w14:textId="5CD9DEA0" w:rsidR="00426678" w:rsidRPr="00276F72" w:rsidRDefault="00426678" w:rsidP="00426678">
            <w:r w:rsidRPr="00276F72">
              <w:rPr>
                <w:bCs/>
              </w:rPr>
              <w:t xml:space="preserve">Īstenošanas lēmuma </w:t>
            </w:r>
            <w:r w:rsidR="0019031A" w:rsidRPr="00276F72">
              <w:rPr>
                <w:bCs/>
              </w:rPr>
              <w:t>Nr. </w:t>
            </w:r>
            <w:r w:rsidRPr="00276F72">
              <w:rPr>
                <w:bCs/>
              </w:rPr>
              <w:t>2016/1918 3. panta 4. punkts</w:t>
            </w:r>
          </w:p>
        </w:tc>
        <w:tc>
          <w:tcPr>
            <w:tcW w:w="1353" w:type="pct"/>
            <w:gridSpan w:val="2"/>
          </w:tcPr>
          <w:p w14:paraId="23C032D5" w14:textId="77777777" w:rsidR="00426678" w:rsidRPr="00276F72" w:rsidRDefault="00426678" w:rsidP="00426678">
            <w:pPr>
              <w:pStyle w:val="naiskr"/>
              <w:spacing w:before="0" w:beforeAutospacing="0" w:after="0" w:afterAutospacing="0"/>
              <w:jc w:val="both"/>
            </w:pPr>
            <w:r w:rsidRPr="00276F72">
              <w:t>11.4. apakšpunkts</w:t>
            </w:r>
          </w:p>
        </w:tc>
        <w:tc>
          <w:tcPr>
            <w:tcW w:w="1084" w:type="pct"/>
          </w:tcPr>
          <w:p w14:paraId="1F6AD1B3" w14:textId="0574A468"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CF21CA" w:rsidRPr="00276F72">
              <w:rPr>
                <w:lang w:eastAsia="en-US"/>
              </w:rPr>
              <w:t>pārņemta</w:t>
            </w:r>
            <w:r w:rsidRPr="00276F72">
              <w:rPr>
                <w:lang w:eastAsia="en-US"/>
              </w:rPr>
              <w:t xml:space="preserve"> pilnībā.</w:t>
            </w:r>
          </w:p>
        </w:tc>
        <w:tc>
          <w:tcPr>
            <w:tcW w:w="1241" w:type="pct"/>
          </w:tcPr>
          <w:p w14:paraId="5FFB7BF8"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7B67F14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35DC37CE" w14:textId="6A38F180"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4. pants</w:t>
            </w:r>
          </w:p>
        </w:tc>
        <w:tc>
          <w:tcPr>
            <w:tcW w:w="1353" w:type="pct"/>
            <w:gridSpan w:val="2"/>
          </w:tcPr>
          <w:p w14:paraId="5C55AC08" w14:textId="1A27C036" w:rsidR="00426678" w:rsidRPr="00276F72" w:rsidRDefault="00426678" w:rsidP="00BB61A7">
            <w:pPr>
              <w:pStyle w:val="naiskr"/>
              <w:spacing w:before="0" w:beforeAutospacing="0" w:after="0" w:afterAutospacing="0"/>
              <w:jc w:val="both"/>
            </w:pPr>
            <w:r w:rsidRPr="00276F72">
              <w:t>2</w:t>
            </w:r>
            <w:r w:rsidR="00BB61A7" w:rsidRPr="00276F72">
              <w:t>4</w:t>
            </w:r>
            <w:r w:rsidRPr="00276F72">
              <w:t>. punkts</w:t>
            </w:r>
          </w:p>
        </w:tc>
        <w:tc>
          <w:tcPr>
            <w:tcW w:w="1084" w:type="pct"/>
          </w:tcPr>
          <w:p w14:paraId="5DB592B6" w14:textId="0CA4CDBC"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CF21CA" w:rsidRPr="00276F72">
              <w:rPr>
                <w:lang w:eastAsia="en-US"/>
              </w:rPr>
              <w:t>pārņemta</w:t>
            </w:r>
            <w:r w:rsidRPr="00276F72">
              <w:rPr>
                <w:lang w:eastAsia="en-US"/>
              </w:rPr>
              <w:t xml:space="preserve"> pilnībā.</w:t>
            </w:r>
          </w:p>
        </w:tc>
        <w:tc>
          <w:tcPr>
            <w:tcW w:w="1241" w:type="pct"/>
          </w:tcPr>
          <w:p w14:paraId="19CA27DC"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07F87D2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5DA0CA4C" w14:textId="7131A30A" w:rsidR="00426678" w:rsidRPr="00276F72" w:rsidRDefault="00426678" w:rsidP="00426678">
            <w:pPr>
              <w:jc w:val="both"/>
              <w:rPr>
                <w:bCs/>
                <w:highlight w:val="yellow"/>
              </w:rPr>
            </w:pPr>
            <w:r w:rsidRPr="00276F72">
              <w:rPr>
                <w:bCs/>
              </w:rPr>
              <w:t xml:space="preserve">Īstenošanas lēmuma </w:t>
            </w:r>
            <w:r w:rsidR="0019031A" w:rsidRPr="00276F72">
              <w:rPr>
                <w:bCs/>
              </w:rPr>
              <w:t>Nr. </w:t>
            </w:r>
            <w:r w:rsidRPr="00276F72">
              <w:rPr>
                <w:bCs/>
              </w:rPr>
              <w:t>2016/1918 5. pants</w:t>
            </w:r>
          </w:p>
        </w:tc>
        <w:tc>
          <w:tcPr>
            <w:tcW w:w="1353" w:type="pct"/>
            <w:gridSpan w:val="2"/>
          </w:tcPr>
          <w:p w14:paraId="7C7DAFC8" w14:textId="77777777" w:rsidR="00426678" w:rsidRPr="00276F72" w:rsidRDefault="00426678" w:rsidP="00426678">
            <w:pPr>
              <w:pStyle w:val="naiskr"/>
              <w:spacing w:before="0" w:beforeAutospacing="0" w:after="0" w:afterAutospacing="0"/>
              <w:jc w:val="both"/>
            </w:pPr>
            <w:r w:rsidRPr="00276F72">
              <w:t>-</w:t>
            </w:r>
          </w:p>
        </w:tc>
        <w:tc>
          <w:tcPr>
            <w:tcW w:w="1084" w:type="pct"/>
          </w:tcPr>
          <w:p w14:paraId="7CCD7441" w14:textId="77777777" w:rsidR="00426678" w:rsidRPr="00276F72" w:rsidRDefault="00426678" w:rsidP="00426678">
            <w:pPr>
              <w:pStyle w:val="naiskr"/>
              <w:spacing w:before="0" w:beforeAutospacing="0" w:after="0" w:afterAutospacing="0"/>
              <w:jc w:val="both"/>
            </w:pPr>
            <w:r w:rsidRPr="00276F72">
              <w:t xml:space="preserve">Nav nepieciešama pārņemšana, jo šīs tabulas A ailē minētais ES tiesību akta nosacījums adresēts Eiropas Savienības </w:t>
            </w:r>
            <w:r w:rsidRPr="00276F72">
              <w:lastRenderedPageBreak/>
              <w:t>institūcijām.</w:t>
            </w:r>
          </w:p>
        </w:tc>
        <w:tc>
          <w:tcPr>
            <w:tcW w:w="1241" w:type="pct"/>
          </w:tcPr>
          <w:p w14:paraId="70F1D154" w14:textId="77777777" w:rsidR="00426678" w:rsidRPr="00276F72" w:rsidRDefault="00426678" w:rsidP="00426678">
            <w:pPr>
              <w:pStyle w:val="naiskr"/>
              <w:spacing w:before="0" w:beforeAutospacing="0" w:after="0" w:afterAutospacing="0"/>
              <w:jc w:val="both"/>
            </w:pPr>
            <w:r w:rsidRPr="00276F72">
              <w:lastRenderedPageBreak/>
              <w:t>Attiecīgais noteikumu projekta punkts neparedz stingrākas prasības kā ES tiesību aktā.</w:t>
            </w:r>
          </w:p>
        </w:tc>
      </w:tr>
      <w:tr w:rsidR="00426678" w:rsidRPr="00276F72" w14:paraId="21B2DDF4"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2E506F8" w14:textId="7098CAF0" w:rsidR="00426678" w:rsidRPr="00276F72" w:rsidRDefault="00426678" w:rsidP="00426678">
            <w:pPr>
              <w:jc w:val="both"/>
              <w:rPr>
                <w:bCs/>
              </w:rPr>
            </w:pPr>
            <w:r w:rsidRPr="00276F72">
              <w:rPr>
                <w:bCs/>
              </w:rPr>
              <w:t xml:space="preserve">Īstenošanas lēmuma </w:t>
            </w:r>
            <w:r w:rsidR="0019031A" w:rsidRPr="00276F72">
              <w:rPr>
                <w:bCs/>
              </w:rPr>
              <w:t>Nr. </w:t>
            </w:r>
            <w:r w:rsidRPr="00276F72">
              <w:rPr>
                <w:bCs/>
              </w:rPr>
              <w:t>2016/1918 pielikums</w:t>
            </w:r>
          </w:p>
        </w:tc>
        <w:tc>
          <w:tcPr>
            <w:tcW w:w="1353" w:type="pct"/>
            <w:gridSpan w:val="2"/>
          </w:tcPr>
          <w:p w14:paraId="074949D7" w14:textId="3D156DB9" w:rsidR="00426678" w:rsidRPr="00276F72" w:rsidRDefault="00426678" w:rsidP="00426678">
            <w:pPr>
              <w:pStyle w:val="naiskr"/>
              <w:spacing w:before="0" w:beforeAutospacing="0" w:after="0" w:afterAutospacing="0"/>
              <w:jc w:val="both"/>
            </w:pPr>
            <w:r w:rsidRPr="00276F72">
              <w:t>pielikums</w:t>
            </w:r>
          </w:p>
        </w:tc>
        <w:tc>
          <w:tcPr>
            <w:tcW w:w="1084" w:type="pct"/>
          </w:tcPr>
          <w:p w14:paraId="21A2663E" w14:textId="6431603A"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444680" w:rsidRPr="00276F72">
              <w:rPr>
                <w:lang w:eastAsia="en-US"/>
              </w:rPr>
              <w:t>pārņemta</w:t>
            </w:r>
            <w:r w:rsidRPr="00276F72">
              <w:rPr>
                <w:lang w:eastAsia="en-US"/>
              </w:rPr>
              <w:t xml:space="preserve"> pilnībā.</w:t>
            </w:r>
          </w:p>
        </w:tc>
        <w:tc>
          <w:tcPr>
            <w:tcW w:w="1241" w:type="pct"/>
          </w:tcPr>
          <w:p w14:paraId="6E3927A5"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74AF049B"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5F99A9A" w14:textId="1FC266C5" w:rsidR="00426678" w:rsidRPr="00276F72" w:rsidRDefault="000B4B3B" w:rsidP="000B4B3B">
            <w:pPr>
              <w:jc w:val="both"/>
              <w:rPr>
                <w:bCs/>
              </w:rPr>
            </w:pPr>
            <w:r w:rsidRPr="00276F72">
              <w:rPr>
                <w:bCs/>
              </w:rPr>
              <w:t>L</w:t>
            </w:r>
            <w:r w:rsidR="00426678" w:rsidRPr="00276F72">
              <w:rPr>
                <w:bCs/>
              </w:rPr>
              <w:t>ēmuma Nr.</w:t>
            </w:r>
            <w:r w:rsidR="0019031A" w:rsidRPr="00276F72">
              <w:rPr>
                <w:bCs/>
              </w:rPr>
              <w:t> </w:t>
            </w:r>
            <w:r w:rsidR="00426678" w:rsidRPr="00276F72">
              <w:rPr>
                <w:bCs/>
              </w:rPr>
              <w:t>2007/182/EK II pielikuma 3. punkta 1. rindkopa</w:t>
            </w:r>
          </w:p>
        </w:tc>
        <w:tc>
          <w:tcPr>
            <w:tcW w:w="1353" w:type="pct"/>
            <w:gridSpan w:val="2"/>
          </w:tcPr>
          <w:p w14:paraId="33ACF24B" w14:textId="77777777" w:rsidR="00426678" w:rsidRPr="00276F72" w:rsidRDefault="00054E63" w:rsidP="00054E63">
            <w:pPr>
              <w:pStyle w:val="naiskr"/>
              <w:spacing w:before="0" w:beforeAutospacing="0" w:after="0" w:afterAutospacing="0"/>
              <w:jc w:val="both"/>
            </w:pPr>
            <w:r w:rsidRPr="00276F72">
              <w:t>19</w:t>
            </w:r>
            <w:r w:rsidR="00426678" w:rsidRPr="00276F72">
              <w:t>.2. apakšpunkts</w:t>
            </w:r>
          </w:p>
        </w:tc>
        <w:tc>
          <w:tcPr>
            <w:tcW w:w="1084" w:type="pct"/>
          </w:tcPr>
          <w:p w14:paraId="0CD7F3C0" w14:textId="4A3C2470"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351E1F" w:rsidRPr="00276F72">
              <w:rPr>
                <w:lang w:eastAsia="en-US"/>
              </w:rPr>
              <w:t>pārņemta</w:t>
            </w:r>
            <w:r w:rsidRPr="00276F72">
              <w:rPr>
                <w:lang w:eastAsia="en-US"/>
              </w:rPr>
              <w:t xml:space="preserve"> pilnībā.</w:t>
            </w:r>
          </w:p>
        </w:tc>
        <w:tc>
          <w:tcPr>
            <w:tcW w:w="1241" w:type="pct"/>
          </w:tcPr>
          <w:p w14:paraId="53AED1AF"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426678" w:rsidRPr="00276F72" w14:paraId="64F6DC3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7950ACEF" w14:textId="080ECFAE" w:rsidR="00426678" w:rsidRPr="00276F72" w:rsidRDefault="000B4B3B" w:rsidP="000B4B3B">
            <w:pPr>
              <w:jc w:val="both"/>
              <w:rPr>
                <w:bCs/>
              </w:rPr>
            </w:pPr>
            <w:r w:rsidRPr="00276F72">
              <w:rPr>
                <w:bCs/>
              </w:rPr>
              <w:t>L</w:t>
            </w:r>
            <w:r w:rsidR="00426678" w:rsidRPr="00276F72">
              <w:rPr>
                <w:bCs/>
              </w:rPr>
              <w:t>ēmuma Nr.</w:t>
            </w:r>
            <w:r w:rsidR="0019031A" w:rsidRPr="00276F72">
              <w:rPr>
                <w:bCs/>
              </w:rPr>
              <w:t> </w:t>
            </w:r>
            <w:r w:rsidR="00426678" w:rsidRPr="00276F72">
              <w:rPr>
                <w:bCs/>
              </w:rPr>
              <w:t>2007/182/EK II pielikuma 3. punkta 2. rindkopa</w:t>
            </w:r>
          </w:p>
        </w:tc>
        <w:tc>
          <w:tcPr>
            <w:tcW w:w="1353" w:type="pct"/>
            <w:gridSpan w:val="2"/>
          </w:tcPr>
          <w:p w14:paraId="27074C21" w14:textId="77777777" w:rsidR="00426678" w:rsidRPr="00276F72" w:rsidRDefault="00054E63" w:rsidP="00054E63">
            <w:pPr>
              <w:pStyle w:val="naiskr"/>
              <w:spacing w:before="0" w:beforeAutospacing="0" w:after="0" w:afterAutospacing="0"/>
              <w:jc w:val="both"/>
            </w:pPr>
            <w:r w:rsidRPr="00276F72">
              <w:t>19</w:t>
            </w:r>
            <w:r w:rsidR="00426678" w:rsidRPr="00276F72">
              <w:t>.1. apakšpunkts un 2</w:t>
            </w:r>
            <w:r w:rsidRPr="00276F72">
              <w:t>0</w:t>
            </w:r>
            <w:r w:rsidR="00426678" w:rsidRPr="00276F72">
              <w:t>. punkts</w:t>
            </w:r>
          </w:p>
        </w:tc>
        <w:tc>
          <w:tcPr>
            <w:tcW w:w="1084" w:type="pct"/>
          </w:tcPr>
          <w:p w14:paraId="5E0058D7" w14:textId="0AE6775E"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351E1F" w:rsidRPr="00276F72">
              <w:rPr>
                <w:lang w:eastAsia="en-US"/>
              </w:rPr>
              <w:t>pārņemta</w:t>
            </w:r>
            <w:r w:rsidRPr="00276F72">
              <w:rPr>
                <w:lang w:eastAsia="en-US"/>
              </w:rPr>
              <w:t xml:space="preserve"> pilnībā.</w:t>
            </w:r>
          </w:p>
        </w:tc>
        <w:tc>
          <w:tcPr>
            <w:tcW w:w="1241" w:type="pct"/>
          </w:tcPr>
          <w:p w14:paraId="4E5D1B8D"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703A54" w:rsidRPr="00276F72" w14:paraId="580A6F1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19" w:type="pct"/>
            <w:gridSpan w:val="2"/>
          </w:tcPr>
          <w:p w14:paraId="6D6A3A2F" w14:textId="707DF7A6" w:rsidR="00426678" w:rsidRPr="00276F72" w:rsidRDefault="000B4B3B" w:rsidP="000B4B3B">
            <w:pPr>
              <w:jc w:val="both"/>
              <w:rPr>
                <w:bCs/>
              </w:rPr>
            </w:pPr>
            <w:r w:rsidRPr="00276F72">
              <w:rPr>
                <w:bCs/>
              </w:rPr>
              <w:t>L</w:t>
            </w:r>
            <w:r w:rsidR="00426678" w:rsidRPr="00276F72">
              <w:rPr>
                <w:bCs/>
              </w:rPr>
              <w:t>ēmuma Nr.</w:t>
            </w:r>
            <w:r w:rsidR="0019031A" w:rsidRPr="00276F72">
              <w:rPr>
                <w:bCs/>
              </w:rPr>
              <w:t> </w:t>
            </w:r>
            <w:r w:rsidR="00426678" w:rsidRPr="00276F72">
              <w:rPr>
                <w:bCs/>
              </w:rPr>
              <w:t>2007/182/EK II pielikuma 3. punkta 3. rindkopa</w:t>
            </w:r>
          </w:p>
        </w:tc>
        <w:tc>
          <w:tcPr>
            <w:tcW w:w="1353" w:type="pct"/>
            <w:gridSpan w:val="2"/>
          </w:tcPr>
          <w:p w14:paraId="1F471CFB" w14:textId="058A0AD4" w:rsidR="00426678" w:rsidRPr="00276F72" w:rsidRDefault="00426678" w:rsidP="00BB61A7">
            <w:pPr>
              <w:pStyle w:val="naiskr"/>
              <w:spacing w:before="0" w:beforeAutospacing="0" w:after="0" w:afterAutospacing="0"/>
              <w:jc w:val="both"/>
            </w:pPr>
            <w:r w:rsidRPr="00276F72">
              <w:t>2</w:t>
            </w:r>
            <w:r w:rsidR="00054E63" w:rsidRPr="00276F72">
              <w:t>0</w:t>
            </w:r>
            <w:r w:rsidRPr="00276F72">
              <w:t>. punkts</w:t>
            </w:r>
          </w:p>
        </w:tc>
        <w:tc>
          <w:tcPr>
            <w:tcW w:w="1084" w:type="pct"/>
          </w:tcPr>
          <w:p w14:paraId="062F7F10" w14:textId="4EA5D023" w:rsidR="00426678" w:rsidRPr="00276F72" w:rsidRDefault="00426678" w:rsidP="00426678">
            <w:pPr>
              <w:pStyle w:val="naiskr"/>
              <w:spacing w:before="0" w:beforeAutospacing="0" w:after="0" w:afterAutospacing="0"/>
              <w:jc w:val="both"/>
            </w:pPr>
            <w:r w:rsidRPr="00276F72">
              <w:rPr>
                <w:lang w:eastAsia="en-US"/>
              </w:rPr>
              <w:t xml:space="preserve">ES tiesību akta vienība tiek </w:t>
            </w:r>
            <w:r w:rsidR="00EF2B03" w:rsidRPr="00276F72">
              <w:rPr>
                <w:lang w:eastAsia="en-US"/>
              </w:rPr>
              <w:t>pārņemta</w:t>
            </w:r>
            <w:r w:rsidRPr="00276F72">
              <w:rPr>
                <w:lang w:eastAsia="en-US"/>
              </w:rPr>
              <w:t xml:space="preserve"> pilnībā.</w:t>
            </w:r>
          </w:p>
        </w:tc>
        <w:tc>
          <w:tcPr>
            <w:tcW w:w="1241" w:type="pct"/>
          </w:tcPr>
          <w:p w14:paraId="672A2CED" w14:textId="77777777" w:rsidR="00426678" w:rsidRPr="00276F72" w:rsidRDefault="00426678" w:rsidP="00426678">
            <w:pPr>
              <w:pStyle w:val="naiskr"/>
              <w:spacing w:before="0" w:beforeAutospacing="0" w:after="0" w:afterAutospacing="0"/>
              <w:jc w:val="both"/>
            </w:pPr>
            <w:r w:rsidRPr="00276F72">
              <w:t>Attiecīgais noteikumu projekta punkts neparedz stingrākas prasības kā ES tiesību aktā.</w:t>
            </w:r>
          </w:p>
        </w:tc>
      </w:tr>
      <w:tr w:rsidR="00703A54" w:rsidRPr="00276F72" w14:paraId="2E2489B2"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19" w:type="pct"/>
            <w:gridSpan w:val="2"/>
            <w:vAlign w:val="center"/>
          </w:tcPr>
          <w:p w14:paraId="2353B964" w14:textId="77777777" w:rsidR="003652E2" w:rsidRPr="00276F72" w:rsidRDefault="003652E2" w:rsidP="003652E2">
            <w:pPr>
              <w:pStyle w:val="naiskr"/>
              <w:spacing w:before="0" w:beforeAutospacing="0" w:after="0" w:afterAutospacing="0"/>
              <w:jc w:val="both"/>
            </w:pPr>
            <w:r w:rsidRPr="00276F72">
              <w:t>Kā ir izmantota ES tiesību aktā paredzētā rīcības brīvība dalībvalstij pārņemt vai ieviest noteiktas ES tiesību akta normas. Kādēļ?</w:t>
            </w:r>
          </w:p>
        </w:tc>
        <w:tc>
          <w:tcPr>
            <w:tcW w:w="3678" w:type="pct"/>
            <w:gridSpan w:val="4"/>
          </w:tcPr>
          <w:p w14:paraId="2784D678" w14:textId="49F91F52" w:rsidR="003652E2" w:rsidRPr="00276F72" w:rsidRDefault="00A217BE" w:rsidP="00A217BE">
            <w:pPr>
              <w:pStyle w:val="naiskr"/>
              <w:spacing w:before="0" w:beforeAutospacing="0" w:after="0" w:afterAutospacing="0"/>
              <w:jc w:val="both"/>
            </w:pPr>
            <w:r w:rsidRPr="00276F72">
              <w:t>Projekts šo jomu neskar.</w:t>
            </w:r>
            <w:r w:rsidRPr="00276F72" w:rsidDel="00A217BE">
              <w:rPr>
                <w:bCs/>
              </w:rPr>
              <w:t xml:space="preserve"> </w:t>
            </w:r>
            <w:r w:rsidRPr="00276F72" w:rsidDel="00A217BE">
              <w:t xml:space="preserve"> </w:t>
            </w:r>
          </w:p>
        </w:tc>
      </w:tr>
      <w:tr w:rsidR="00703A54" w:rsidRPr="00276F72" w14:paraId="5BCF1A68"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19" w:type="pct"/>
            <w:gridSpan w:val="2"/>
            <w:vAlign w:val="center"/>
          </w:tcPr>
          <w:p w14:paraId="4AC32BCF" w14:textId="77777777" w:rsidR="003652E2" w:rsidRPr="00276F72" w:rsidRDefault="003652E2" w:rsidP="003652E2">
            <w:pPr>
              <w:pStyle w:val="naiskr"/>
              <w:spacing w:before="0" w:beforeAutospacing="0" w:after="0" w:afterAutospacing="0"/>
              <w:jc w:val="both"/>
              <w:rPr>
                <w:i/>
              </w:rPr>
            </w:pPr>
            <w:r w:rsidRPr="00276F7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8" w:type="pct"/>
            <w:gridSpan w:val="4"/>
          </w:tcPr>
          <w:p w14:paraId="3C747C3E" w14:textId="2F25D538" w:rsidR="003652E2" w:rsidRPr="00276F72" w:rsidRDefault="00A217BE" w:rsidP="00A217BE">
            <w:pPr>
              <w:pStyle w:val="naiskr"/>
              <w:spacing w:before="0" w:beforeAutospacing="0" w:after="0" w:afterAutospacing="0"/>
            </w:pPr>
            <w:r w:rsidRPr="00276F72">
              <w:t>P</w:t>
            </w:r>
            <w:r w:rsidR="003652E2" w:rsidRPr="00276F72">
              <w:t>rojekts šo jomu neskar.</w:t>
            </w:r>
          </w:p>
        </w:tc>
      </w:tr>
      <w:tr w:rsidR="00703A54" w:rsidRPr="00276F72" w14:paraId="71510A01" w14:textId="77777777" w:rsidTr="004266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19" w:type="pct"/>
            <w:gridSpan w:val="2"/>
          </w:tcPr>
          <w:p w14:paraId="3334F75A" w14:textId="77777777" w:rsidR="003652E2" w:rsidRPr="00276F72" w:rsidRDefault="003652E2" w:rsidP="003652E2">
            <w:pPr>
              <w:pStyle w:val="naiskr"/>
              <w:spacing w:before="0" w:beforeAutospacing="0" w:after="0" w:afterAutospacing="0"/>
              <w:jc w:val="both"/>
            </w:pPr>
            <w:r w:rsidRPr="00276F72">
              <w:t>Cita informācija</w:t>
            </w:r>
          </w:p>
        </w:tc>
        <w:tc>
          <w:tcPr>
            <w:tcW w:w="3678" w:type="pct"/>
            <w:gridSpan w:val="4"/>
          </w:tcPr>
          <w:p w14:paraId="1201FCEF" w14:textId="77777777" w:rsidR="003652E2" w:rsidRPr="00276F72" w:rsidRDefault="003652E2" w:rsidP="003652E2">
            <w:pPr>
              <w:pStyle w:val="naiskr"/>
              <w:spacing w:before="0" w:beforeAutospacing="0" w:after="0" w:afterAutospacing="0"/>
            </w:pPr>
            <w:r w:rsidRPr="00276F72">
              <w:t>Nav.</w:t>
            </w:r>
          </w:p>
        </w:tc>
      </w:tr>
    </w:tbl>
    <w:p w14:paraId="0F7C104F" w14:textId="77777777" w:rsidR="009B0103" w:rsidRPr="00C51D39" w:rsidRDefault="009B0103" w:rsidP="00650C5A">
      <w:pPr>
        <w:rPr>
          <w:i/>
          <w:sz w:val="28"/>
          <w:szCs w:val="28"/>
        </w:rPr>
      </w:pPr>
    </w:p>
    <w:p w14:paraId="4CF9B682" w14:textId="03EB6E76" w:rsidR="00926503" w:rsidRPr="00C51D39" w:rsidRDefault="00650C5A" w:rsidP="00650C5A">
      <w:pPr>
        <w:rPr>
          <w:i/>
          <w:sz w:val="28"/>
          <w:szCs w:val="28"/>
        </w:rPr>
      </w:pPr>
      <w:r w:rsidRPr="00C51D39">
        <w:rPr>
          <w:i/>
          <w:sz w:val="28"/>
          <w:szCs w:val="28"/>
        </w:rPr>
        <w:t>Anotācijas V sadaļas 2.</w:t>
      </w:r>
      <w:r w:rsidR="0019031A">
        <w:rPr>
          <w:i/>
          <w:sz w:val="28"/>
          <w:szCs w:val="28"/>
        </w:rPr>
        <w:t> </w:t>
      </w:r>
      <w:r w:rsidRPr="00C51D39">
        <w:rPr>
          <w:i/>
          <w:sz w:val="28"/>
          <w:szCs w:val="28"/>
        </w:rPr>
        <w:t>tabula – projekts šo jomu neskar.</w:t>
      </w:r>
    </w:p>
    <w:p w14:paraId="65752D14" w14:textId="77777777" w:rsidR="009B0103" w:rsidRPr="00C51D39" w:rsidRDefault="009B0103" w:rsidP="00650C5A">
      <w:pPr>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28"/>
        <w:gridCol w:w="6794"/>
      </w:tblGrid>
      <w:tr w:rsidR="00D3171C" w:rsidRPr="00276F72" w14:paraId="57F123D0" w14:textId="77777777" w:rsidTr="00133DFE">
        <w:trPr>
          <w:trHeight w:val="279"/>
        </w:trPr>
        <w:tc>
          <w:tcPr>
            <w:tcW w:w="5000" w:type="pct"/>
            <w:gridSpan w:val="3"/>
          </w:tcPr>
          <w:p w14:paraId="22DB73AB" w14:textId="77777777" w:rsidR="00AC145B" w:rsidRPr="00276F72" w:rsidRDefault="00AC145B" w:rsidP="003037FE">
            <w:pPr>
              <w:jc w:val="center"/>
              <w:rPr>
                <w:b/>
              </w:rPr>
            </w:pPr>
            <w:r w:rsidRPr="00276F72">
              <w:rPr>
                <w:b/>
              </w:rPr>
              <w:t>VI. Sabiedrības līdzdalība un komunikācijas aktivitātes</w:t>
            </w:r>
          </w:p>
        </w:tc>
      </w:tr>
      <w:tr w:rsidR="00D3171C" w:rsidRPr="00276F72" w14:paraId="0D3A1625" w14:textId="77777777" w:rsidTr="00D3171C">
        <w:trPr>
          <w:trHeight w:val="279"/>
        </w:trPr>
        <w:tc>
          <w:tcPr>
            <w:tcW w:w="304" w:type="pct"/>
          </w:tcPr>
          <w:p w14:paraId="58F7C158" w14:textId="77777777" w:rsidR="00AC145B" w:rsidRPr="00276F72" w:rsidRDefault="00AC145B" w:rsidP="003037FE">
            <w:pPr>
              <w:jc w:val="both"/>
            </w:pPr>
            <w:r w:rsidRPr="00276F72">
              <w:t>1.</w:t>
            </w:r>
          </w:p>
        </w:tc>
        <w:tc>
          <w:tcPr>
            <w:tcW w:w="1038" w:type="pct"/>
          </w:tcPr>
          <w:p w14:paraId="33C1448E" w14:textId="77777777" w:rsidR="00AC145B" w:rsidRPr="00276F72" w:rsidRDefault="00AC145B" w:rsidP="00FC11EF">
            <w:r w:rsidRPr="00276F72">
              <w:t xml:space="preserve">Plānotās sabiedrības līdzdalības un komunikācijas </w:t>
            </w:r>
            <w:r w:rsidRPr="00276F72">
              <w:lastRenderedPageBreak/>
              <w:t>aktivitātes saistībā ar projektu</w:t>
            </w:r>
          </w:p>
        </w:tc>
        <w:tc>
          <w:tcPr>
            <w:tcW w:w="3658" w:type="pct"/>
          </w:tcPr>
          <w:p w14:paraId="186FD188" w14:textId="38F9E5EA" w:rsidR="006665AC" w:rsidRPr="00276F72" w:rsidRDefault="006665AC" w:rsidP="006665AC">
            <w:pPr>
              <w:jc w:val="both"/>
            </w:pPr>
            <w:r w:rsidRPr="00276F72">
              <w:lastRenderedPageBreak/>
              <w:t xml:space="preserve">Noteikumu projekts ievietots Zemkopības ministrijas tīmekļa vietnē </w:t>
            </w:r>
            <w:hyperlink r:id="rId15" w:history="1">
              <w:r w:rsidRPr="00276F72">
                <w:rPr>
                  <w:rStyle w:val="Hipersaite"/>
                </w:rPr>
                <w:t>www.zm.gov.lv</w:t>
              </w:r>
            </w:hyperlink>
            <w:r w:rsidRPr="00276F72">
              <w:t xml:space="preserve"> </w:t>
            </w:r>
            <w:r w:rsidR="00734BD4" w:rsidRPr="00276F72">
              <w:t xml:space="preserve">sabiedriskajai apspriešanai </w:t>
            </w:r>
            <w:r w:rsidRPr="00276F72">
              <w:t>no</w:t>
            </w:r>
            <w:r w:rsidR="00F364AF" w:rsidRPr="00276F72">
              <w:t xml:space="preserve"> 2017. gada 20.</w:t>
            </w:r>
            <w:r w:rsidR="00166B72" w:rsidRPr="00276F72">
              <w:t> aprīļa līdz 2. maijam.</w:t>
            </w:r>
          </w:p>
          <w:p w14:paraId="14C60EFF" w14:textId="77777777" w:rsidR="008F7E4C" w:rsidRPr="00276F72" w:rsidRDefault="008F7E4C" w:rsidP="00425BAE">
            <w:pPr>
              <w:jc w:val="both"/>
              <w:rPr>
                <w:color w:val="FF0000"/>
              </w:rPr>
            </w:pPr>
          </w:p>
        </w:tc>
      </w:tr>
      <w:tr w:rsidR="00D3171C" w:rsidRPr="00276F72" w14:paraId="299167DC" w14:textId="77777777" w:rsidTr="00D3171C">
        <w:trPr>
          <w:trHeight w:val="279"/>
        </w:trPr>
        <w:tc>
          <w:tcPr>
            <w:tcW w:w="304" w:type="pct"/>
          </w:tcPr>
          <w:p w14:paraId="08704430" w14:textId="77777777" w:rsidR="00D3171C" w:rsidRPr="00276F72" w:rsidRDefault="00D3171C" w:rsidP="00D3171C">
            <w:pPr>
              <w:jc w:val="both"/>
            </w:pPr>
            <w:r w:rsidRPr="00276F72">
              <w:t>2.</w:t>
            </w:r>
          </w:p>
        </w:tc>
        <w:tc>
          <w:tcPr>
            <w:tcW w:w="1038" w:type="pct"/>
          </w:tcPr>
          <w:p w14:paraId="55F4A87F" w14:textId="77777777" w:rsidR="00D3171C" w:rsidRPr="00276F72" w:rsidRDefault="00D3171C" w:rsidP="00D3171C">
            <w:pPr>
              <w:jc w:val="both"/>
            </w:pPr>
            <w:r w:rsidRPr="00276F72">
              <w:t>Sabiedrības līdzdalība projekta izstrādē</w:t>
            </w:r>
          </w:p>
        </w:tc>
        <w:tc>
          <w:tcPr>
            <w:tcW w:w="3658" w:type="pct"/>
          </w:tcPr>
          <w:p w14:paraId="25F0FFC8" w14:textId="1466BB53" w:rsidR="00D3171C" w:rsidRPr="00276F72" w:rsidRDefault="00425BAE" w:rsidP="00962F7C">
            <w:pPr>
              <w:jc w:val="both"/>
              <w:rPr>
                <w:bCs/>
              </w:rPr>
            </w:pPr>
            <w:r w:rsidRPr="00276F72">
              <w:t>Noteikumu projekts elektroniski nosūtīt</w:t>
            </w:r>
            <w:r w:rsidR="00C4668D" w:rsidRPr="00276F72">
              <w:t xml:space="preserve">s Latvijas Mednieku asociācijai </w:t>
            </w:r>
            <w:r w:rsidRPr="00276F72">
              <w:t xml:space="preserve">un Latvijas Mednieku savienībai </w:t>
            </w:r>
            <w:r w:rsidR="00C4668D" w:rsidRPr="00276F72">
              <w:t xml:space="preserve">2017. gada 5. janvārī, </w:t>
            </w:r>
            <w:r w:rsidRPr="00276F72">
              <w:t>28. februārī un 9. martā. Tāpat n</w:t>
            </w:r>
            <w:r w:rsidR="006665AC" w:rsidRPr="00276F72">
              <w:t>oteikumu projekts elektroniski nosūtīts biedrībai „Lauksaimnieku organizāciju sadarbības padome”, „Zemnieku saeima” un „Latvijas Veterinārārstu biedrība”</w:t>
            </w:r>
            <w:r w:rsidRPr="00276F72">
              <w:t xml:space="preserve"> </w:t>
            </w:r>
            <w:r w:rsidRPr="00276F72">
              <w:rPr>
                <w:bCs/>
              </w:rPr>
              <w:t xml:space="preserve">2017. gada </w:t>
            </w:r>
            <w:r w:rsidR="00962F7C" w:rsidRPr="00276F72">
              <w:rPr>
                <w:bCs/>
              </w:rPr>
              <w:t>20. aprīlī</w:t>
            </w:r>
            <w:r w:rsidR="006665AC" w:rsidRPr="00276F72">
              <w:t>.</w:t>
            </w:r>
          </w:p>
        </w:tc>
      </w:tr>
      <w:tr w:rsidR="00D3171C" w:rsidRPr="00276F72" w14:paraId="3762373A" w14:textId="77777777" w:rsidTr="00D3171C">
        <w:trPr>
          <w:trHeight w:val="279"/>
        </w:trPr>
        <w:tc>
          <w:tcPr>
            <w:tcW w:w="304" w:type="pct"/>
          </w:tcPr>
          <w:p w14:paraId="4A4A3258" w14:textId="77777777" w:rsidR="00D3171C" w:rsidRPr="00276F72" w:rsidRDefault="00D3171C" w:rsidP="00D3171C">
            <w:pPr>
              <w:jc w:val="both"/>
            </w:pPr>
            <w:r w:rsidRPr="00276F72">
              <w:t>3.</w:t>
            </w:r>
          </w:p>
        </w:tc>
        <w:tc>
          <w:tcPr>
            <w:tcW w:w="1038" w:type="pct"/>
          </w:tcPr>
          <w:p w14:paraId="1B7A487E" w14:textId="77777777" w:rsidR="00D3171C" w:rsidRPr="00276F72" w:rsidRDefault="00D3171C" w:rsidP="00D3171C">
            <w:pPr>
              <w:jc w:val="both"/>
            </w:pPr>
            <w:r w:rsidRPr="00276F72">
              <w:t>Sabiedrības līdzdalības rezultāti</w:t>
            </w:r>
          </w:p>
        </w:tc>
        <w:tc>
          <w:tcPr>
            <w:tcW w:w="3658" w:type="pct"/>
          </w:tcPr>
          <w:p w14:paraId="342DA7FC" w14:textId="77777777" w:rsidR="00D3171C" w:rsidRPr="00276F72" w:rsidRDefault="007E0C08" w:rsidP="006D11A7">
            <w:pPr>
              <w:jc w:val="both"/>
              <w:rPr>
                <w:bCs/>
              </w:rPr>
            </w:pPr>
            <w:r w:rsidRPr="00276F72">
              <w:t>Latvijas Mednieku asociācija</w:t>
            </w:r>
            <w:r w:rsidR="008E31B9" w:rsidRPr="00276F72">
              <w:t xml:space="preserve"> un Latvijas Mednieku savienība</w:t>
            </w:r>
            <w:r w:rsidRPr="00276F72">
              <w:t xml:space="preserve"> </w:t>
            </w:r>
            <w:r w:rsidR="00054E63" w:rsidRPr="00276F72">
              <w:t>2017. </w:t>
            </w:r>
            <w:r w:rsidR="008F7E4C" w:rsidRPr="00276F72">
              <w:t xml:space="preserve">gada </w:t>
            </w:r>
            <w:r w:rsidR="008E31B9" w:rsidRPr="00276F72">
              <w:rPr>
                <w:bCs/>
              </w:rPr>
              <w:t xml:space="preserve">16. un 19. janvārī elektroniski izteica viedokli, bet 2017. gada </w:t>
            </w:r>
            <w:r w:rsidR="00425BAE" w:rsidRPr="00276F72">
              <w:rPr>
                <w:bCs/>
              </w:rPr>
              <w:t>16</w:t>
            </w:r>
            <w:r w:rsidR="008E31B9" w:rsidRPr="00276F72">
              <w:t>. </w:t>
            </w:r>
            <w:r w:rsidRPr="00276F72">
              <w:t>martā</w:t>
            </w:r>
            <w:r w:rsidR="008F7E4C" w:rsidRPr="00276F72">
              <w:t xml:space="preserve"> </w:t>
            </w:r>
            <w:r w:rsidR="008F7E4C" w:rsidRPr="00276F72">
              <w:rPr>
                <w:bCs/>
              </w:rPr>
              <w:t>e</w:t>
            </w:r>
            <w:r w:rsidR="008E31B9" w:rsidRPr="00276F72">
              <w:rPr>
                <w:bCs/>
              </w:rPr>
              <w:t>le</w:t>
            </w:r>
            <w:r w:rsidR="008F7E4C" w:rsidRPr="00276F72">
              <w:rPr>
                <w:bCs/>
              </w:rPr>
              <w:t>ktroniski saskaņoja noteikumu projektu bez iebildumiem.</w:t>
            </w:r>
            <w:r w:rsidR="00F364AF" w:rsidRPr="00276F72">
              <w:rPr>
                <w:bCs/>
              </w:rPr>
              <w:t xml:space="preserve"> </w:t>
            </w:r>
            <w:r w:rsidR="00F364AF" w:rsidRPr="00276F72">
              <w:t xml:space="preserve">Biedrība „Lauksaimnieku organizāciju sadarbības padome” </w:t>
            </w:r>
            <w:r w:rsidR="00166B72" w:rsidRPr="00276F72">
              <w:t>2017. </w:t>
            </w:r>
            <w:r w:rsidR="00F364AF" w:rsidRPr="00276F72">
              <w:t>gada 8.</w:t>
            </w:r>
            <w:r w:rsidR="00166B72" w:rsidRPr="00276F72">
              <w:t> </w:t>
            </w:r>
            <w:r w:rsidR="00F364AF" w:rsidRPr="00276F72">
              <w:t xml:space="preserve">maijā </w:t>
            </w:r>
            <w:r w:rsidR="00F364AF" w:rsidRPr="00276F72">
              <w:rPr>
                <w:bCs/>
              </w:rPr>
              <w:t>saskaņoja noteikumu projektu bez iebildumiem.</w:t>
            </w:r>
          </w:p>
          <w:p w14:paraId="3D3BBA2D" w14:textId="49F81324" w:rsidR="00734BD4" w:rsidRPr="00276F72" w:rsidRDefault="00734BD4" w:rsidP="006D11A7">
            <w:pPr>
              <w:jc w:val="both"/>
              <w:rPr>
                <w:highlight w:val="yellow"/>
              </w:rPr>
            </w:pPr>
            <w:r w:rsidRPr="00276F72">
              <w:rPr>
                <w:iCs/>
              </w:rPr>
              <w:t>Par tīmekļa vietnē www.zm.gov.lv ievietoto noteikumu projektu iebildumi un priekšlikumi no sabiedrības netika saņemti.</w:t>
            </w:r>
          </w:p>
        </w:tc>
      </w:tr>
      <w:tr w:rsidR="00D3171C" w:rsidRPr="00276F72" w14:paraId="35C47217" w14:textId="77777777" w:rsidTr="00D3171C">
        <w:trPr>
          <w:trHeight w:val="279"/>
        </w:trPr>
        <w:tc>
          <w:tcPr>
            <w:tcW w:w="304" w:type="pct"/>
          </w:tcPr>
          <w:p w14:paraId="4DED6E9B" w14:textId="77777777" w:rsidR="00D3171C" w:rsidRPr="00276F72" w:rsidRDefault="00D3171C" w:rsidP="00D3171C">
            <w:pPr>
              <w:jc w:val="both"/>
            </w:pPr>
            <w:r w:rsidRPr="00276F72">
              <w:t>4.</w:t>
            </w:r>
          </w:p>
        </w:tc>
        <w:tc>
          <w:tcPr>
            <w:tcW w:w="1038" w:type="pct"/>
          </w:tcPr>
          <w:p w14:paraId="28B9158A" w14:textId="77777777" w:rsidR="00D3171C" w:rsidRPr="00276F72" w:rsidRDefault="00D3171C" w:rsidP="00D3171C">
            <w:pPr>
              <w:jc w:val="both"/>
            </w:pPr>
            <w:r w:rsidRPr="00276F72">
              <w:t>Cita informācija</w:t>
            </w:r>
          </w:p>
        </w:tc>
        <w:tc>
          <w:tcPr>
            <w:tcW w:w="3658" w:type="pct"/>
          </w:tcPr>
          <w:p w14:paraId="5F7C11D1" w14:textId="77777777" w:rsidR="00D3171C" w:rsidRPr="00276F72" w:rsidRDefault="00D3171C" w:rsidP="00D3171C">
            <w:pPr>
              <w:jc w:val="both"/>
            </w:pPr>
            <w:r w:rsidRPr="00276F72">
              <w:t>Nav.</w:t>
            </w:r>
          </w:p>
        </w:tc>
      </w:tr>
    </w:tbl>
    <w:p w14:paraId="4C59BD2A" w14:textId="77777777" w:rsidR="00AC145B" w:rsidRPr="00C51D39" w:rsidRDefault="00AC145B" w:rsidP="00AC145B">
      <w:pPr>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54"/>
        <w:gridCol w:w="5368"/>
      </w:tblGrid>
      <w:tr w:rsidR="009430E6" w:rsidRPr="00276F72" w14:paraId="7CA9FBF6" w14:textId="77777777" w:rsidTr="00133DFE">
        <w:trPr>
          <w:trHeight w:val="279"/>
        </w:trPr>
        <w:tc>
          <w:tcPr>
            <w:tcW w:w="5000" w:type="pct"/>
            <w:gridSpan w:val="3"/>
          </w:tcPr>
          <w:p w14:paraId="29BAC1CF" w14:textId="77777777" w:rsidR="00AC145B" w:rsidRPr="00276F72" w:rsidRDefault="00AC145B" w:rsidP="003037FE">
            <w:pPr>
              <w:jc w:val="center"/>
              <w:rPr>
                <w:b/>
                <w:szCs w:val="28"/>
              </w:rPr>
            </w:pPr>
            <w:r w:rsidRPr="00276F72">
              <w:rPr>
                <w:b/>
                <w:szCs w:val="28"/>
              </w:rPr>
              <w:t>VII. Tiesību akta projekta izpildes nodrošināšana un tās ietekme uz institūcijām</w:t>
            </w:r>
          </w:p>
        </w:tc>
      </w:tr>
      <w:tr w:rsidR="009430E6" w:rsidRPr="00276F72" w14:paraId="2968AB63" w14:textId="77777777" w:rsidTr="00133DFE">
        <w:trPr>
          <w:trHeight w:val="279"/>
        </w:trPr>
        <w:tc>
          <w:tcPr>
            <w:tcW w:w="304" w:type="pct"/>
          </w:tcPr>
          <w:p w14:paraId="2033FD70" w14:textId="77777777" w:rsidR="00AC145B" w:rsidRPr="00276F72" w:rsidRDefault="00AC145B" w:rsidP="003037FE">
            <w:pPr>
              <w:jc w:val="both"/>
              <w:rPr>
                <w:szCs w:val="28"/>
              </w:rPr>
            </w:pPr>
            <w:r w:rsidRPr="00276F72">
              <w:rPr>
                <w:szCs w:val="28"/>
              </w:rPr>
              <w:t>1.</w:t>
            </w:r>
          </w:p>
        </w:tc>
        <w:tc>
          <w:tcPr>
            <w:tcW w:w="1806" w:type="pct"/>
          </w:tcPr>
          <w:p w14:paraId="058E68EA" w14:textId="77777777" w:rsidR="00AC145B" w:rsidRPr="00276F72" w:rsidRDefault="00AC145B" w:rsidP="003037FE">
            <w:pPr>
              <w:jc w:val="both"/>
              <w:rPr>
                <w:szCs w:val="28"/>
              </w:rPr>
            </w:pPr>
            <w:r w:rsidRPr="00276F72">
              <w:rPr>
                <w:szCs w:val="28"/>
              </w:rPr>
              <w:t>Projekta izpildē iesaistītās institūcijas</w:t>
            </w:r>
          </w:p>
        </w:tc>
        <w:tc>
          <w:tcPr>
            <w:tcW w:w="2890" w:type="pct"/>
          </w:tcPr>
          <w:p w14:paraId="435B8777" w14:textId="5E40258C" w:rsidR="00AC145B" w:rsidRPr="00276F72" w:rsidRDefault="007D3F1B" w:rsidP="00B05615">
            <w:pPr>
              <w:pStyle w:val="naisnod"/>
              <w:spacing w:before="0" w:after="0"/>
              <w:ind w:right="57"/>
              <w:jc w:val="both"/>
              <w:rPr>
                <w:szCs w:val="28"/>
              </w:rPr>
            </w:pPr>
            <w:r w:rsidRPr="00276F72">
              <w:rPr>
                <w:szCs w:val="28"/>
              </w:rPr>
              <w:t>Pārtikas un veterinārais dienests</w:t>
            </w:r>
            <w:r w:rsidR="00B05994" w:rsidRPr="00276F72">
              <w:rPr>
                <w:szCs w:val="28"/>
              </w:rPr>
              <w:t xml:space="preserve">, </w:t>
            </w:r>
            <w:r w:rsidR="00DE1F2D" w:rsidRPr="00276F72">
              <w:rPr>
                <w:szCs w:val="28"/>
              </w:rPr>
              <w:t>valsts zinātniskais institūts „</w:t>
            </w:r>
            <w:r w:rsidR="00B05994" w:rsidRPr="00276F72">
              <w:rPr>
                <w:szCs w:val="28"/>
              </w:rPr>
              <w:t>Pārtikas drošības, dzīvnieku veselības un vides zinātniskais institūts „BIOR”</w:t>
            </w:r>
            <w:r w:rsidR="00DE1F2D" w:rsidRPr="00276F72">
              <w:rPr>
                <w:szCs w:val="28"/>
              </w:rPr>
              <w:t>”</w:t>
            </w:r>
            <w:r w:rsidR="00B05994" w:rsidRPr="00276F72">
              <w:rPr>
                <w:szCs w:val="28"/>
              </w:rPr>
              <w:t xml:space="preserve">, </w:t>
            </w:r>
            <w:r w:rsidR="00B05994" w:rsidRPr="00276F72">
              <w:rPr>
                <w:bCs/>
                <w:szCs w:val="28"/>
              </w:rPr>
              <w:t>Lauksaimniecības datu centrs</w:t>
            </w:r>
            <w:r w:rsidR="00C51D39" w:rsidRPr="00276F72">
              <w:rPr>
                <w:bCs/>
                <w:szCs w:val="28"/>
              </w:rPr>
              <w:t>, Valsts meža dienests</w:t>
            </w:r>
          </w:p>
        </w:tc>
      </w:tr>
      <w:tr w:rsidR="009430E6" w:rsidRPr="00276F72" w14:paraId="37E63602" w14:textId="77777777" w:rsidTr="00133DFE">
        <w:trPr>
          <w:trHeight w:val="279"/>
        </w:trPr>
        <w:tc>
          <w:tcPr>
            <w:tcW w:w="304" w:type="pct"/>
          </w:tcPr>
          <w:p w14:paraId="2F83AF8F" w14:textId="77777777" w:rsidR="00AC145B" w:rsidRPr="00276F72" w:rsidRDefault="00AC145B" w:rsidP="003037FE">
            <w:pPr>
              <w:jc w:val="both"/>
              <w:rPr>
                <w:szCs w:val="28"/>
              </w:rPr>
            </w:pPr>
            <w:r w:rsidRPr="00276F72">
              <w:rPr>
                <w:szCs w:val="28"/>
              </w:rPr>
              <w:t>2.</w:t>
            </w:r>
          </w:p>
        </w:tc>
        <w:tc>
          <w:tcPr>
            <w:tcW w:w="1806" w:type="pct"/>
          </w:tcPr>
          <w:p w14:paraId="69F2DC6F" w14:textId="77777777" w:rsidR="00AC145B" w:rsidRPr="00276F72" w:rsidRDefault="00AC145B" w:rsidP="003037FE">
            <w:pPr>
              <w:rPr>
                <w:szCs w:val="28"/>
              </w:rPr>
            </w:pPr>
            <w:r w:rsidRPr="00276F72">
              <w:rPr>
                <w:szCs w:val="28"/>
              </w:rPr>
              <w:t>Projekta izpildes ietekme uz pārvaldes funkcijām un institucionālo struktūru.</w:t>
            </w:r>
          </w:p>
          <w:p w14:paraId="24FF8636" w14:textId="77777777" w:rsidR="00AC145B" w:rsidRPr="00276F72" w:rsidRDefault="00AC145B" w:rsidP="003037FE">
            <w:pPr>
              <w:rPr>
                <w:szCs w:val="28"/>
              </w:rPr>
            </w:pPr>
            <w:r w:rsidRPr="00276F72">
              <w:rPr>
                <w:szCs w:val="28"/>
              </w:rPr>
              <w:t>Jaunu institūciju izveide, esošu institūciju likvidācija vai reorganizācija, to ietekme uz institūcijas cilvēkresursiem</w:t>
            </w:r>
          </w:p>
        </w:tc>
        <w:tc>
          <w:tcPr>
            <w:tcW w:w="2890" w:type="pct"/>
          </w:tcPr>
          <w:p w14:paraId="79CC9111" w14:textId="0A044751" w:rsidR="00AC145B" w:rsidRPr="00276F72" w:rsidRDefault="00926503" w:rsidP="0086560D">
            <w:pPr>
              <w:pStyle w:val="naisnod"/>
              <w:spacing w:before="0" w:beforeAutospacing="0" w:after="0" w:afterAutospacing="0"/>
              <w:ind w:right="57"/>
              <w:jc w:val="both"/>
              <w:rPr>
                <w:b/>
                <w:szCs w:val="28"/>
              </w:rPr>
            </w:pPr>
            <w:r w:rsidRPr="00276F72">
              <w:rPr>
                <w:szCs w:val="28"/>
              </w:rPr>
              <w:t>Projekts šo jomu neskar.</w:t>
            </w:r>
          </w:p>
        </w:tc>
      </w:tr>
      <w:tr w:rsidR="00D3171C" w:rsidRPr="00276F72" w14:paraId="1ED0DA4C" w14:textId="77777777" w:rsidTr="00133DFE">
        <w:trPr>
          <w:trHeight w:val="279"/>
        </w:trPr>
        <w:tc>
          <w:tcPr>
            <w:tcW w:w="304" w:type="pct"/>
          </w:tcPr>
          <w:p w14:paraId="15B2B5E2" w14:textId="77777777" w:rsidR="00D3171C" w:rsidRPr="00276F72" w:rsidRDefault="00D3171C" w:rsidP="00D3171C">
            <w:pPr>
              <w:jc w:val="both"/>
              <w:rPr>
                <w:szCs w:val="28"/>
              </w:rPr>
            </w:pPr>
            <w:r w:rsidRPr="00276F72">
              <w:rPr>
                <w:szCs w:val="28"/>
              </w:rPr>
              <w:t>3.</w:t>
            </w:r>
          </w:p>
        </w:tc>
        <w:tc>
          <w:tcPr>
            <w:tcW w:w="1806" w:type="pct"/>
          </w:tcPr>
          <w:p w14:paraId="03F859B3" w14:textId="77777777" w:rsidR="00D3171C" w:rsidRPr="00276F72" w:rsidRDefault="00D3171C" w:rsidP="00D3171C">
            <w:pPr>
              <w:jc w:val="both"/>
              <w:rPr>
                <w:szCs w:val="28"/>
              </w:rPr>
            </w:pPr>
            <w:r w:rsidRPr="00276F72">
              <w:rPr>
                <w:szCs w:val="28"/>
              </w:rPr>
              <w:t>Cita informācija</w:t>
            </w:r>
          </w:p>
        </w:tc>
        <w:tc>
          <w:tcPr>
            <w:tcW w:w="2890" w:type="pct"/>
          </w:tcPr>
          <w:p w14:paraId="279BCB3E" w14:textId="0A06D6B9" w:rsidR="008F7E4C" w:rsidRPr="00276F72" w:rsidRDefault="00AD4C7D" w:rsidP="00C4668D">
            <w:pPr>
              <w:pStyle w:val="Kjene"/>
              <w:tabs>
                <w:tab w:val="clear" w:pos="4153"/>
                <w:tab w:val="clear" w:pos="8306"/>
              </w:tabs>
              <w:ind w:right="-108"/>
              <w:jc w:val="both"/>
              <w:rPr>
                <w:b/>
                <w:bCs/>
                <w:szCs w:val="28"/>
              </w:rPr>
            </w:pPr>
            <w:r w:rsidRPr="00276F72">
              <w:rPr>
                <w:bCs/>
                <w:szCs w:val="28"/>
              </w:rPr>
              <w:t>Nav</w:t>
            </w:r>
          </w:p>
        </w:tc>
      </w:tr>
    </w:tbl>
    <w:p w14:paraId="4D53681B" w14:textId="77777777" w:rsidR="00E1791D" w:rsidRPr="00C51D39" w:rsidRDefault="00E1791D" w:rsidP="00DD2416">
      <w:pPr>
        <w:pStyle w:val="naisf"/>
        <w:spacing w:before="0" w:beforeAutospacing="0" w:after="0" w:afterAutospacing="0"/>
        <w:rPr>
          <w:color w:val="FF0000"/>
          <w:sz w:val="28"/>
          <w:szCs w:val="28"/>
        </w:rPr>
      </w:pPr>
    </w:p>
    <w:p w14:paraId="13CDAD20" w14:textId="77777777" w:rsidR="00FE3353" w:rsidRPr="00C51D39" w:rsidRDefault="00FE3353" w:rsidP="00DD2416">
      <w:pPr>
        <w:pStyle w:val="naisf"/>
        <w:spacing w:before="0" w:beforeAutospacing="0" w:after="0" w:afterAutospacing="0"/>
        <w:rPr>
          <w:color w:val="FF0000"/>
          <w:sz w:val="28"/>
          <w:szCs w:val="28"/>
        </w:rPr>
      </w:pPr>
    </w:p>
    <w:p w14:paraId="54776BE2" w14:textId="25F259AD" w:rsidR="00F37F7E" w:rsidRPr="00C51D39" w:rsidRDefault="00F37F7E" w:rsidP="00276F72">
      <w:pPr>
        <w:pStyle w:val="naisf"/>
        <w:spacing w:before="0" w:beforeAutospacing="0" w:after="0" w:afterAutospacing="0"/>
        <w:ind w:firstLine="720"/>
        <w:rPr>
          <w:sz w:val="28"/>
          <w:szCs w:val="28"/>
        </w:rPr>
      </w:pPr>
      <w:r w:rsidRPr="00C51D39">
        <w:rPr>
          <w:sz w:val="28"/>
          <w:szCs w:val="28"/>
        </w:rPr>
        <w:t>Zemkopības ministr</w:t>
      </w:r>
      <w:r w:rsidR="00E01809" w:rsidRPr="00C51D39">
        <w:rPr>
          <w:sz w:val="28"/>
          <w:szCs w:val="28"/>
        </w:rPr>
        <w:t>s</w:t>
      </w:r>
      <w:r w:rsidRPr="00C51D39">
        <w:rPr>
          <w:sz w:val="28"/>
          <w:szCs w:val="28"/>
        </w:rPr>
        <w:tab/>
      </w:r>
      <w:r w:rsidRPr="00C51D39">
        <w:rPr>
          <w:sz w:val="28"/>
          <w:szCs w:val="28"/>
        </w:rPr>
        <w:tab/>
      </w:r>
      <w:r w:rsidRPr="00C51D39">
        <w:rPr>
          <w:sz w:val="28"/>
          <w:szCs w:val="28"/>
        </w:rPr>
        <w:tab/>
      </w:r>
      <w:r w:rsidRPr="00C51D39">
        <w:rPr>
          <w:sz w:val="28"/>
          <w:szCs w:val="28"/>
        </w:rPr>
        <w:tab/>
      </w:r>
      <w:r w:rsidR="00E01809" w:rsidRPr="00C51D39">
        <w:rPr>
          <w:sz w:val="28"/>
          <w:szCs w:val="28"/>
        </w:rPr>
        <w:tab/>
      </w:r>
      <w:r w:rsidR="00276F72">
        <w:rPr>
          <w:sz w:val="28"/>
          <w:szCs w:val="28"/>
        </w:rPr>
        <w:tab/>
      </w:r>
      <w:r w:rsidR="00E01809" w:rsidRPr="00C51D39">
        <w:rPr>
          <w:sz w:val="28"/>
          <w:szCs w:val="28"/>
        </w:rPr>
        <w:t>J</w:t>
      </w:r>
      <w:r w:rsidR="00961B32" w:rsidRPr="00C51D39">
        <w:rPr>
          <w:sz w:val="28"/>
          <w:szCs w:val="28"/>
        </w:rPr>
        <w:t xml:space="preserve">ānis </w:t>
      </w:r>
      <w:r w:rsidR="00E01809" w:rsidRPr="00C51D39">
        <w:rPr>
          <w:sz w:val="28"/>
          <w:szCs w:val="28"/>
        </w:rPr>
        <w:t>Dūklavs</w:t>
      </w:r>
    </w:p>
    <w:p w14:paraId="676CE1CD" w14:textId="442F92D1" w:rsidR="00961B32" w:rsidRPr="00C51D39" w:rsidRDefault="00961B32" w:rsidP="00276F72">
      <w:pPr>
        <w:pStyle w:val="naisf"/>
        <w:spacing w:before="0" w:beforeAutospacing="0" w:after="0" w:afterAutospacing="0"/>
        <w:ind w:firstLine="720"/>
        <w:rPr>
          <w:sz w:val="28"/>
          <w:szCs w:val="28"/>
        </w:rPr>
      </w:pPr>
    </w:p>
    <w:p w14:paraId="04728CFB" w14:textId="77777777" w:rsidR="00652543" w:rsidRPr="00C51D39" w:rsidRDefault="00652543" w:rsidP="00276F72">
      <w:pPr>
        <w:pStyle w:val="naisf"/>
        <w:spacing w:before="0" w:beforeAutospacing="0" w:after="0" w:afterAutospacing="0"/>
        <w:ind w:firstLine="720"/>
        <w:rPr>
          <w:sz w:val="28"/>
          <w:szCs w:val="28"/>
        </w:rPr>
      </w:pPr>
    </w:p>
    <w:p w14:paraId="39971E6C" w14:textId="5D66FA91" w:rsidR="00FE3353" w:rsidRPr="00C51D39" w:rsidRDefault="00276F72" w:rsidP="00276F72">
      <w:pPr>
        <w:pStyle w:val="naisf"/>
        <w:spacing w:before="0" w:beforeAutospacing="0" w:after="0" w:afterAutospacing="0"/>
        <w:ind w:firstLine="720"/>
        <w:rPr>
          <w:sz w:val="28"/>
          <w:szCs w:val="28"/>
        </w:rPr>
      </w:pPr>
      <w:r>
        <w:rPr>
          <w:sz w:val="28"/>
          <w:szCs w:val="28"/>
        </w:rPr>
        <w:t>Zemkopības ministrijas valsts sekretāre</w:t>
      </w:r>
      <w:r>
        <w:rPr>
          <w:sz w:val="28"/>
          <w:szCs w:val="28"/>
        </w:rPr>
        <w:tab/>
      </w:r>
      <w:r>
        <w:rPr>
          <w:sz w:val="28"/>
          <w:szCs w:val="28"/>
        </w:rPr>
        <w:tab/>
      </w:r>
      <w:r>
        <w:rPr>
          <w:sz w:val="28"/>
          <w:szCs w:val="28"/>
        </w:rPr>
        <w:tab/>
        <w:t>Dace Lucaua</w:t>
      </w:r>
    </w:p>
    <w:p w14:paraId="43382646" w14:textId="77777777" w:rsidR="00276F72" w:rsidRDefault="00276F72" w:rsidP="00DD2416">
      <w:pPr>
        <w:jc w:val="both"/>
      </w:pPr>
    </w:p>
    <w:p w14:paraId="5C21348D" w14:textId="77777777" w:rsidR="00276F72" w:rsidRDefault="00276F72" w:rsidP="00DD2416">
      <w:pPr>
        <w:jc w:val="both"/>
      </w:pPr>
    </w:p>
    <w:p w14:paraId="00E9FF5C" w14:textId="77777777" w:rsidR="00276F72" w:rsidRDefault="00276F72" w:rsidP="00DD2416">
      <w:pPr>
        <w:jc w:val="both"/>
      </w:pPr>
    </w:p>
    <w:p w14:paraId="2BF622BF" w14:textId="77777777" w:rsidR="00276F72" w:rsidRDefault="00276F72" w:rsidP="00DD2416">
      <w:pPr>
        <w:jc w:val="both"/>
      </w:pPr>
    </w:p>
    <w:p w14:paraId="1C9FC751" w14:textId="77777777" w:rsidR="00276F72" w:rsidRDefault="00276F72" w:rsidP="00DD2416">
      <w:pPr>
        <w:jc w:val="both"/>
      </w:pPr>
      <w:bookmarkStart w:id="0" w:name="_GoBack"/>
      <w:bookmarkEnd w:id="0"/>
    </w:p>
    <w:p w14:paraId="38AE29CF" w14:textId="77777777" w:rsidR="00276F72" w:rsidRDefault="00276F72" w:rsidP="00DD2416">
      <w:pPr>
        <w:jc w:val="both"/>
      </w:pPr>
    </w:p>
    <w:p w14:paraId="519720AF" w14:textId="7B428D6A" w:rsidR="00A73FCE" w:rsidRDefault="00CD0F5E" w:rsidP="00DD2416">
      <w:pPr>
        <w:jc w:val="both"/>
      </w:pPr>
      <w:r w:rsidRPr="001666BC">
        <w:t>Rubene</w:t>
      </w:r>
      <w:r w:rsidR="00A73FCE">
        <w:t xml:space="preserve"> </w:t>
      </w:r>
      <w:r w:rsidRPr="001666BC">
        <w:t>67027064</w:t>
      </w:r>
    </w:p>
    <w:p w14:paraId="4DFACB82" w14:textId="4FC94341" w:rsidR="00FE3353" w:rsidRPr="001666BC" w:rsidRDefault="001666BC" w:rsidP="00DD2416">
      <w:pPr>
        <w:jc w:val="both"/>
      </w:pPr>
      <w:r>
        <w:t>s</w:t>
      </w:r>
      <w:r w:rsidR="00CD0F5E" w:rsidRPr="001666BC">
        <w:t>igita.</w:t>
      </w:r>
      <w:r>
        <w:t>r</w:t>
      </w:r>
      <w:r w:rsidR="00CD0F5E" w:rsidRPr="001666BC">
        <w:t>ubene@zm.gov.lv</w:t>
      </w:r>
    </w:p>
    <w:sectPr w:rsidR="00FE3353" w:rsidRPr="001666BC" w:rsidSect="00B741FA">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E968" w14:textId="77777777" w:rsidR="007B622B" w:rsidRDefault="007B622B" w:rsidP="00F37F7E">
      <w:pPr>
        <w:pStyle w:val="naiskr"/>
      </w:pPr>
      <w:r>
        <w:separator/>
      </w:r>
    </w:p>
  </w:endnote>
  <w:endnote w:type="continuationSeparator" w:id="0">
    <w:p w14:paraId="1509DE3E" w14:textId="77777777" w:rsidR="007B622B" w:rsidRDefault="007B622B"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7FB6" w14:textId="331FF468" w:rsidR="0098138B" w:rsidRPr="0083014C" w:rsidRDefault="0098138B" w:rsidP="0083014C">
    <w:pPr>
      <w:pStyle w:val="Pamatteksts2"/>
      <w:spacing w:after="0" w:line="240" w:lineRule="auto"/>
      <w:jc w:val="both"/>
      <w:rPr>
        <w:sz w:val="20"/>
        <w:szCs w:val="20"/>
      </w:rPr>
    </w:pPr>
    <w:r w:rsidRPr="00BC5D39">
      <w:rPr>
        <w:sz w:val="20"/>
        <w:szCs w:val="20"/>
      </w:rPr>
      <w:t>ZM</w:t>
    </w:r>
    <w:r>
      <w:rPr>
        <w:sz w:val="20"/>
        <w:szCs w:val="20"/>
      </w:rPr>
      <w:t>anot</w:t>
    </w:r>
    <w:r w:rsidRPr="00BC5D39">
      <w:rPr>
        <w:sz w:val="20"/>
        <w:szCs w:val="20"/>
      </w:rPr>
      <w:t>_</w:t>
    </w:r>
    <w:r>
      <w:rPr>
        <w:sz w:val="20"/>
        <w:szCs w:val="20"/>
      </w:rPr>
      <w:t>1</w:t>
    </w:r>
    <w:r w:rsidR="00C51D39">
      <w:rPr>
        <w:sz w:val="20"/>
        <w:szCs w:val="20"/>
      </w:rPr>
      <w:t>505</w:t>
    </w:r>
    <w:r>
      <w:rPr>
        <w:sz w:val="20"/>
        <w:szCs w:val="20"/>
      </w:rPr>
      <w:t>17</w:t>
    </w:r>
    <w:r w:rsidRPr="00BC5D39">
      <w:rPr>
        <w:sz w:val="20"/>
        <w:szCs w:val="20"/>
      </w:rPr>
      <w:t xml:space="preserve">_HNS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4FCF" w14:textId="2CBBBDA3" w:rsidR="0098138B" w:rsidRPr="00BC5D39" w:rsidRDefault="0098138B" w:rsidP="00A443F7">
    <w:pPr>
      <w:pStyle w:val="Pamatteksts2"/>
      <w:spacing w:after="0" w:line="240" w:lineRule="auto"/>
      <w:jc w:val="both"/>
      <w:rPr>
        <w:sz w:val="20"/>
        <w:szCs w:val="20"/>
      </w:rPr>
    </w:pPr>
    <w:r w:rsidRPr="00BC5D39">
      <w:rPr>
        <w:sz w:val="20"/>
        <w:szCs w:val="20"/>
      </w:rPr>
      <w:t>ZM</w:t>
    </w:r>
    <w:r>
      <w:rPr>
        <w:sz w:val="20"/>
        <w:szCs w:val="20"/>
      </w:rPr>
      <w:t>anot</w:t>
    </w:r>
    <w:r w:rsidRPr="00BC5D39">
      <w:rPr>
        <w:sz w:val="20"/>
        <w:szCs w:val="20"/>
      </w:rPr>
      <w:t>_</w:t>
    </w:r>
    <w:r w:rsidR="00C51D39">
      <w:rPr>
        <w:sz w:val="20"/>
        <w:szCs w:val="20"/>
      </w:rPr>
      <w:t>1505</w:t>
    </w:r>
    <w:r>
      <w:rPr>
        <w:sz w:val="20"/>
        <w:szCs w:val="20"/>
      </w:rPr>
      <w:t>17</w:t>
    </w:r>
    <w:r w:rsidRPr="00BC5D39">
      <w:rPr>
        <w:sz w:val="20"/>
        <w:szCs w:val="20"/>
      </w:rPr>
      <w:t xml:space="preserve">_HNS </w:t>
    </w:r>
  </w:p>
  <w:p w14:paraId="38E3A465" w14:textId="77777777" w:rsidR="0098138B" w:rsidRPr="00885D66" w:rsidRDefault="0098138B" w:rsidP="00885D66">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59C5" w14:textId="77777777" w:rsidR="007B622B" w:rsidRDefault="007B622B" w:rsidP="00F37F7E">
      <w:pPr>
        <w:pStyle w:val="naiskr"/>
      </w:pPr>
      <w:r>
        <w:separator/>
      </w:r>
    </w:p>
  </w:footnote>
  <w:footnote w:type="continuationSeparator" w:id="0">
    <w:p w14:paraId="0FE15DAD" w14:textId="77777777" w:rsidR="007B622B" w:rsidRDefault="007B622B"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374" w14:textId="77777777" w:rsidR="0098138B" w:rsidRDefault="009813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005FA" w14:textId="77777777" w:rsidR="0098138B" w:rsidRDefault="0098138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E94" w14:textId="01A10745" w:rsidR="0098138B" w:rsidRDefault="0098138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76F72">
      <w:rPr>
        <w:rStyle w:val="Lappusesnumurs"/>
        <w:noProof/>
      </w:rPr>
      <w:t>9</w:t>
    </w:r>
    <w:r>
      <w:rPr>
        <w:rStyle w:val="Lappusesnumurs"/>
      </w:rPr>
      <w:fldChar w:fldCharType="end"/>
    </w:r>
  </w:p>
  <w:p w14:paraId="768EEA9C" w14:textId="77777777" w:rsidR="0098138B" w:rsidRDefault="009813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11D83"/>
    <w:multiLevelType w:val="multilevel"/>
    <w:tmpl w:val="BA12DC1E"/>
    <w:styleLink w:val="LFO1"/>
    <w:lvl w:ilvl="0">
      <w:numFmt w:val="bullet"/>
      <w:pStyle w:val="dash1"/>
      <w:lvlText w:val="–"/>
      <w:lvlJc w:val="left"/>
      <w:pPr>
        <w:ind w:left="1134"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E4D291F"/>
    <w:multiLevelType w:val="hybridMultilevel"/>
    <w:tmpl w:val="EA823BF4"/>
    <w:lvl w:ilvl="0" w:tplc="086EAD0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08F9"/>
    <w:rsid w:val="00002015"/>
    <w:rsid w:val="000033B2"/>
    <w:rsid w:val="00004C6B"/>
    <w:rsid w:val="00004CF9"/>
    <w:rsid w:val="00005E50"/>
    <w:rsid w:val="00015974"/>
    <w:rsid w:val="000160EE"/>
    <w:rsid w:val="00017851"/>
    <w:rsid w:val="0002029A"/>
    <w:rsid w:val="000242CD"/>
    <w:rsid w:val="00024B0B"/>
    <w:rsid w:val="000273EA"/>
    <w:rsid w:val="00027BE3"/>
    <w:rsid w:val="000319E9"/>
    <w:rsid w:val="000378F3"/>
    <w:rsid w:val="00037F77"/>
    <w:rsid w:val="00040175"/>
    <w:rsid w:val="00041376"/>
    <w:rsid w:val="00043064"/>
    <w:rsid w:val="000445E1"/>
    <w:rsid w:val="000500AE"/>
    <w:rsid w:val="00051187"/>
    <w:rsid w:val="00054E63"/>
    <w:rsid w:val="00054F83"/>
    <w:rsid w:val="00055CF3"/>
    <w:rsid w:val="00056F5F"/>
    <w:rsid w:val="00065E62"/>
    <w:rsid w:val="00067716"/>
    <w:rsid w:val="00067A11"/>
    <w:rsid w:val="00070FEB"/>
    <w:rsid w:val="000713AA"/>
    <w:rsid w:val="00071FCC"/>
    <w:rsid w:val="00072B42"/>
    <w:rsid w:val="00072D3B"/>
    <w:rsid w:val="0007310A"/>
    <w:rsid w:val="00074178"/>
    <w:rsid w:val="000813CF"/>
    <w:rsid w:val="00085628"/>
    <w:rsid w:val="0008641C"/>
    <w:rsid w:val="00091B34"/>
    <w:rsid w:val="00093DC3"/>
    <w:rsid w:val="00094946"/>
    <w:rsid w:val="000956B0"/>
    <w:rsid w:val="000957DB"/>
    <w:rsid w:val="000A230B"/>
    <w:rsid w:val="000A2D0B"/>
    <w:rsid w:val="000B2338"/>
    <w:rsid w:val="000B43C3"/>
    <w:rsid w:val="000B4B3B"/>
    <w:rsid w:val="000C1F1C"/>
    <w:rsid w:val="000C426C"/>
    <w:rsid w:val="000C459B"/>
    <w:rsid w:val="000C4826"/>
    <w:rsid w:val="000C5E19"/>
    <w:rsid w:val="000C6049"/>
    <w:rsid w:val="000C6532"/>
    <w:rsid w:val="000C711D"/>
    <w:rsid w:val="000D0A4C"/>
    <w:rsid w:val="000D5249"/>
    <w:rsid w:val="000D677F"/>
    <w:rsid w:val="000D6A4F"/>
    <w:rsid w:val="000D7729"/>
    <w:rsid w:val="000D7FA2"/>
    <w:rsid w:val="000E0BAA"/>
    <w:rsid w:val="000E10EC"/>
    <w:rsid w:val="000E1EB6"/>
    <w:rsid w:val="000E674D"/>
    <w:rsid w:val="000F0147"/>
    <w:rsid w:val="000F328E"/>
    <w:rsid w:val="000F3449"/>
    <w:rsid w:val="000F4B00"/>
    <w:rsid w:val="000F4ED4"/>
    <w:rsid w:val="000F4F14"/>
    <w:rsid w:val="00100684"/>
    <w:rsid w:val="0010345D"/>
    <w:rsid w:val="00103581"/>
    <w:rsid w:val="001039CA"/>
    <w:rsid w:val="00104613"/>
    <w:rsid w:val="00111DC0"/>
    <w:rsid w:val="00112881"/>
    <w:rsid w:val="00112DF5"/>
    <w:rsid w:val="00115738"/>
    <w:rsid w:val="0011697F"/>
    <w:rsid w:val="001175F8"/>
    <w:rsid w:val="00117C2C"/>
    <w:rsid w:val="00121286"/>
    <w:rsid w:val="0012150C"/>
    <w:rsid w:val="00122AF1"/>
    <w:rsid w:val="00124ACB"/>
    <w:rsid w:val="00126A8D"/>
    <w:rsid w:val="00127E82"/>
    <w:rsid w:val="001321D5"/>
    <w:rsid w:val="00133DFE"/>
    <w:rsid w:val="00134BEB"/>
    <w:rsid w:val="00135F2B"/>
    <w:rsid w:val="001421CC"/>
    <w:rsid w:val="00143CB1"/>
    <w:rsid w:val="00145E1F"/>
    <w:rsid w:val="00147420"/>
    <w:rsid w:val="001500A4"/>
    <w:rsid w:val="00152B50"/>
    <w:rsid w:val="00153834"/>
    <w:rsid w:val="00154FA1"/>
    <w:rsid w:val="00155DDA"/>
    <w:rsid w:val="001611DB"/>
    <w:rsid w:val="00161A6E"/>
    <w:rsid w:val="00161C3F"/>
    <w:rsid w:val="001666BC"/>
    <w:rsid w:val="00166B72"/>
    <w:rsid w:val="001717E4"/>
    <w:rsid w:val="00172BC0"/>
    <w:rsid w:val="00174119"/>
    <w:rsid w:val="001748D2"/>
    <w:rsid w:val="00174BD8"/>
    <w:rsid w:val="001814E3"/>
    <w:rsid w:val="00181867"/>
    <w:rsid w:val="00185A1F"/>
    <w:rsid w:val="00186CB1"/>
    <w:rsid w:val="00187944"/>
    <w:rsid w:val="0019031A"/>
    <w:rsid w:val="00191CC1"/>
    <w:rsid w:val="001928BE"/>
    <w:rsid w:val="00193A34"/>
    <w:rsid w:val="00193C5A"/>
    <w:rsid w:val="00193C93"/>
    <w:rsid w:val="00193E2C"/>
    <w:rsid w:val="00197AF3"/>
    <w:rsid w:val="001A1727"/>
    <w:rsid w:val="001A1C90"/>
    <w:rsid w:val="001A257D"/>
    <w:rsid w:val="001A284C"/>
    <w:rsid w:val="001A4030"/>
    <w:rsid w:val="001A703F"/>
    <w:rsid w:val="001A7D16"/>
    <w:rsid w:val="001B3102"/>
    <w:rsid w:val="001B6383"/>
    <w:rsid w:val="001B644E"/>
    <w:rsid w:val="001B6512"/>
    <w:rsid w:val="001C0BDB"/>
    <w:rsid w:val="001C3321"/>
    <w:rsid w:val="001C4CC3"/>
    <w:rsid w:val="001C600D"/>
    <w:rsid w:val="001C6039"/>
    <w:rsid w:val="001D0089"/>
    <w:rsid w:val="001D3AC6"/>
    <w:rsid w:val="001E0876"/>
    <w:rsid w:val="001E1059"/>
    <w:rsid w:val="001E133E"/>
    <w:rsid w:val="001E4DEC"/>
    <w:rsid w:val="001E68D0"/>
    <w:rsid w:val="001E6C66"/>
    <w:rsid w:val="001E71C9"/>
    <w:rsid w:val="001F6EB8"/>
    <w:rsid w:val="001F728C"/>
    <w:rsid w:val="002041F1"/>
    <w:rsid w:val="002100B3"/>
    <w:rsid w:val="0021150A"/>
    <w:rsid w:val="002124B5"/>
    <w:rsid w:val="002137EE"/>
    <w:rsid w:val="00214D08"/>
    <w:rsid w:val="0022456A"/>
    <w:rsid w:val="002267E2"/>
    <w:rsid w:val="00227F59"/>
    <w:rsid w:val="002305A0"/>
    <w:rsid w:val="00231A89"/>
    <w:rsid w:val="00232986"/>
    <w:rsid w:val="002332BF"/>
    <w:rsid w:val="00237909"/>
    <w:rsid w:val="00243D1D"/>
    <w:rsid w:val="00245400"/>
    <w:rsid w:val="00251315"/>
    <w:rsid w:val="002513DF"/>
    <w:rsid w:val="00252057"/>
    <w:rsid w:val="00253D68"/>
    <w:rsid w:val="0025506D"/>
    <w:rsid w:val="00255D43"/>
    <w:rsid w:val="00257B87"/>
    <w:rsid w:val="00260221"/>
    <w:rsid w:val="002606DD"/>
    <w:rsid w:val="00263805"/>
    <w:rsid w:val="00264CFE"/>
    <w:rsid w:val="002659B9"/>
    <w:rsid w:val="00266247"/>
    <w:rsid w:val="00266734"/>
    <w:rsid w:val="002671CE"/>
    <w:rsid w:val="0026760B"/>
    <w:rsid w:val="00276F72"/>
    <w:rsid w:val="00277535"/>
    <w:rsid w:val="00277C39"/>
    <w:rsid w:val="00284E0B"/>
    <w:rsid w:val="00286B98"/>
    <w:rsid w:val="00286BE2"/>
    <w:rsid w:val="0028776A"/>
    <w:rsid w:val="002921C8"/>
    <w:rsid w:val="002923AD"/>
    <w:rsid w:val="00294C6B"/>
    <w:rsid w:val="002A0109"/>
    <w:rsid w:val="002A2218"/>
    <w:rsid w:val="002A69AC"/>
    <w:rsid w:val="002A7C64"/>
    <w:rsid w:val="002B092E"/>
    <w:rsid w:val="002B13BA"/>
    <w:rsid w:val="002B1522"/>
    <w:rsid w:val="002B325F"/>
    <w:rsid w:val="002B436C"/>
    <w:rsid w:val="002B4887"/>
    <w:rsid w:val="002B79C3"/>
    <w:rsid w:val="002C2186"/>
    <w:rsid w:val="002C5FF8"/>
    <w:rsid w:val="002C60C7"/>
    <w:rsid w:val="002D0EFF"/>
    <w:rsid w:val="002D3117"/>
    <w:rsid w:val="002D429F"/>
    <w:rsid w:val="002D50B7"/>
    <w:rsid w:val="002D525B"/>
    <w:rsid w:val="002E15E4"/>
    <w:rsid w:val="002E1BB2"/>
    <w:rsid w:val="002E2E74"/>
    <w:rsid w:val="002E4F3D"/>
    <w:rsid w:val="002E6873"/>
    <w:rsid w:val="002E69C0"/>
    <w:rsid w:val="002F2D08"/>
    <w:rsid w:val="002F38DB"/>
    <w:rsid w:val="002F6A27"/>
    <w:rsid w:val="002F6C76"/>
    <w:rsid w:val="002F739C"/>
    <w:rsid w:val="00301471"/>
    <w:rsid w:val="0030353C"/>
    <w:rsid w:val="003037FE"/>
    <w:rsid w:val="00306C71"/>
    <w:rsid w:val="00307B77"/>
    <w:rsid w:val="00313B3C"/>
    <w:rsid w:val="00315662"/>
    <w:rsid w:val="003157FC"/>
    <w:rsid w:val="00317FC0"/>
    <w:rsid w:val="003202E9"/>
    <w:rsid w:val="0032112A"/>
    <w:rsid w:val="003242DE"/>
    <w:rsid w:val="003257A4"/>
    <w:rsid w:val="00325A33"/>
    <w:rsid w:val="003274E7"/>
    <w:rsid w:val="0033095C"/>
    <w:rsid w:val="00331279"/>
    <w:rsid w:val="00336851"/>
    <w:rsid w:val="00342823"/>
    <w:rsid w:val="0034323B"/>
    <w:rsid w:val="00343441"/>
    <w:rsid w:val="00343E26"/>
    <w:rsid w:val="00347B64"/>
    <w:rsid w:val="00350004"/>
    <w:rsid w:val="00351991"/>
    <w:rsid w:val="00351E1F"/>
    <w:rsid w:val="00354D7D"/>
    <w:rsid w:val="00355020"/>
    <w:rsid w:val="00355D4F"/>
    <w:rsid w:val="003561E6"/>
    <w:rsid w:val="00360A74"/>
    <w:rsid w:val="00360B91"/>
    <w:rsid w:val="003610A7"/>
    <w:rsid w:val="00362A82"/>
    <w:rsid w:val="00363DF8"/>
    <w:rsid w:val="003652E2"/>
    <w:rsid w:val="00370A38"/>
    <w:rsid w:val="00371A65"/>
    <w:rsid w:val="00374754"/>
    <w:rsid w:val="003752C7"/>
    <w:rsid w:val="00380832"/>
    <w:rsid w:val="0038268B"/>
    <w:rsid w:val="003827EF"/>
    <w:rsid w:val="003831C3"/>
    <w:rsid w:val="00384D74"/>
    <w:rsid w:val="00391F7B"/>
    <w:rsid w:val="00393207"/>
    <w:rsid w:val="003937EE"/>
    <w:rsid w:val="00393F06"/>
    <w:rsid w:val="0039523C"/>
    <w:rsid w:val="003A1B2D"/>
    <w:rsid w:val="003A265A"/>
    <w:rsid w:val="003A3C95"/>
    <w:rsid w:val="003A4096"/>
    <w:rsid w:val="003A5061"/>
    <w:rsid w:val="003A5BC1"/>
    <w:rsid w:val="003B2B59"/>
    <w:rsid w:val="003B34B2"/>
    <w:rsid w:val="003B585F"/>
    <w:rsid w:val="003B7A18"/>
    <w:rsid w:val="003C1680"/>
    <w:rsid w:val="003C257A"/>
    <w:rsid w:val="003C2A47"/>
    <w:rsid w:val="003C2ACF"/>
    <w:rsid w:val="003C3622"/>
    <w:rsid w:val="003C6AD2"/>
    <w:rsid w:val="003C7411"/>
    <w:rsid w:val="003D1A4A"/>
    <w:rsid w:val="003D279C"/>
    <w:rsid w:val="003D3A27"/>
    <w:rsid w:val="003D4E3F"/>
    <w:rsid w:val="003D701C"/>
    <w:rsid w:val="003E413C"/>
    <w:rsid w:val="003E4150"/>
    <w:rsid w:val="003E5518"/>
    <w:rsid w:val="003F001C"/>
    <w:rsid w:val="003F4081"/>
    <w:rsid w:val="003F753E"/>
    <w:rsid w:val="00400503"/>
    <w:rsid w:val="00403858"/>
    <w:rsid w:val="00405D73"/>
    <w:rsid w:val="00406A2C"/>
    <w:rsid w:val="00406B8C"/>
    <w:rsid w:val="004078A0"/>
    <w:rsid w:val="004121C8"/>
    <w:rsid w:val="00412F9C"/>
    <w:rsid w:val="00414B20"/>
    <w:rsid w:val="00415631"/>
    <w:rsid w:val="00415B80"/>
    <w:rsid w:val="00417A1B"/>
    <w:rsid w:val="00421391"/>
    <w:rsid w:val="00422AF6"/>
    <w:rsid w:val="00424C48"/>
    <w:rsid w:val="00425BAE"/>
    <w:rsid w:val="00425E4D"/>
    <w:rsid w:val="00426678"/>
    <w:rsid w:val="004316D3"/>
    <w:rsid w:val="0043328A"/>
    <w:rsid w:val="00433DA8"/>
    <w:rsid w:val="004357CE"/>
    <w:rsid w:val="00441496"/>
    <w:rsid w:val="00441E23"/>
    <w:rsid w:val="00444680"/>
    <w:rsid w:val="00444A7D"/>
    <w:rsid w:val="004464F7"/>
    <w:rsid w:val="0044738A"/>
    <w:rsid w:val="00447764"/>
    <w:rsid w:val="004511D3"/>
    <w:rsid w:val="004547A9"/>
    <w:rsid w:val="00454D15"/>
    <w:rsid w:val="0045719F"/>
    <w:rsid w:val="004602C9"/>
    <w:rsid w:val="00461FD3"/>
    <w:rsid w:val="00462078"/>
    <w:rsid w:val="004632CD"/>
    <w:rsid w:val="00463956"/>
    <w:rsid w:val="004639C0"/>
    <w:rsid w:val="00465A58"/>
    <w:rsid w:val="004662B4"/>
    <w:rsid w:val="00466CF9"/>
    <w:rsid w:val="004679FF"/>
    <w:rsid w:val="00467C61"/>
    <w:rsid w:val="004708A3"/>
    <w:rsid w:val="00472BA4"/>
    <w:rsid w:val="004739F2"/>
    <w:rsid w:val="0047491E"/>
    <w:rsid w:val="00480EF1"/>
    <w:rsid w:val="00482A25"/>
    <w:rsid w:val="00486E83"/>
    <w:rsid w:val="00487A8F"/>
    <w:rsid w:val="00493C4F"/>
    <w:rsid w:val="00495127"/>
    <w:rsid w:val="00495A25"/>
    <w:rsid w:val="004966B8"/>
    <w:rsid w:val="00496959"/>
    <w:rsid w:val="004A02E5"/>
    <w:rsid w:val="004A03C7"/>
    <w:rsid w:val="004A0EAB"/>
    <w:rsid w:val="004A26C6"/>
    <w:rsid w:val="004A6C18"/>
    <w:rsid w:val="004A708B"/>
    <w:rsid w:val="004B0271"/>
    <w:rsid w:val="004B28A8"/>
    <w:rsid w:val="004B389F"/>
    <w:rsid w:val="004B5C4E"/>
    <w:rsid w:val="004C0ED0"/>
    <w:rsid w:val="004C1CB6"/>
    <w:rsid w:val="004C4BC8"/>
    <w:rsid w:val="004C7C32"/>
    <w:rsid w:val="004D4F42"/>
    <w:rsid w:val="004D579E"/>
    <w:rsid w:val="004D64BE"/>
    <w:rsid w:val="004E1569"/>
    <w:rsid w:val="004E15D1"/>
    <w:rsid w:val="004E1E3E"/>
    <w:rsid w:val="004E3F6C"/>
    <w:rsid w:val="004E6F13"/>
    <w:rsid w:val="004F1971"/>
    <w:rsid w:val="004F2E8D"/>
    <w:rsid w:val="004F32C8"/>
    <w:rsid w:val="004F598D"/>
    <w:rsid w:val="004F7B57"/>
    <w:rsid w:val="005043E6"/>
    <w:rsid w:val="00513790"/>
    <w:rsid w:val="005137B8"/>
    <w:rsid w:val="00514AED"/>
    <w:rsid w:val="0051633E"/>
    <w:rsid w:val="00516F18"/>
    <w:rsid w:val="00521289"/>
    <w:rsid w:val="00521C34"/>
    <w:rsid w:val="005229C2"/>
    <w:rsid w:val="005251F3"/>
    <w:rsid w:val="005305CB"/>
    <w:rsid w:val="00532616"/>
    <w:rsid w:val="00532FB9"/>
    <w:rsid w:val="00533941"/>
    <w:rsid w:val="00536003"/>
    <w:rsid w:val="0053639D"/>
    <w:rsid w:val="00537386"/>
    <w:rsid w:val="005376CA"/>
    <w:rsid w:val="0054083D"/>
    <w:rsid w:val="005420BC"/>
    <w:rsid w:val="0054677F"/>
    <w:rsid w:val="00546F7F"/>
    <w:rsid w:val="005545C2"/>
    <w:rsid w:val="00556D60"/>
    <w:rsid w:val="00557BAE"/>
    <w:rsid w:val="0056210B"/>
    <w:rsid w:val="00563A77"/>
    <w:rsid w:val="005660EB"/>
    <w:rsid w:val="0057117B"/>
    <w:rsid w:val="00572009"/>
    <w:rsid w:val="0057499C"/>
    <w:rsid w:val="00576619"/>
    <w:rsid w:val="00580AE7"/>
    <w:rsid w:val="005827E6"/>
    <w:rsid w:val="00582D3C"/>
    <w:rsid w:val="00583239"/>
    <w:rsid w:val="00584D39"/>
    <w:rsid w:val="00590F7E"/>
    <w:rsid w:val="00591E61"/>
    <w:rsid w:val="005940F9"/>
    <w:rsid w:val="0059419D"/>
    <w:rsid w:val="0059489D"/>
    <w:rsid w:val="00595851"/>
    <w:rsid w:val="00596043"/>
    <w:rsid w:val="005A5812"/>
    <w:rsid w:val="005A5CF6"/>
    <w:rsid w:val="005A76A3"/>
    <w:rsid w:val="005A771C"/>
    <w:rsid w:val="005A7AD8"/>
    <w:rsid w:val="005B1291"/>
    <w:rsid w:val="005B168B"/>
    <w:rsid w:val="005C045F"/>
    <w:rsid w:val="005C2316"/>
    <w:rsid w:val="005C3223"/>
    <w:rsid w:val="005C37B4"/>
    <w:rsid w:val="005C51FD"/>
    <w:rsid w:val="005C5FCB"/>
    <w:rsid w:val="005D00FC"/>
    <w:rsid w:val="005D0F57"/>
    <w:rsid w:val="005D16B1"/>
    <w:rsid w:val="005D3D68"/>
    <w:rsid w:val="005D782F"/>
    <w:rsid w:val="005E52B6"/>
    <w:rsid w:val="005F28C6"/>
    <w:rsid w:val="005F49F6"/>
    <w:rsid w:val="005F75E5"/>
    <w:rsid w:val="00601219"/>
    <w:rsid w:val="00602297"/>
    <w:rsid w:val="006056ED"/>
    <w:rsid w:val="00605ACA"/>
    <w:rsid w:val="0060636F"/>
    <w:rsid w:val="0060673F"/>
    <w:rsid w:val="00606F24"/>
    <w:rsid w:val="0060708E"/>
    <w:rsid w:val="0060719D"/>
    <w:rsid w:val="0061217E"/>
    <w:rsid w:val="00612ED0"/>
    <w:rsid w:val="00615E79"/>
    <w:rsid w:val="00616C4A"/>
    <w:rsid w:val="00620D0D"/>
    <w:rsid w:val="00620DC4"/>
    <w:rsid w:val="006257A6"/>
    <w:rsid w:val="006266E3"/>
    <w:rsid w:val="00630599"/>
    <w:rsid w:val="006313A4"/>
    <w:rsid w:val="006368D6"/>
    <w:rsid w:val="00640AA9"/>
    <w:rsid w:val="00643797"/>
    <w:rsid w:val="006439F0"/>
    <w:rsid w:val="00645528"/>
    <w:rsid w:val="00645BC5"/>
    <w:rsid w:val="00650C5A"/>
    <w:rsid w:val="0065138F"/>
    <w:rsid w:val="00652105"/>
    <w:rsid w:val="00652543"/>
    <w:rsid w:val="00654CED"/>
    <w:rsid w:val="00656C9A"/>
    <w:rsid w:val="006602BB"/>
    <w:rsid w:val="00660596"/>
    <w:rsid w:val="006606B7"/>
    <w:rsid w:val="00665362"/>
    <w:rsid w:val="006663BB"/>
    <w:rsid w:val="006665AC"/>
    <w:rsid w:val="0066773A"/>
    <w:rsid w:val="00667A13"/>
    <w:rsid w:val="006714C5"/>
    <w:rsid w:val="0067366E"/>
    <w:rsid w:val="006748CD"/>
    <w:rsid w:val="00675CCE"/>
    <w:rsid w:val="006760F2"/>
    <w:rsid w:val="00680CC4"/>
    <w:rsid w:val="006820E7"/>
    <w:rsid w:val="00683886"/>
    <w:rsid w:val="00685243"/>
    <w:rsid w:val="00685934"/>
    <w:rsid w:val="0068643B"/>
    <w:rsid w:val="006867F0"/>
    <w:rsid w:val="0069104F"/>
    <w:rsid w:val="00694018"/>
    <w:rsid w:val="0069517C"/>
    <w:rsid w:val="00697AF8"/>
    <w:rsid w:val="006A2C50"/>
    <w:rsid w:val="006A344D"/>
    <w:rsid w:val="006B07C9"/>
    <w:rsid w:val="006B33B5"/>
    <w:rsid w:val="006B75D0"/>
    <w:rsid w:val="006C17D2"/>
    <w:rsid w:val="006C55D8"/>
    <w:rsid w:val="006D1130"/>
    <w:rsid w:val="006D11A7"/>
    <w:rsid w:val="006D1959"/>
    <w:rsid w:val="006E0C24"/>
    <w:rsid w:val="006E65F9"/>
    <w:rsid w:val="006F122E"/>
    <w:rsid w:val="006F1362"/>
    <w:rsid w:val="006F2E6E"/>
    <w:rsid w:val="006F682B"/>
    <w:rsid w:val="006F69AA"/>
    <w:rsid w:val="007002E0"/>
    <w:rsid w:val="007018E2"/>
    <w:rsid w:val="00702355"/>
    <w:rsid w:val="007028B5"/>
    <w:rsid w:val="007032E7"/>
    <w:rsid w:val="00703A54"/>
    <w:rsid w:val="0070415F"/>
    <w:rsid w:val="00705B6F"/>
    <w:rsid w:val="00707AB8"/>
    <w:rsid w:val="00707B6F"/>
    <w:rsid w:val="0071167F"/>
    <w:rsid w:val="0071337A"/>
    <w:rsid w:val="00713450"/>
    <w:rsid w:val="00713A7C"/>
    <w:rsid w:val="0071757F"/>
    <w:rsid w:val="00717734"/>
    <w:rsid w:val="00717F6E"/>
    <w:rsid w:val="007206D3"/>
    <w:rsid w:val="00720F8D"/>
    <w:rsid w:val="00721B97"/>
    <w:rsid w:val="00721E49"/>
    <w:rsid w:val="00724292"/>
    <w:rsid w:val="0072434C"/>
    <w:rsid w:val="00725FCD"/>
    <w:rsid w:val="00727844"/>
    <w:rsid w:val="007300EF"/>
    <w:rsid w:val="00733095"/>
    <w:rsid w:val="00734BD4"/>
    <w:rsid w:val="00736B79"/>
    <w:rsid w:val="00736CD7"/>
    <w:rsid w:val="00743D38"/>
    <w:rsid w:val="0074438B"/>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449"/>
    <w:rsid w:val="00776B2C"/>
    <w:rsid w:val="00781A15"/>
    <w:rsid w:val="00786F82"/>
    <w:rsid w:val="00791D65"/>
    <w:rsid w:val="00791E9E"/>
    <w:rsid w:val="0079264F"/>
    <w:rsid w:val="007926A0"/>
    <w:rsid w:val="0079282B"/>
    <w:rsid w:val="00793143"/>
    <w:rsid w:val="00794BF1"/>
    <w:rsid w:val="007A180B"/>
    <w:rsid w:val="007A245C"/>
    <w:rsid w:val="007A71A2"/>
    <w:rsid w:val="007B2B19"/>
    <w:rsid w:val="007B2E09"/>
    <w:rsid w:val="007B3774"/>
    <w:rsid w:val="007B45D1"/>
    <w:rsid w:val="007B579E"/>
    <w:rsid w:val="007B5EE0"/>
    <w:rsid w:val="007B603D"/>
    <w:rsid w:val="007B622B"/>
    <w:rsid w:val="007B7B96"/>
    <w:rsid w:val="007B7D15"/>
    <w:rsid w:val="007C039B"/>
    <w:rsid w:val="007C1074"/>
    <w:rsid w:val="007C11D9"/>
    <w:rsid w:val="007C3EDD"/>
    <w:rsid w:val="007C4473"/>
    <w:rsid w:val="007C68DE"/>
    <w:rsid w:val="007C72EA"/>
    <w:rsid w:val="007D2ED9"/>
    <w:rsid w:val="007D3337"/>
    <w:rsid w:val="007D3F1B"/>
    <w:rsid w:val="007D44A6"/>
    <w:rsid w:val="007D4B81"/>
    <w:rsid w:val="007D6A6B"/>
    <w:rsid w:val="007E0C08"/>
    <w:rsid w:val="007E19B0"/>
    <w:rsid w:val="007E2460"/>
    <w:rsid w:val="007E7FB5"/>
    <w:rsid w:val="007F0FA8"/>
    <w:rsid w:val="007F1118"/>
    <w:rsid w:val="007F1BBB"/>
    <w:rsid w:val="007F4ED1"/>
    <w:rsid w:val="00805705"/>
    <w:rsid w:val="00806EBD"/>
    <w:rsid w:val="00810CE0"/>
    <w:rsid w:val="00811225"/>
    <w:rsid w:val="008145F9"/>
    <w:rsid w:val="0081471F"/>
    <w:rsid w:val="00817A87"/>
    <w:rsid w:val="00820436"/>
    <w:rsid w:val="00820FE9"/>
    <w:rsid w:val="00821E5D"/>
    <w:rsid w:val="00824538"/>
    <w:rsid w:val="0083014C"/>
    <w:rsid w:val="0083086E"/>
    <w:rsid w:val="008339D3"/>
    <w:rsid w:val="00834142"/>
    <w:rsid w:val="008353DA"/>
    <w:rsid w:val="008364B2"/>
    <w:rsid w:val="008370B1"/>
    <w:rsid w:val="008416D9"/>
    <w:rsid w:val="00843508"/>
    <w:rsid w:val="00845907"/>
    <w:rsid w:val="00845BDC"/>
    <w:rsid w:val="0084701F"/>
    <w:rsid w:val="008471F4"/>
    <w:rsid w:val="0085249D"/>
    <w:rsid w:val="00852C45"/>
    <w:rsid w:val="00853192"/>
    <w:rsid w:val="008561EF"/>
    <w:rsid w:val="00857C44"/>
    <w:rsid w:val="00861D12"/>
    <w:rsid w:val="00863976"/>
    <w:rsid w:val="0086560D"/>
    <w:rsid w:val="00865B57"/>
    <w:rsid w:val="00870567"/>
    <w:rsid w:val="00870824"/>
    <w:rsid w:val="00872C23"/>
    <w:rsid w:val="008740F9"/>
    <w:rsid w:val="0087597A"/>
    <w:rsid w:val="008763E4"/>
    <w:rsid w:val="00880EF6"/>
    <w:rsid w:val="00881878"/>
    <w:rsid w:val="0088329E"/>
    <w:rsid w:val="00884A8B"/>
    <w:rsid w:val="00885D66"/>
    <w:rsid w:val="00887B5B"/>
    <w:rsid w:val="00887D2F"/>
    <w:rsid w:val="008907B2"/>
    <w:rsid w:val="00890B8F"/>
    <w:rsid w:val="00891CE4"/>
    <w:rsid w:val="00894BA2"/>
    <w:rsid w:val="00895763"/>
    <w:rsid w:val="008A28DC"/>
    <w:rsid w:val="008A5E04"/>
    <w:rsid w:val="008A6594"/>
    <w:rsid w:val="008A6921"/>
    <w:rsid w:val="008A7D5D"/>
    <w:rsid w:val="008B00E7"/>
    <w:rsid w:val="008B094F"/>
    <w:rsid w:val="008B43A5"/>
    <w:rsid w:val="008B63FA"/>
    <w:rsid w:val="008B6429"/>
    <w:rsid w:val="008C2B3E"/>
    <w:rsid w:val="008C3213"/>
    <w:rsid w:val="008C65C8"/>
    <w:rsid w:val="008D0074"/>
    <w:rsid w:val="008D23D3"/>
    <w:rsid w:val="008D2811"/>
    <w:rsid w:val="008D3BCB"/>
    <w:rsid w:val="008E31B9"/>
    <w:rsid w:val="008E33DE"/>
    <w:rsid w:val="008E3636"/>
    <w:rsid w:val="008E4ABE"/>
    <w:rsid w:val="008E4D95"/>
    <w:rsid w:val="008F0CD2"/>
    <w:rsid w:val="008F28C0"/>
    <w:rsid w:val="008F343B"/>
    <w:rsid w:val="008F36E9"/>
    <w:rsid w:val="008F7874"/>
    <w:rsid w:val="008F7E4C"/>
    <w:rsid w:val="00900BC9"/>
    <w:rsid w:val="00901A4F"/>
    <w:rsid w:val="0091351B"/>
    <w:rsid w:val="00915FF3"/>
    <w:rsid w:val="00916CBE"/>
    <w:rsid w:val="00921E32"/>
    <w:rsid w:val="00923C24"/>
    <w:rsid w:val="00926503"/>
    <w:rsid w:val="00927D6E"/>
    <w:rsid w:val="00930EA9"/>
    <w:rsid w:val="00934693"/>
    <w:rsid w:val="00935F4A"/>
    <w:rsid w:val="00940B60"/>
    <w:rsid w:val="009430E6"/>
    <w:rsid w:val="009434A2"/>
    <w:rsid w:val="00945674"/>
    <w:rsid w:val="009507A3"/>
    <w:rsid w:val="009527B3"/>
    <w:rsid w:val="0095373F"/>
    <w:rsid w:val="00954537"/>
    <w:rsid w:val="00955BEB"/>
    <w:rsid w:val="00956C17"/>
    <w:rsid w:val="00961B32"/>
    <w:rsid w:val="009628DA"/>
    <w:rsid w:val="00962F7C"/>
    <w:rsid w:val="00964DAF"/>
    <w:rsid w:val="009665A9"/>
    <w:rsid w:val="00966CB8"/>
    <w:rsid w:val="0097017D"/>
    <w:rsid w:val="00970CBF"/>
    <w:rsid w:val="00972058"/>
    <w:rsid w:val="00973CED"/>
    <w:rsid w:val="00975570"/>
    <w:rsid w:val="00975614"/>
    <w:rsid w:val="00980477"/>
    <w:rsid w:val="0098138B"/>
    <w:rsid w:val="00982DC2"/>
    <w:rsid w:val="00984A7D"/>
    <w:rsid w:val="00984CB2"/>
    <w:rsid w:val="009874BB"/>
    <w:rsid w:val="00993C0F"/>
    <w:rsid w:val="009956A8"/>
    <w:rsid w:val="009A177C"/>
    <w:rsid w:val="009B0103"/>
    <w:rsid w:val="009B1042"/>
    <w:rsid w:val="009B1B88"/>
    <w:rsid w:val="009B26A9"/>
    <w:rsid w:val="009B2D95"/>
    <w:rsid w:val="009C001B"/>
    <w:rsid w:val="009C13CC"/>
    <w:rsid w:val="009C2867"/>
    <w:rsid w:val="009C2A43"/>
    <w:rsid w:val="009C58CE"/>
    <w:rsid w:val="009D1DBD"/>
    <w:rsid w:val="009D4048"/>
    <w:rsid w:val="009D40D0"/>
    <w:rsid w:val="009D5905"/>
    <w:rsid w:val="009D69A1"/>
    <w:rsid w:val="009D70DE"/>
    <w:rsid w:val="009E05E4"/>
    <w:rsid w:val="009E112D"/>
    <w:rsid w:val="009E41F0"/>
    <w:rsid w:val="009F0D58"/>
    <w:rsid w:val="009F2252"/>
    <w:rsid w:val="009F2EA3"/>
    <w:rsid w:val="009F3E52"/>
    <w:rsid w:val="009F72AE"/>
    <w:rsid w:val="009F7DE0"/>
    <w:rsid w:val="00A00570"/>
    <w:rsid w:val="00A14353"/>
    <w:rsid w:val="00A164A1"/>
    <w:rsid w:val="00A16E36"/>
    <w:rsid w:val="00A17300"/>
    <w:rsid w:val="00A179F9"/>
    <w:rsid w:val="00A217BE"/>
    <w:rsid w:val="00A21F1F"/>
    <w:rsid w:val="00A239E6"/>
    <w:rsid w:val="00A23D8A"/>
    <w:rsid w:val="00A23E0B"/>
    <w:rsid w:val="00A25A84"/>
    <w:rsid w:val="00A25F9B"/>
    <w:rsid w:val="00A26F8B"/>
    <w:rsid w:val="00A30F4A"/>
    <w:rsid w:val="00A31449"/>
    <w:rsid w:val="00A36C8C"/>
    <w:rsid w:val="00A40267"/>
    <w:rsid w:val="00A41E67"/>
    <w:rsid w:val="00A42620"/>
    <w:rsid w:val="00A4295C"/>
    <w:rsid w:val="00A42FA4"/>
    <w:rsid w:val="00A443F7"/>
    <w:rsid w:val="00A50377"/>
    <w:rsid w:val="00A51C96"/>
    <w:rsid w:val="00A52300"/>
    <w:rsid w:val="00A53E68"/>
    <w:rsid w:val="00A54E08"/>
    <w:rsid w:val="00A559EF"/>
    <w:rsid w:val="00A55EAB"/>
    <w:rsid w:val="00A5762E"/>
    <w:rsid w:val="00A6000F"/>
    <w:rsid w:val="00A61D9B"/>
    <w:rsid w:val="00A63D6B"/>
    <w:rsid w:val="00A64AB0"/>
    <w:rsid w:val="00A65C5A"/>
    <w:rsid w:val="00A708E5"/>
    <w:rsid w:val="00A708ED"/>
    <w:rsid w:val="00A7248A"/>
    <w:rsid w:val="00A73FCE"/>
    <w:rsid w:val="00A75DEB"/>
    <w:rsid w:val="00A765C4"/>
    <w:rsid w:val="00A80BC3"/>
    <w:rsid w:val="00A8230E"/>
    <w:rsid w:val="00A82E8C"/>
    <w:rsid w:val="00A8542D"/>
    <w:rsid w:val="00A8754B"/>
    <w:rsid w:val="00A92342"/>
    <w:rsid w:val="00A95A2F"/>
    <w:rsid w:val="00AA3732"/>
    <w:rsid w:val="00AA3A32"/>
    <w:rsid w:val="00AA61DA"/>
    <w:rsid w:val="00AA6478"/>
    <w:rsid w:val="00AB0041"/>
    <w:rsid w:val="00AB04E5"/>
    <w:rsid w:val="00AB170E"/>
    <w:rsid w:val="00AB1AA9"/>
    <w:rsid w:val="00AB29D0"/>
    <w:rsid w:val="00AB2F51"/>
    <w:rsid w:val="00AB350B"/>
    <w:rsid w:val="00AB416C"/>
    <w:rsid w:val="00AB596F"/>
    <w:rsid w:val="00AC04C3"/>
    <w:rsid w:val="00AC145B"/>
    <w:rsid w:val="00AC4C78"/>
    <w:rsid w:val="00AD22C0"/>
    <w:rsid w:val="00AD298B"/>
    <w:rsid w:val="00AD4B66"/>
    <w:rsid w:val="00AD4C7D"/>
    <w:rsid w:val="00AD5AC2"/>
    <w:rsid w:val="00AD645F"/>
    <w:rsid w:val="00AE2DFA"/>
    <w:rsid w:val="00AE47E1"/>
    <w:rsid w:val="00AE5565"/>
    <w:rsid w:val="00AE7059"/>
    <w:rsid w:val="00AF0810"/>
    <w:rsid w:val="00AF0BAF"/>
    <w:rsid w:val="00AF1120"/>
    <w:rsid w:val="00AF11A6"/>
    <w:rsid w:val="00AF142A"/>
    <w:rsid w:val="00AF268B"/>
    <w:rsid w:val="00AF2CF2"/>
    <w:rsid w:val="00AF42E7"/>
    <w:rsid w:val="00AF606C"/>
    <w:rsid w:val="00AF61D4"/>
    <w:rsid w:val="00AF7945"/>
    <w:rsid w:val="00B01A2B"/>
    <w:rsid w:val="00B02CCF"/>
    <w:rsid w:val="00B05615"/>
    <w:rsid w:val="00B05994"/>
    <w:rsid w:val="00B05C53"/>
    <w:rsid w:val="00B103DE"/>
    <w:rsid w:val="00B11677"/>
    <w:rsid w:val="00B1481C"/>
    <w:rsid w:val="00B21A83"/>
    <w:rsid w:val="00B2596F"/>
    <w:rsid w:val="00B27F81"/>
    <w:rsid w:val="00B32B11"/>
    <w:rsid w:val="00B3458F"/>
    <w:rsid w:val="00B35402"/>
    <w:rsid w:val="00B360D7"/>
    <w:rsid w:val="00B42584"/>
    <w:rsid w:val="00B42FE7"/>
    <w:rsid w:val="00B44F97"/>
    <w:rsid w:val="00B46B32"/>
    <w:rsid w:val="00B47A4D"/>
    <w:rsid w:val="00B508C6"/>
    <w:rsid w:val="00B52182"/>
    <w:rsid w:val="00B53809"/>
    <w:rsid w:val="00B56189"/>
    <w:rsid w:val="00B60F97"/>
    <w:rsid w:val="00B64D11"/>
    <w:rsid w:val="00B671E4"/>
    <w:rsid w:val="00B67AC5"/>
    <w:rsid w:val="00B701D2"/>
    <w:rsid w:val="00B7046A"/>
    <w:rsid w:val="00B739CD"/>
    <w:rsid w:val="00B741FA"/>
    <w:rsid w:val="00B74565"/>
    <w:rsid w:val="00B74A42"/>
    <w:rsid w:val="00B7692E"/>
    <w:rsid w:val="00B76D1A"/>
    <w:rsid w:val="00B774CB"/>
    <w:rsid w:val="00B81F83"/>
    <w:rsid w:val="00B84A56"/>
    <w:rsid w:val="00B84F1C"/>
    <w:rsid w:val="00B87CD9"/>
    <w:rsid w:val="00B926D9"/>
    <w:rsid w:val="00B94A6C"/>
    <w:rsid w:val="00B9577F"/>
    <w:rsid w:val="00B95D4D"/>
    <w:rsid w:val="00B97126"/>
    <w:rsid w:val="00BA043A"/>
    <w:rsid w:val="00BA0943"/>
    <w:rsid w:val="00BA0DE8"/>
    <w:rsid w:val="00BA1447"/>
    <w:rsid w:val="00BA7BBE"/>
    <w:rsid w:val="00BB0BC4"/>
    <w:rsid w:val="00BB4431"/>
    <w:rsid w:val="00BB61A7"/>
    <w:rsid w:val="00BB7716"/>
    <w:rsid w:val="00BC3415"/>
    <w:rsid w:val="00BC349A"/>
    <w:rsid w:val="00BC56DD"/>
    <w:rsid w:val="00BC677F"/>
    <w:rsid w:val="00BD26F0"/>
    <w:rsid w:val="00BD28F2"/>
    <w:rsid w:val="00BD5673"/>
    <w:rsid w:val="00BD588D"/>
    <w:rsid w:val="00BD695F"/>
    <w:rsid w:val="00BD74DA"/>
    <w:rsid w:val="00BE211D"/>
    <w:rsid w:val="00BE2AA0"/>
    <w:rsid w:val="00BE3935"/>
    <w:rsid w:val="00BE4880"/>
    <w:rsid w:val="00BE6367"/>
    <w:rsid w:val="00BE63D3"/>
    <w:rsid w:val="00BF1E02"/>
    <w:rsid w:val="00BF2133"/>
    <w:rsid w:val="00BF3762"/>
    <w:rsid w:val="00BF5E25"/>
    <w:rsid w:val="00BF7B52"/>
    <w:rsid w:val="00BF7C60"/>
    <w:rsid w:val="00C00AA3"/>
    <w:rsid w:val="00C038B5"/>
    <w:rsid w:val="00C057B7"/>
    <w:rsid w:val="00C10018"/>
    <w:rsid w:val="00C11675"/>
    <w:rsid w:val="00C11ED9"/>
    <w:rsid w:val="00C12264"/>
    <w:rsid w:val="00C1471C"/>
    <w:rsid w:val="00C205FA"/>
    <w:rsid w:val="00C245C2"/>
    <w:rsid w:val="00C24C4E"/>
    <w:rsid w:val="00C25DAB"/>
    <w:rsid w:val="00C26A14"/>
    <w:rsid w:val="00C31017"/>
    <w:rsid w:val="00C32D28"/>
    <w:rsid w:val="00C3384E"/>
    <w:rsid w:val="00C35043"/>
    <w:rsid w:val="00C36B8C"/>
    <w:rsid w:val="00C43765"/>
    <w:rsid w:val="00C44519"/>
    <w:rsid w:val="00C44FE4"/>
    <w:rsid w:val="00C46337"/>
    <w:rsid w:val="00C4668D"/>
    <w:rsid w:val="00C46DD9"/>
    <w:rsid w:val="00C51545"/>
    <w:rsid w:val="00C51D39"/>
    <w:rsid w:val="00C51D60"/>
    <w:rsid w:val="00C5442A"/>
    <w:rsid w:val="00C5479E"/>
    <w:rsid w:val="00C573AC"/>
    <w:rsid w:val="00C609A3"/>
    <w:rsid w:val="00C612DA"/>
    <w:rsid w:val="00C6168F"/>
    <w:rsid w:val="00C6178F"/>
    <w:rsid w:val="00C61931"/>
    <w:rsid w:val="00C619BB"/>
    <w:rsid w:val="00C61BE0"/>
    <w:rsid w:val="00C64B59"/>
    <w:rsid w:val="00C65617"/>
    <w:rsid w:val="00C71503"/>
    <w:rsid w:val="00C71EFB"/>
    <w:rsid w:val="00C74EA5"/>
    <w:rsid w:val="00C7549F"/>
    <w:rsid w:val="00C762F7"/>
    <w:rsid w:val="00C80561"/>
    <w:rsid w:val="00C81817"/>
    <w:rsid w:val="00C82175"/>
    <w:rsid w:val="00C846EC"/>
    <w:rsid w:val="00C8499C"/>
    <w:rsid w:val="00C84FE9"/>
    <w:rsid w:val="00C91232"/>
    <w:rsid w:val="00CA041E"/>
    <w:rsid w:val="00CA1E3B"/>
    <w:rsid w:val="00CA2D36"/>
    <w:rsid w:val="00CA3409"/>
    <w:rsid w:val="00CB00FC"/>
    <w:rsid w:val="00CB52EC"/>
    <w:rsid w:val="00CB5AFB"/>
    <w:rsid w:val="00CC3C39"/>
    <w:rsid w:val="00CC54B7"/>
    <w:rsid w:val="00CD0F5E"/>
    <w:rsid w:val="00CD278A"/>
    <w:rsid w:val="00CD2CF8"/>
    <w:rsid w:val="00CD40FD"/>
    <w:rsid w:val="00CD47C9"/>
    <w:rsid w:val="00CE132F"/>
    <w:rsid w:val="00CE28A8"/>
    <w:rsid w:val="00CE2C5E"/>
    <w:rsid w:val="00CE3E6C"/>
    <w:rsid w:val="00CE701B"/>
    <w:rsid w:val="00CE72CC"/>
    <w:rsid w:val="00CF0BD0"/>
    <w:rsid w:val="00CF16CB"/>
    <w:rsid w:val="00CF21CA"/>
    <w:rsid w:val="00CF229C"/>
    <w:rsid w:val="00CF2B44"/>
    <w:rsid w:val="00CF2D9B"/>
    <w:rsid w:val="00CF326A"/>
    <w:rsid w:val="00CF3C48"/>
    <w:rsid w:val="00CF3C75"/>
    <w:rsid w:val="00CF43E9"/>
    <w:rsid w:val="00CF5FA3"/>
    <w:rsid w:val="00CF7A2C"/>
    <w:rsid w:val="00D051D7"/>
    <w:rsid w:val="00D07028"/>
    <w:rsid w:val="00D112A1"/>
    <w:rsid w:val="00D112F5"/>
    <w:rsid w:val="00D16DBA"/>
    <w:rsid w:val="00D17C53"/>
    <w:rsid w:val="00D20B27"/>
    <w:rsid w:val="00D23D5E"/>
    <w:rsid w:val="00D25A18"/>
    <w:rsid w:val="00D25EFE"/>
    <w:rsid w:val="00D26560"/>
    <w:rsid w:val="00D27C66"/>
    <w:rsid w:val="00D3171C"/>
    <w:rsid w:val="00D33117"/>
    <w:rsid w:val="00D3401F"/>
    <w:rsid w:val="00D34DEB"/>
    <w:rsid w:val="00D36A7D"/>
    <w:rsid w:val="00D36CAE"/>
    <w:rsid w:val="00D37A74"/>
    <w:rsid w:val="00D37BE6"/>
    <w:rsid w:val="00D37FC0"/>
    <w:rsid w:val="00D4422B"/>
    <w:rsid w:val="00D467E4"/>
    <w:rsid w:val="00D47AB3"/>
    <w:rsid w:val="00D51516"/>
    <w:rsid w:val="00D527AA"/>
    <w:rsid w:val="00D52881"/>
    <w:rsid w:val="00D531CA"/>
    <w:rsid w:val="00D5564A"/>
    <w:rsid w:val="00D55996"/>
    <w:rsid w:val="00D634DF"/>
    <w:rsid w:val="00D63687"/>
    <w:rsid w:val="00D63AF8"/>
    <w:rsid w:val="00D64F63"/>
    <w:rsid w:val="00D66DA8"/>
    <w:rsid w:val="00D77B91"/>
    <w:rsid w:val="00D80A54"/>
    <w:rsid w:val="00D80CFE"/>
    <w:rsid w:val="00D814CF"/>
    <w:rsid w:val="00D81591"/>
    <w:rsid w:val="00D90759"/>
    <w:rsid w:val="00D927BB"/>
    <w:rsid w:val="00D9756C"/>
    <w:rsid w:val="00DA00B0"/>
    <w:rsid w:val="00DA06A2"/>
    <w:rsid w:val="00DA0E46"/>
    <w:rsid w:val="00DA2BDA"/>
    <w:rsid w:val="00DA304A"/>
    <w:rsid w:val="00DA4658"/>
    <w:rsid w:val="00DA48B7"/>
    <w:rsid w:val="00DA7E9A"/>
    <w:rsid w:val="00DB18D3"/>
    <w:rsid w:val="00DB1932"/>
    <w:rsid w:val="00DB1F8B"/>
    <w:rsid w:val="00DB363D"/>
    <w:rsid w:val="00DB748F"/>
    <w:rsid w:val="00DC31BF"/>
    <w:rsid w:val="00DC3A48"/>
    <w:rsid w:val="00DD0F47"/>
    <w:rsid w:val="00DD114B"/>
    <w:rsid w:val="00DD2416"/>
    <w:rsid w:val="00DD3324"/>
    <w:rsid w:val="00DE1A75"/>
    <w:rsid w:val="00DE1F2D"/>
    <w:rsid w:val="00DE46F6"/>
    <w:rsid w:val="00DE4BBB"/>
    <w:rsid w:val="00DE4CFF"/>
    <w:rsid w:val="00DE622C"/>
    <w:rsid w:val="00DE75CA"/>
    <w:rsid w:val="00DF07DA"/>
    <w:rsid w:val="00DF1527"/>
    <w:rsid w:val="00DF2343"/>
    <w:rsid w:val="00DF5EE4"/>
    <w:rsid w:val="00DF6602"/>
    <w:rsid w:val="00E00C33"/>
    <w:rsid w:val="00E01809"/>
    <w:rsid w:val="00E043BC"/>
    <w:rsid w:val="00E060F1"/>
    <w:rsid w:val="00E0680A"/>
    <w:rsid w:val="00E07A06"/>
    <w:rsid w:val="00E07B52"/>
    <w:rsid w:val="00E10A4B"/>
    <w:rsid w:val="00E1115E"/>
    <w:rsid w:val="00E13393"/>
    <w:rsid w:val="00E13DDA"/>
    <w:rsid w:val="00E146E4"/>
    <w:rsid w:val="00E14D03"/>
    <w:rsid w:val="00E16D11"/>
    <w:rsid w:val="00E1791D"/>
    <w:rsid w:val="00E23864"/>
    <w:rsid w:val="00E2396A"/>
    <w:rsid w:val="00E23E06"/>
    <w:rsid w:val="00E35E52"/>
    <w:rsid w:val="00E368CE"/>
    <w:rsid w:val="00E36DE9"/>
    <w:rsid w:val="00E42E55"/>
    <w:rsid w:val="00E46D4E"/>
    <w:rsid w:val="00E5394B"/>
    <w:rsid w:val="00E558C7"/>
    <w:rsid w:val="00E5642E"/>
    <w:rsid w:val="00E62801"/>
    <w:rsid w:val="00E720E4"/>
    <w:rsid w:val="00E77083"/>
    <w:rsid w:val="00E77889"/>
    <w:rsid w:val="00E80068"/>
    <w:rsid w:val="00E84326"/>
    <w:rsid w:val="00E86654"/>
    <w:rsid w:val="00E9412E"/>
    <w:rsid w:val="00E9760B"/>
    <w:rsid w:val="00EA1D31"/>
    <w:rsid w:val="00EA35EE"/>
    <w:rsid w:val="00EA544E"/>
    <w:rsid w:val="00EB4045"/>
    <w:rsid w:val="00EB5337"/>
    <w:rsid w:val="00EC0D69"/>
    <w:rsid w:val="00EC19B2"/>
    <w:rsid w:val="00ED20D4"/>
    <w:rsid w:val="00ED2F03"/>
    <w:rsid w:val="00ED3F12"/>
    <w:rsid w:val="00ED4BBC"/>
    <w:rsid w:val="00ED5018"/>
    <w:rsid w:val="00EE024A"/>
    <w:rsid w:val="00EE04DF"/>
    <w:rsid w:val="00EE2793"/>
    <w:rsid w:val="00EE2F67"/>
    <w:rsid w:val="00EE3DC6"/>
    <w:rsid w:val="00EE4375"/>
    <w:rsid w:val="00EE48D8"/>
    <w:rsid w:val="00EE4913"/>
    <w:rsid w:val="00EF0066"/>
    <w:rsid w:val="00EF089F"/>
    <w:rsid w:val="00EF095D"/>
    <w:rsid w:val="00EF2B01"/>
    <w:rsid w:val="00EF2B03"/>
    <w:rsid w:val="00EF678F"/>
    <w:rsid w:val="00F02737"/>
    <w:rsid w:val="00F039F3"/>
    <w:rsid w:val="00F04121"/>
    <w:rsid w:val="00F0538B"/>
    <w:rsid w:val="00F07F8D"/>
    <w:rsid w:val="00F1003D"/>
    <w:rsid w:val="00F12497"/>
    <w:rsid w:val="00F13A5D"/>
    <w:rsid w:val="00F17024"/>
    <w:rsid w:val="00F3056C"/>
    <w:rsid w:val="00F318AE"/>
    <w:rsid w:val="00F324CE"/>
    <w:rsid w:val="00F327DB"/>
    <w:rsid w:val="00F32E08"/>
    <w:rsid w:val="00F364AF"/>
    <w:rsid w:val="00F370A8"/>
    <w:rsid w:val="00F37F7E"/>
    <w:rsid w:val="00F42C6F"/>
    <w:rsid w:val="00F45DAE"/>
    <w:rsid w:val="00F53BDD"/>
    <w:rsid w:val="00F57847"/>
    <w:rsid w:val="00F6068F"/>
    <w:rsid w:val="00F60A2C"/>
    <w:rsid w:val="00F621AA"/>
    <w:rsid w:val="00F62952"/>
    <w:rsid w:val="00F63103"/>
    <w:rsid w:val="00F64E9A"/>
    <w:rsid w:val="00F65C5D"/>
    <w:rsid w:val="00F728A2"/>
    <w:rsid w:val="00F731E5"/>
    <w:rsid w:val="00F768AC"/>
    <w:rsid w:val="00F76DCD"/>
    <w:rsid w:val="00F80460"/>
    <w:rsid w:val="00F83055"/>
    <w:rsid w:val="00F8405A"/>
    <w:rsid w:val="00F91DBE"/>
    <w:rsid w:val="00F93E87"/>
    <w:rsid w:val="00F942BF"/>
    <w:rsid w:val="00F94C6A"/>
    <w:rsid w:val="00FA18A5"/>
    <w:rsid w:val="00FA4012"/>
    <w:rsid w:val="00FA4595"/>
    <w:rsid w:val="00FA5A46"/>
    <w:rsid w:val="00FB0955"/>
    <w:rsid w:val="00FB273F"/>
    <w:rsid w:val="00FB5D10"/>
    <w:rsid w:val="00FB7995"/>
    <w:rsid w:val="00FC11EF"/>
    <w:rsid w:val="00FC42C0"/>
    <w:rsid w:val="00FC4A81"/>
    <w:rsid w:val="00FC4F13"/>
    <w:rsid w:val="00FD17A0"/>
    <w:rsid w:val="00FD1A64"/>
    <w:rsid w:val="00FD3450"/>
    <w:rsid w:val="00FD41CD"/>
    <w:rsid w:val="00FD48BC"/>
    <w:rsid w:val="00FD4A7A"/>
    <w:rsid w:val="00FE086E"/>
    <w:rsid w:val="00FE09A0"/>
    <w:rsid w:val="00FE1B60"/>
    <w:rsid w:val="00FE22EE"/>
    <w:rsid w:val="00FE2A89"/>
    <w:rsid w:val="00FE2C4C"/>
    <w:rsid w:val="00FE2E62"/>
    <w:rsid w:val="00FE2E9B"/>
    <w:rsid w:val="00FE3353"/>
    <w:rsid w:val="00FE4CE7"/>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4097"/>
    <o:shapelayout v:ext="edit">
      <o:idmap v:ext="edit" data="1"/>
    </o:shapelayout>
  </w:shapeDefaults>
  <w:decimalSymbol w:val=","/>
  <w:listSeparator w:val=";"/>
  <w14:docId w14:val="300EAC44"/>
  <w15:docId w15:val="{FC076BEF-1E8B-48CF-A9DD-D194EBA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 w:type="paragraph" w:styleId="Bezatstarpm">
    <w:name w:val="No Spacing"/>
    <w:uiPriority w:val="1"/>
    <w:qFormat/>
    <w:rsid w:val="00582D3C"/>
    <w:rPr>
      <w:rFonts w:ascii="Calibri" w:eastAsia="Calibri" w:hAnsi="Calibri"/>
      <w:sz w:val="22"/>
      <w:szCs w:val="22"/>
      <w:lang w:eastAsia="en-US"/>
    </w:rPr>
  </w:style>
  <w:style w:type="character" w:styleId="Izclums">
    <w:name w:val="Emphasis"/>
    <w:uiPriority w:val="20"/>
    <w:qFormat/>
    <w:rsid w:val="00582D3C"/>
    <w:rPr>
      <w:rFonts w:cs="Times New Roman"/>
      <w:i/>
      <w:iCs/>
    </w:rPr>
  </w:style>
  <w:style w:type="paragraph" w:customStyle="1" w:styleId="dash1">
    <w:name w:val="dash 1"/>
    <w:basedOn w:val="Parasts"/>
    <w:rsid w:val="005F75E5"/>
    <w:pPr>
      <w:numPr>
        <w:numId w:val="6"/>
      </w:numPr>
      <w:suppressAutoHyphens/>
      <w:autoSpaceDN w:val="0"/>
      <w:textAlignment w:val="baseline"/>
    </w:pPr>
    <w:rPr>
      <w:rFonts w:eastAsia="Calibri"/>
    </w:rPr>
  </w:style>
  <w:style w:type="numbering" w:customStyle="1" w:styleId="LFO1">
    <w:name w:val="LFO1"/>
    <w:basedOn w:val="Bezsaraksta"/>
    <w:rsid w:val="005F75E5"/>
    <w:pPr>
      <w:numPr>
        <w:numId w:val="6"/>
      </w:numPr>
    </w:pPr>
  </w:style>
  <w:style w:type="paragraph" w:styleId="Vienkrsteksts">
    <w:name w:val="Plain Text"/>
    <w:basedOn w:val="Parasts"/>
    <w:link w:val="VienkrstekstsRakstz"/>
    <w:rsid w:val="00EA35EE"/>
    <w:pPr>
      <w:suppressAutoHyphens/>
      <w:autoSpaceDN w:val="0"/>
      <w:textAlignment w:val="baseline"/>
    </w:pPr>
    <w:rPr>
      <w:rFonts w:eastAsia="Calibri" w:cs="Consolas"/>
      <w:szCs w:val="21"/>
      <w:lang w:eastAsia="en-US"/>
    </w:rPr>
  </w:style>
  <w:style w:type="character" w:customStyle="1" w:styleId="VienkrstekstsRakstz">
    <w:name w:val="Vienkāršs teksts Rakstz."/>
    <w:basedOn w:val="Noklusjumarindkopasfonts"/>
    <w:link w:val="Vienkrsteksts"/>
    <w:rsid w:val="00EA35EE"/>
    <w:rPr>
      <w:rFonts w:eastAsia="Calibri" w:cs="Consolas"/>
      <w:sz w:val="24"/>
      <w:szCs w:val="21"/>
      <w:lang w:eastAsia="en-US"/>
    </w:rPr>
  </w:style>
  <w:style w:type="paragraph" w:customStyle="1" w:styleId="tv2131">
    <w:name w:val="tv2131"/>
    <w:basedOn w:val="Parasts"/>
    <w:rsid w:val="00F728A2"/>
    <w:pPr>
      <w:spacing w:line="360" w:lineRule="auto"/>
      <w:ind w:firstLine="300"/>
    </w:pPr>
    <w:rPr>
      <w:color w:val="414142"/>
      <w:sz w:val="20"/>
      <w:szCs w:val="20"/>
    </w:rPr>
  </w:style>
  <w:style w:type="character" w:styleId="Izmantotahipersaite">
    <w:name w:val="FollowedHyperlink"/>
    <w:basedOn w:val="Noklusjumarindkopasfonts"/>
    <w:semiHidden/>
    <w:unhideWhenUsed/>
    <w:rsid w:val="00DA2BDA"/>
    <w:rPr>
      <w:color w:val="800080" w:themeColor="followedHyperlink"/>
      <w:u w:val="single"/>
    </w:rPr>
  </w:style>
  <w:style w:type="paragraph" w:customStyle="1" w:styleId="Default">
    <w:name w:val="Default"/>
    <w:uiPriority w:val="99"/>
    <w:rsid w:val="009C2A43"/>
    <w:pPr>
      <w:autoSpaceDE w:val="0"/>
      <w:autoSpaceDN w:val="0"/>
      <w:adjustRightInd w:val="0"/>
    </w:pPr>
    <w:rPr>
      <w:rFonts w:eastAsia="Calibri"/>
      <w:color w:val="000000"/>
      <w:sz w:val="24"/>
      <w:szCs w:val="24"/>
    </w:rPr>
  </w:style>
  <w:style w:type="paragraph" w:styleId="Pamatteksts2">
    <w:name w:val="Body Text 2"/>
    <w:basedOn w:val="Parasts"/>
    <w:link w:val="Pamatteksts2Rakstz"/>
    <w:rsid w:val="00A443F7"/>
    <w:pPr>
      <w:spacing w:after="120" w:line="480" w:lineRule="auto"/>
    </w:pPr>
    <w:rPr>
      <w:lang w:eastAsia="en-US"/>
    </w:rPr>
  </w:style>
  <w:style w:type="character" w:customStyle="1" w:styleId="Pamatteksts2Rakstz">
    <w:name w:val="Pamatteksts 2 Rakstz."/>
    <w:basedOn w:val="Noklusjumarindkopasfonts"/>
    <w:link w:val="Pamatteksts2"/>
    <w:rsid w:val="00A443F7"/>
    <w:rPr>
      <w:sz w:val="24"/>
      <w:szCs w:val="24"/>
      <w:lang w:eastAsia="en-US"/>
    </w:rPr>
  </w:style>
  <w:style w:type="character" w:styleId="Izteiksmgs">
    <w:name w:val="Strong"/>
    <w:uiPriority w:val="22"/>
    <w:qFormat/>
    <w:rsid w:val="008B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7712">
      <w:bodyDiv w:val="1"/>
      <w:marLeft w:val="0"/>
      <w:marRight w:val="0"/>
      <w:marTop w:val="0"/>
      <w:marBottom w:val="0"/>
      <w:divBdr>
        <w:top w:val="none" w:sz="0" w:space="0" w:color="auto"/>
        <w:left w:val="none" w:sz="0" w:space="0" w:color="auto"/>
        <w:bottom w:val="none" w:sz="0" w:space="0" w:color="auto"/>
        <w:right w:val="none" w:sz="0" w:space="0" w:color="auto"/>
      </w:divBdr>
    </w:div>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 w:id="1465929100">
      <w:bodyDiv w:val="1"/>
      <w:marLeft w:val="0"/>
      <w:marRight w:val="0"/>
      <w:marTop w:val="0"/>
      <w:marBottom w:val="0"/>
      <w:divBdr>
        <w:top w:val="none" w:sz="0" w:space="0" w:color="auto"/>
        <w:left w:val="none" w:sz="0" w:space="0" w:color="auto"/>
        <w:bottom w:val="none" w:sz="0" w:space="0" w:color="auto"/>
        <w:right w:val="none" w:sz="0" w:space="0" w:color="auto"/>
      </w:divBdr>
    </w:div>
    <w:div w:id="1835101566">
      <w:bodyDiv w:val="1"/>
      <w:marLeft w:val="0"/>
      <w:marRight w:val="0"/>
      <w:marTop w:val="0"/>
      <w:marBottom w:val="0"/>
      <w:divBdr>
        <w:top w:val="none" w:sz="0" w:space="0" w:color="auto"/>
        <w:left w:val="none" w:sz="0" w:space="0" w:color="auto"/>
        <w:bottom w:val="none" w:sz="0" w:space="0" w:color="auto"/>
        <w:right w:val="none" w:sz="0" w:space="0" w:color="auto"/>
      </w:divBdr>
      <w:divsChild>
        <w:div w:id="463818587">
          <w:marLeft w:val="0"/>
          <w:marRight w:val="0"/>
          <w:marTop w:val="0"/>
          <w:marBottom w:val="0"/>
          <w:divBdr>
            <w:top w:val="none" w:sz="0" w:space="0" w:color="auto"/>
            <w:left w:val="none" w:sz="0" w:space="0" w:color="auto"/>
            <w:bottom w:val="none" w:sz="0" w:space="0" w:color="auto"/>
            <w:right w:val="none" w:sz="0" w:space="0" w:color="auto"/>
          </w:divBdr>
          <w:divsChild>
            <w:div w:id="296765996">
              <w:marLeft w:val="0"/>
              <w:marRight w:val="0"/>
              <w:marTop w:val="0"/>
              <w:marBottom w:val="0"/>
              <w:divBdr>
                <w:top w:val="none" w:sz="0" w:space="0" w:color="auto"/>
                <w:left w:val="none" w:sz="0" w:space="0" w:color="auto"/>
                <w:bottom w:val="none" w:sz="0" w:space="0" w:color="auto"/>
                <w:right w:val="none" w:sz="0" w:space="0" w:color="auto"/>
              </w:divBdr>
              <w:divsChild>
                <w:div w:id="1654944166">
                  <w:marLeft w:val="0"/>
                  <w:marRight w:val="0"/>
                  <w:marTop w:val="0"/>
                  <w:marBottom w:val="0"/>
                  <w:divBdr>
                    <w:top w:val="none" w:sz="0" w:space="0" w:color="auto"/>
                    <w:left w:val="none" w:sz="0" w:space="0" w:color="auto"/>
                    <w:bottom w:val="none" w:sz="0" w:space="0" w:color="auto"/>
                    <w:right w:val="none" w:sz="0" w:space="0" w:color="auto"/>
                  </w:divBdr>
                  <w:divsChild>
                    <w:div w:id="110056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4667" TargetMode="External"/><Relationship Id="rId13" Type="http://schemas.openxmlformats.org/officeDocument/2006/relationships/hyperlink" Target="http://eur-lex.europa.eu/LexUriServ/LexUriServ.do?uri=CONSLEG:2002R1774:20090807:LV: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CONSLEG:2009R1069:20101109:LV: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2R1774:20090807:LV:HTML" TargetMode="External"/><Relationship Id="rId5" Type="http://schemas.openxmlformats.org/officeDocument/2006/relationships/webSettings" Target="webSettings.xml"/><Relationship Id="rId15" Type="http://schemas.openxmlformats.org/officeDocument/2006/relationships/hyperlink" Target="http://www.zm.gov.lv" TargetMode="External"/><Relationship Id="rId10" Type="http://schemas.openxmlformats.org/officeDocument/2006/relationships/hyperlink" Target="http://eur-lex.europa.eu/LexUriServ/LexUriServ.do?uri=CONSLEG:2009R1069:20101109:LV: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246783-prasibas-tadu-dzivnieku-izcelsmes-blakusproduktu-un-atvasinatu-produktu-apritei-kas-nav-paredzeti-cilveku-paterinam" TargetMode="External"/><Relationship Id="rId14" Type="http://schemas.openxmlformats.org/officeDocument/2006/relationships/hyperlink" Target="http://eur-lex.europa.eu/LexUriServ/LexUriServ.do?uri=CONSLEG:2009R1069:20101109:LV: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0122-9A8D-4F93-87F5-862C37B6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15868</Words>
  <Characters>9045</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15.jūlija noteikumos Nr.393 „Lauksaimniecības un akvakultūras dzīvnieku, to ganāmpulku un novietņu reģistrēšanas kārtība, kā arī lauksaimniecības dzīvnieku apzīmēšanas kārtība””</vt:lpstr>
      <vt:lpstr>Slaucamo govju un slaucamo kazu pārraudzības kārtība</vt:lpstr>
    </vt:vector>
  </TitlesOfParts>
  <Company>Zemkopības ministrija</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ZManot_150517_HNS</dc:title>
  <dc:subject>Anotācija</dc:subject>
  <dc:creator>Sigita Rubene</dc:creator>
  <dc:description>Sigita.Rubene@zm.gov.lv; 67027064</dc:description>
  <cp:lastModifiedBy>Sanita Žagare</cp:lastModifiedBy>
  <cp:revision>53</cp:revision>
  <cp:lastPrinted>2017-03-16T13:14:00Z</cp:lastPrinted>
  <dcterms:created xsi:type="dcterms:W3CDTF">2017-05-09T07:54:00Z</dcterms:created>
  <dcterms:modified xsi:type="dcterms:W3CDTF">2017-05-16T07:18:00Z</dcterms:modified>
</cp:coreProperties>
</file>