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94" w:rsidRDefault="004C5C94" w:rsidP="004C5C94">
      <w:pPr>
        <w:spacing w:line="276" w:lineRule="auto"/>
        <w:jc w:val="right"/>
        <w:rPr>
          <w:rFonts w:ascii="Times New Roman" w:hAnsi="Times New Roman"/>
          <w:b/>
          <w:sz w:val="24"/>
          <w:szCs w:val="24"/>
        </w:rPr>
      </w:pPr>
      <w:r>
        <w:rPr>
          <w:rFonts w:ascii="Times New Roman" w:hAnsi="Times New Roman"/>
          <w:b/>
          <w:sz w:val="24"/>
          <w:szCs w:val="24"/>
        </w:rPr>
        <w:t>Projekts</w:t>
      </w:r>
    </w:p>
    <w:p w:rsidR="00801BE7" w:rsidRPr="00801BE7" w:rsidRDefault="00801BE7" w:rsidP="00801BE7">
      <w:pPr>
        <w:spacing w:line="276" w:lineRule="auto"/>
        <w:jc w:val="center"/>
        <w:rPr>
          <w:rFonts w:ascii="Times New Roman" w:hAnsi="Times New Roman"/>
          <w:b/>
          <w:sz w:val="24"/>
          <w:szCs w:val="24"/>
        </w:rPr>
      </w:pPr>
      <w:r w:rsidRPr="00801BE7">
        <w:rPr>
          <w:rFonts w:ascii="Times New Roman" w:hAnsi="Times New Roman"/>
          <w:b/>
          <w:sz w:val="24"/>
          <w:szCs w:val="24"/>
        </w:rPr>
        <w:t>Informatīvais ziņojums</w:t>
      </w:r>
    </w:p>
    <w:p w:rsidR="00D61A9D" w:rsidRPr="00801BE7" w:rsidRDefault="00801BE7" w:rsidP="00801BE7">
      <w:pPr>
        <w:spacing w:line="276" w:lineRule="auto"/>
        <w:jc w:val="center"/>
        <w:rPr>
          <w:rFonts w:ascii="Times New Roman" w:hAnsi="Times New Roman"/>
          <w:b/>
          <w:sz w:val="24"/>
          <w:szCs w:val="24"/>
        </w:rPr>
      </w:pPr>
      <w:r w:rsidRPr="00801BE7">
        <w:rPr>
          <w:rFonts w:ascii="Times New Roman" w:hAnsi="Times New Roman"/>
          <w:b/>
          <w:sz w:val="24"/>
          <w:szCs w:val="24"/>
        </w:rPr>
        <w:t>“Efektīvas kapitāla atdeves mērķu noteikšana valsts kapitālsabiedrībās”</w:t>
      </w:r>
    </w:p>
    <w:p w:rsidR="005666F5" w:rsidRPr="00581FEF" w:rsidRDefault="005666F5" w:rsidP="00581FEF">
      <w:pPr>
        <w:spacing w:line="276" w:lineRule="auto"/>
        <w:rPr>
          <w:rFonts w:ascii="Times New Roman" w:hAnsi="Times New Roman"/>
          <w:sz w:val="24"/>
          <w:szCs w:val="24"/>
        </w:rPr>
      </w:pPr>
      <w:bookmarkStart w:id="0" w:name="_GoBack"/>
      <w:bookmarkEnd w:id="0"/>
    </w:p>
    <w:p w:rsidR="005666F5" w:rsidRPr="00581FEF" w:rsidRDefault="005666F5" w:rsidP="00581FEF">
      <w:pPr>
        <w:spacing w:line="276" w:lineRule="auto"/>
        <w:rPr>
          <w:rFonts w:ascii="Times New Roman" w:hAnsi="Times New Roman"/>
          <w:sz w:val="24"/>
          <w:szCs w:val="24"/>
        </w:rPr>
      </w:pPr>
    </w:p>
    <w:p w:rsidR="00A66B1F" w:rsidRDefault="00F246E9" w:rsidP="00F246E9">
      <w:pPr>
        <w:spacing w:line="276" w:lineRule="auto"/>
        <w:ind w:firstLine="720"/>
        <w:jc w:val="both"/>
        <w:rPr>
          <w:rFonts w:ascii="Times New Roman" w:hAnsi="Times New Roman"/>
          <w:bCs/>
          <w:sz w:val="24"/>
          <w:szCs w:val="24"/>
        </w:rPr>
      </w:pPr>
      <w:r>
        <w:rPr>
          <w:rFonts w:ascii="Times New Roman" w:hAnsi="Times New Roman"/>
          <w:bCs/>
          <w:sz w:val="24"/>
          <w:szCs w:val="24"/>
        </w:rPr>
        <w:t>Pārresoru koordinācijas centrs (turpmāk – PKC) ir</w:t>
      </w:r>
      <w:proofErr w:type="gramStart"/>
      <w:r>
        <w:rPr>
          <w:rFonts w:ascii="Times New Roman" w:hAnsi="Times New Roman"/>
          <w:bCs/>
          <w:sz w:val="24"/>
          <w:szCs w:val="24"/>
        </w:rPr>
        <w:t xml:space="preserve"> izstrādājis informatīvo ziņojumu</w:t>
      </w:r>
      <w:proofErr w:type="gramEnd"/>
      <w:r>
        <w:rPr>
          <w:rFonts w:ascii="Times New Roman" w:hAnsi="Times New Roman"/>
          <w:bCs/>
          <w:sz w:val="24"/>
          <w:szCs w:val="24"/>
        </w:rPr>
        <w:t xml:space="preserve"> par to, kādu metodiku PKC iesaka un izmantos efektīvas kapitāla atdeves noteikšanai valsts kapitālsabiedrīb</w:t>
      </w:r>
      <w:r w:rsidR="004E7657">
        <w:rPr>
          <w:rFonts w:ascii="Times New Roman" w:hAnsi="Times New Roman"/>
          <w:bCs/>
          <w:sz w:val="24"/>
          <w:szCs w:val="24"/>
        </w:rPr>
        <w:t>ās</w:t>
      </w:r>
      <w:r>
        <w:rPr>
          <w:rFonts w:ascii="Times New Roman" w:hAnsi="Times New Roman"/>
          <w:bCs/>
          <w:sz w:val="24"/>
          <w:szCs w:val="24"/>
        </w:rPr>
        <w:t xml:space="preserve">. </w:t>
      </w:r>
      <w:r w:rsidR="00A66B1F">
        <w:rPr>
          <w:rFonts w:ascii="Times New Roman" w:hAnsi="Times New Roman"/>
          <w:bCs/>
          <w:sz w:val="24"/>
          <w:szCs w:val="24"/>
        </w:rPr>
        <w:t>Tiekšanās uz augstāku k</w:t>
      </w:r>
      <w:r w:rsidR="00CA22E4">
        <w:rPr>
          <w:rFonts w:ascii="Times New Roman" w:hAnsi="Times New Roman"/>
          <w:bCs/>
          <w:sz w:val="24"/>
          <w:szCs w:val="24"/>
        </w:rPr>
        <w:t>apitāla atdev</w:t>
      </w:r>
      <w:r w:rsidR="00A66B1F">
        <w:rPr>
          <w:rFonts w:ascii="Times New Roman" w:hAnsi="Times New Roman"/>
          <w:bCs/>
          <w:sz w:val="24"/>
          <w:szCs w:val="24"/>
        </w:rPr>
        <w:t>i</w:t>
      </w:r>
      <w:r w:rsidR="00CA22E4">
        <w:rPr>
          <w:rFonts w:ascii="Times New Roman" w:hAnsi="Times New Roman"/>
          <w:bCs/>
          <w:sz w:val="24"/>
          <w:szCs w:val="24"/>
        </w:rPr>
        <w:t xml:space="preserve"> </w:t>
      </w:r>
      <w:r w:rsidR="00A66B1F">
        <w:rPr>
          <w:rFonts w:ascii="Times New Roman" w:hAnsi="Times New Roman"/>
          <w:bCs/>
          <w:sz w:val="24"/>
          <w:szCs w:val="24"/>
        </w:rPr>
        <w:t>ir valdības rīcības plānā definētais darbības rezultāts attiecībā uz valsts kapitālsabiedrībām.</w:t>
      </w:r>
    </w:p>
    <w:p w:rsidR="00A66B1F" w:rsidRDefault="00A66B1F" w:rsidP="00F246E9">
      <w:pPr>
        <w:spacing w:line="276" w:lineRule="auto"/>
        <w:ind w:firstLine="72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169"/>
        <w:gridCol w:w="2516"/>
        <w:gridCol w:w="3653"/>
        <w:gridCol w:w="1729"/>
      </w:tblGrid>
      <w:tr w:rsidR="00835408" w:rsidRPr="00A66B1F" w:rsidTr="00835408">
        <w:trPr>
          <w:trHeight w:val="534"/>
        </w:trPr>
        <w:tc>
          <w:tcPr>
            <w:tcW w:w="1169" w:type="dxa"/>
            <w:hideMark/>
          </w:tcPr>
          <w:p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Pasākuma numurs</w:t>
            </w:r>
          </w:p>
        </w:tc>
        <w:tc>
          <w:tcPr>
            <w:tcW w:w="2516" w:type="dxa"/>
            <w:hideMark/>
          </w:tcPr>
          <w:p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Deklarācijā dotais uzdevums</w:t>
            </w:r>
          </w:p>
        </w:tc>
        <w:tc>
          <w:tcPr>
            <w:tcW w:w="3653" w:type="dxa"/>
            <w:hideMark/>
          </w:tcPr>
          <w:p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 xml:space="preserve">Rīcības plāna pasākums </w:t>
            </w:r>
          </w:p>
        </w:tc>
        <w:tc>
          <w:tcPr>
            <w:tcW w:w="1729" w:type="dxa"/>
            <w:hideMark/>
          </w:tcPr>
          <w:p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Darbības rezultāts</w:t>
            </w:r>
          </w:p>
        </w:tc>
      </w:tr>
      <w:tr w:rsidR="00835408" w:rsidRPr="00A66B1F" w:rsidTr="00835408">
        <w:trPr>
          <w:trHeight w:val="3108"/>
        </w:trPr>
        <w:tc>
          <w:tcPr>
            <w:tcW w:w="1169" w:type="dxa"/>
            <w:hideMark/>
          </w:tcPr>
          <w:p w:rsidR="00835408" w:rsidRPr="00A66B1F" w:rsidRDefault="00835408" w:rsidP="00835408">
            <w:pPr>
              <w:rPr>
                <w:rFonts w:ascii="Times New Roman" w:hAnsi="Times New Roman"/>
                <w:szCs w:val="24"/>
              </w:rPr>
            </w:pPr>
            <w:r w:rsidRPr="00A66B1F">
              <w:rPr>
                <w:rFonts w:ascii="Times New Roman" w:hAnsi="Times New Roman"/>
                <w:szCs w:val="24"/>
              </w:rPr>
              <w:t>19.2.</w:t>
            </w:r>
          </w:p>
        </w:tc>
        <w:tc>
          <w:tcPr>
            <w:tcW w:w="2516" w:type="dxa"/>
            <w:hideMark/>
          </w:tcPr>
          <w:p w:rsidR="00835408" w:rsidRPr="00A66B1F" w:rsidRDefault="00835408" w:rsidP="00A66B1F">
            <w:pPr>
              <w:rPr>
                <w:rFonts w:ascii="Times New Roman" w:hAnsi="Times New Roman"/>
                <w:szCs w:val="24"/>
              </w:rPr>
            </w:pPr>
            <w:r w:rsidRPr="00A66B1F">
              <w:rPr>
                <w:rFonts w:ascii="Times New Roman" w:hAnsi="Times New Roman"/>
                <w:szCs w:val="24"/>
              </w:rPr>
              <w:t>Īstenosim atbildīgu valsts kapitālsabiedrību pārvaldības (tai skaitā dividenžu) politiku, kas nodrošina aktīvu vērtības pieaugumu ilgtermiņā, pienesumu ekonomikas aktivizēšanā un tautsaimniecības nozaru izaugsmē, vienlaikus ņemot vērā nefinanšu mērķu sasniegšanu sabiedrības vajadzību nodrošināšanai.</w:t>
            </w:r>
          </w:p>
        </w:tc>
        <w:tc>
          <w:tcPr>
            <w:tcW w:w="3653" w:type="dxa"/>
            <w:hideMark/>
          </w:tcPr>
          <w:p w:rsidR="00835408" w:rsidRPr="00A66B1F" w:rsidRDefault="00835408" w:rsidP="00835408">
            <w:pPr>
              <w:rPr>
                <w:rFonts w:ascii="Times New Roman" w:hAnsi="Times New Roman"/>
                <w:szCs w:val="24"/>
              </w:rPr>
            </w:pPr>
            <w:r w:rsidRPr="00A66B1F">
              <w:rPr>
                <w:rFonts w:ascii="Times New Roman" w:hAnsi="Times New Roman"/>
                <w:szCs w:val="24"/>
              </w:rPr>
              <w:t xml:space="preserve">1) Līdz </w:t>
            </w:r>
            <w:proofErr w:type="gramStart"/>
            <w:r w:rsidRPr="00A66B1F">
              <w:rPr>
                <w:rFonts w:ascii="Times New Roman" w:hAnsi="Times New Roman"/>
                <w:szCs w:val="24"/>
              </w:rPr>
              <w:t>2016.gada</w:t>
            </w:r>
            <w:proofErr w:type="gramEnd"/>
            <w:r w:rsidRPr="00A66B1F">
              <w:rPr>
                <w:rFonts w:ascii="Times New Roman" w:hAnsi="Times New Roman"/>
                <w:szCs w:val="24"/>
              </w:rPr>
              <w:t xml:space="preserve"> beigām apstiprināt vidēja termiņa darbības stratēģijas visām valsts kapitālsabiedrībām un valsts izšķirošajā ietekmē esošajām kapitālsabiedrībām ar noteiktiem nefinanšu mērķiem un finanšu mērķiem.</w:t>
            </w:r>
            <w:r w:rsidRPr="00A66B1F">
              <w:rPr>
                <w:rFonts w:ascii="Times New Roman" w:hAnsi="Times New Roman"/>
                <w:szCs w:val="24"/>
              </w:rPr>
              <w:br/>
              <w:t xml:space="preserve">2) Nodrošināt darbības rezultātu ikgadēju izvērtēšanu </w:t>
            </w:r>
            <w:r w:rsidRPr="00A66B1F">
              <w:rPr>
                <w:rFonts w:ascii="Times New Roman" w:hAnsi="Times New Roman"/>
                <w:szCs w:val="24"/>
              </w:rPr>
              <w:br/>
              <w:t>3) Izveidot profesionālas padomes  un uzsākt to darbību lielākajās valsts kapitālsabiedrībās to efektīvākai pārvaldīšanai</w:t>
            </w:r>
          </w:p>
        </w:tc>
        <w:tc>
          <w:tcPr>
            <w:tcW w:w="1729" w:type="dxa"/>
            <w:hideMark/>
          </w:tcPr>
          <w:p w:rsidR="00835408" w:rsidRPr="00A66B1F" w:rsidRDefault="00835408" w:rsidP="00A66B1F">
            <w:pPr>
              <w:spacing w:after="240"/>
              <w:rPr>
                <w:rFonts w:ascii="Times New Roman" w:hAnsi="Times New Roman"/>
                <w:szCs w:val="24"/>
              </w:rPr>
            </w:pPr>
            <w:r w:rsidRPr="00A66B1F">
              <w:rPr>
                <w:rFonts w:ascii="Times New Roman" w:hAnsi="Times New Roman"/>
                <w:szCs w:val="24"/>
              </w:rPr>
              <w:t>Ik gadu uzlaboti valsts kapitālsabiedrību finanšu</w:t>
            </w:r>
            <w:proofErr w:type="gramStart"/>
            <w:r w:rsidRPr="00A66B1F">
              <w:rPr>
                <w:rFonts w:ascii="Times New Roman" w:hAnsi="Times New Roman"/>
                <w:szCs w:val="24"/>
              </w:rPr>
              <w:t xml:space="preserve">  </w:t>
            </w:r>
            <w:proofErr w:type="gramEnd"/>
            <w:r w:rsidRPr="00A66B1F">
              <w:rPr>
                <w:rFonts w:ascii="Times New Roman" w:hAnsi="Times New Roman"/>
                <w:szCs w:val="24"/>
              </w:rPr>
              <w:t xml:space="preserve">un nefinanšu rādītāji, primāri, </w:t>
            </w:r>
            <w:r w:rsidRPr="00835408">
              <w:rPr>
                <w:rFonts w:ascii="Times New Roman" w:hAnsi="Times New Roman"/>
                <w:b/>
                <w:szCs w:val="24"/>
              </w:rPr>
              <w:t xml:space="preserve">kapitāla atdeve </w:t>
            </w:r>
            <w:r w:rsidRPr="00A66B1F">
              <w:rPr>
                <w:rFonts w:ascii="Times New Roman" w:hAnsi="Times New Roman"/>
                <w:szCs w:val="24"/>
              </w:rPr>
              <w:t>komerciālajās valsts kapitālsabiedrībās</w:t>
            </w:r>
          </w:p>
        </w:tc>
      </w:tr>
    </w:tbl>
    <w:p w:rsidR="00A66B1F" w:rsidRDefault="00A66B1F" w:rsidP="00F246E9">
      <w:pPr>
        <w:spacing w:line="276" w:lineRule="auto"/>
        <w:ind w:firstLine="720"/>
        <w:jc w:val="both"/>
        <w:rPr>
          <w:rFonts w:ascii="Times New Roman" w:hAnsi="Times New Roman"/>
          <w:bCs/>
          <w:sz w:val="24"/>
          <w:szCs w:val="24"/>
        </w:rPr>
      </w:pPr>
    </w:p>
    <w:p w:rsidR="00555CA6" w:rsidRDefault="00555CA6" w:rsidP="00F246E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Publiskas personas kapitāla daļu un kapitālsabiedrību pārvaldības likums un uz tā </w:t>
      </w:r>
      <w:r w:rsidRPr="008A78FF">
        <w:rPr>
          <w:rFonts w:ascii="Times New Roman" w:hAnsi="Times New Roman"/>
          <w:bCs/>
          <w:sz w:val="24"/>
          <w:szCs w:val="24"/>
        </w:rPr>
        <w:t>pamata izstrādātās valdīnijas vidēja termiņa darbības stratēģijas izstrādāšanai, kā arī M</w:t>
      </w:r>
      <w:r w:rsidR="008A78FF" w:rsidRPr="008A78FF">
        <w:rPr>
          <w:rFonts w:ascii="Times New Roman" w:hAnsi="Times New Roman"/>
          <w:bCs/>
          <w:sz w:val="24"/>
          <w:szCs w:val="24"/>
        </w:rPr>
        <w:t xml:space="preserve">inistru </w:t>
      </w:r>
      <w:r w:rsidRPr="008A78FF">
        <w:rPr>
          <w:rFonts w:ascii="Times New Roman" w:hAnsi="Times New Roman"/>
          <w:bCs/>
          <w:sz w:val="24"/>
          <w:szCs w:val="24"/>
        </w:rPr>
        <w:t>K</w:t>
      </w:r>
      <w:r w:rsidR="008A78FF" w:rsidRPr="008A78FF">
        <w:rPr>
          <w:rFonts w:ascii="Times New Roman" w:hAnsi="Times New Roman"/>
          <w:bCs/>
          <w:sz w:val="24"/>
          <w:szCs w:val="24"/>
        </w:rPr>
        <w:t>abineta</w:t>
      </w:r>
      <w:r w:rsidRPr="008A78FF">
        <w:rPr>
          <w:rFonts w:ascii="Times New Roman" w:hAnsi="Times New Roman"/>
          <w:bCs/>
          <w:sz w:val="24"/>
          <w:szCs w:val="24"/>
        </w:rPr>
        <w:t xml:space="preserve"> </w:t>
      </w:r>
      <w:r w:rsidR="008A78FF" w:rsidRPr="008A78FF">
        <w:rPr>
          <w:rFonts w:ascii="Times New Roman" w:hAnsi="Times New Roman"/>
          <w:bCs/>
          <w:sz w:val="24"/>
          <w:szCs w:val="24"/>
        </w:rPr>
        <w:t>09.02.2016. noteikumi Nr.95 “Kārtība, kādā tiek vērtēti darbības rezultāti un finanšu rādītāji kapitālsabiedrībai, kurā valstij ir izšķirošā ietekme</w:t>
      </w:r>
      <w:r w:rsidR="008A78FF">
        <w:rPr>
          <w:rFonts w:ascii="Times New Roman" w:hAnsi="Times New Roman"/>
          <w:bCs/>
          <w:sz w:val="24"/>
          <w:szCs w:val="24"/>
        </w:rPr>
        <w:t>”</w:t>
      </w:r>
      <w:r w:rsidR="008A78FF" w:rsidRPr="008A78FF">
        <w:rPr>
          <w:rFonts w:ascii="Times New Roman" w:hAnsi="Times New Roman"/>
          <w:bCs/>
          <w:sz w:val="24"/>
          <w:szCs w:val="24"/>
        </w:rPr>
        <w:t xml:space="preserve"> </w:t>
      </w:r>
      <w:r>
        <w:rPr>
          <w:rFonts w:ascii="Times New Roman" w:hAnsi="Times New Roman"/>
          <w:bCs/>
          <w:sz w:val="24"/>
          <w:szCs w:val="24"/>
        </w:rPr>
        <w:t xml:space="preserve">un </w:t>
      </w:r>
      <w:r w:rsidR="008A78FF">
        <w:rPr>
          <w:rFonts w:ascii="Times New Roman" w:hAnsi="Times New Roman"/>
          <w:bCs/>
          <w:sz w:val="24"/>
          <w:szCs w:val="24"/>
        </w:rPr>
        <w:t xml:space="preserve">to </w:t>
      </w:r>
      <w:r>
        <w:rPr>
          <w:rFonts w:ascii="Times New Roman" w:hAnsi="Times New Roman"/>
          <w:bCs/>
          <w:sz w:val="24"/>
          <w:szCs w:val="24"/>
        </w:rPr>
        <w:t>attiecīgās skaidrojošās vadlīnijas nosaka ietvaru publiskas personas kapitālsabiedrību mērķu noteikšanai, taču, lai sasniegtu valdības deklarācijā definēto darbības rezultātu, nepieciešami precīzāki ieteikumi kapitāla daļu turētājiem, kā uzstādīt finanšu mērķus un, it īpaši, kapitāla atdeves mērķi.</w:t>
      </w:r>
    </w:p>
    <w:p w:rsidR="00A66B1F" w:rsidRDefault="007E0EC9" w:rsidP="00F246E9">
      <w:pPr>
        <w:spacing w:line="276" w:lineRule="auto"/>
        <w:ind w:firstLine="720"/>
        <w:jc w:val="both"/>
        <w:rPr>
          <w:rFonts w:ascii="Times New Roman" w:hAnsi="Times New Roman"/>
          <w:bCs/>
          <w:sz w:val="24"/>
          <w:szCs w:val="24"/>
        </w:rPr>
      </w:pPr>
      <w:r>
        <w:rPr>
          <w:rFonts w:ascii="Times New Roman" w:hAnsi="Times New Roman"/>
          <w:bCs/>
          <w:sz w:val="24"/>
          <w:szCs w:val="24"/>
        </w:rPr>
        <w:t>Šie ieteikumi ir izstrādāti, pamatojoties uz OECD vadlīnijām, citu valstu praksi un novērotajiem piemēriem valsts kapitālsabiedrībās</w:t>
      </w:r>
      <w:r w:rsidRPr="007E0EC9">
        <w:rPr>
          <w:rFonts w:ascii="Times New Roman" w:hAnsi="Times New Roman"/>
          <w:bCs/>
          <w:sz w:val="24"/>
          <w:szCs w:val="24"/>
        </w:rPr>
        <w:t xml:space="preserve"> </w:t>
      </w:r>
      <w:r>
        <w:rPr>
          <w:rFonts w:ascii="Times New Roman" w:hAnsi="Times New Roman"/>
          <w:bCs/>
          <w:sz w:val="24"/>
          <w:szCs w:val="24"/>
        </w:rPr>
        <w:t xml:space="preserve">Latvijā. </w:t>
      </w:r>
      <w:r w:rsidR="00555CA6">
        <w:rPr>
          <w:rFonts w:ascii="Times New Roman" w:hAnsi="Times New Roman"/>
          <w:bCs/>
          <w:sz w:val="24"/>
          <w:szCs w:val="24"/>
        </w:rPr>
        <w:t>Z</w:t>
      </w:r>
      <w:r>
        <w:rPr>
          <w:rFonts w:ascii="Times New Roman" w:hAnsi="Times New Roman"/>
          <w:bCs/>
          <w:sz w:val="24"/>
          <w:szCs w:val="24"/>
        </w:rPr>
        <w:t>iņojums ietver šādas sadaļas:</w:t>
      </w:r>
    </w:p>
    <w:p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Teorija un labā prakse,</w:t>
      </w:r>
    </w:p>
    <w:p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Ieteiktā metodika,</w:t>
      </w:r>
    </w:p>
    <w:p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 xml:space="preserve">Piemērošana </w:t>
      </w:r>
      <w:r w:rsidR="0065120C">
        <w:rPr>
          <w:rFonts w:ascii="Times New Roman" w:hAnsi="Times New Roman"/>
          <w:bCs/>
          <w:sz w:val="24"/>
          <w:szCs w:val="24"/>
        </w:rPr>
        <w:t xml:space="preserve">atsevišķām nozarēm </w:t>
      </w:r>
      <w:r>
        <w:rPr>
          <w:rFonts w:ascii="Times New Roman" w:hAnsi="Times New Roman"/>
          <w:bCs/>
          <w:sz w:val="24"/>
          <w:szCs w:val="24"/>
        </w:rPr>
        <w:t>Latvijas situācijā</w:t>
      </w:r>
      <w:r w:rsidR="0065120C">
        <w:rPr>
          <w:rFonts w:ascii="Times New Roman" w:hAnsi="Times New Roman"/>
          <w:bCs/>
          <w:sz w:val="24"/>
          <w:szCs w:val="24"/>
        </w:rPr>
        <w:t>,</w:t>
      </w:r>
    </w:p>
    <w:p w:rsidR="0065120C" w:rsidRPr="007E0EC9" w:rsidRDefault="0065120C"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Secinājumi un priekšlikumi.</w:t>
      </w:r>
    </w:p>
    <w:p w:rsidR="00A66B1F" w:rsidRDefault="00A66B1F" w:rsidP="00801BE7">
      <w:pPr>
        <w:spacing w:line="276" w:lineRule="auto"/>
        <w:ind w:firstLine="720"/>
        <w:jc w:val="both"/>
        <w:rPr>
          <w:rFonts w:ascii="Times New Roman" w:hAnsi="Times New Roman"/>
          <w:bCs/>
          <w:sz w:val="24"/>
          <w:szCs w:val="24"/>
        </w:rPr>
      </w:pPr>
    </w:p>
    <w:p w:rsidR="00A037C2" w:rsidRPr="00581FEF" w:rsidRDefault="00275B5C" w:rsidP="00581FEF">
      <w:pPr>
        <w:spacing w:line="276" w:lineRule="auto"/>
        <w:rPr>
          <w:rFonts w:ascii="Times New Roman" w:hAnsi="Times New Roman"/>
          <w:b/>
          <w:bCs/>
          <w:sz w:val="24"/>
          <w:szCs w:val="24"/>
        </w:rPr>
      </w:pPr>
      <w:r>
        <w:rPr>
          <w:rFonts w:ascii="Times New Roman" w:hAnsi="Times New Roman"/>
          <w:b/>
          <w:bCs/>
          <w:sz w:val="24"/>
          <w:szCs w:val="24"/>
        </w:rPr>
        <w:t>1</w:t>
      </w:r>
      <w:r w:rsidR="00A037C2" w:rsidRPr="00581FEF">
        <w:rPr>
          <w:rFonts w:ascii="Times New Roman" w:hAnsi="Times New Roman"/>
          <w:b/>
          <w:bCs/>
          <w:sz w:val="24"/>
          <w:szCs w:val="24"/>
        </w:rPr>
        <w:t>. Teorija</w:t>
      </w:r>
      <w:r w:rsidR="007E0EC9">
        <w:rPr>
          <w:rFonts w:ascii="Times New Roman" w:hAnsi="Times New Roman"/>
          <w:b/>
          <w:bCs/>
          <w:sz w:val="24"/>
          <w:szCs w:val="24"/>
        </w:rPr>
        <w:t xml:space="preserve"> un labā prakse</w:t>
      </w:r>
    </w:p>
    <w:p w:rsidR="00A037C2" w:rsidRPr="00581FEF" w:rsidRDefault="00A037C2" w:rsidP="00581FEF">
      <w:pPr>
        <w:spacing w:line="276" w:lineRule="auto"/>
        <w:rPr>
          <w:rFonts w:ascii="Times New Roman" w:hAnsi="Times New Roman"/>
          <w:b/>
          <w:bCs/>
          <w:sz w:val="24"/>
          <w:szCs w:val="24"/>
        </w:rPr>
      </w:pPr>
    </w:p>
    <w:p w:rsidR="00555CA6" w:rsidRPr="00555CA6" w:rsidRDefault="00555CA6" w:rsidP="00555CA6">
      <w:pPr>
        <w:spacing w:line="276" w:lineRule="auto"/>
        <w:ind w:firstLine="720"/>
        <w:jc w:val="both"/>
        <w:rPr>
          <w:rFonts w:ascii="Times New Roman" w:hAnsi="Times New Roman"/>
          <w:bCs/>
          <w:sz w:val="24"/>
          <w:szCs w:val="24"/>
        </w:rPr>
      </w:pPr>
      <w:r>
        <w:rPr>
          <w:rFonts w:ascii="Times New Roman" w:hAnsi="Times New Roman"/>
          <w:bCs/>
          <w:sz w:val="24"/>
          <w:szCs w:val="24"/>
        </w:rPr>
        <w:t>Lai izvērtētu kapitālsabiedrības rezultātus un noteiktu sasniedzamos mērķus, tiek izm</w:t>
      </w:r>
      <w:r w:rsidR="0068484C">
        <w:rPr>
          <w:rFonts w:ascii="Times New Roman" w:hAnsi="Times New Roman"/>
          <w:bCs/>
          <w:sz w:val="24"/>
          <w:szCs w:val="24"/>
        </w:rPr>
        <w:t>antoti daudz un dažādi rādītāji,</w:t>
      </w:r>
      <w:r w:rsidR="0068484C" w:rsidRPr="0068484C">
        <w:t xml:space="preserve"> </w:t>
      </w:r>
      <w:r w:rsidR="0068484C" w:rsidRPr="0068484C">
        <w:rPr>
          <w:rFonts w:ascii="Times New Roman" w:hAnsi="Times New Roman"/>
          <w:bCs/>
          <w:sz w:val="24"/>
          <w:szCs w:val="24"/>
        </w:rPr>
        <w:t>bet</w:t>
      </w:r>
      <w:r w:rsidR="0068484C">
        <w:rPr>
          <w:rFonts w:ascii="Times New Roman" w:hAnsi="Times New Roman"/>
          <w:bCs/>
          <w:sz w:val="24"/>
          <w:szCs w:val="24"/>
        </w:rPr>
        <w:t>,</w:t>
      </w:r>
      <w:r w:rsidR="0068484C" w:rsidRPr="0068484C">
        <w:rPr>
          <w:rFonts w:ascii="Times New Roman" w:hAnsi="Times New Roman"/>
          <w:bCs/>
          <w:sz w:val="24"/>
          <w:szCs w:val="24"/>
        </w:rPr>
        <w:t xml:space="preserve"> rēķinot visus</w:t>
      </w:r>
      <w:r w:rsidR="0068484C">
        <w:rPr>
          <w:rFonts w:ascii="Times New Roman" w:hAnsi="Times New Roman"/>
          <w:bCs/>
          <w:sz w:val="24"/>
          <w:szCs w:val="24"/>
        </w:rPr>
        <w:t>,</w:t>
      </w:r>
      <w:r w:rsidR="0068484C" w:rsidRPr="0068484C">
        <w:rPr>
          <w:rFonts w:ascii="Times New Roman" w:hAnsi="Times New Roman"/>
          <w:bCs/>
          <w:sz w:val="24"/>
          <w:szCs w:val="24"/>
        </w:rPr>
        <w:t xml:space="preserve"> pazūd fokuss </w:t>
      </w:r>
      <w:r w:rsidR="0068484C">
        <w:rPr>
          <w:rFonts w:ascii="Times New Roman" w:hAnsi="Times New Roman"/>
          <w:bCs/>
          <w:sz w:val="24"/>
          <w:szCs w:val="24"/>
        </w:rPr>
        <w:t>no</w:t>
      </w:r>
      <w:r w:rsidR="0068484C" w:rsidRPr="0068484C">
        <w:rPr>
          <w:rFonts w:ascii="Times New Roman" w:hAnsi="Times New Roman"/>
          <w:bCs/>
          <w:sz w:val="24"/>
          <w:szCs w:val="24"/>
        </w:rPr>
        <w:t xml:space="preserve"> būtiskākajiem.</w:t>
      </w:r>
      <w:r>
        <w:rPr>
          <w:rFonts w:ascii="Times New Roman" w:hAnsi="Times New Roman"/>
          <w:bCs/>
          <w:sz w:val="24"/>
          <w:szCs w:val="24"/>
        </w:rPr>
        <w:t xml:space="preserve"> </w:t>
      </w:r>
      <w:r w:rsidRPr="00555CA6">
        <w:rPr>
          <w:rFonts w:ascii="Times New Roman" w:hAnsi="Times New Roman"/>
          <w:bCs/>
          <w:sz w:val="24"/>
          <w:szCs w:val="24"/>
        </w:rPr>
        <w:t xml:space="preserve">Ideālā gadījumā </w:t>
      </w:r>
      <w:r w:rsidR="0068484C">
        <w:rPr>
          <w:rFonts w:ascii="Times New Roman" w:hAnsi="Times New Roman"/>
          <w:bCs/>
          <w:sz w:val="24"/>
          <w:szCs w:val="24"/>
        </w:rPr>
        <w:t xml:space="preserve">vēlams </w:t>
      </w:r>
      <w:r w:rsidRPr="00555CA6">
        <w:rPr>
          <w:rFonts w:ascii="Times New Roman" w:hAnsi="Times New Roman"/>
          <w:bCs/>
          <w:sz w:val="24"/>
          <w:szCs w:val="24"/>
        </w:rPr>
        <w:t>detalizēti monitorē</w:t>
      </w:r>
      <w:r w:rsidR="0068484C">
        <w:rPr>
          <w:rFonts w:ascii="Times New Roman" w:hAnsi="Times New Roman"/>
          <w:bCs/>
          <w:sz w:val="24"/>
          <w:szCs w:val="24"/>
        </w:rPr>
        <w:t>t</w:t>
      </w:r>
      <w:r w:rsidRPr="00555CA6">
        <w:rPr>
          <w:rFonts w:ascii="Times New Roman" w:hAnsi="Times New Roman"/>
          <w:bCs/>
          <w:sz w:val="24"/>
          <w:szCs w:val="24"/>
        </w:rPr>
        <w:t xml:space="preserve"> </w:t>
      </w:r>
      <w:r w:rsidR="0068484C">
        <w:rPr>
          <w:rFonts w:ascii="Times New Roman" w:hAnsi="Times New Roman"/>
          <w:bCs/>
          <w:sz w:val="24"/>
          <w:szCs w:val="24"/>
        </w:rPr>
        <w:t xml:space="preserve">piecus </w:t>
      </w:r>
      <w:r w:rsidRPr="00555CA6">
        <w:rPr>
          <w:rFonts w:ascii="Times New Roman" w:hAnsi="Times New Roman"/>
          <w:bCs/>
          <w:sz w:val="24"/>
          <w:szCs w:val="24"/>
        </w:rPr>
        <w:t>būtiskāk</w:t>
      </w:r>
      <w:r w:rsidR="0068484C">
        <w:rPr>
          <w:rFonts w:ascii="Times New Roman" w:hAnsi="Times New Roman"/>
          <w:bCs/>
          <w:sz w:val="24"/>
          <w:szCs w:val="24"/>
        </w:rPr>
        <w:t>os</w:t>
      </w:r>
      <w:r w:rsidRPr="00555CA6">
        <w:rPr>
          <w:rFonts w:ascii="Times New Roman" w:hAnsi="Times New Roman"/>
          <w:bCs/>
          <w:sz w:val="24"/>
          <w:szCs w:val="24"/>
        </w:rPr>
        <w:t xml:space="preserve"> rādītāj</w:t>
      </w:r>
      <w:r w:rsidR="0068484C">
        <w:rPr>
          <w:rFonts w:ascii="Times New Roman" w:hAnsi="Times New Roman"/>
          <w:bCs/>
          <w:sz w:val="24"/>
          <w:szCs w:val="24"/>
        </w:rPr>
        <w:t>us</w:t>
      </w:r>
      <w:r w:rsidRPr="00555CA6">
        <w:rPr>
          <w:rFonts w:ascii="Times New Roman" w:hAnsi="Times New Roman"/>
          <w:bCs/>
          <w:sz w:val="24"/>
          <w:szCs w:val="24"/>
        </w:rPr>
        <w:t xml:space="preserve">. Mēģinot </w:t>
      </w:r>
      <w:r w:rsidR="0068484C" w:rsidRPr="00555CA6">
        <w:rPr>
          <w:rFonts w:ascii="Times New Roman" w:hAnsi="Times New Roman"/>
          <w:bCs/>
          <w:sz w:val="24"/>
          <w:szCs w:val="24"/>
        </w:rPr>
        <w:t xml:space="preserve">izvirzīt </w:t>
      </w:r>
      <w:r w:rsidR="0068484C">
        <w:rPr>
          <w:rFonts w:ascii="Times New Roman" w:hAnsi="Times New Roman"/>
          <w:bCs/>
          <w:sz w:val="24"/>
          <w:szCs w:val="24"/>
        </w:rPr>
        <w:t xml:space="preserve">uzņēmuma </w:t>
      </w:r>
      <w:r w:rsidRPr="00555CA6">
        <w:rPr>
          <w:rFonts w:ascii="Times New Roman" w:hAnsi="Times New Roman"/>
          <w:bCs/>
          <w:sz w:val="24"/>
          <w:szCs w:val="24"/>
        </w:rPr>
        <w:t xml:space="preserve">vadībai mērķus </w:t>
      </w:r>
      <w:proofErr w:type="gramStart"/>
      <w:r w:rsidRPr="00555CA6">
        <w:rPr>
          <w:rFonts w:ascii="Times New Roman" w:hAnsi="Times New Roman"/>
          <w:bCs/>
          <w:sz w:val="24"/>
          <w:szCs w:val="24"/>
        </w:rPr>
        <w:t>vairāk kā</w:t>
      </w:r>
      <w:proofErr w:type="gramEnd"/>
      <w:r w:rsidRPr="00555CA6">
        <w:rPr>
          <w:rFonts w:ascii="Times New Roman" w:hAnsi="Times New Roman"/>
          <w:bCs/>
          <w:sz w:val="24"/>
          <w:szCs w:val="24"/>
        </w:rPr>
        <w:t xml:space="preserve"> 5-10 rādītājiem, uzņēmuma vadība nespēs nofokusēties un var nesasniegt nevienu. Piem</w:t>
      </w:r>
      <w:r w:rsidR="0068484C">
        <w:rPr>
          <w:rFonts w:ascii="Times New Roman" w:hAnsi="Times New Roman"/>
          <w:bCs/>
          <w:sz w:val="24"/>
          <w:szCs w:val="24"/>
        </w:rPr>
        <w:t>ēram,</w:t>
      </w:r>
      <w:r w:rsidRPr="00555CA6">
        <w:rPr>
          <w:rFonts w:ascii="Times New Roman" w:hAnsi="Times New Roman"/>
          <w:bCs/>
          <w:sz w:val="24"/>
          <w:szCs w:val="24"/>
        </w:rPr>
        <w:t xml:space="preserve"> ja mērķis ir būtiski palielināt apgrozījumu, tad nesanāks būtiski uzlabot peļņas rentabilitātes rādītājus, kā arī debitoru dienas varētu palielināties.</w:t>
      </w:r>
    </w:p>
    <w:p w:rsidR="00555CA6" w:rsidRPr="00555CA6" w:rsidRDefault="00555CA6" w:rsidP="00555CA6">
      <w:pPr>
        <w:spacing w:line="276" w:lineRule="auto"/>
        <w:ind w:firstLine="720"/>
        <w:jc w:val="both"/>
        <w:rPr>
          <w:rFonts w:ascii="Times New Roman" w:hAnsi="Times New Roman"/>
          <w:bCs/>
          <w:sz w:val="24"/>
          <w:szCs w:val="24"/>
        </w:rPr>
      </w:pPr>
      <w:r w:rsidRPr="00555CA6">
        <w:rPr>
          <w:rFonts w:ascii="Times New Roman" w:hAnsi="Times New Roman"/>
          <w:bCs/>
          <w:sz w:val="24"/>
          <w:szCs w:val="24"/>
        </w:rPr>
        <w:lastRenderedPageBreak/>
        <w:t>Rentabilitāte ir pat</w:t>
      </w:r>
      <w:r w:rsidR="0068484C">
        <w:rPr>
          <w:rFonts w:ascii="Times New Roman" w:hAnsi="Times New Roman"/>
          <w:bCs/>
          <w:sz w:val="24"/>
          <w:szCs w:val="24"/>
        </w:rPr>
        <w:t>s</w:t>
      </w:r>
      <w:r w:rsidRPr="00555CA6">
        <w:rPr>
          <w:rFonts w:ascii="Times New Roman" w:hAnsi="Times New Roman"/>
          <w:bCs/>
          <w:sz w:val="24"/>
          <w:szCs w:val="24"/>
        </w:rPr>
        <w:t xml:space="preserve"> svarīgāk</w:t>
      </w:r>
      <w:r w:rsidR="0068484C">
        <w:rPr>
          <w:rFonts w:ascii="Times New Roman" w:hAnsi="Times New Roman"/>
          <w:bCs/>
          <w:sz w:val="24"/>
          <w:szCs w:val="24"/>
        </w:rPr>
        <w:t>ais</w:t>
      </w:r>
      <w:r w:rsidRPr="00555CA6">
        <w:rPr>
          <w:rFonts w:ascii="Times New Roman" w:hAnsi="Times New Roman"/>
          <w:bCs/>
          <w:sz w:val="24"/>
          <w:szCs w:val="24"/>
        </w:rPr>
        <w:t xml:space="preserve"> </w:t>
      </w:r>
      <w:r w:rsidR="0068484C">
        <w:rPr>
          <w:rFonts w:ascii="Times New Roman" w:hAnsi="Times New Roman"/>
          <w:bCs/>
          <w:sz w:val="24"/>
          <w:szCs w:val="24"/>
        </w:rPr>
        <w:t xml:space="preserve">no </w:t>
      </w:r>
      <w:r w:rsidRPr="00555CA6">
        <w:rPr>
          <w:rFonts w:ascii="Times New Roman" w:hAnsi="Times New Roman"/>
          <w:bCs/>
          <w:sz w:val="24"/>
          <w:szCs w:val="24"/>
        </w:rPr>
        <w:t>visiem rādītājiem, jo</w:t>
      </w:r>
      <w:r w:rsidR="0068484C">
        <w:rPr>
          <w:rFonts w:ascii="Times New Roman" w:hAnsi="Times New Roman"/>
          <w:bCs/>
          <w:sz w:val="24"/>
          <w:szCs w:val="24"/>
        </w:rPr>
        <w:t>,</w:t>
      </w:r>
      <w:r w:rsidRPr="00555CA6">
        <w:rPr>
          <w:rFonts w:ascii="Times New Roman" w:hAnsi="Times New Roman"/>
          <w:bCs/>
          <w:sz w:val="24"/>
          <w:szCs w:val="24"/>
        </w:rPr>
        <w:t xml:space="preserve"> ja uzņēmumam ir zaudējumi, tas noved pie pasliktinājuma visos rādītājos.</w:t>
      </w:r>
    </w:p>
    <w:p w:rsidR="00CF2E05" w:rsidRDefault="00555CA6" w:rsidP="00555CA6">
      <w:pPr>
        <w:spacing w:line="276" w:lineRule="auto"/>
        <w:ind w:firstLine="720"/>
        <w:jc w:val="both"/>
        <w:rPr>
          <w:rFonts w:ascii="Times New Roman" w:hAnsi="Times New Roman"/>
          <w:bCs/>
          <w:sz w:val="24"/>
          <w:szCs w:val="24"/>
        </w:rPr>
      </w:pPr>
      <w:r w:rsidRPr="00555CA6">
        <w:rPr>
          <w:rFonts w:ascii="Times New Roman" w:hAnsi="Times New Roman"/>
          <w:bCs/>
          <w:sz w:val="24"/>
          <w:szCs w:val="24"/>
        </w:rPr>
        <w:t xml:space="preserve">Pašu kapitāla atdeve (peļnas un pašu kapitāla attiecība </w:t>
      </w:r>
      <w:r w:rsidR="0068484C">
        <w:rPr>
          <w:rFonts w:ascii="Times New Roman" w:hAnsi="Times New Roman"/>
          <w:bCs/>
          <w:sz w:val="24"/>
          <w:szCs w:val="24"/>
        </w:rPr>
        <w:t xml:space="preserve">jeb </w:t>
      </w:r>
      <w:r w:rsidRPr="00555CA6">
        <w:rPr>
          <w:rFonts w:ascii="Times New Roman" w:hAnsi="Times New Roman"/>
          <w:bCs/>
          <w:sz w:val="24"/>
          <w:szCs w:val="24"/>
        </w:rPr>
        <w:t>ROE</w:t>
      </w:r>
      <w:r w:rsidR="0068484C">
        <w:rPr>
          <w:rFonts w:ascii="Times New Roman" w:hAnsi="Times New Roman"/>
          <w:bCs/>
          <w:sz w:val="24"/>
          <w:szCs w:val="24"/>
        </w:rPr>
        <w:t>, angl.</w:t>
      </w:r>
      <w:r w:rsidRPr="00555CA6">
        <w:rPr>
          <w:rFonts w:ascii="Times New Roman" w:hAnsi="Times New Roman"/>
          <w:bCs/>
          <w:sz w:val="24"/>
          <w:szCs w:val="24"/>
        </w:rPr>
        <w:t xml:space="preserve"> – </w:t>
      </w:r>
      <w:r w:rsidRPr="0068484C">
        <w:rPr>
          <w:rFonts w:ascii="Times New Roman" w:hAnsi="Times New Roman"/>
          <w:bCs/>
          <w:i/>
          <w:sz w:val="24"/>
          <w:szCs w:val="24"/>
        </w:rPr>
        <w:t>return on equity</w:t>
      </w:r>
      <w:r w:rsidRPr="00555CA6">
        <w:rPr>
          <w:rFonts w:ascii="Times New Roman" w:hAnsi="Times New Roman"/>
          <w:bCs/>
          <w:sz w:val="24"/>
          <w:szCs w:val="24"/>
        </w:rPr>
        <w:t xml:space="preserve">) ir izvēlēta kā galvenais rādītājs valsts kapitālsabiedrībām, jo ietver neto peļņu un pašu kapitālu, kas ir akcionāra īpašumā esošais kapitāls. </w:t>
      </w:r>
      <w:r w:rsidR="0068484C">
        <w:rPr>
          <w:rFonts w:ascii="Times New Roman" w:hAnsi="Times New Roman"/>
          <w:bCs/>
          <w:sz w:val="24"/>
          <w:szCs w:val="24"/>
        </w:rPr>
        <w:t>Rādītāja l</w:t>
      </w:r>
      <w:r w:rsidRPr="00555CA6">
        <w:rPr>
          <w:rFonts w:ascii="Times New Roman" w:hAnsi="Times New Roman"/>
          <w:bCs/>
          <w:sz w:val="24"/>
          <w:szCs w:val="24"/>
        </w:rPr>
        <w:t xml:space="preserve">abs līmenis </w:t>
      </w:r>
      <w:r w:rsidR="0068484C">
        <w:rPr>
          <w:rFonts w:ascii="Times New Roman" w:hAnsi="Times New Roman"/>
          <w:bCs/>
          <w:sz w:val="24"/>
          <w:szCs w:val="24"/>
        </w:rPr>
        <w:t xml:space="preserve">komercuzņēmumos ir </w:t>
      </w:r>
      <w:r w:rsidRPr="00555CA6">
        <w:rPr>
          <w:rFonts w:ascii="Times New Roman" w:hAnsi="Times New Roman"/>
          <w:bCs/>
          <w:sz w:val="24"/>
          <w:szCs w:val="24"/>
        </w:rPr>
        <w:t>10-30%.</w:t>
      </w:r>
      <w:r w:rsidR="0068484C">
        <w:rPr>
          <w:rFonts w:ascii="Times New Roman" w:hAnsi="Times New Roman"/>
          <w:bCs/>
          <w:sz w:val="24"/>
          <w:szCs w:val="24"/>
        </w:rPr>
        <w:t xml:space="preserve"> ROE aprēķina formula ir:</w:t>
      </w:r>
    </w:p>
    <w:p w:rsidR="00CF2E05" w:rsidRDefault="00CF2E05" w:rsidP="00CF2E05">
      <w:pPr>
        <w:spacing w:line="276" w:lineRule="auto"/>
        <w:ind w:firstLine="720"/>
        <w:jc w:val="both"/>
        <w:rPr>
          <w:rFonts w:ascii="Times New Roman" w:hAnsi="Times New Roman"/>
          <w:bCs/>
          <w:sz w:val="24"/>
          <w:szCs w:val="24"/>
        </w:rPr>
      </w:pPr>
    </w:p>
    <w:p w:rsidR="005C3F75" w:rsidRPr="007620AA" w:rsidRDefault="005C3F75" w:rsidP="00581FEF">
      <w:pPr>
        <w:spacing w:line="276" w:lineRule="auto"/>
        <w:rPr>
          <w:rFonts w:ascii="Times New Roman" w:hAnsi="Times New Roman"/>
          <w:bCs/>
          <w:i/>
          <w:sz w:val="24"/>
          <w:szCs w:val="24"/>
        </w:rPr>
      </w:pPr>
      <m:oMathPara>
        <m:oMath>
          <m:r>
            <w:rPr>
              <w:rFonts w:ascii="Cambria Math" w:hAnsi="Cambria Math"/>
              <w:sz w:val="24"/>
              <w:szCs w:val="24"/>
            </w:rPr>
            <m:t>ROE=</m:t>
          </m:r>
          <m:f>
            <m:fPr>
              <m:ctrlPr>
                <w:rPr>
                  <w:rFonts w:ascii="Cambria Math" w:hAnsi="Cambria Math"/>
                  <w:bCs/>
                  <w:i/>
                  <w:sz w:val="24"/>
                  <w:szCs w:val="24"/>
                </w:rPr>
              </m:ctrlPr>
            </m:fPr>
            <m:num>
              <m:r>
                <w:rPr>
                  <w:rFonts w:ascii="Cambria Math" w:hAnsi="Cambria Math"/>
                  <w:sz w:val="24"/>
                  <w:szCs w:val="24"/>
                </w:rPr>
                <m:t>Tīrā peļņa</m:t>
              </m:r>
            </m:num>
            <m:den>
              <m:r>
                <w:rPr>
                  <w:rFonts w:ascii="Cambria Math" w:hAnsi="Cambria Math"/>
                  <w:sz w:val="24"/>
                  <w:szCs w:val="24"/>
                </w:rPr>
                <m:t>Pašu kapitāls</m:t>
              </m:r>
            </m:den>
          </m:f>
          <m:r>
            <w:rPr>
              <w:rFonts w:ascii="Cambria Math" w:hAnsi="Cambria Math"/>
              <w:sz w:val="24"/>
              <w:szCs w:val="24"/>
            </w:rPr>
            <m:t>*100</m:t>
          </m:r>
        </m:oMath>
      </m:oMathPara>
    </w:p>
    <w:p w:rsidR="00663C58" w:rsidRDefault="00663C58" w:rsidP="00581FEF">
      <w:pPr>
        <w:spacing w:line="276" w:lineRule="auto"/>
        <w:rPr>
          <w:rFonts w:ascii="Times New Roman" w:hAnsi="Times New Roman"/>
          <w:bCs/>
          <w:sz w:val="24"/>
          <w:szCs w:val="24"/>
        </w:rPr>
      </w:pPr>
    </w:p>
    <w:p w:rsidR="005118F4" w:rsidRDefault="005118F4" w:rsidP="00E811F9">
      <w:pPr>
        <w:spacing w:line="276" w:lineRule="auto"/>
        <w:ind w:firstLine="720"/>
        <w:jc w:val="both"/>
        <w:rPr>
          <w:rFonts w:ascii="Times New Roman" w:hAnsi="Times New Roman"/>
          <w:bCs/>
          <w:sz w:val="24"/>
          <w:szCs w:val="24"/>
        </w:rPr>
      </w:pPr>
      <w:r>
        <w:rPr>
          <w:rFonts w:ascii="Times New Roman" w:hAnsi="Times New Roman"/>
          <w:bCs/>
          <w:sz w:val="24"/>
          <w:szCs w:val="24"/>
        </w:rPr>
        <w:t>Valsts kapitālsabiedrību kopējā vidējā pašu kapitāla atdeve 2013.</w:t>
      </w:r>
      <w:r w:rsidR="00F12BE4">
        <w:rPr>
          <w:rFonts w:ascii="Times New Roman" w:hAnsi="Times New Roman"/>
          <w:bCs/>
          <w:sz w:val="24"/>
          <w:szCs w:val="24"/>
        </w:rPr>
        <w:t xml:space="preserve">, 2014. un </w:t>
      </w:r>
      <w:proofErr w:type="gramStart"/>
      <w:r>
        <w:rPr>
          <w:rFonts w:ascii="Times New Roman" w:hAnsi="Times New Roman"/>
          <w:bCs/>
          <w:sz w:val="24"/>
          <w:szCs w:val="24"/>
        </w:rPr>
        <w:t>2015.gadā</w:t>
      </w:r>
      <w:proofErr w:type="gramEnd"/>
      <w:r>
        <w:rPr>
          <w:rFonts w:ascii="Times New Roman" w:hAnsi="Times New Roman"/>
          <w:bCs/>
          <w:sz w:val="24"/>
          <w:szCs w:val="24"/>
        </w:rPr>
        <w:t xml:space="preserve"> Latvijā bija attiecīgi </w:t>
      </w:r>
      <w:r w:rsidR="008A78FF">
        <w:rPr>
          <w:rFonts w:ascii="Times New Roman" w:hAnsi="Times New Roman"/>
          <w:bCs/>
          <w:sz w:val="24"/>
          <w:szCs w:val="24"/>
        </w:rPr>
        <w:t>2,2</w:t>
      </w:r>
      <w:r w:rsidRPr="008A78FF">
        <w:rPr>
          <w:rFonts w:ascii="Times New Roman" w:hAnsi="Times New Roman"/>
          <w:bCs/>
          <w:sz w:val="24"/>
          <w:szCs w:val="24"/>
        </w:rPr>
        <w:t>%, 0,5% un 4,3%,</w:t>
      </w:r>
      <w:r>
        <w:rPr>
          <w:rFonts w:ascii="Times New Roman" w:hAnsi="Times New Roman"/>
          <w:bCs/>
          <w:sz w:val="24"/>
          <w:szCs w:val="24"/>
        </w:rPr>
        <w:t xml:space="preserve"> bet atsevišķu kapitālsabiedrību atdeve atšķīrās ļoti būtiski. </w:t>
      </w:r>
      <w:r w:rsidR="00F12BE4">
        <w:rPr>
          <w:rFonts w:ascii="Times New Roman" w:hAnsi="Times New Roman"/>
          <w:bCs/>
          <w:sz w:val="24"/>
          <w:szCs w:val="24"/>
        </w:rPr>
        <w:t xml:space="preserve">Jāmin gan, </w:t>
      </w:r>
      <w:proofErr w:type="gramStart"/>
      <w:r w:rsidR="00F12BE4">
        <w:rPr>
          <w:rFonts w:ascii="Times New Roman" w:hAnsi="Times New Roman"/>
          <w:bCs/>
          <w:sz w:val="24"/>
          <w:szCs w:val="24"/>
        </w:rPr>
        <w:t>ka</w:t>
      </w:r>
      <w:proofErr w:type="gramEnd"/>
      <w:r w:rsidR="00F12BE4">
        <w:rPr>
          <w:rFonts w:ascii="Times New Roman" w:hAnsi="Times New Roman"/>
          <w:bCs/>
          <w:sz w:val="24"/>
          <w:szCs w:val="24"/>
        </w:rPr>
        <w:t xml:space="preserve"> kaut arī jātiecas uz kopēju kapitāla atdeves paaugstināšanu, tomēr kapitāla atdeves mērķi uzstādāmi katrai kapitālsabiedrībai individuāli.</w:t>
      </w:r>
    </w:p>
    <w:p w:rsidR="00E811F9" w:rsidRDefault="00E811F9" w:rsidP="00E12F6F">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Attiecībā uz to, kā uzstādāmi pašu kapitāla atdeves mērķi, OECD </w:t>
      </w:r>
      <w:proofErr w:type="gramStart"/>
      <w:r>
        <w:rPr>
          <w:rFonts w:ascii="Times New Roman" w:hAnsi="Times New Roman"/>
          <w:bCs/>
          <w:sz w:val="24"/>
          <w:szCs w:val="24"/>
        </w:rPr>
        <w:t>2014.gadā</w:t>
      </w:r>
      <w:proofErr w:type="gramEnd"/>
      <w:r>
        <w:rPr>
          <w:rFonts w:ascii="Times New Roman" w:hAnsi="Times New Roman"/>
          <w:bCs/>
          <w:sz w:val="24"/>
          <w:szCs w:val="24"/>
        </w:rPr>
        <w:t xml:space="preserve"> veica pētījumu</w:t>
      </w:r>
      <w:r>
        <w:rPr>
          <w:rStyle w:val="FootnoteReference"/>
          <w:rFonts w:ascii="Times New Roman" w:hAnsi="Times New Roman"/>
          <w:bCs/>
          <w:sz w:val="24"/>
          <w:szCs w:val="24"/>
        </w:rPr>
        <w:footnoteReference w:id="1"/>
      </w:r>
      <w:r>
        <w:rPr>
          <w:rFonts w:ascii="Times New Roman" w:hAnsi="Times New Roman"/>
          <w:bCs/>
          <w:sz w:val="24"/>
          <w:szCs w:val="24"/>
        </w:rPr>
        <w:t xml:space="preserve">, analizējot, </w:t>
      </w:r>
      <w:r w:rsidRPr="00E811F9">
        <w:rPr>
          <w:rFonts w:ascii="Times New Roman" w:hAnsi="Times New Roman"/>
          <w:bCs/>
          <w:sz w:val="24"/>
          <w:szCs w:val="24"/>
        </w:rPr>
        <w:t>vai valsts kapitālsabiedrības tiek finansētas atbilstoši tirgus praksei (vai tās nav priviliģētā situācijā salīdzinot ar privāto sektoru).</w:t>
      </w:r>
      <w:r>
        <w:rPr>
          <w:rFonts w:ascii="Times New Roman" w:hAnsi="Times New Roman"/>
          <w:bCs/>
          <w:sz w:val="24"/>
          <w:szCs w:val="24"/>
        </w:rPr>
        <w:t xml:space="preserve"> Ņemot vērā, ka pašu kapitāls ir viens no finanšu avotiem</w:t>
      </w:r>
      <w:r w:rsidR="00DE6844">
        <w:rPr>
          <w:rFonts w:ascii="Times New Roman" w:hAnsi="Times New Roman"/>
          <w:bCs/>
          <w:sz w:val="24"/>
          <w:szCs w:val="24"/>
        </w:rPr>
        <w:t>, ir būtiski, lai valsts kā kapitāla ieguldītājs neradītu valsts kapitālsabiedrībām salīdzinošas priekšrocības pret tirgus dalībniekiem, piedāvājot kapitālu ar zemākām izmaksām vai radot apstākļus, kas ļauj kapitāla izmak</w:t>
      </w:r>
      <w:r w:rsidR="00CF4625">
        <w:rPr>
          <w:rFonts w:ascii="Times New Roman" w:hAnsi="Times New Roman"/>
          <w:bCs/>
          <w:sz w:val="24"/>
          <w:szCs w:val="24"/>
        </w:rPr>
        <w:t>s</w:t>
      </w:r>
      <w:r w:rsidR="00DE6844">
        <w:rPr>
          <w:rFonts w:ascii="Times New Roman" w:hAnsi="Times New Roman"/>
          <w:bCs/>
          <w:sz w:val="24"/>
          <w:szCs w:val="24"/>
        </w:rPr>
        <w:t xml:space="preserve">as samazināt. </w:t>
      </w:r>
      <w:r w:rsidR="00E12F6F">
        <w:rPr>
          <w:rFonts w:ascii="Times New Roman" w:hAnsi="Times New Roman"/>
          <w:bCs/>
          <w:sz w:val="24"/>
          <w:szCs w:val="24"/>
        </w:rPr>
        <w:t>Tas iekļauj arī jautājumus par to, cik daudz valsts atļaujas ieguldīt un cik sastāda aizņemtais finansējums (pašu kapitāla struktūras mērķi), atbilstošas atdeves likmes noteikšana, privātajam sektoram pielīdzināmu dividenžu izmaksas noteikšana un valsts galvojumu esamība valsts uzņēmumiem.</w:t>
      </w:r>
    </w:p>
    <w:p w:rsidR="00E811F9" w:rsidRDefault="0038776B" w:rsidP="00E811F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OECD pētījumā arī norādīts, ka </w:t>
      </w:r>
      <w:r w:rsidR="003343C6">
        <w:rPr>
          <w:rFonts w:ascii="Times New Roman" w:hAnsi="Times New Roman"/>
          <w:bCs/>
          <w:sz w:val="24"/>
          <w:szCs w:val="24"/>
        </w:rPr>
        <w:t>pastāv i</w:t>
      </w:r>
      <w:r w:rsidR="00E811F9" w:rsidRPr="00E811F9">
        <w:rPr>
          <w:rFonts w:ascii="Times New Roman" w:hAnsi="Times New Roman"/>
          <w:bCs/>
          <w:sz w:val="24"/>
          <w:szCs w:val="24"/>
        </w:rPr>
        <w:t>erobežojumi attiecībā uz atdeves prasību uzstādīšanu</w:t>
      </w:r>
      <w:r w:rsidR="003343C6">
        <w:rPr>
          <w:rFonts w:ascii="Times New Roman" w:hAnsi="Times New Roman"/>
          <w:bCs/>
          <w:sz w:val="24"/>
          <w:szCs w:val="24"/>
        </w:rPr>
        <w:t>,</w:t>
      </w:r>
      <w:r w:rsidR="00E811F9" w:rsidRPr="00E811F9">
        <w:rPr>
          <w:rFonts w:ascii="Times New Roman" w:hAnsi="Times New Roman"/>
          <w:bCs/>
          <w:sz w:val="24"/>
          <w:szCs w:val="24"/>
        </w:rPr>
        <w:t xml:space="preserve"> </w:t>
      </w:r>
      <w:r w:rsidR="003343C6">
        <w:rPr>
          <w:rFonts w:ascii="Times New Roman" w:hAnsi="Times New Roman"/>
          <w:bCs/>
          <w:sz w:val="24"/>
          <w:szCs w:val="24"/>
        </w:rPr>
        <w:t>–</w:t>
      </w:r>
      <w:r w:rsidR="00E811F9" w:rsidRPr="00E811F9">
        <w:rPr>
          <w:rFonts w:ascii="Times New Roman" w:hAnsi="Times New Roman"/>
          <w:bCs/>
          <w:sz w:val="24"/>
          <w:szCs w:val="24"/>
        </w:rPr>
        <w:t xml:space="preserve"> tā</w:t>
      </w:r>
      <w:r w:rsidR="003343C6">
        <w:rPr>
          <w:rFonts w:ascii="Times New Roman" w:hAnsi="Times New Roman"/>
          <w:bCs/>
          <w:sz w:val="24"/>
          <w:szCs w:val="24"/>
        </w:rPr>
        <w:t xml:space="preserve"> </w:t>
      </w:r>
      <w:r w:rsidR="00E811F9" w:rsidRPr="00E811F9">
        <w:rPr>
          <w:rFonts w:ascii="Times New Roman" w:hAnsi="Times New Roman"/>
          <w:bCs/>
          <w:sz w:val="24"/>
          <w:szCs w:val="24"/>
        </w:rPr>
        <w:t>var būt sarežģīta gadījumos, kad valsts kapitālsabiedrības veic gan komerciālu, gan nekomerciālu darbību, it īpaši, ja to izmaksas nav atsevišķi nodalītas.</w:t>
      </w:r>
      <w:r w:rsidR="003343C6">
        <w:rPr>
          <w:rFonts w:ascii="Times New Roman" w:hAnsi="Times New Roman"/>
          <w:bCs/>
          <w:sz w:val="24"/>
          <w:szCs w:val="24"/>
        </w:rPr>
        <w:t xml:space="preserve"> </w:t>
      </w:r>
      <w:r w:rsidR="00E811F9" w:rsidRPr="00E811F9">
        <w:rPr>
          <w:rFonts w:ascii="Times New Roman" w:hAnsi="Times New Roman"/>
          <w:bCs/>
          <w:sz w:val="24"/>
          <w:szCs w:val="24"/>
        </w:rPr>
        <w:t>Ņemot to vērā, minētais OECD pētījums fokusējas tieši uz komerciālo sabiedrību praksi</w:t>
      </w:r>
      <w:r w:rsidR="003343C6">
        <w:rPr>
          <w:rFonts w:ascii="Times New Roman" w:hAnsi="Times New Roman"/>
          <w:bCs/>
          <w:sz w:val="24"/>
          <w:szCs w:val="24"/>
        </w:rPr>
        <w:t>.</w:t>
      </w:r>
    </w:p>
    <w:p w:rsidR="00E811F9" w:rsidRPr="00E811F9" w:rsidRDefault="00E811F9" w:rsidP="00E811F9">
      <w:pPr>
        <w:spacing w:line="276" w:lineRule="auto"/>
        <w:ind w:firstLine="720"/>
        <w:jc w:val="both"/>
        <w:rPr>
          <w:rFonts w:ascii="Times New Roman" w:hAnsi="Times New Roman"/>
          <w:bCs/>
          <w:sz w:val="24"/>
          <w:szCs w:val="24"/>
        </w:rPr>
      </w:pPr>
      <w:r w:rsidRPr="00E811F9">
        <w:rPr>
          <w:rFonts w:ascii="Times New Roman" w:hAnsi="Times New Roman"/>
          <w:bCs/>
          <w:sz w:val="24"/>
          <w:szCs w:val="24"/>
        </w:rPr>
        <w:t>Prakse atdeves prasību uzstādīšanai OECD valstīs:</w:t>
      </w:r>
    </w:p>
    <w:p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atdeves prasības piemēro komerciālām aktivitātēm,</w:t>
      </w:r>
    </w:p>
    <w:p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kad aktivitātes nav nodalītas, ir gadījumi, kad piemēro zemāku kapitāla atdevi (</w:t>
      </w:r>
      <w:r w:rsidR="00BE522E" w:rsidRPr="008A78FF">
        <w:rPr>
          <w:rFonts w:ascii="Times New Roman" w:hAnsi="Times New Roman"/>
          <w:bCs/>
          <w:sz w:val="24"/>
          <w:szCs w:val="24"/>
        </w:rPr>
        <w:t xml:space="preserve">piemēram, </w:t>
      </w:r>
      <w:r w:rsidRPr="008A78FF">
        <w:rPr>
          <w:rFonts w:ascii="Times New Roman" w:hAnsi="Times New Roman"/>
          <w:bCs/>
          <w:sz w:val="24"/>
          <w:szCs w:val="24"/>
        </w:rPr>
        <w:t>Lietuvā),</w:t>
      </w:r>
    </w:p>
    <w:p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prakse sniedzas no precīziem mērķiem līdz neuzstādītiem mērķiem (nav atdeves mērķu Čehijā, Vācijā, Īrijā, Israēlā, Itālijā, Japānā un Polijā),</w:t>
      </w:r>
    </w:p>
    <w:p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 xml:space="preserve">visbiežāk mērķu izstrāde ir </w:t>
      </w:r>
      <w:r w:rsidR="00BE522E" w:rsidRPr="008A78FF">
        <w:rPr>
          <w:rFonts w:ascii="Times New Roman" w:hAnsi="Times New Roman"/>
          <w:bCs/>
          <w:sz w:val="24"/>
          <w:szCs w:val="24"/>
        </w:rPr>
        <w:t>v</w:t>
      </w:r>
      <w:r w:rsidRPr="008A78FF">
        <w:rPr>
          <w:rFonts w:ascii="Times New Roman" w:hAnsi="Times New Roman"/>
          <w:bCs/>
          <w:sz w:val="24"/>
          <w:szCs w:val="24"/>
        </w:rPr>
        <w:t>aldes/ padomes kompetencē ar apstiprināšanu akcionāru sapulcē,</w:t>
      </w:r>
    </w:p>
    <w:p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izmanto CAPM vai ROCE aprēķinus atdeves noteikšanai.</w:t>
      </w:r>
    </w:p>
    <w:p w:rsidR="000E11A0" w:rsidRDefault="000E11A0" w:rsidP="00BE522E">
      <w:pPr>
        <w:spacing w:line="276" w:lineRule="auto"/>
        <w:ind w:firstLine="720"/>
        <w:jc w:val="both"/>
        <w:rPr>
          <w:rFonts w:ascii="Times New Roman" w:hAnsi="Times New Roman"/>
          <w:bCs/>
          <w:sz w:val="24"/>
          <w:szCs w:val="24"/>
        </w:rPr>
      </w:pPr>
    </w:p>
    <w:p w:rsidR="00BB510F" w:rsidRDefault="00BE522E" w:rsidP="00BE522E">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Attiecībā uz konkrētu valstu praksi, </w:t>
      </w:r>
      <w:r w:rsidR="00F6336C">
        <w:rPr>
          <w:rFonts w:ascii="Times New Roman" w:hAnsi="Times New Roman"/>
          <w:bCs/>
          <w:sz w:val="24"/>
          <w:szCs w:val="24"/>
        </w:rPr>
        <w:t xml:space="preserve">jāmin Zviedrija, kurai ir izstrādāta secīga un salāgotu finanšu mērķu izstrādes pieeja. </w:t>
      </w:r>
      <w:r w:rsidR="000E11A0">
        <w:rPr>
          <w:rFonts w:ascii="Times New Roman" w:hAnsi="Times New Roman"/>
          <w:bCs/>
          <w:sz w:val="24"/>
          <w:szCs w:val="24"/>
        </w:rPr>
        <w:t>Izejot no pašu kapitāla izmaksām, tiek vienlaicīgi izskatīti mērķi attiecībā uz kapitāla struktūru, rentabilitāti un dividenžu politiku</w:t>
      </w:r>
      <w:r w:rsidR="0039359F">
        <w:rPr>
          <w:rStyle w:val="FootnoteReference"/>
          <w:rFonts w:ascii="Times New Roman" w:hAnsi="Times New Roman"/>
          <w:bCs/>
          <w:sz w:val="24"/>
          <w:szCs w:val="24"/>
        </w:rPr>
        <w:footnoteReference w:id="2"/>
      </w:r>
      <w:r w:rsidR="000E11A0">
        <w:rPr>
          <w:rFonts w:ascii="Times New Roman" w:hAnsi="Times New Roman"/>
          <w:bCs/>
          <w:sz w:val="24"/>
          <w:szCs w:val="24"/>
        </w:rPr>
        <w:t xml:space="preserve">. </w:t>
      </w:r>
      <w:proofErr w:type="gramStart"/>
      <w:r w:rsidR="000E11A0">
        <w:rPr>
          <w:rFonts w:ascii="Times New Roman" w:hAnsi="Times New Roman"/>
          <w:bCs/>
          <w:sz w:val="24"/>
          <w:szCs w:val="24"/>
        </w:rPr>
        <w:t>Salāgojot šos mērķus</w:t>
      </w:r>
      <w:proofErr w:type="gramEnd"/>
      <w:r w:rsidR="000E11A0">
        <w:rPr>
          <w:rFonts w:ascii="Times New Roman" w:hAnsi="Times New Roman"/>
          <w:bCs/>
          <w:sz w:val="24"/>
          <w:szCs w:val="24"/>
        </w:rPr>
        <w:t xml:space="preserve"> tiek iegūts galējais mērķu uzstādījums. </w:t>
      </w:r>
      <w:r w:rsidR="0039359F">
        <w:rPr>
          <w:rFonts w:ascii="Times New Roman" w:hAnsi="Times New Roman"/>
          <w:bCs/>
          <w:sz w:val="24"/>
          <w:szCs w:val="24"/>
        </w:rPr>
        <w:t xml:space="preserve">Nosakot optimālo kapitāla struktūru, tiek </w:t>
      </w:r>
      <w:r w:rsidR="0039359F">
        <w:rPr>
          <w:rFonts w:ascii="Times New Roman" w:hAnsi="Times New Roman"/>
          <w:bCs/>
          <w:sz w:val="24"/>
          <w:szCs w:val="24"/>
        </w:rPr>
        <w:lastRenderedPageBreak/>
        <w:t xml:space="preserve">noteiktas zemākās vidējās svērtās kapitāla izmaksas </w:t>
      </w:r>
      <w:proofErr w:type="gramStart"/>
      <w:r w:rsidR="0039359F">
        <w:rPr>
          <w:rFonts w:ascii="Times New Roman" w:hAnsi="Times New Roman"/>
          <w:bCs/>
          <w:sz w:val="24"/>
          <w:szCs w:val="24"/>
        </w:rPr>
        <w:t>(</w:t>
      </w:r>
      <w:proofErr w:type="gramEnd"/>
      <w:r w:rsidR="0039359F">
        <w:rPr>
          <w:rFonts w:ascii="Times New Roman" w:hAnsi="Times New Roman"/>
          <w:bCs/>
          <w:sz w:val="24"/>
          <w:szCs w:val="24"/>
        </w:rPr>
        <w:t>WACC metode</w:t>
      </w:r>
      <w:r w:rsidR="00EE3BDD">
        <w:rPr>
          <w:rFonts w:ascii="Times New Roman" w:hAnsi="Times New Roman"/>
          <w:bCs/>
          <w:sz w:val="24"/>
          <w:szCs w:val="24"/>
        </w:rPr>
        <w:t xml:space="preserve"> – angļu val. </w:t>
      </w:r>
      <w:r w:rsidR="00EE3BDD" w:rsidRPr="00EE3BDD">
        <w:rPr>
          <w:rFonts w:ascii="Times New Roman" w:hAnsi="Times New Roman"/>
          <w:bCs/>
          <w:i/>
          <w:sz w:val="24"/>
          <w:szCs w:val="24"/>
        </w:rPr>
        <w:t>Weighted Average Cost of Capital</w:t>
      </w:r>
      <w:r w:rsidR="0039359F">
        <w:rPr>
          <w:rFonts w:ascii="Times New Roman" w:hAnsi="Times New Roman"/>
          <w:bCs/>
          <w:sz w:val="24"/>
          <w:szCs w:val="24"/>
        </w:rPr>
        <w:t xml:space="preserve">), kas ir minimālais līmenis atdevei no investētā kapitāla. </w:t>
      </w:r>
      <w:r w:rsidR="002436AF">
        <w:rPr>
          <w:rFonts w:ascii="Times New Roman" w:hAnsi="Times New Roman"/>
          <w:bCs/>
          <w:sz w:val="24"/>
          <w:szCs w:val="24"/>
        </w:rPr>
        <w:t>Attiecīgi tas arī ietekm</w:t>
      </w:r>
      <w:r w:rsidR="00CC2EC1">
        <w:rPr>
          <w:rFonts w:ascii="Times New Roman" w:hAnsi="Times New Roman"/>
          <w:bCs/>
          <w:sz w:val="24"/>
          <w:szCs w:val="24"/>
        </w:rPr>
        <w:t>ē</w:t>
      </w:r>
      <w:r w:rsidR="002436AF">
        <w:rPr>
          <w:rFonts w:ascii="Times New Roman" w:hAnsi="Times New Roman"/>
          <w:bCs/>
          <w:sz w:val="24"/>
          <w:szCs w:val="24"/>
        </w:rPr>
        <w:t xml:space="preserve"> rentabilitātes mērķi.</w:t>
      </w:r>
      <w:r w:rsidR="00C07369">
        <w:rPr>
          <w:rFonts w:ascii="Times New Roman" w:hAnsi="Times New Roman"/>
          <w:bCs/>
          <w:sz w:val="24"/>
          <w:szCs w:val="24"/>
        </w:rPr>
        <w:t xml:space="preserve"> Šie mērķi tiek vērtēti attiecībā arī pret uzņēmuma stratēģiju, plāniem un riskiem, kā arī nozares uzņēmumu salīdzinošajiem rādītājiem.</w:t>
      </w:r>
    </w:p>
    <w:p w:rsidR="009E19B5" w:rsidRPr="00581FEF" w:rsidRDefault="00BB510F" w:rsidP="008A78FF">
      <w:pPr>
        <w:spacing w:line="276" w:lineRule="auto"/>
        <w:ind w:firstLine="720"/>
        <w:jc w:val="both"/>
        <w:rPr>
          <w:rFonts w:ascii="Times New Roman" w:hAnsi="Times New Roman"/>
          <w:bCs/>
          <w:sz w:val="24"/>
          <w:szCs w:val="24"/>
        </w:rPr>
      </w:pPr>
      <w:r>
        <w:rPr>
          <w:rFonts w:ascii="Times New Roman" w:hAnsi="Times New Roman"/>
          <w:bCs/>
          <w:sz w:val="24"/>
          <w:szCs w:val="24"/>
        </w:rPr>
        <w:t>Kapitāla izmaksu aprēķināšanai Zviedrija izmanto CAPM formulu, to izmanto arī Igaunija. CAPM (</w:t>
      </w:r>
      <w:r w:rsidRPr="00BB510F">
        <w:rPr>
          <w:rFonts w:ascii="Times New Roman" w:hAnsi="Times New Roman"/>
          <w:bCs/>
          <w:i/>
          <w:sz w:val="24"/>
          <w:szCs w:val="24"/>
        </w:rPr>
        <w:t>Capital Asset Pricing Model</w:t>
      </w:r>
      <w:r>
        <w:rPr>
          <w:rFonts w:ascii="Times New Roman" w:hAnsi="Times New Roman"/>
          <w:bCs/>
          <w:sz w:val="24"/>
          <w:szCs w:val="24"/>
        </w:rPr>
        <w:t xml:space="preserve"> – no angļu val. kapitāla aktīvu cenas noteikšanas modelis)</w:t>
      </w:r>
      <w:r w:rsidR="008A78FF">
        <w:rPr>
          <w:rFonts w:ascii="Times New Roman" w:hAnsi="Times New Roman"/>
          <w:bCs/>
          <w:sz w:val="24"/>
          <w:szCs w:val="24"/>
        </w:rPr>
        <w:t xml:space="preserve"> </w:t>
      </w:r>
      <w:r w:rsidR="009E19B5" w:rsidRPr="008A78FF">
        <w:rPr>
          <w:rFonts w:ascii="Times New Roman" w:hAnsi="Times New Roman"/>
          <w:bCs/>
          <w:sz w:val="24"/>
          <w:szCs w:val="24"/>
        </w:rPr>
        <w:t>parāda sakarību starp sist</w:t>
      </w:r>
      <w:r w:rsidR="00F77DD5">
        <w:rPr>
          <w:rFonts w:ascii="Times New Roman" w:hAnsi="Times New Roman"/>
          <w:bCs/>
          <w:sz w:val="24"/>
          <w:szCs w:val="24"/>
        </w:rPr>
        <w:t>emāt</w:t>
      </w:r>
      <w:r w:rsidR="009E19B5" w:rsidRPr="008A78FF">
        <w:rPr>
          <w:rFonts w:ascii="Times New Roman" w:hAnsi="Times New Roman"/>
          <w:bCs/>
          <w:sz w:val="24"/>
          <w:szCs w:val="24"/>
        </w:rPr>
        <w:t>isku risku un sagaidāmo atdevi no aktīviem.</w:t>
      </w:r>
    </w:p>
    <w:p w:rsidR="009E19B5" w:rsidRPr="00581FEF" w:rsidRDefault="009E19B5" w:rsidP="00581FEF">
      <w:pPr>
        <w:spacing w:line="276" w:lineRule="auto"/>
        <w:rPr>
          <w:rFonts w:ascii="Times New Roman" w:hAnsi="Times New Roman"/>
          <w:bCs/>
          <w:sz w:val="24"/>
          <w:szCs w:val="24"/>
        </w:rPr>
      </w:pPr>
    </w:p>
    <w:p w:rsidR="009E19B5" w:rsidRPr="00581FEF" w:rsidRDefault="009E19B5" w:rsidP="00BB510F">
      <w:pPr>
        <w:spacing w:line="276" w:lineRule="auto"/>
        <w:ind w:firstLine="720"/>
        <w:jc w:val="both"/>
        <w:rPr>
          <w:rFonts w:ascii="Times New Roman" w:hAnsi="Times New Roman"/>
          <w:bCs/>
          <w:sz w:val="24"/>
          <w:szCs w:val="24"/>
        </w:rPr>
      </w:pPr>
      <w:r w:rsidRPr="00581FEF">
        <w:rPr>
          <w:rFonts w:ascii="Times New Roman" w:hAnsi="Times New Roman"/>
          <w:bCs/>
          <w:sz w:val="24"/>
          <w:szCs w:val="24"/>
        </w:rPr>
        <w:t>CAPM aprēķina pēc šādas formulas:</w:t>
      </w:r>
    </w:p>
    <w:p w:rsidR="009E19B5" w:rsidRPr="00581FEF" w:rsidRDefault="009E19B5" w:rsidP="00581FEF">
      <w:pPr>
        <w:spacing w:line="276" w:lineRule="auto"/>
        <w:rPr>
          <w:rFonts w:ascii="Times New Roman" w:hAnsi="Times New Roman"/>
          <w:bCs/>
          <w:sz w:val="24"/>
          <w:szCs w:val="24"/>
        </w:rPr>
      </w:pPr>
    </w:p>
    <w:p w:rsidR="009E19B5" w:rsidRPr="00581FEF" w:rsidRDefault="009E19B5" w:rsidP="00BB510F">
      <w:pPr>
        <w:spacing w:line="276" w:lineRule="auto"/>
        <w:jc w:val="center"/>
        <w:rPr>
          <w:rFonts w:ascii="Times New Roman" w:hAnsi="Times New Roman"/>
          <w:bCs/>
          <w:sz w:val="24"/>
          <w:szCs w:val="24"/>
        </w:rPr>
      </w:pPr>
      <w:r w:rsidRPr="00581FEF">
        <w:rPr>
          <w:rFonts w:ascii="Times New Roman" w:hAnsi="Times New Roman"/>
          <w:sz w:val="24"/>
          <w:szCs w:val="24"/>
        </w:rPr>
        <w:t>r</w:t>
      </w:r>
      <w:r w:rsidR="00BB510F" w:rsidRPr="00BB510F">
        <w:rPr>
          <w:rFonts w:ascii="Times New Roman" w:hAnsi="Times New Roman"/>
          <w:sz w:val="24"/>
          <w:szCs w:val="24"/>
          <w:vertAlign w:val="subscript"/>
        </w:rPr>
        <w:t>e</w:t>
      </w:r>
      <w:r w:rsidRPr="00581FEF">
        <w:rPr>
          <w:rFonts w:ascii="Times New Roman" w:hAnsi="Times New Roman"/>
          <w:sz w:val="24"/>
          <w:szCs w:val="24"/>
        </w:rPr>
        <w:t xml:space="preserve"> = r</w:t>
      </w:r>
      <w:r w:rsidRPr="00581FEF">
        <w:rPr>
          <w:rFonts w:ascii="Times New Roman" w:hAnsi="Times New Roman"/>
          <w:sz w:val="24"/>
          <w:szCs w:val="24"/>
          <w:vertAlign w:val="subscript"/>
        </w:rPr>
        <w:t xml:space="preserve">f </w:t>
      </w:r>
      <w:r w:rsidRPr="00581FEF">
        <w:rPr>
          <w:rFonts w:ascii="Times New Roman" w:hAnsi="Times New Roman"/>
          <w:sz w:val="24"/>
          <w:szCs w:val="24"/>
        </w:rPr>
        <w:t xml:space="preserve">+ </w:t>
      </w:r>
      <w:r w:rsidR="00E95C74" w:rsidRPr="00581FEF">
        <w:rPr>
          <w:rFonts w:ascii="Times New Roman" w:hAnsi="Times New Roman"/>
          <w:bCs/>
          <w:sz w:val="24"/>
          <w:szCs w:val="24"/>
        </w:rPr>
        <w:t>β</w:t>
      </w:r>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r w:rsidRPr="00581FEF">
        <w:rPr>
          <w:rFonts w:ascii="Times New Roman" w:hAnsi="Times New Roman"/>
          <w:sz w:val="24"/>
          <w:szCs w:val="24"/>
        </w:rPr>
        <w:t>)</w:t>
      </w:r>
      <w:r w:rsidR="00BB510F">
        <w:rPr>
          <w:rFonts w:ascii="Times New Roman" w:hAnsi="Times New Roman"/>
          <w:sz w:val="24"/>
          <w:szCs w:val="24"/>
        </w:rPr>
        <w:t>, kur</w:t>
      </w:r>
    </w:p>
    <w:p w:rsidR="009E19B5" w:rsidRPr="00581FEF" w:rsidRDefault="009E19B5" w:rsidP="00581FEF">
      <w:pPr>
        <w:spacing w:line="276" w:lineRule="auto"/>
        <w:rPr>
          <w:rFonts w:ascii="Times New Roman" w:hAnsi="Times New Roman"/>
          <w:bCs/>
          <w:sz w:val="24"/>
          <w:szCs w:val="24"/>
        </w:rPr>
      </w:pPr>
    </w:p>
    <w:p w:rsidR="00BB510F" w:rsidRDefault="00BB510F" w:rsidP="00581FEF">
      <w:pPr>
        <w:pStyle w:val="NormalWeb"/>
        <w:spacing w:line="276" w:lineRule="auto"/>
      </w:pPr>
      <w:r>
        <w:t>r</w:t>
      </w:r>
      <w:r w:rsidRPr="00BB510F">
        <w:rPr>
          <w:vertAlign w:val="subscript"/>
        </w:rPr>
        <w:t>e</w:t>
      </w:r>
      <w:r>
        <w:t xml:space="preserve"> – pašu kapitāla izmaksas</w:t>
      </w:r>
      <w:r w:rsidR="00F77DD5">
        <w:t>,</w:t>
      </w:r>
    </w:p>
    <w:p w:rsidR="009E19B5" w:rsidRPr="00581FEF" w:rsidRDefault="009E19B5" w:rsidP="00581FEF">
      <w:pPr>
        <w:pStyle w:val="NormalWeb"/>
        <w:spacing w:line="276" w:lineRule="auto"/>
      </w:pPr>
      <w:r w:rsidRPr="00581FEF">
        <w:t>r</w:t>
      </w:r>
      <w:r w:rsidRPr="00581FEF">
        <w:rPr>
          <w:vertAlign w:val="subscript"/>
        </w:rPr>
        <w:t>f</w:t>
      </w:r>
      <w:r w:rsidR="00BB510F">
        <w:t xml:space="preserve"> – bezriska </w:t>
      </w:r>
      <w:r w:rsidR="00371FD9" w:rsidRPr="00581FEF">
        <w:t>procentu</w:t>
      </w:r>
      <w:r w:rsidR="00BB510F">
        <w:t xml:space="preserve"> likme</w:t>
      </w:r>
      <w:r w:rsidR="00F77DD5">
        <w:t>,</w:t>
      </w:r>
    </w:p>
    <w:p w:rsidR="009E19B5" w:rsidRPr="00581FEF" w:rsidRDefault="009E19B5" w:rsidP="00581FEF">
      <w:pPr>
        <w:pStyle w:val="NormalWeb"/>
        <w:spacing w:line="276" w:lineRule="auto"/>
      </w:pPr>
      <w:r w:rsidRPr="00581FEF">
        <w:t>r</w:t>
      </w:r>
      <w:r w:rsidRPr="00581FEF">
        <w:rPr>
          <w:vertAlign w:val="subscript"/>
        </w:rPr>
        <w:t>m</w:t>
      </w:r>
      <w:r w:rsidR="00BB510F">
        <w:t xml:space="preserve"> – </w:t>
      </w:r>
      <w:r w:rsidR="00371FD9" w:rsidRPr="00581FEF">
        <w:t>tirgus procentu likme</w:t>
      </w:r>
      <w:r w:rsidR="00F77DD5">
        <w:t>,</w:t>
      </w:r>
    </w:p>
    <w:p w:rsidR="009E19B5" w:rsidRPr="00581FEF" w:rsidRDefault="00E95C74" w:rsidP="00581FEF">
      <w:pPr>
        <w:pStyle w:val="NormalWeb"/>
        <w:spacing w:line="276" w:lineRule="auto"/>
      </w:pPr>
      <w:r w:rsidRPr="00F77DD5">
        <w:rPr>
          <w:bCs/>
        </w:rPr>
        <w:t>β</w:t>
      </w:r>
      <w:r w:rsidR="00BB510F" w:rsidRPr="00F77DD5">
        <w:t xml:space="preserve"> – </w:t>
      </w:r>
      <w:r w:rsidR="00F77DD5" w:rsidRPr="00F77DD5">
        <w:t xml:space="preserve">(beta) </w:t>
      </w:r>
      <w:r w:rsidR="00371FD9" w:rsidRPr="00F77DD5">
        <w:t xml:space="preserve">attiecīgā aktīva </w:t>
      </w:r>
      <w:r w:rsidR="00F77DD5" w:rsidRPr="00F77DD5">
        <w:t>svārstīgums attiecībā pret tirgu</w:t>
      </w:r>
      <w:r w:rsidR="00F77DD5">
        <w:t xml:space="preserve"> (sistemātiskais risks).</w:t>
      </w:r>
    </w:p>
    <w:p w:rsidR="00793031" w:rsidRDefault="00793031" w:rsidP="00CC2EC1">
      <w:pPr>
        <w:spacing w:line="276" w:lineRule="auto"/>
        <w:ind w:firstLine="720"/>
        <w:jc w:val="both"/>
        <w:rPr>
          <w:rFonts w:ascii="Times New Roman" w:hAnsi="Times New Roman"/>
          <w:bCs/>
          <w:sz w:val="24"/>
          <w:szCs w:val="24"/>
        </w:rPr>
      </w:pPr>
      <w:r>
        <w:rPr>
          <w:rFonts w:ascii="Times New Roman" w:hAnsi="Times New Roman"/>
          <w:bCs/>
          <w:sz w:val="24"/>
          <w:szCs w:val="24"/>
        </w:rPr>
        <w:t>Igaunija šajā CAPM formulā atsevišķi iekļauj arī ar uzņēmuma lielumu saistītās izmaksas</w:t>
      </w:r>
      <w:r w:rsidR="00F77DD5">
        <w:rPr>
          <w:rFonts w:ascii="Times New Roman" w:hAnsi="Times New Roman"/>
          <w:bCs/>
          <w:sz w:val="24"/>
          <w:szCs w:val="24"/>
        </w:rPr>
        <w:t xml:space="preserve"> - r</w:t>
      </w:r>
      <w:r w:rsidR="00F77DD5" w:rsidRPr="00F77DD5">
        <w:rPr>
          <w:rFonts w:ascii="Times New Roman" w:hAnsi="Times New Roman"/>
          <w:bCs/>
          <w:sz w:val="24"/>
          <w:szCs w:val="24"/>
          <w:vertAlign w:val="subscript"/>
        </w:rPr>
        <w:t>s</w:t>
      </w:r>
      <w:r>
        <w:rPr>
          <w:rFonts w:ascii="Times New Roman" w:hAnsi="Times New Roman"/>
          <w:bCs/>
          <w:sz w:val="24"/>
          <w:szCs w:val="24"/>
        </w:rPr>
        <w:t>:</w:t>
      </w:r>
    </w:p>
    <w:p w:rsidR="00793031" w:rsidRPr="00581FEF" w:rsidRDefault="00793031" w:rsidP="00793031">
      <w:pPr>
        <w:spacing w:line="276" w:lineRule="auto"/>
        <w:jc w:val="center"/>
        <w:rPr>
          <w:rFonts w:ascii="Times New Roman" w:hAnsi="Times New Roman"/>
          <w:bCs/>
          <w:sz w:val="24"/>
          <w:szCs w:val="24"/>
        </w:rPr>
      </w:pPr>
      <w:r w:rsidRPr="00581FEF">
        <w:rPr>
          <w:rFonts w:ascii="Times New Roman" w:hAnsi="Times New Roman"/>
          <w:sz w:val="24"/>
          <w:szCs w:val="24"/>
        </w:rPr>
        <w:t>r</w:t>
      </w:r>
      <w:r w:rsidRPr="00BB510F">
        <w:rPr>
          <w:rFonts w:ascii="Times New Roman" w:hAnsi="Times New Roman"/>
          <w:sz w:val="24"/>
          <w:szCs w:val="24"/>
          <w:vertAlign w:val="subscript"/>
        </w:rPr>
        <w:t>e</w:t>
      </w:r>
      <w:r w:rsidRPr="00581FEF">
        <w:rPr>
          <w:rFonts w:ascii="Times New Roman" w:hAnsi="Times New Roman"/>
          <w:sz w:val="24"/>
          <w:szCs w:val="24"/>
        </w:rPr>
        <w:t xml:space="preserve"> = r</w:t>
      </w:r>
      <w:r w:rsidRPr="00581FEF">
        <w:rPr>
          <w:rFonts w:ascii="Times New Roman" w:hAnsi="Times New Roman"/>
          <w:sz w:val="24"/>
          <w:szCs w:val="24"/>
          <w:vertAlign w:val="subscript"/>
        </w:rPr>
        <w:t xml:space="preserve">f </w:t>
      </w:r>
      <w:r w:rsidRPr="00581FEF">
        <w:rPr>
          <w:rFonts w:ascii="Times New Roman" w:hAnsi="Times New Roman"/>
          <w:sz w:val="24"/>
          <w:szCs w:val="24"/>
        </w:rPr>
        <w:t xml:space="preserve">+ </w:t>
      </w:r>
      <w:r w:rsidRPr="00581FEF">
        <w:rPr>
          <w:rFonts w:ascii="Times New Roman" w:hAnsi="Times New Roman"/>
          <w:bCs/>
          <w:sz w:val="24"/>
          <w:szCs w:val="24"/>
        </w:rPr>
        <w:t>β</w:t>
      </w:r>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r w:rsidRPr="00581FEF">
        <w:rPr>
          <w:rFonts w:ascii="Times New Roman" w:hAnsi="Times New Roman"/>
          <w:sz w:val="24"/>
          <w:szCs w:val="24"/>
        </w:rPr>
        <w:t>)</w:t>
      </w:r>
      <w:r>
        <w:rPr>
          <w:rFonts w:ascii="Times New Roman" w:hAnsi="Times New Roman"/>
          <w:sz w:val="24"/>
          <w:szCs w:val="24"/>
        </w:rPr>
        <w:t xml:space="preserve"> + r</w:t>
      </w:r>
      <w:r w:rsidRPr="00793031">
        <w:rPr>
          <w:rFonts w:ascii="Times New Roman" w:hAnsi="Times New Roman"/>
          <w:sz w:val="24"/>
          <w:szCs w:val="24"/>
          <w:vertAlign w:val="subscript"/>
        </w:rPr>
        <w:t>s</w:t>
      </w:r>
      <w:r>
        <w:rPr>
          <w:rFonts w:ascii="Times New Roman" w:hAnsi="Times New Roman"/>
          <w:sz w:val="24"/>
          <w:szCs w:val="24"/>
        </w:rPr>
        <w:t>, kur</w:t>
      </w:r>
    </w:p>
    <w:p w:rsidR="00793031" w:rsidRDefault="00793031" w:rsidP="00CC2EC1">
      <w:pPr>
        <w:spacing w:line="276" w:lineRule="auto"/>
        <w:ind w:firstLine="720"/>
        <w:jc w:val="both"/>
        <w:rPr>
          <w:rFonts w:ascii="Times New Roman" w:hAnsi="Times New Roman"/>
          <w:bCs/>
          <w:sz w:val="24"/>
          <w:szCs w:val="24"/>
        </w:rPr>
      </w:pPr>
    </w:p>
    <w:p w:rsidR="00793031" w:rsidRDefault="00793031" w:rsidP="00CC2EC1">
      <w:pPr>
        <w:spacing w:line="276" w:lineRule="auto"/>
        <w:ind w:firstLine="720"/>
        <w:jc w:val="both"/>
        <w:rPr>
          <w:rFonts w:ascii="Times New Roman" w:hAnsi="Times New Roman"/>
          <w:bCs/>
          <w:sz w:val="24"/>
          <w:szCs w:val="24"/>
        </w:rPr>
      </w:pPr>
      <w:r w:rsidRPr="00F964BC">
        <w:rPr>
          <w:rFonts w:ascii="Times New Roman" w:hAnsi="Times New Roman"/>
          <w:bCs/>
          <w:sz w:val="24"/>
          <w:szCs w:val="24"/>
        </w:rPr>
        <w:t>r</w:t>
      </w:r>
      <w:r w:rsidRPr="00F964BC">
        <w:rPr>
          <w:rFonts w:ascii="Times New Roman" w:hAnsi="Times New Roman"/>
          <w:bCs/>
          <w:sz w:val="24"/>
          <w:szCs w:val="24"/>
          <w:vertAlign w:val="subscript"/>
        </w:rPr>
        <w:t>s</w:t>
      </w:r>
      <w:r w:rsidRPr="00F964BC">
        <w:rPr>
          <w:rFonts w:ascii="Times New Roman" w:hAnsi="Times New Roman"/>
          <w:bCs/>
          <w:sz w:val="24"/>
          <w:szCs w:val="24"/>
        </w:rPr>
        <w:t xml:space="preserve"> – piemaksa par risku, kas saistīts ar uzņēmuma lielumu</w:t>
      </w:r>
      <w:r w:rsidR="000E4FEB" w:rsidRPr="00F964BC">
        <w:rPr>
          <w:rFonts w:ascii="Times New Roman" w:hAnsi="Times New Roman"/>
          <w:bCs/>
          <w:sz w:val="24"/>
          <w:szCs w:val="24"/>
        </w:rPr>
        <w:t xml:space="preserve"> (jo mazāks uzņēmums, jo</w:t>
      </w:r>
      <w:r w:rsidR="000E4FEB">
        <w:rPr>
          <w:rFonts w:ascii="Times New Roman" w:hAnsi="Times New Roman"/>
          <w:bCs/>
          <w:sz w:val="24"/>
          <w:szCs w:val="24"/>
        </w:rPr>
        <w:t xml:space="preserve"> augstāks risks) </w:t>
      </w:r>
      <w:r w:rsidR="00F77DD5">
        <w:rPr>
          <w:rFonts w:ascii="Times New Roman" w:hAnsi="Times New Roman"/>
          <w:bCs/>
          <w:sz w:val="24"/>
          <w:szCs w:val="24"/>
        </w:rPr>
        <w:t xml:space="preserve">un </w:t>
      </w:r>
      <w:r w:rsidR="000E4FEB">
        <w:rPr>
          <w:rFonts w:ascii="Times New Roman" w:hAnsi="Times New Roman"/>
          <w:bCs/>
          <w:sz w:val="24"/>
          <w:szCs w:val="24"/>
        </w:rPr>
        <w:t>ietver tādu risku novērtēšanu kā</w:t>
      </w:r>
    </w:p>
    <w:p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apgrozījuma lielums,</w:t>
      </w:r>
    </w:p>
    <w:p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tirgus daļa,</w:t>
      </w:r>
    </w:p>
    <w:p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aktīvu kopsummas lielums,</w:t>
      </w:r>
    </w:p>
    <w:p w:rsidR="000E4FEB" w:rsidRP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pamatkapitāla lielums.</w:t>
      </w:r>
    </w:p>
    <w:p w:rsidR="00793031" w:rsidRDefault="00793031" w:rsidP="00CC2EC1">
      <w:pPr>
        <w:spacing w:line="276" w:lineRule="auto"/>
        <w:ind w:firstLine="720"/>
        <w:jc w:val="both"/>
        <w:rPr>
          <w:rFonts w:ascii="Times New Roman" w:hAnsi="Times New Roman"/>
          <w:bCs/>
          <w:sz w:val="24"/>
          <w:szCs w:val="24"/>
        </w:rPr>
      </w:pPr>
    </w:p>
    <w:p w:rsidR="0013652B" w:rsidRDefault="00CC2EC1" w:rsidP="00CC2EC1">
      <w:pPr>
        <w:spacing w:line="276" w:lineRule="auto"/>
        <w:ind w:firstLine="720"/>
        <w:jc w:val="both"/>
        <w:rPr>
          <w:rFonts w:ascii="Times New Roman" w:hAnsi="Times New Roman"/>
          <w:bCs/>
          <w:sz w:val="24"/>
          <w:szCs w:val="24"/>
        </w:rPr>
      </w:pPr>
      <w:r>
        <w:rPr>
          <w:rFonts w:ascii="Times New Roman" w:hAnsi="Times New Roman"/>
          <w:bCs/>
          <w:sz w:val="24"/>
          <w:szCs w:val="24"/>
        </w:rPr>
        <w:t>Attiecībā uz vienotas politikas noteikšanu visām valsts kapitālsabiedrībām, Lietuva iedala savas valsts kapitālsabiedrības trīs grupās</w:t>
      </w:r>
      <w:r>
        <w:rPr>
          <w:rStyle w:val="FootnoteReference"/>
          <w:rFonts w:ascii="Times New Roman" w:hAnsi="Times New Roman"/>
          <w:bCs/>
          <w:sz w:val="24"/>
          <w:szCs w:val="24"/>
        </w:rPr>
        <w:footnoteReference w:id="3"/>
      </w:r>
      <w:r>
        <w:rPr>
          <w:rFonts w:ascii="Times New Roman" w:hAnsi="Times New Roman"/>
          <w:bCs/>
          <w:sz w:val="24"/>
          <w:szCs w:val="24"/>
        </w:rPr>
        <w:t>:</w:t>
      </w:r>
    </w:p>
    <w:p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pirmā ir komerciālās valsts kapitālsabiedrības, kurām tiek prasīts biznesa vērtības pieaugums, t.sk. dividendes (22 sabiedrības),</w:t>
      </w:r>
    </w:p>
    <w:p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otrā grupā ir komerciālās valsts kapitālsabiedrības, kurām arī tiek prasīts vērtības pieaugums, kā arī nacionāli stratēģisku interešu īstenošana (62 sabiedrības),</w:t>
      </w:r>
    </w:p>
    <w:p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trešā grupa ietver valsts kapitālsabiedrības, kuru galvenais uzdevums ir valsts sociālo un politisko mērķu īstenošana, kur finanšu mērķiem ir otršķirīga loma (42 sabiedrības).</w:t>
      </w:r>
    </w:p>
    <w:p w:rsidR="00C12047" w:rsidRDefault="00C12047" w:rsidP="00C12047">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Lietuvā komerciālajās valsts kapitālsabiedrībās tiek uzstādīti pašu kapitāla atdeves mērķi 5-8% robežās, bet 3</w:t>
      </w:r>
      <w:r w:rsidRPr="00C12047">
        <w:rPr>
          <w:rFonts w:ascii="Times New Roman" w:hAnsi="Times New Roman"/>
          <w:bCs/>
          <w:sz w:val="24"/>
          <w:szCs w:val="24"/>
        </w:rPr>
        <w:t>.grupā esošajām kapitālsabiedrībām tiek prasīta finanšu resursu izlietošanas caurskatāmība un maksimāli efektīva to izlietošana</w:t>
      </w:r>
      <w:r>
        <w:rPr>
          <w:rFonts w:ascii="Times New Roman" w:hAnsi="Times New Roman"/>
          <w:bCs/>
          <w:sz w:val="24"/>
          <w:szCs w:val="24"/>
        </w:rPr>
        <w:t>.</w:t>
      </w:r>
    </w:p>
    <w:p w:rsidR="00534C0B" w:rsidRDefault="00534C0B" w:rsidP="00C12047">
      <w:pPr>
        <w:spacing w:line="276" w:lineRule="auto"/>
        <w:ind w:firstLine="720"/>
        <w:jc w:val="both"/>
        <w:rPr>
          <w:rFonts w:ascii="Times New Roman" w:hAnsi="Times New Roman"/>
          <w:bCs/>
          <w:sz w:val="24"/>
          <w:szCs w:val="24"/>
        </w:rPr>
      </w:pPr>
    </w:p>
    <w:p w:rsidR="00275B5C" w:rsidRPr="00C12047" w:rsidRDefault="00275B5C" w:rsidP="00C12047">
      <w:pPr>
        <w:spacing w:line="276" w:lineRule="auto"/>
        <w:ind w:firstLine="720"/>
        <w:jc w:val="both"/>
        <w:rPr>
          <w:rFonts w:ascii="Times New Roman" w:hAnsi="Times New Roman"/>
          <w:bCs/>
          <w:sz w:val="24"/>
          <w:szCs w:val="24"/>
        </w:rPr>
      </w:pPr>
      <w:r>
        <w:rPr>
          <w:rFonts w:ascii="Times New Roman" w:hAnsi="Times New Roman"/>
          <w:bCs/>
          <w:sz w:val="24"/>
          <w:szCs w:val="24"/>
        </w:rPr>
        <w:t>Attiecībā uz līdzšinējo praksi valsts kapitālsabiedrībās Latvijā līdz šim, atbilstoši Likumam izstrādātās stratē</w:t>
      </w:r>
      <w:r w:rsidR="00534C0B">
        <w:rPr>
          <w:rFonts w:ascii="Times New Roman" w:hAnsi="Times New Roman"/>
          <w:bCs/>
          <w:sz w:val="24"/>
          <w:szCs w:val="24"/>
        </w:rPr>
        <w:t>ģijās CAPM modeļa izmantošana netika minēta, tomēr, kur iespējams, tika izmantoti salīdzinošo uzņēmumu rādītāji, t.sk. ROE.</w:t>
      </w:r>
    </w:p>
    <w:p w:rsidR="00CC2EC1" w:rsidRPr="00CC2EC1" w:rsidRDefault="00CC2EC1" w:rsidP="00CC2EC1">
      <w:pPr>
        <w:spacing w:line="276" w:lineRule="auto"/>
        <w:ind w:firstLine="720"/>
        <w:jc w:val="both"/>
        <w:rPr>
          <w:rFonts w:ascii="Times New Roman" w:hAnsi="Times New Roman"/>
          <w:bCs/>
          <w:sz w:val="24"/>
          <w:szCs w:val="24"/>
        </w:rPr>
      </w:pPr>
    </w:p>
    <w:p w:rsidR="00A066CF" w:rsidRPr="00581FEF" w:rsidRDefault="00275B5C" w:rsidP="00581FEF">
      <w:pPr>
        <w:spacing w:line="276" w:lineRule="auto"/>
        <w:rPr>
          <w:rFonts w:ascii="Times New Roman" w:hAnsi="Times New Roman"/>
          <w:b/>
          <w:bCs/>
          <w:sz w:val="24"/>
          <w:szCs w:val="24"/>
        </w:rPr>
      </w:pPr>
      <w:r>
        <w:rPr>
          <w:rFonts w:ascii="Times New Roman" w:hAnsi="Times New Roman"/>
          <w:b/>
          <w:bCs/>
          <w:sz w:val="24"/>
          <w:szCs w:val="24"/>
        </w:rPr>
        <w:t>2</w:t>
      </w:r>
      <w:r w:rsidR="0013652B" w:rsidRPr="00581FEF">
        <w:rPr>
          <w:rFonts w:ascii="Times New Roman" w:hAnsi="Times New Roman"/>
          <w:b/>
          <w:bCs/>
          <w:sz w:val="24"/>
          <w:szCs w:val="24"/>
        </w:rPr>
        <w:t xml:space="preserve">. </w:t>
      </w:r>
      <w:r w:rsidR="00257B68">
        <w:rPr>
          <w:rFonts w:ascii="Times New Roman" w:hAnsi="Times New Roman"/>
          <w:b/>
          <w:bCs/>
          <w:sz w:val="24"/>
          <w:szCs w:val="24"/>
        </w:rPr>
        <w:t>Ieteiktā metodika</w:t>
      </w:r>
    </w:p>
    <w:p w:rsidR="00A066CF" w:rsidRPr="00581FEF" w:rsidRDefault="00A066CF" w:rsidP="00581FEF">
      <w:pPr>
        <w:spacing w:line="276" w:lineRule="auto"/>
        <w:rPr>
          <w:rFonts w:ascii="Times New Roman" w:hAnsi="Times New Roman"/>
          <w:b/>
          <w:bCs/>
          <w:sz w:val="24"/>
          <w:szCs w:val="24"/>
        </w:rPr>
      </w:pPr>
    </w:p>
    <w:p w:rsidR="00071D77" w:rsidRDefault="00071D77" w:rsidP="00071D77">
      <w:pPr>
        <w:spacing w:line="276" w:lineRule="auto"/>
        <w:ind w:firstLine="720"/>
        <w:jc w:val="both"/>
        <w:rPr>
          <w:rFonts w:ascii="Times New Roman" w:hAnsi="Times New Roman"/>
          <w:bCs/>
          <w:sz w:val="24"/>
          <w:szCs w:val="24"/>
        </w:rPr>
      </w:pPr>
      <w:r>
        <w:rPr>
          <w:rFonts w:ascii="Times New Roman" w:hAnsi="Times New Roman"/>
          <w:bCs/>
          <w:sz w:val="24"/>
          <w:szCs w:val="24"/>
        </w:rPr>
        <w:t xml:space="preserve">Ņemot vērā OECD aprakstīto citu valstu praksi, kā arī izvērtējot atsevišku valstu pieeju un līdzšinējo pieeju kapitāla atdeves noteikšanai valsts kapitālsabidrībās Latvijā, PKC ierosina sekot šādai piejai kapitāla atdeves noteikšanā, kas daļēji jau ir iekļauta izstrādātajās vadlīnijās, bet </w:t>
      </w:r>
      <w:r w:rsidR="002318D9">
        <w:rPr>
          <w:rFonts w:ascii="Times New Roman" w:hAnsi="Times New Roman"/>
          <w:bCs/>
          <w:sz w:val="24"/>
          <w:szCs w:val="24"/>
        </w:rPr>
        <w:t xml:space="preserve">šajā ziņojumā </w:t>
      </w:r>
      <w:r>
        <w:rPr>
          <w:rFonts w:ascii="Times New Roman" w:hAnsi="Times New Roman"/>
          <w:bCs/>
          <w:sz w:val="24"/>
          <w:szCs w:val="24"/>
        </w:rPr>
        <w:t xml:space="preserve">papildus akcentējot nozares ROE datu salīdzināšanu un kapitāla izmaksu aprēķinu pēc CAPM. </w:t>
      </w:r>
    </w:p>
    <w:p w:rsidR="00071D77" w:rsidRPr="00071D77" w:rsidRDefault="00071D77" w:rsidP="00071D77">
      <w:pPr>
        <w:spacing w:line="276" w:lineRule="auto"/>
        <w:ind w:firstLine="720"/>
        <w:jc w:val="both"/>
        <w:rPr>
          <w:rFonts w:ascii="Times New Roman" w:hAnsi="Times New Roman"/>
          <w:bCs/>
          <w:sz w:val="24"/>
          <w:szCs w:val="24"/>
        </w:rPr>
      </w:pPr>
      <w:r w:rsidRPr="00071D77">
        <w:rPr>
          <w:rFonts w:ascii="Times New Roman" w:hAnsi="Times New Roman"/>
          <w:bCs/>
          <w:sz w:val="24"/>
          <w:szCs w:val="24"/>
        </w:rPr>
        <w:t>Kap</w:t>
      </w:r>
      <w:r>
        <w:rPr>
          <w:rFonts w:ascii="Times New Roman" w:hAnsi="Times New Roman"/>
          <w:bCs/>
          <w:sz w:val="24"/>
          <w:szCs w:val="24"/>
        </w:rPr>
        <w:t>itāla atdeves noteikšanas posmi valsts kapitālsabiedrībās:</w:t>
      </w:r>
    </w:p>
    <w:p w:rsidR="00071D77" w:rsidRPr="00071D77" w:rsidRDefault="00071D77" w:rsidP="00071D77">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Cs/>
          <w:sz w:val="24"/>
          <w:szCs w:val="24"/>
        </w:rPr>
        <w:t>Vēsturisko datu analīze – aptuveni iepriekšējie 3 gadi, ja nav būtiskas izmaiņas darbībā, tirgū, ekonomikā</w:t>
      </w:r>
      <w:r w:rsidR="002F3F5F">
        <w:rPr>
          <w:rFonts w:ascii="Times New Roman" w:hAnsi="Times New Roman"/>
          <w:bCs/>
          <w:sz w:val="24"/>
          <w:szCs w:val="24"/>
        </w:rPr>
        <w:t>,</w:t>
      </w:r>
    </w:p>
    <w:p w:rsidR="00071D77" w:rsidRPr="00071D77" w:rsidRDefault="00071D77" w:rsidP="00071D77">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Cs/>
          <w:sz w:val="24"/>
          <w:szCs w:val="24"/>
        </w:rPr>
        <w:t>Pieņēmumi makro un mikro līmenī par nākotnes attīstību un uzņēmuma finanšu prognožu izstrādāšana</w:t>
      </w:r>
      <w:r w:rsidR="002F3F5F">
        <w:rPr>
          <w:rFonts w:ascii="Times New Roman" w:hAnsi="Times New Roman"/>
          <w:bCs/>
          <w:sz w:val="24"/>
          <w:szCs w:val="24"/>
        </w:rPr>
        <w:t>,</w:t>
      </w:r>
    </w:p>
    <w:p w:rsidR="00071D77" w:rsidRPr="00071D77" w:rsidRDefault="00071D77" w:rsidP="00071D77">
      <w:pPr>
        <w:pStyle w:val="ListParagraph"/>
        <w:numPr>
          <w:ilvl w:val="0"/>
          <w:numId w:val="17"/>
        </w:numPr>
        <w:spacing w:line="276" w:lineRule="auto"/>
        <w:jc w:val="both"/>
        <w:rPr>
          <w:rFonts w:ascii="Times New Roman" w:hAnsi="Times New Roman"/>
          <w:b/>
          <w:bCs/>
          <w:sz w:val="24"/>
          <w:szCs w:val="24"/>
        </w:rPr>
      </w:pPr>
      <w:r w:rsidRPr="00071D77">
        <w:rPr>
          <w:rFonts w:ascii="Times New Roman" w:hAnsi="Times New Roman"/>
          <w:b/>
          <w:bCs/>
          <w:sz w:val="24"/>
          <w:szCs w:val="24"/>
        </w:rPr>
        <w:t>Nozares un salīdzināmo uzņēmumu dati – dati no Bloomberg</w:t>
      </w:r>
      <w:r w:rsidR="002F3F5F">
        <w:rPr>
          <w:rFonts w:ascii="Times New Roman" w:hAnsi="Times New Roman"/>
          <w:b/>
          <w:bCs/>
          <w:sz w:val="24"/>
          <w:szCs w:val="24"/>
        </w:rPr>
        <w:t>/</w:t>
      </w:r>
      <w:r w:rsidRPr="00071D77">
        <w:rPr>
          <w:rFonts w:ascii="Times New Roman" w:hAnsi="Times New Roman"/>
          <w:b/>
          <w:bCs/>
          <w:sz w:val="24"/>
          <w:szCs w:val="24"/>
        </w:rPr>
        <w:t xml:space="preserve"> Damodaran </w:t>
      </w:r>
      <w:r w:rsidR="002F3F5F">
        <w:rPr>
          <w:rFonts w:ascii="Times New Roman" w:hAnsi="Times New Roman"/>
          <w:b/>
          <w:bCs/>
          <w:sz w:val="24"/>
          <w:szCs w:val="24"/>
        </w:rPr>
        <w:t xml:space="preserve">vai citi </w:t>
      </w:r>
      <w:r w:rsidRPr="00071D77">
        <w:rPr>
          <w:rFonts w:ascii="Times New Roman" w:hAnsi="Times New Roman"/>
          <w:b/>
          <w:bCs/>
          <w:sz w:val="24"/>
          <w:szCs w:val="24"/>
        </w:rPr>
        <w:t>pētījumi par ROE</w:t>
      </w:r>
      <w:r w:rsidR="002F3F5F">
        <w:rPr>
          <w:rFonts w:ascii="Times New Roman" w:hAnsi="Times New Roman"/>
          <w:b/>
          <w:bCs/>
          <w:sz w:val="24"/>
          <w:szCs w:val="24"/>
        </w:rPr>
        <w:t>,</w:t>
      </w:r>
    </w:p>
    <w:p w:rsidR="00071D77" w:rsidRDefault="00071D77" w:rsidP="006C71BE">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
          <w:bCs/>
          <w:sz w:val="24"/>
          <w:szCs w:val="24"/>
        </w:rPr>
        <w:t>Finanšu izmaksu teorija</w:t>
      </w:r>
      <w:r w:rsidR="002F3F5F">
        <w:rPr>
          <w:rFonts w:ascii="Times New Roman" w:hAnsi="Times New Roman"/>
          <w:b/>
          <w:bCs/>
          <w:sz w:val="24"/>
          <w:szCs w:val="24"/>
        </w:rPr>
        <w:t>s pielietošana</w:t>
      </w:r>
      <w:r w:rsidRPr="00071D77">
        <w:rPr>
          <w:rFonts w:ascii="Times New Roman" w:hAnsi="Times New Roman"/>
          <w:b/>
          <w:bCs/>
          <w:sz w:val="24"/>
          <w:szCs w:val="24"/>
        </w:rPr>
        <w:t xml:space="preserve"> - WACC/ CAPM – izmanto valsts aizņemšanās likmi, beta un tirgus uzcenojumu</w:t>
      </w:r>
      <w:r>
        <w:rPr>
          <w:rFonts w:ascii="Times New Roman" w:hAnsi="Times New Roman"/>
          <w:bCs/>
          <w:sz w:val="24"/>
          <w:szCs w:val="24"/>
        </w:rPr>
        <w:t>.</w:t>
      </w:r>
    </w:p>
    <w:p w:rsidR="009E19B5" w:rsidRDefault="00F52FB3" w:rsidP="00F52FB3">
      <w:pPr>
        <w:spacing w:line="276" w:lineRule="auto"/>
        <w:ind w:firstLine="720"/>
        <w:jc w:val="both"/>
        <w:rPr>
          <w:rFonts w:ascii="Times New Roman" w:hAnsi="Times New Roman"/>
          <w:bCs/>
          <w:sz w:val="24"/>
          <w:szCs w:val="24"/>
        </w:rPr>
      </w:pPr>
      <w:r w:rsidRPr="00F52FB3">
        <w:rPr>
          <w:rFonts w:ascii="Times New Roman" w:hAnsi="Times New Roman"/>
          <w:bCs/>
          <w:sz w:val="24"/>
          <w:szCs w:val="24"/>
        </w:rPr>
        <w:t>P</w:t>
      </w:r>
      <w:r>
        <w:rPr>
          <w:rFonts w:ascii="Times New Roman" w:hAnsi="Times New Roman"/>
          <w:bCs/>
          <w:sz w:val="24"/>
          <w:szCs w:val="24"/>
        </w:rPr>
        <w:t>iedāvātā pieeja būtībā nozīmē to, ka</w:t>
      </w:r>
      <w:r w:rsidR="003637DA">
        <w:rPr>
          <w:rFonts w:ascii="Times New Roman" w:hAnsi="Times New Roman"/>
          <w:bCs/>
          <w:sz w:val="24"/>
          <w:szCs w:val="24"/>
        </w:rPr>
        <w:t>, lai</w:t>
      </w:r>
      <w:r>
        <w:rPr>
          <w:rFonts w:ascii="Times New Roman" w:hAnsi="Times New Roman"/>
          <w:bCs/>
          <w:sz w:val="24"/>
          <w:szCs w:val="24"/>
        </w:rPr>
        <w:t xml:space="preserve"> </w:t>
      </w:r>
      <w:r w:rsidR="003637DA">
        <w:rPr>
          <w:rFonts w:ascii="Times New Roman" w:hAnsi="Times New Roman"/>
          <w:bCs/>
          <w:sz w:val="24"/>
          <w:szCs w:val="24"/>
        </w:rPr>
        <w:t>uzņēmuma iegūtās pašu kapitāla atdeves prognozes uzskatītu par atbilstošu un efektīvu kapitāla atdeves mērķi, tās jāsalīdzina ar nozares (konkrētu salīdzinošu uzņēmumu vai visas nozares) datiem.</w:t>
      </w:r>
    </w:p>
    <w:p w:rsidR="003637DA" w:rsidRDefault="003637DA" w:rsidP="00F52FB3">
      <w:pPr>
        <w:spacing w:line="276" w:lineRule="auto"/>
        <w:ind w:firstLine="720"/>
        <w:jc w:val="both"/>
        <w:rPr>
          <w:rFonts w:ascii="Times New Roman" w:hAnsi="Times New Roman"/>
          <w:bCs/>
          <w:sz w:val="24"/>
          <w:szCs w:val="24"/>
        </w:rPr>
      </w:pPr>
      <w:r>
        <w:rPr>
          <w:rFonts w:ascii="Times New Roman" w:hAnsi="Times New Roman"/>
          <w:bCs/>
          <w:sz w:val="24"/>
          <w:szCs w:val="24"/>
        </w:rPr>
        <w:t xml:space="preserve">Salīdzināšanai pēc ROE rādītāja var izvēlēties konkrētus uzņēmumus vai iegūt datus par nozari, izmantojot dažādus avotus, piemēram, </w:t>
      </w:r>
      <w:proofErr w:type="gramStart"/>
      <w:r>
        <w:rPr>
          <w:rFonts w:ascii="Times New Roman" w:hAnsi="Times New Roman"/>
          <w:bCs/>
          <w:sz w:val="24"/>
          <w:szCs w:val="24"/>
        </w:rPr>
        <w:t xml:space="preserve">Ņujorkas </w:t>
      </w:r>
      <w:r w:rsidR="002F3F5F">
        <w:rPr>
          <w:rFonts w:ascii="Times New Roman" w:hAnsi="Times New Roman"/>
          <w:bCs/>
          <w:sz w:val="24"/>
          <w:szCs w:val="24"/>
        </w:rPr>
        <w:t>universitātes</w:t>
      </w:r>
      <w:proofErr w:type="gramEnd"/>
      <w:r w:rsidR="002F3F5F">
        <w:rPr>
          <w:rFonts w:ascii="Times New Roman" w:hAnsi="Times New Roman"/>
          <w:bCs/>
          <w:sz w:val="24"/>
          <w:szCs w:val="24"/>
        </w:rPr>
        <w:t xml:space="preserve"> </w:t>
      </w:r>
      <w:r>
        <w:rPr>
          <w:rFonts w:ascii="Times New Roman" w:hAnsi="Times New Roman"/>
          <w:bCs/>
          <w:sz w:val="24"/>
          <w:szCs w:val="24"/>
        </w:rPr>
        <w:t xml:space="preserve">Šterna </w:t>
      </w:r>
      <w:r w:rsidR="002F3F5F">
        <w:rPr>
          <w:rFonts w:ascii="Times New Roman" w:hAnsi="Times New Roman"/>
          <w:bCs/>
          <w:sz w:val="24"/>
          <w:szCs w:val="24"/>
        </w:rPr>
        <w:t xml:space="preserve">Biznesa skolas </w:t>
      </w:r>
      <w:r w:rsidR="00855855">
        <w:rPr>
          <w:rFonts w:ascii="Times New Roman" w:hAnsi="Times New Roman"/>
          <w:bCs/>
          <w:sz w:val="24"/>
          <w:szCs w:val="24"/>
        </w:rPr>
        <w:t>(</w:t>
      </w:r>
      <w:r w:rsidR="00855855" w:rsidRPr="00855855">
        <w:rPr>
          <w:rFonts w:ascii="Times New Roman" w:hAnsi="Times New Roman"/>
          <w:bCs/>
          <w:sz w:val="24"/>
          <w:szCs w:val="24"/>
        </w:rPr>
        <w:t>NYU Stern</w:t>
      </w:r>
      <w:r w:rsidR="00855855">
        <w:rPr>
          <w:rFonts w:ascii="Times New Roman" w:hAnsi="Times New Roman"/>
          <w:bCs/>
          <w:sz w:val="24"/>
          <w:szCs w:val="24"/>
        </w:rPr>
        <w:t xml:space="preserve"> School of Business) </w:t>
      </w:r>
      <w:r>
        <w:rPr>
          <w:rFonts w:ascii="Times New Roman" w:hAnsi="Times New Roman"/>
          <w:bCs/>
          <w:sz w:val="24"/>
          <w:szCs w:val="24"/>
        </w:rPr>
        <w:t>pētnieka A.Damodaran publiski pieejamos aprēķinus</w:t>
      </w:r>
      <w:r>
        <w:rPr>
          <w:rStyle w:val="FootnoteReference"/>
          <w:rFonts w:ascii="Times New Roman" w:hAnsi="Times New Roman"/>
          <w:bCs/>
          <w:sz w:val="24"/>
          <w:szCs w:val="24"/>
        </w:rPr>
        <w:footnoteReference w:id="4"/>
      </w:r>
      <w:r>
        <w:rPr>
          <w:rFonts w:ascii="Times New Roman" w:hAnsi="Times New Roman"/>
          <w:bCs/>
          <w:sz w:val="24"/>
          <w:szCs w:val="24"/>
        </w:rPr>
        <w:t>.</w:t>
      </w:r>
    </w:p>
    <w:p w:rsidR="003637DA" w:rsidRDefault="003637DA" w:rsidP="00F52FB3">
      <w:pPr>
        <w:spacing w:line="276" w:lineRule="auto"/>
        <w:ind w:firstLine="720"/>
        <w:jc w:val="both"/>
        <w:rPr>
          <w:rFonts w:ascii="Times New Roman" w:hAnsi="Times New Roman"/>
          <w:bCs/>
          <w:sz w:val="24"/>
          <w:szCs w:val="24"/>
        </w:rPr>
      </w:pPr>
      <w:r>
        <w:rPr>
          <w:rFonts w:ascii="Times New Roman" w:hAnsi="Times New Roman"/>
          <w:bCs/>
          <w:sz w:val="24"/>
          <w:szCs w:val="24"/>
        </w:rPr>
        <w:t>Otra, komplicētāka metode ir pašu kapitāla izmaksu aprēķina veikšana pēc CAPM. Aprēķināšanai ieteicams izmantot šādu</w:t>
      </w:r>
      <w:r w:rsidR="00F964BC">
        <w:rPr>
          <w:rFonts w:ascii="Times New Roman" w:hAnsi="Times New Roman"/>
          <w:bCs/>
          <w:sz w:val="24"/>
          <w:szCs w:val="24"/>
        </w:rPr>
        <w:t xml:space="preserve"> formulu un </w:t>
      </w:r>
      <w:r>
        <w:rPr>
          <w:rFonts w:ascii="Times New Roman" w:hAnsi="Times New Roman"/>
          <w:bCs/>
          <w:sz w:val="24"/>
          <w:szCs w:val="24"/>
        </w:rPr>
        <w:t>pieņēmumus:</w:t>
      </w:r>
    </w:p>
    <w:p w:rsidR="004B6BD1" w:rsidRDefault="004B6BD1" w:rsidP="00F52FB3">
      <w:pPr>
        <w:spacing w:line="276" w:lineRule="auto"/>
        <w:ind w:firstLine="720"/>
        <w:jc w:val="both"/>
        <w:rPr>
          <w:rFonts w:ascii="Times New Roman" w:hAnsi="Times New Roman"/>
          <w:bCs/>
          <w:sz w:val="24"/>
          <w:szCs w:val="24"/>
        </w:rPr>
      </w:pPr>
    </w:p>
    <w:p w:rsidR="004B6BD1" w:rsidRDefault="004B6BD1" w:rsidP="004B6BD1">
      <w:pPr>
        <w:spacing w:line="276" w:lineRule="auto"/>
        <w:ind w:firstLine="720"/>
        <w:jc w:val="center"/>
        <w:rPr>
          <w:rFonts w:ascii="Times New Roman" w:hAnsi="Times New Roman"/>
          <w:bCs/>
          <w:sz w:val="24"/>
          <w:szCs w:val="24"/>
        </w:rPr>
      </w:pPr>
      <w:r w:rsidRPr="00581FEF">
        <w:rPr>
          <w:rFonts w:ascii="Times New Roman" w:hAnsi="Times New Roman"/>
          <w:sz w:val="24"/>
          <w:szCs w:val="24"/>
        </w:rPr>
        <w:t>r</w:t>
      </w:r>
      <w:r w:rsidRPr="00BB510F">
        <w:rPr>
          <w:rFonts w:ascii="Times New Roman" w:hAnsi="Times New Roman"/>
          <w:sz w:val="24"/>
          <w:szCs w:val="24"/>
          <w:vertAlign w:val="subscript"/>
        </w:rPr>
        <w:t>e</w:t>
      </w:r>
      <w:r w:rsidRPr="00581FEF">
        <w:rPr>
          <w:rFonts w:ascii="Times New Roman" w:hAnsi="Times New Roman"/>
          <w:sz w:val="24"/>
          <w:szCs w:val="24"/>
        </w:rPr>
        <w:t xml:space="preserve"> = r</w:t>
      </w:r>
      <w:r w:rsidRPr="00581FEF">
        <w:rPr>
          <w:rFonts w:ascii="Times New Roman" w:hAnsi="Times New Roman"/>
          <w:sz w:val="24"/>
          <w:szCs w:val="24"/>
          <w:vertAlign w:val="subscript"/>
        </w:rPr>
        <w:t xml:space="preserve">f </w:t>
      </w:r>
      <w:r w:rsidRPr="00581FEF">
        <w:rPr>
          <w:rFonts w:ascii="Times New Roman" w:hAnsi="Times New Roman"/>
          <w:sz w:val="24"/>
          <w:szCs w:val="24"/>
        </w:rPr>
        <w:t xml:space="preserve">+ </w:t>
      </w:r>
      <w:r w:rsidRPr="00581FEF">
        <w:rPr>
          <w:rFonts w:ascii="Times New Roman" w:hAnsi="Times New Roman"/>
          <w:bCs/>
          <w:sz w:val="24"/>
          <w:szCs w:val="24"/>
        </w:rPr>
        <w:t>β</w:t>
      </w:r>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r w:rsidRPr="00581FEF">
        <w:rPr>
          <w:rFonts w:ascii="Times New Roman" w:hAnsi="Times New Roman"/>
          <w:sz w:val="24"/>
          <w:szCs w:val="24"/>
        </w:rPr>
        <w:t>)</w:t>
      </w:r>
      <w:r w:rsidR="006856B0">
        <w:rPr>
          <w:rFonts w:ascii="Times New Roman" w:hAnsi="Times New Roman"/>
          <w:sz w:val="24"/>
          <w:szCs w:val="24"/>
        </w:rPr>
        <w:t xml:space="preserve"> + r</w:t>
      </w:r>
      <w:r w:rsidR="006856B0" w:rsidRPr="006856B0">
        <w:rPr>
          <w:rFonts w:ascii="Times New Roman" w:hAnsi="Times New Roman"/>
          <w:sz w:val="24"/>
          <w:szCs w:val="24"/>
          <w:vertAlign w:val="subscript"/>
        </w:rPr>
        <w:t>s</w:t>
      </w:r>
      <w:r w:rsidR="00F964BC" w:rsidRPr="00F964BC">
        <w:rPr>
          <w:rFonts w:ascii="Times New Roman" w:hAnsi="Times New Roman"/>
          <w:sz w:val="24"/>
          <w:szCs w:val="24"/>
        </w:rPr>
        <w:t>, kur</w:t>
      </w:r>
    </w:p>
    <w:p w:rsidR="004B6BD1" w:rsidRPr="00F52FB3" w:rsidRDefault="004B6BD1" w:rsidP="00F52FB3">
      <w:pPr>
        <w:spacing w:line="276" w:lineRule="auto"/>
        <w:ind w:firstLine="720"/>
        <w:jc w:val="both"/>
        <w:rPr>
          <w:rFonts w:ascii="Times New Roman" w:hAnsi="Times New Roman"/>
          <w:bCs/>
          <w:sz w:val="24"/>
          <w:szCs w:val="24"/>
        </w:rPr>
      </w:pPr>
    </w:p>
    <w:p w:rsidR="003637DA" w:rsidRPr="003637DA" w:rsidRDefault="004B6BD1" w:rsidP="006856B0">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sz w:val="24"/>
          <w:szCs w:val="24"/>
        </w:rPr>
        <w:t>r</w:t>
      </w:r>
      <w:r w:rsidRPr="00581FEF">
        <w:rPr>
          <w:rFonts w:ascii="Times New Roman" w:hAnsi="Times New Roman"/>
          <w:sz w:val="24"/>
          <w:szCs w:val="24"/>
          <w:vertAlign w:val="subscript"/>
        </w:rPr>
        <w:t>f</w:t>
      </w:r>
      <w:proofErr w:type="gramStart"/>
      <w:r w:rsidRPr="003637DA">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 b</w:t>
      </w:r>
      <w:r w:rsidR="003637DA" w:rsidRPr="003637DA">
        <w:rPr>
          <w:rFonts w:ascii="Times New Roman" w:hAnsi="Times New Roman"/>
          <w:bCs/>
          <w:sz w:val="24"/>
          <w:szCs w:val="24"/>
        </w:rPr>
        <w:t>ezriska likme – valsts ilgtermiņa aizņemšanās likme – 0,19% (2016.</w:t>
      </w:r>
      <w:r w:rsidR="00F964BC">
        <w:rPr>
          <w:rFonts w:ascii="Times New Roman" w:hAnsi="Times New Roman"/>
          <w:bCs/>
          <w:sz w:val="24"/>
          <w:szCs w:val="24"/>
        </w:rPr>
        <w:t> </w:t>
      </w:r>
      <w:r w:rsidR="003637DA" w:rsidRPr="003637DA">
        <w:rPr>
          <w:rFonts w:ascii="Times New Roman" w:hAnsi="Times New Roman"/>
          <w:bCs/>
          <w:sz w:val="24"/>
          <w:szCs w:val="24"/>
        </w:rPr>
        <w:t>g</w:t>
      </w:r>
      <w:r w:rsidR="00F964BC">
        <w:rPr>
          <w:rFonts w:ascii="Times New Roman" w:hAnsi="Times New Roman"/>
          <w:bCs/>
          <w:sz w:val="24"/>
          <w:szCs w:val="24"/>
        </w:rPr>
        <w:t>ada oktobrī</w:t>
      </w:r>
      <w:r w:rsidR="003637DA" w:rsidRPr="003637DA">
        <w:rPr>
          <w:rFonts w:ascii="Times New Roman" w:hAnsi="Times New Roman"/>
          <w:bCs/>
          <w:sz w:val="24"/>
          <w:szCs w:val="24"/>
        </w:rPr>
        <w:t xml:space="preserve">) </w:t>
      </w:r>
      <w:hyperlink r:id="rId9" w:history="1">
        <w:r w:rsidR="007620AA" w:rsidRPr="00235C34">
          <w:rPr>
            <w:rStyle w:val="Hyperlink"/>
            <w:rFonts w:ascii="Times New Roman" w:hAnsi="Times New Roman"/>
            <w:bCs/>
            <w:sz w:val="24"/>
            <w:szCs w:val="24"/>
          </w:rPr>
          <w:t>https://www.ecb.europa.eu/stats/money/long/html/index.en.html</w:t>
        </w:r>
      </w:hyperlink>
      <w:r w:rsidR="00F964BC">
        <w:rPr>
          <w:rFonts w:ascii="Times New Roman" w:hAnsi="Times New Roman"/>
          <w:bCs/>
          <w:sz w:val="24"/>
          <w:szCs w:val="24"/>
        </w:rPr>
        <w:t>,</w:t>
      </w:r>
      <w:r w:rsidR="007620AA">
        <w:rPr>
          <w:rFonts w:ascii="Times New Roman" w:hAnsi="Times New Roman"/>
          <w:bCs/>
          <w:sz w:val="24"/>
          <w:szCs w:val="24"/>
        </w:rPr>
        <w:t xml:space="preserve"> </w:t>
      </w:r>
    </w:p>
    <w:p w:rsidR="003637DA" w:rsidRPr="003637DA" w:rsidRDefault="002318D9" w:rsidP="006856B0">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bCs/>
          <w:sz w:val="24"/>
          <w:szCs w:val="24"/>
        </w:rPr>
        <w:t>β</w:t>
      </w:r>
      <w:r w:rsidRPr="003637DA">
        <w:rPr>
          <w:rFonts w:ascii="Times New Roman" w:hAnsi="Times New Roman"/>
          <w:bCs/>
          <w:sz w:val="24"/>
          <w:szCs w:val="24"/>
        </w:rPr>
        <w:t xml:space="preserve"> </w:t>
      </w:r>
      <w:r>
        <w:rPr>
          <w:rFonts w:ascii="Times New Roman" w:hAnsi="Times New Roman"/>
          <w:bCs/>
          <w:sz w:val="24"/>
          <w:szCs w:val="24"/>
        </w:rPr>
        <w:t xml:space="preserve">– beta </w:t>
      </w:r>
      <w:r w:rsidR="003637DA" w:rsidRPr="003637DA">
        <w:rPr>
          <w:rFonts w:ascii="Times New Roman" w:hAnsi="Times New Roman"/>
          <w:bCs/>
          <w:sz w:val="24"/>
          <w:szCs w:val="24"/>
        </w:rPr>
        <w:t xml:space="preserve">rādītāji Eiropā pa nozarēm (sk. </w:t>
      </w:r>
      <w:r w:rsidR="00F964BC">
        <w:rPr>
          <w:rFonts w:ascii="Times New Roman" w:hAnsi="Times New Roman"/>
          <w:bCs/>
          <w:sz w:val="24"/>
          <w:szCs w:val="24"/>
        </w:rPr>
        <w:t xml:space="preserve">piemērus </w:t>
      </w:r>
      <w:r w:rsidR="003637DA" w:rsidRPr="003637DA">
        <w:rPr>
          <w:rFonts w:ascii="Times New Roman" w:hAnsi="Times New Roman"/>
          <w:bCs/>
          <w:sz w:val="24"/>
          <w:szCs w:val="24"/>
        </w:rPr>
        <w:t xml:space="preserve">tabulā), pilns saraksts avotā </w:t>
      </w:r>
      <w:hyperlink r:id="rId10" w:history="1">
        <w:r w:rsidR="007620AA" w:rsidRPr="00235C34">
          <w:rPr>
            <w:rStyle w:val="Hyperlink"/>
            <w:rFonts w:ascii="Times New Roman" w:hAnsi="Times New Roman"/>
            <w:bCs/>
            <w:sz w:val="24"/>
            <w:szCs w:val="24"/>
          </w:rPr>
          <w:t>http://pages.stern.nyu.edu/~adamodar/</w:t>
        </w:r>
      </w:hyperlink>
      <w:r w:rsidR="00F964BC">
        <w:rPr>
          <w:rFonts w:ascii="Times New Roman" w:hAnsi="Times New Roman"/>
          <w:bCs/>
          <w:sz w:val="24"/>
          <w:szCs w:val="24"/>
        </w:rPr>
        <w:t>,</w:t>
      </w:r>
      <w:r w:rsidR="007620AA">
        <w:rPr>
          <w:rFonts w:ascii="Times New Roman" w:hAnsi="Times New Roman"/>
          <w:bCs/>
          <w:sz w:val="24"/>
          <w:szCs w:val="24"/>
        </w:rPr>
        <w:t xml:space="preserve"> </w:t>
      </w:r>
    </w:p>
    <w:p w:rsidR="00F964BC" w:rsidRPr="003637DA" w:rsidRDefault="00F964BC" w:rsidP="00F964BC">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bCs/>
          <w:sz w:val="24"/>
          <w:szCs w:val="24"/>
        </w:rPr>
        <w:t>β</w:t>
      </w:r>
      <w:r w:rsidRPr="003637DA">
        <w:rPr>
          <w:rFonts w:ascii="Times New Roman" w:hAnsi="Times New Roman"/>
          <w:bCs/>
          <w:sz w:val="24"/>
          <w:szCs w:val="24"/>
        </w:rPr>
        <w:t xml:space="preserve"> </w:t>
      </w:r>
      <w:r>
        <w:rPr>
          <w:rFonts w:ascii="Times New Roman" w:hAnsi="Times New Roman"/>
          <w:bCs/>
          <w:sz w:val="24"/>
          <w:szCs w:val="24"/>
        </w:rPr>
        <w:t>– b</w:t>
      </w:r>
      <w:r w:rsidRPr="003637DA">
        <w:rPr>
          <w:rFonts w:ascii="Times New Roman" w:hAnsi="Times New Roman"/>
          <w:bCs/>
          <w:sz w:val="24"/>
          <w:szCs w:val="24"/>
        </w:rPr>
        <w:t>eta rādītāja noteikšana</w:t>
      </w:r>
      <w:r>
        <w:rPr>
          <w:rFonts w:ascii="Times New Roman" w:hAnsi="Times New Roman"/>
          <w:bCs/>
          <w:sz w:val="24"/>
          <w:szCs w:val="24"/>
        </w:rPr>
        <w:t>i</w:t>
      </w:r>
      <w:r w:rsidRPr="003637DA">
        <w:rPr>
          <w:rFonts w:ascii="Times New Roman" w:hAnsi="Times New Roman"/>
          <w:bCs/>
          <w:sz w:val="24"/>
          <w:szCs w:val="24"/>
        </w:rPr>
        <w:t xml:space="preserve"> konkrētam uzņēmumam izmanto </w:t>
      </w:r>
      <w:r w:rsidRPr="00F964BC">
        <w:rPr>
          <w:rFonts w:ascii="Times New Roman" w:hAnsi="Times New Roman"/>
          <w:bCs/>
          <w:i/>
          <w:sz w:val="24"/>
          <w:szCs w:val="24"/>
        </w:rPr>
        <w:t>unlevered beta</w:t>
      </w:r>
      <w:r w:rsidRPr="003637DA">
        <w:rPr>
          <w:rFonts w:ascii="Times New Roman" w:hAnsi="Times New Roman"/>
          <w:bCs/>
          <w:sz w:val="24"/>
          <w:szCs w:val="24"/>
        </w:rPr>
        <w:t xml:space="preserve"> no tabulas</w:t>
      </w:r>
      <w:r>
        <w:rPr>
          <w:rFonts w:ascii="Times New Roman" w:hAnsi="Times New Roman"/>
          <w:bCs/>
          <w:sz w:val="24"/>
          <w:szCs w:val="24"/>
        </w:rPr>
        <w:t xml:space="preserve">, ko </w:t>
      </w:r>
      <w:r w:rsidRPr="003637DA">
        <w:rPr>
          <w:rFonts w:ascii="Times New Roman" w:hAnsi="Times New Roman"/>
          <w:bCs/>
          <w:sz w:val="24"/>
          <w:szCs w:val="24"/>
        </w:rPr>
        <w:t>pielāgo uzņēmuma kapitāla struktūrai pēc formulas:</w:t>
      </w:r>
    </w:p>
    <w:p w:rsidR="00F964BC" w:rsidRDefault="00F964BC" w:rsidP="00F964BC">
      <w:pPr>
        <w:spacing w:line="276" w:lineRule="auto"/>
        <w:jc w:val="center"/>
        <w:rPr>
          <w:rFonts w:ascii="Times New Roman" w:hAnsi="Times New Roman"/>
          <w:bCs/>
          <w:sz w:val="24"/>
          <w:szCs w:val="24"/>
        </w:rPr>
      </w:pPr>
      <w:r w:rsidRPr="00581FEF">
        <w:rPr>
          <w:rFonts w:ascii="Times New Roman" w:hAnsi="Times New Roman"/>
          <w:bCs/>
          <w:sz w:val="24"/>
          <w:szCs w:val="24"/>
        </w:rPr>
        <w:t>β</w:t>
      </w:r>
      <w:r w:rsidRPr="00F964BC">
        <w:rPr>
          <w:rFonts w:ascii="Cambria Math" w:hAnsi="Cambria Math" w:cs="Cambria Math"/>
          <w:bCs/>
          <w:sz w:val="24"/>
          <w:szCs w:val="24"/>
        </w:rPr>
        <w:t xml:space="preserve"> </w:t>
      </w:r>
      <w:r w:rsidRPr="00F964BC">
        <w:rPr>
          <w:rFonts w:ascii="Times New Roman" w:hAnsi="Times New Roman"/>
          <w:bCs/>
          <w:sz w:val="24"/>
          <w:szCs w:val="24"/>
        </w:rPr>
        <w:t>=</w:t>
      </w:r>
      <w:r>
        <w:rPr>
          <w:rFonts w:ascii="Times New Roman" w:hAnsi="Times New Roman"/>
          <w:bCs/>
          <w:sz w:val="24"/>
          <w:szCs w:val="24"/>
        </w:rPr>
        <w:t xml:space="preserve"> </w:t>
      </w:r>
      <w:r w:rsidRPr="00F964BC">
        <w:rPr>
          <w:rFonts w:ascii="Cambria Math" w:hAnsi="Cambria Math" w:cs="Cambria Math"/>
          <w:bCs/>
          <w:sz w:val="24"/>
          <w:szCs w:val="24"/>
        </w:rPr>
        <w:t>𝑢𝑛𝑙𝑒𝑣𝑒𝑟𝑒𝑑</w:t>
      </w:r>
      <w:r w:rsidRPr="00F964BC">
        <w:rPr>
          <w:rFonts w:ascii="Times New Roman" w:hAnsi="Times New Roman"/>
          <w:bCs/>
          <w:sz w:val="24"/>
          <w:szCs w:val="24"/>
        </w:rPr>
        <w:t xml:space="preserve"> </w:t>
      </w:r>
      <w:r w:rsidRPr="00F964BC">
        <w:rPr>
          <w:rFonts w:ascii="Cambria Math" w:hAnsi="Cambria Math" w:cs="Cambria Math"/>
          <w:bCs/>
          <w:sz w:val="24"/>
          <w:szCs w:val="24"/>
        </w:rPr>
        <w:t>𝑏𝑒𝑡𝑎</w:t>
      </w:r>
      <w:r>
        <w:rPr>
          <w:rFonts w:ascii="Cambria Math" w:hAnsi="Cambria Math" w:cs="Cambria Math"/>
          <w:bCs/>
          <w:sz w:val="24"/>
          <w:szCs w:val="24"/>
        </w:rPr>
        <w:t xml:space="preserve"> </w:t>
      </w:r>
      <w:r w:rsidRPr="00F964BC">
        <w:rPr>
          <w:rFonts w:ascii="Times New Roman" w:hAnsi="Times New Roman"/>
          <w:bCs/>
          <w:sz w:val="24"/>
          <w:szCs w:val="24"/>
        </w:rPr>
        <w:t>(1+(1−</w:t>
      </w:r>
      <w:r w:rsidRPr="00F964BC">
        <w:rPr>
          <w:rFonts w:ascii="Cambria Math" w:hAnsi="Cambria Math" w:cs="Cambria Math"/>
          <w:bCs/>
          <w:sz w:val="24"/>
          <w:szCs w:val="24"/>
        </w:rPr>
        <w:t>𝑇𝑐</w:t>
      </w:r>
      <w:r w:rsidRPr="00F964BC">
        <w:rPr>
          <w:rFonts w:ascii="Times New Roman" w:hAnsi="Times New Roman"/>
          <w:bCs/>
          <w:sz w:val="24"/>
          <w:szCs w:val="24"/>
        </w:rPr>
        <w:t>)(</w:t>
      </w:r>
      <w:r w:rsidRPr="00F964BC">
        <w:rPr>
          <w:rFonts w:ascii="Cambria Math" w:hAnsi="Cambria Math" w:cs="Cambria Math"/>
          <w:bCs/>
          <w:sz w:val="24"/>
          <w:szCs w:val="24"/>
        </w:rPr>
        <w:t>𝐷</w:t>
      </w:r>
      <w:r w:rsidRPr="00F964BC">
        <w:rPr>
          <w:rFonts w:ascii="Times New Roman" w:hAnsi="Times New Roman"/>
          <w:bCs/>
          <w:sz w:val="24"/>
          <w:szCs w:val="24"/>
        </w:rPr>
        <w:t>/</w:t>
      </w:r>
      <w:r w:rsidRPr="00F964BC">
        <w:rPr>
          <w:rFonts w:ascii="Cambria Math" w:hAnsi="Cambria Math" w:cs="Cambria Math"/>
          <w:bCs/>
          <w:sz w:val="24"/>
          <w:szCs w:val="24"/>
        </w:rPr>
        <w:t>𝐸</w:t>
      </w:r>
      <w:r w:rsidRPr="00F964BC">
        <w:rPr>
          <w:rFonts w:ascii="Times New Roman" w:hAnsi="Times New Roman"/>
          <w:bCs/>
          <w:sz w:val="24"/>
          <w:szCs w:val="24"/>
        </w:rPr>
        <w:t>))</w:t>
      </w:r>
      <w:r>
        <w:rPr>
          <w:rFonts w:ascii="Times New Roman" w:hAnsi="Times New Roman"/>
          <w:bCs/>
          <w:sz w:val="24"/>
          <w:szCs w:val="24"/>
        </w:rPr>
        <w:t>, kur</w:t>
      </w:r>
    </w:p>
    <w:p w:rsidR="00F964BC" w:rsidRDefault="00F964BC" w:rsidP="00F964BC">
      <w:pPr>
        <w:pStyle w:val="ListParagraph"/>
        <w:numPr>
          <w:ilvl w:val="0"/>
          <w:numId w:val="35"/>
        </w:numPr>
        <w:spacing w:line="276" w:lineRule="auto"/>
        <w:jc w:val="both"/>
        <w:rPr>
          <w:rFonts w:ascii="Times New Roman" w:hAnsi="Times New Roman"/>
          <w:bCs/>
          <w:sz w:val="24"/>
          <w:szCs w:val="24"/>
        </w:rPr>
      </w:pPr>
      <w:r>
        <w:rPr>
          <w:rFonts w:ascii="Times New Roman" w:hAnsi="Times New Roman"/>
          <w:bCs/>
          <w:sz w:val="24"/>
          <w:szCs w:val="24"/>
        </w:rPr>
        <w:lastRenderedPageBreak/>
        <w:t>Tc – uzņēmuma ienākuma likme un</w:t>
      </w:r>
    </w:p>
    <w:p w:rsidR="00F964BC" w:rsidRPr="00F964BC" w:rsidRDefault="00F964BC" w:rsidP="00F964BC">
      <w:pPr>
        <w:pStyle w:val="ListParagraph"/>
        <w:numPr>
          <w:ilvl w:val="0"/>
          <w:numId w:val="35"/>
        </w:numPr>
        <w:spacing w:line="276" w:lineRule="auto"/>
        <w:jc w:val="both"/>
        <w:rPr>
          <w:rFonts w:ascii="Times New Roman" w:hAnsi="Times New Roman"/>
          <w:bCs/>
          <w:sz w:val="24"/>
          <w:szCs w:val="24"/>
        </w:rPr>
      </w:pPr>
      <w:r>
        <w:rPr>
          <w:rFonts w:ascii="Times New Roman" w:hAnsi="Times New Roman"/>
          <w:bCs/>
          <w:sz w:val="24"/>
          <w:szCs w:val="24"/>
        </w:rPr>
        <w:t>D/E – aizņēmumu attiecība pret pašu kapitālu;</w:t>
      </w:r>
    </w:p>
    <w:p w:rsidR="00F964BC" w:rsidRPr="003637DA" w:rsidRDefault="00F964BC" w:rsidP="00F964BC">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r w:rsidRPr="003637DA">
        <w:rPr>
          <w:rFonts w:ascii="Times New Roman" w:hAnsi="Times New Roman"/>
          <w:bCs/>
          <w:sz w:val="24"/>
          <w:szCs w:val="24"/>
        </w:rPr>
        <w:t xml:space="preserve"> </w:t>
      </w:r>
      <w:r>
        <w:rPr>
          <w:rFonts w:ascii="Times New Roman" w:hAnsi="Times New Roman"/>
          <w:bCs/>
          <w:sz w:val="24"/>
          <w:szCs w:val="24"/>
        </w:rPr>
        <w:t>– t</w:t>
      </w:r>
      <w:r w:rsidRPr="003637DA">
        <w:rPr>
          <w:rFonts w:ascii="Times New Roman" w:hAnsi="Times New Roman"/>
          <w:bCs/>
          <w:sz w:val="24"/>
          <w:szCs w:val="24"/>
        </w:rPr>
        <w:t>irgus prēmija Latvijai – 7,85%</w:t>
      </w:r>
      <w:r>
        <w:rPr>
          <w:rFonts w:ascii="Times New Roman" w:hAnsi="Times New Roman"/>
          <w:bCs/>
          <w:sz w:val="24"/>
          <w:szCs w:val="24"/>
        </w:rPr>
        <w:t>, kas ietver valsts risku</w:t>
      </w:r>
      <w:r w:rsidRPr="003637DA">
        <w:rPr>
          <w:rFonts w:ascii="Times New Roman" w:hAnsi="Times New Roman"/>
          <w:bCs/>
          <w:sz w:val="24"/>
          <w:szCs w:val="24"/>
        </w:rPr>
        <w:t xml:space="preserve"> </w:t>
      </w:r>
      <w:r>
        <w:rPr>
          <w:rFonts w:ascii="Times New Roman" w:hAnsi="Times New Roman"/>
          <w:bCs/>
          <w:sz w:val="24"/>
          <w:szCs w:val="24"/>
        </w:rPr>
        <w:t>Latvijai (</w:t>
      </w:r>
      <w:r w:rsidR="00006F97">
        <w:rPr>
          <w:rFonts w:ascii="Times New Roman" w:hAnsi="Times New Roman"/>
          <w:bCs/>
          <w:sz w:val="24"/>
          <w:szCs w:val="24"/>
        </w:rPr>
        <w:t xml:space="preserve">veidojas no riska prēmijas attīstītam tirgum – 6% un Latvijas valsts riska – 1,85%, </w:t>
      </w:r>
      <w:r>
        <w:rPr>
          <w:rFonts w:ascii="Times New Roman" w:hAnsi="Times New Roman"/>
          <w:bCs/>
          <w:sz w:val="24"/>
          <w:szCs w:val="24"/>
        </w:rPr>
        <w:t xml:space="preserve">avots: </w:t>
      </w:r>
      <w:hyperlink r:id="rId11" w:history="1">
        <w:r w:rsidRPr="00235C34">
          <w:rPr>
            <w:rStyle w:val="Hyperlink"/>
            <w:rFonts w:ascii="Times New Roman" w:hAnsi="Times New Roman"/>
            <w:bCs/>
            <w:sz w:val="24"/>
            <w:szCs w:val="24"/>
          </w:rPr>
          <w:t>http://pages.stern.nyu.edu/~adamodar/</w:t>
        </w:r>
      </w:hyperlink>
      <w:r>
        <w:rPr>
          <w:rFonts w:ascii="Times New Roman" w:hAnsi="Times New Roman"/>
          <w:bCs/>
          <w:sz w:val="24"/>
          <w:szCs w:val="24"/>
        </w:rPr>
        <w:t>),</w:t>
      </w:r>
    </w:p>
    <w:p w:rsidR="00F964BC" w:rsidRPr="006856B0" w:rsidRDefault="00F964BC" w:rsidP="006F44E3">
      <w:pPr>
        <w:pStyle w:val="ListParagraph"/>
        <w:numPr>
          <w:ilvl w:val="0"/>
          <w:numId w:val="26"/>
        </w:numPr>
        <w:spacing w:line="276" w:lineRule="auto"/>
        <w:jc w:val="both"/>
        <w:rPr>
          <w:rFonts w:ascii="Times New Roman" w:hAnsi="Times New Roman"/>
          <w:bCs/>
          <w:sz w:val="24"/>
          <w:szCs w:val="24"/>
        </w:rPr>
      </w:pPr>
      <w:r w:rsidRPr="006856B0">
        <w:rPr>
          <w:rFonts w:ascii="Times New Roman" w:hAnsi="Times New Roman"/>
          <w:bCs/>
          <w:sz w:val="24"/>
          <w:szCs w:val="24"/>
        </w:rPr>
        <w:t>r</w:t>
      </w:r>
      <w:r w:rsidRPr="006856B0">
        <w:rPr>
          <w:rFonts w:ascii="Times New Roman" w:hAnsi="Times New Roman"/>
          <w:bCs/>
          <w:sz w:val="24"/>
          <w:szCs w:val="24"/>
          <w:vertAlign w:val="subscript"/>
        </w:rPr>
        <w:t>s</w:t>
      </w:r>
      <w:r w:rsidRPr="006856B0">
        <w:rPr>
          <w:rFonts w:ascii="Times New Roman" w:hAnsi="Times New Roman"/>
          <w:bCs/>
          <w:sz w:val="24"/>
          <w:szCs w:val="24"/>
        </w:rPr>
        <w:t xml:space="preserve"> </w:t>
      </w:r>
      <w:r>
        <w:rPr>
          <w:rFonts w:ascii="Times New Roman" w:hAnsi="Times New Roman"/>
          <w:bCs/>
          <w:sz w:val="24"/>
          <w:szCs w:val="24"/>
        </w:rPr>
        <w:t xml:space="preserve">– </w:t>
      </w:r>
      <w:r w:rsidRPr="006856B0">
        <w:rPr>
          <w:rFonts w:ascii="Times New Roman" w:hAnsi="Times New Roman"/>
          <w:bCs/>
          <w:sz w:val="24"/>
          <w:szCs w:val="24"/>
        </w:rPr>
        <w:t>risk</w:t>
      </w:r>
      <w:r>
        <w:rPr>
          <w:rFonts w:ascii="Times New Roman" w:hAnsi="Times New Roman"/>
          <w:bCs/>
          <w:sz w:val="24"/>
          <w:szCs w:val="24"/>
        </w:rPr>
        <w:t>s</w:t>
      </w:r>
      <w:r w:rsidRPr="006856B0">
        <w:rPr>
          <w:rFonts w:ascii="Times New Roman" w:hAnsi="Times New Roman"/>
          <w:bCs/>
          <w:sz w:val="24"/>
          <w:szCs w:val="24"/>
        </w:rPr>
        <w:t>, kas saistīts ar uzņēmuma lielumu</w:t>
      </w:r>
      <w:r w:rsidR="001449C1">
        <w:rPr>
          <w:rFonts w:ascii="Times New Roman" w:hAnsi="Times New Roman"/>
          <w:bCs/>
          <w:sz w:val="24"/>
          <w:szCs w:val="24"/>
        </w:rPr>
        <w:t xml:space="preserve"> (</w:t>
      </w:r>
      <w:r w:rsidR="001449C1" w:rsidRPr="001449C1">
        <w:rPr>
          <w:rFonts w:ascii="Times New Roman" w:hAnsi="Times New Roman"/>
          <w:bCs/>
          <w:i/>
          <w:sz w:val="24"/>
          <w:szCs w:val="24"/>
        </w:rPr>
        <w:t>size premium</w:t>
      </w:r>
      <w:r w:rsidR="001449C1">
        <w:rPr>
          <w:rFonts w:ascii="Times New Roman" w:hAnsi="Times New Roman"/>
          <w:bCs/>
          <w:sz w:val="24"/>
          <w:szCs w:val="24"/>
        </w:rPr>
        <w:t>)</w:t>
      </w:r>
      <w:r>
        <w:rPr>
          <w:rFonts w:ascii="Times New Roman" w:hAnsi="Times New Roman"/>
          <w:bCs/>
          <w:sz w:val="24"/>
          <w:szCs w:val="24"/>
        </w:rPr>
        <w:t>,</w:t>
      </w:r>
      <w:r w:rsidRPr="006856B0">
        <w:rPr>
          <w:rFonts w:ascii="Times New Roman" w:hAnsi="Times New Roman"/>
          <w:bCs/>
          <w:sz w:val="24"/>
          <w:szCs w:val="24"/>
        </w:rPr>
        <w:t xml:space="preserve"> Latvijas situācijā </w:t>
      </w:r>
      <w:r w:rsidR="001449C1">
        <w:rPr>
          <w:rFonts w:ascii="Times New Roman" w:hAnsi="Times New Roman"/>
          <w:bCs/>
          <w:sz w:val="24"/>
          <w:szCs w:val="24"/>
        </w:rPr>
        <w:t xml:space="preserve">var piemērot </w:t>
      </w:r>
      <w:r w:rsidRPr="006856B0">
        <w:rPr>
          <w:rFonts w:ascii="Times New Roman" w:hAnsi="Times New Roman"/>
          <w:bCs/>
          <w:sz w:val="24"/>
          <w:szCs w:val="24"/>
        </w:rPr>
        <w:t>riska piemaks</w:t>
      </w:r>
      <w:r w:rsidR="001449C1">
        <w:rPr>
          <w:rFonts w:ascii="Times New Roman" w:hAnsi="Times New Roman"/>
          <w:bCs/>
          <w:sz w:val="24"/>
          <w:szCs w:val="24"/>
        </w:rPr>
        <w:t>u</w:t>
      </w:r>
      <w:proofErr w:type="gramStart"/>
      <w:r w:rsidRPr="006856B0">
        <w:rPr>
          <w:rFonts w:ascii="Times New Roman" w:hAnsi="Times New Roman"/>
          <w:bCs/>
          <w:sz w:val="24"/>
          <w:szCs w:val="24"/>
        </w:rPr>
        <w:t>, atbilstoši uzņēmuma lielumam</w:t>
      </w:r>
      <w:proofErr w:type="gramEnd"/>
      <w:r w:rsidRPr="006856B0">
        <w:rPr>
          <w:rFonts w:ascii="Times New Roman" w:hAnsi="Times New Roman"/>
          <w:bCs/>
          <w:sz w:val="24"/>
          <w:szCs w:val="24"/>
        </w:rPr>
        <w:t xml:space="preserve">, kas definēts </w:t>
      </w:r>
      <w:r w:rsidR="006F44E3" w:rsidRPr="006F44E3">
        <w:rPr>
          <w:rFonts w:ascii="Times New Roman" w:hAnsi="Times New Roman"/>
          <w:bCs/>
          <w:sz w:val="24"/>
          <w:szCs w:val="24"/>
        </w:rPr>
        <w:t xml:space="preserve">Gada pārskatu un </w:t>
      </w:r>
      <w:r w:rsidR="006F44E3">
        <w:rPr>
          <w:rFonts w:ascii="Times New Roman" w:hAnsi="Times New Roman"/>
          <w:bCs/>
          <w:sz w:val="24"/>
          <w:szCs w:val="24"/>
        </w:rPr>
        <w:t>konsolidēto gada pārskatu likuma</w:t>
      </w:r>
      <w:r w:rsidR="006F44E3" w:rsidRPr="006F44E3">
        <w:rPr>
          <w:rFonts w:ascii="Times New Roman" w:hAnsi="Times New Roman"/>
          <w:bCs/>
          <w:sz w:val="24"/>
          <w:szCs w:val="24"/>
        </w:rPr>
        <w:t xml:space="preserve"> 5. </w:t>
      </w:r>
      <w:r w:rsidRPr="006F44E3">
        <w:rPr>
          <w:rFonts w:ascii="Times New Roman" w:hAnsi="Times New Roman"/>
          <w:bCs/>
          <w:sz w:val="24"/>
          <w:szCs w:val="24"/>
        </w:rPr>
        <w:t>pantā.</w:t>
      </w:r>
      <w:r>
        <w:rPr>
          <w:rFonts w:ascii="Times New Roman" w:hAnsi="Times New Roman"/>
          <w:bCs/>
          <w:sz w:val="24"/>
          <w:szCs w:val="24"/>
        </w:rPr>
        <w:t xml:space="preserve"> Riska prēmija tiek piemērota, balstoties uz principu – jo mazāks uzņēmums Latvijas un nozares kontekstā, jo augstāka</w:t>
      </w:r>
      <w:r w:rsidR="003F4072">
        <w:rPr>
          <w:rFonts w:ascii="Times New Roman" w:hAnsi="Times New Roman"/>
          <w:bCs/>
          <w:sz w:val="24"/>
          <w:szCs w:val="24"/>
        </w:rPr>
        <w:t xml:space="preserve"> uzņēmuma lieluma riska prēmija, tomēr Latvijas gadījumā ne vienmēr pastāv sakarība, kas skaidri parāda, ka uz valsts kapitālsabiedrībām varētu attiecināt riska piemaksu par uzņēmuma lielumu. Attiecībā uz Latvijas tirgu nereti visi Latvijas uzņēmumi tiek klasificēti kā mazi, salīdzinot tos pasaules līmenī, tādēļ iespējama arī pieeja, kad tiek pievienota riska prēmija visām valsts kapitālsabiedrībām. Tā varētu būt 0%-3%,</w:t>
      </w:r>
    </w:p>
    <w:p w:rsidR="00F52FB3" w:rsidRDefault="00F964BC" w:rsidP="006856B0">
      <w:pPr>
        <w:pStyle w:val="ListParagraph"/>
        <w:numPr>
          <w:ilvl w:val="0"/>
          <w:numId w:val="26"/>
        </w:numPr>
        <w:spacing w:line="276" w:lineRule="auto"/>
        <w:jc w:val="both"/>
        <w:rPr>
          <w:rFonts w:ascii="Times New Roman" w:hAnsi="Times New Roman"/>
          <w:bCs/>
          <w:sz w:val="24"/>
          <w:szCs w:val="24"/>
        </w:rPr>
      </w:pPr>
      <w:r>
        <w:rPr>
          <w:rFonts w:ascii="Times New Roman" w:hAnsi="Times New Roman"/>
          <w:bCs/>
          <w:sz w:val="24"/>
          <w:szCs w:val="24"/>
        </w:rPr>
        <w:t>a</w:t>
      </w:r>
      <w:r w:rsidR="003637DA" w:rsidRPr="003637DA">
        <w:rPr>
          <w:rFonts w:ascii="Times New Roman" w:hAnsi="Times New Roman"/>
          <w:bCs/>
          <w:sz w:val="24"/>
          <w:szCs w:val="24"/>
        </w:rPr>
        <w:t xml:space="preserve">lternatīvi var izmantot Cost of Equity datus </w:t>
      </w:r>
      <w:r>
        <w:rPr>
          <w:rFonts w:ascii="Times New Roman" w:hAnsi="Times New Roman"/>
          <w:bCs/>
          <w:sz w:val="24"/>
          <w:szCs w:val="24"/>
        </w:rPr>
        <w:t xml:space="preserve">Rietumeiropai </w:t>
      </w:r>
      <w:r w:rsidR="003637DA" w:rsidRPr="003637DA">
        <w:rPr>
          <w:rFonts w:ascii="Times New Roman" w:hAnsi="Times New Roman"/>
          <w:bCs/>
          <w:sz w:val="24"/>
          <w:szCs w:val="24"/>
        </w:rPr>
        <w:t>par visu nozari</w:t>
      </w:r>
      <w:r>
        <w:rPr>
          <w:rFonts w:ascii="Times New Roman" w:hAnsi="Times New Roman"/>
          <w:bCs/>
          <w:sz w:val="24"/>
          <w:szCs w:val="24"/>
        </w:rPr>
        <w:t>.</w:t>
      </w:r>
    </w:p>
    <w:p w:rsidR="006856B0" w:rsidRPr="006856B0" w:rsidRDefault="006856B0" w:rsidP="006856B0">
      <w:pPr>
        <w:spacing w:line="276" w:lineRule="auto"/>
        <w:ind w:left="720"/>
        <w:jc w:val="both"/>
        <w:rPr>
          <w:rFonts w:ascii="Times New Roman" w:hAnsi="Times New Roman"/>
          <w:bCs/>
          <w:sz w:val="24"/>
          <w:szCs w:val="24"/>
        </w:rPr>
      </w:pPr>
    </w:p>
    <w:p w:rsidR="00850A4A" w:rsidRDefault="00850A4A" w:rsidP="00850A4A">
      <w:pPr>
        <w:spacing w:line="276" w:lineRule="auto"/>
        <w:jc w:val="center"/>
        <w:rPr>
          <w:rFonts w:ascii="Times New Roman" w:hAnsi="Times New Roman"/>
          <w:b/>
          <w:bCs/>
          <w:sz w:val="24"/>
          <w:szCs w:val="24"/>
        </w:rPr>
      </w:pPr>
      <w:r>
        <w:rPr>
          <w:rFonts w:ascii="Times New Roman" w:hAnsi="Times New Roman"/>
          <w:b/>
          <w:bCs/>
          <w:sz w:val="24"/>
          <w:szCs w:val="24"/>
        </w:rPr>
        <w:t xml:space="preserve">Salīdzinošie nozaru rādītāji Rietumeiropā (uz </w:t>
      </w:r>
      <w:proofErr w:type="gramStart"/>
      <w:r>
        <w:rPr>
          <w:rFonts w:ascii="Times New Roman" w:hAnsi="Times New Roman"/>
          <w:b/>
          <w:bCs/>
          <w:sz w:val="24"/>
          <w:szCs w:val="24"/>
        </w:rPr>
        <w:t>2016.gada</w:t>
      </w:r>
      <w:proofErr w:type="gramEnd"/>
      <w:r>
        <w:rPr>
          <w:rFonts w:ascii="Times New Roman" w:hAnsi="Times New Roman"/>
          <w:b/>
          <w:bCs/>
          <w:sz w:val="24"/>
          <w:szCs w:val="24"/>
        </w:rPr>
        <w:t xml:space="preserve"> 5.janvāri)</w:t>
      </w:r>
    </w:p>
    <w:tbl>
      <w:tblPr>
        <w:tblW w:w="7137" w:type="dxa"/>
        <w:jc w:val="center"/>
        <w:tblCellMar>
          <w:left w:w="0" w:type="dxa"/>
          <w:right w:w="0" w:type="dxa"/>
        </w:tblCellMar>
        <w:tblLook w:val="0600" w:firstRow="0" w:lastRow="0" w:firstColumn="0" w:lastColumn="0" w:noHBand="1" w:noVBand="1"/>
      </w:tblPr>
      <w:tblGrid>
        <w:gridCol w:w="1975"/>
        <w:gridCol w:w="1139"/>
        <w:gridCol w:w="709"/>
        <w:gridCol w:w="1096"/>
        <w:gridCol w:w="1006"/>
        <w:gridCol w:w="1212"/>
      </w:tblGrid>
      <w:tr w:rsidR="002318D9" w:rsidRPr="002318D9"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i/>
                <w:iCs/>
              </w:rPr>
              <w:t>Nozare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Pr>
                <w:rFonts w:ascii="Times New Roman" w:hAnsi="Times New Roman"/>
                <w:bCs/>
                <w:i/>
                <w:iCs/>
              </w:rPr>
              <w:t>Uzņēmumu skaits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FD7056" w:rsidP="00FD7056">
            <w:pPr>
              <w:ind w:left="127"/>
              <w:rPr>
                <w:rFonts w:ascii="Times New Roman" w:hAnsi="Times New Roman"/>
                <w:bCs/>
              </w:rPr>
            </w:pPr>
            <w:r>
              <w:rPr>
                <w:rFonts w:ascii="Times New Roman" w:hAnsi="Times New Roman"/>
                <w:bCs/>
                <w:i/>
                <w:iCs/>
              </w:rPr>
              <w:t>Beta</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rPr>
                <w:rFonts w:ascii="Times New Roman" w:hAnsi="Times New Roman"/>
                <w:bCs/>
              </w:rPr>
            </w:pPr>
            <w:r w:rsidRPr="002318D9">
              <w:rPr>
                <w:rFonts w:ascii="Times New Roman" w:hAnsi="Times New Roman"/>
                <w:bCs/>
                <w:i/>
                <w:iCs/>
              </w:rPr>
              <w:t>Unlevered beta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i/>
                <w:iCs/>
              </w:rPr>
              <w:t>ROE</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i/>
                <w:iCs/>
              </w:rPr>
              <w:t>Cost of Equity</w:t>
            </w:r>
          </w:p>
        </w:tc>
      </w:tr>
      <w:tr w:rsidR="002318D9" w:rsidRPr="002318D9"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Gaisa transports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0,98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0,61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24,04%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9,28%</w:t>
            </w:r>
          </w:p>
        </w:tc>
      </w:tr>
      <w:tr w:rsidR="002318D9" w:rsidRPr="002318D9"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Izglītība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0,02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0,02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0,50%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2,45%</w:t>
            </w:r>
          </w:p>
        </w:tc>
      </w:tr>
      <w:tr w:rsidR="002318D9" w:rsidRPr="002318D9"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Slimnīcas/ Veselības aprūpes iestādes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0,34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7,15%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6,71%</w:t>
            </w:r>
          </w:p>
        </w:tc>
      </w:tr>
      <w:tr w:rsidR="002318D9" w:rsidRPr="002318D9"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Papīrs/ Mežizstrāde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1,18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0,82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7,64%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10,70%</w:t>
            </w:r>
          </w:p>
        </w:tc>
      </w:tr>
      <w:tr w:rsidR="002318D9" w:rsidRPr="002318D9"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Ener</w:t>
            </w:r>
            <w:r w:rsidR="000F5F32">
              <w:rPr>
                <w:rFonts w:ascii="Times New Roman" w:hAnsi="Times New Roman"/>
                <w:bCs/>
              </w:rPr>
              <w:t>ģētika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0,95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0,53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7,70%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9,10%</w:t>
            </w:r>
          </w:p>
        </w:tc>
      </w:tr>
      <w:tr w:rsidR="002318D9" w:rsidRPr="002318D9"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Pārvadājumi (dzelzceļš)</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0,50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0,26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4,85%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5,85%</w:t>
            </w:r>
          </w:p>
        </w:tc>
      </w:tr>
      <w:tr w:rsidR="002318D9" w:rsidRPr="002318D9"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2"/>
              <w:rPr>
                <w:rFonts w:ascii="Times New Roman" w:hAnsi="Times New Roman"/>
                <w:bCs/>
              </w:rPr>
            </w:pPr>
            <w:r>
              <w:rPr>
                <w:rFonts w:ascii="Times New Roman" w:hAnsi="Times New Roman"/>
                <w:bCs/>
              </w:rPr>
              <w:t>Komunālie pakalpojumi (ūdens)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0,90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0,51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9,96%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8,71%</w:t>
            </w:r>
          </w:p>
        </w:tc>
      </w:tr>
      <w:tr w:rsidR="002318D9" w:rsidRPr="002318D9"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850A4A" w:rsidP="00FD7056">
            <w:pPr>
              <w:ind w:left="122"/>
              <w:rPr>
                <w:rFonts w:ascii="Times New Roman" w:hAnsi="Times New Roman"/>
                <w:bCs/>
              </w:rPr>
            </w:pPr>
            <w:r>
              <w:rPr>
                <w:rFonts w:ascii="Times New Roman" w:hAnsi="Times New Roman"/>
                <w:bCs/>
              </w:rPr>
              <w:t>Tirgus kopā</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32"/>
              <w:rPr>
                <w:rFonts w:ascii="Times New Roman" w:hAnsi="Times New Roman"/>
                <w:bCs/>
              </w:rPr>
            </w:pPr>
            <w:r w:rsidRPr="002318D9">
              <w:rPr>
                <w:rFonts w:ascii="Times New Roman" w:hAnsi="Times New Roman"/>
                <w:bCs/>
              </w:rPr>
              <w:t>6568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27"/>
              <w:rPr>
                <w:rFonts w:ascii="Times New Roman" w:hAnsi="Times New Roman"/>
                <w:bCs/>
              </w:rPr>
            </w:pPr>
            <w:r w:rsidRPr="002318D9">
              <w:rPr>
                <w:rFonts w:ascii="Times New Roman" w:hAnsi="Times New Roman"/>
                <w:bCs/>
              </w:rPr>
              <w:t>1,07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40" w:firstLine="114"/>
              <w:rPr>
                <w:rFonts w:ascii="Times New Roman" w:hAnsi="Times New Roman"/>
                <w:bCs/>
              </w:rPr>
            </w:pPr>
            <w:r w:rsidRPr="002318D9">
              <w:rPr>
                <w:rFonts w:ascii="Times New Roman" w:hAnsi="Times New Roman"/>
                <w:bCs/>
              </w:rPr>
              <w:t>0,54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2318D9">
            <w:pPr>
              <w:ind w:firstLine="148"/>
              <w:rPr>
                <w:rFonts w:ascii="Times New Roman" w:hAnsi="Times New Roman"/>
                <w:bCs/>
              </w:rPr>
            </w:pPr>
            <w:r w:rsidRPr="002318D9">
              <w:rPr>
                <w:rFonts w:ascii="Times New Roman" w:hAnsi="Times New Roman"/>
                <w:bCs/>
              </w:rPr>
              <w:t>6,83%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318D9" w:rsidRPr="002318D9" w:rsidRDefault="002318D9" w:rsidP="00FD7056">
            <w:pPr>
              <w:ind w:left="164"/>
              <w:rPr>
                <w:rFonts w:ascii="Times New Roman" w:hAnsi="Times New Roman"/>
                <w:bCs/>
              </w:rPr>
            </w:pPr>
            <w:r w:rsidRPr="002318D9">
              <w:rPr>
                <w:rFonts w:ascii="Times New Roman" w:hAnsi="Times New Roman"/>
                <w:bCs/>
              </w:rPr>
              <w:t>9,95%</w:t>
            </w:r>
          </w:p>
        </w:tc>
      </w:tr>
    </w:tbl>
    <w:p w:rsidR="00F52FB3" w:rsidRPr="002318D9" w:rsidRDefault="002318D9" w:rsidP="007620AA">
      <w:pPr>
        <w:spacing w:line="276" w:lineRule="auto"/>
        <w:ind w:firstLine="720"/>
        <w:jc w:val="both"/>
        <w:rPr>
          <w:rFonts w:ascii="Times New Roman" w:hAnsi="Times New Roman"/>
          <w:bCs/>
        </w:rPr>
      </w:pPr>
      <w:r w:rsidRPr="002318D9">
        <w:rPr>
          <w:rFonts w:ascii="Times New Roman" w:hAnsi="Times New Roman"/>
          <w:bCs/>
        </w:rPr>
        <w:t xml:space="preserve">Avots: </w:t>
      </w:r>
      <w:r>
        <w:rPr>
          <w:rFonts w:ascii="Times New Roman" w:hAnsi="Times New Roman"/>
          <w:bCs/>
        </w:rPr>
        <w:t xml:space="preserve">izvilkums no vairāku tabulu apkopojuma no </w:t>
      </w:r>
      <w:r w:rsidRPr="002318D9">
        <w:rPr>
          <w:rFonts w:ascii="Times New Roman" w:hAnsi="Times New Roman"/>
          <w:bCs/>
        </w:rPr>
        <w:t>http://pages.stern.nyu.edu/~adamodar/</w:t>
      </w:r>
    </w:p>
    <w:p w:rsidR="00F52FB3" w:rsidRDefault="00F52FB3" w:rsidP="00F52FB3">
      <w:pPr>
        <w:spacing w:line="276" w:lineRule="auto"/>
        <w:ind w:firstLine="720"/>
        <w:jc w:val="both"/>
        <w:rPr>
          <w:rFonts w:ascii="Times New Roman" w:hAnsi="Times New Roman"/>
          <w:b/>
          <w:bCs/>
          <w:sz w:val="24"/>
          <w:szCs w:val="24"/>
        </w:rPr>
      </w:pPr>
    </w:p>
    <w:p w:rsidR="000F5F32" w:rsidRDefault="0096399E" w:rsidP="00450DAB">
      <w:pPr>
        <w:spacing w:line="276" w:lineRule="auto"/>
        <w:ind w:firstLine="720"/>
        <w:jc w:val="both"/>
        <w:rPr>
          <w:rFonts w:ascii="Times New Roman" w:hAnsi="Times New Roman"/>
          <w:bCs/>
          <w:sz w:val="24"/>
          <w:szCs w:val="24"/>
        </w:rPr>
      </w:pPr>
      <w:r w:rsidRPr="00581FEF">
        <w:rPr>
          <w:rFonts w:ascii="Times New Roman" w:hAnsi="Times New Roman"/>
          <w:bCs/>
          <w:sz w:val="24"/>
          <w:szCs w:val="24"/>
        </w:rPr>
        <w:t>Latvijas sagaidāmā ROE aprēķins</w:t>
      </w:r>
      <w:r w:rsidR="00933229" w:rsidRPr="00581FEF">
        <w:rPr>
          <w:rFonts w:ascii="Times New Roman" w:hAnsi="Times New Roman"/>
          <w:bCs/>
          <w:sz w:val="24"/>
          <w:szCs w:val="24"/>
        </w:rPr>
        <w:t xml:space="preserve"> </w:t>
      </w:r>
      <w:r w:rsidR="002C7D77">
        <w:rPr>
          <w:rFonts w:ascii="Times New Roman" w:hAnsi="Times New Roman"/>
          <w:bCs/>
          <w:sz w:val="24"/>
          <w:szCs w:val="24"/>
        </w:rPr>
        <w:t xml:space="preserve">pēc </w:t>
      </w:r>
      <w:r w:rsidR="000F5F32">
        <w:rPr>
          <w:rFonts w:ascii="Times New Roman" w:hAnsi="Times New Roman"/>
          <w:bCs/>
          <w:sz w:val="24"/>
          <w:szCs w:val="24"/>
        </w:rPr>
        <w:t>divām metodēm (Latvenergo piemērs)</w:t>
      </w:r>
    </w:p>
    <w:p w:rsidR="000F5F32" w:rsidRDefault="000F5F32" w:rsidP="00450DAB">
      <w:pPr>
        <w:pStyle w:val="ListParagraph"/>
        <w:numPr>
          <w:ilvl w:val="0"/>
          <w:numId w:val="19"/>
        </w:numPr>
        <w:spacing w:line="276" w:lineRule="auto"/>
        <w:jc w:val="both"/>
        <w:rPr>
          <w:rFonts w:ascii="Times New Roman" w:hAnsi="Times New Roman"/>
          <w:bCs/>
          <w:sz w:val="24"/>
          <w:szCs w:val="24"/>
        </w:rPr>
      </w:pPr>
      <w:r>
        <w:rPr>
          <w:rFonts w:ascii="Times New Roman" w:hAnsi="Times New Roman"/>
          <w:bCs/>
          <w:sz w:val="24"/>
          <w:szCs w:val="24"/>
        </w:rPr>
        <w:t xml:space="preserve">Salīdzinošo uzņēmumu </w:t>
      </w:r>
      <w:r w:rsidRPr="000F5F32">
        <w:rPr>
          <w:rFonts w:ascii="Times New Roman" w:hAnsi="Times New Roman"/>
          <w:bCs/>
          <w:sz w:val="24"/>
          <w:szCs w:val="24"/>
        </w:rPr>
        <w:t>ROE aprēķins</w:t>
      </w:r>
    </w:p>
    <w:p w:rsid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a</w:t>
      </w:r>
      <w:r w:rsidRPr="000F5F32">
        <w:rPr>
          <w:rFonts w:ascii="Times New Roman" w:hAnsi="Times New Roman"/>
          <w:bCs/>
          <w:sz w:val="24"/>
          <w:szCs w:val="24"/>
        </w:rPr>
        <w:t>tsevišķu izvēlētu uzņēmumu pēdējo piecu gadu ROE vidējā mediāna</w:t>
      </w:r>
      <w:r>
        <w:rPr>
          <w:rFonts w:ascii="Times New Roman" w:hAnsi="Times New Roman"/>
          <w:bCs/>
          <w:sz w:val="24"/>
          <w:szCs w:val="24"/>
        </w:rPr>
        <w:t xml:space="preserve">, balstoties uz individuāli izvēlētu uzņēmumu datiem </w:t>
      </w:r>
      <w:r w:rsidRPr="000F5F32">
        <w:rPr>
          <w:rFonts w:ascii="Times New Roman" w:hAnsi="Times New Roman"/>
          <w:bCs/>
          <w:sz w:val="24"/>
          <w:szCs w:val="24"/>
        </w:rPr>
        <w:t>– 5,2%</w:t>
      </w:r>
      <w:r>
        <w:rPr>
          <w:rFonts w:ascii="Times New Roman" w:hAnsi="Times New Roman"/>
          <w:bCs/>
          <w:sz w:val="24"/>
          <w:szCs w:val="24"/>
        </w:rPr>
        <w:t>,</w:t>
      </w:r>
    </w:p>
    <w:p w:rsid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Rietumeiropas enerģētikas nozares ROE, izmantojot informāciju no A. Damodaran tabulas – 7,7%,</w:t>
      </w:r>
    </w:p>
    <w:p w:rsidR="000F5F32" w:rsidRP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kas dod aptuveno ROE amplitūdu – 5,2%-7,7%;</w:t>
      </w:r>
    </w:p>
    <w:p w:rsidR="0050331F" w:rsidRPr="000F5F32" w:rsidRDefault="000F5F32" w:rsidP="00450DAB">
      <w:pPr>
        <w:pStyle w:val="ListParagraph"/>
        <w:numPr>
          <w:ilvl w:val="0"/>
          <w:numId w:val="19"/>
        </w:numPr>
        <w:spacing w:line="276" w:lineRule="auto"/>
        <w:jc w:val="both"/>
        <w:rPr>
          <w:rFonts w:ascii="Times New Roman" w:hAnsi="Times New Roman"/>
          <w:bCs/>
          <w:sz w:val="24"/>
          <w:szCs w:val="24"/>
        </w:rPr>
      </w:pPr>
      <w:r>
        <w:rPr>
          <w:rFonts w:ascii="Times New Roman" w:hAnsi="Times New Roman"/>
          <w:bCs/>
          <w:sz w:val="24"/>
          <w:szCs w:val="24"/>
        </w:rPr>
        <w:t>CAPM aprēķins</w:t>
      </w:r>
    </w:p>
    <w:p w:rsidR="0096399E" w:rsidRPr="00581FEF" w:rsidRDefault="0096399E" w:rsidP="00581FEF">
      <w:pPr>
        <w:spacing w:line="276" w:lineRule="auto"/>
        <w:rPr>
          <w:rFonts w:ascii="Times New Roman" w:hAnsi="Times New Roman"/>
          <w:bCs/>
          <w:sz w:val="24"/>
          <w:szCs w:val="24"/>
        </w:rPr>
      </w:pPr>
    </w:p>
    <w:p w:rsidR="0096399E" w:rsidRPr="00105313" w:rsidRDefault="00BA1AE8" w:rsidP="00581FEF">
      <w:pPr>
        <w:spacing w:line="276" w:lineRule="auto"/>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e</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f</m:t>
                  </m:r>
                </m:sub>
              </m:sSub>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 xml:space="preserve">    </m:t>
          </m:r>
        </m:oMath>
      </m:oMathPara>
    </w:p>
    <w:p w:rsidR="00F07628" w:rsidRPr="00105313" w:rsidRDefault="00F07628" w:rsidP="00581FEF">
      <w:pPr>
        <w:spacing w:line="276" w:lineRule="auto"/>
        <w:rPr>
          <w:rFonts w:ascii="Times New Roman" w:hAnsi="Times New Roman"/>
          <w:bCs/>
          <w:sz w:val="24"/>
          <w:szCs w:val="24"/>
        </w:rPr>
      </w:pPr>
    </w:p>
    <w:p w:rsidR="00F07628" w:rsidRPr="00105313" w:rsidRDefault="00F07628" w:rsidP="00581FEF">
      <w:pPr>
        <w:spacing w:line="276" w:lineRule="auto"/>
        <w:jc w:val="center"/>
        <w:rPr>
          <w:rFonts w:ascii="Times New Roman" w:hAnsi="Times New Roman"/>
          <w:bCs/>
          <w:sz w:val="24"/>
          <w:szCs w:val="24"/>
        </w:rPr>
      </w:pPr>
      <w:r w:rsidRPr="00105313">
        <w:rPr>
          <w:rFonts w:ascii="Times New Roman" w:hAnsi="Times New Roman"/>
          <w:bCs/>
          <w:sz w:val="24"/>
          <w:szCs w:val="24"/>
        </w:rPr>
        <w:t>R</w:t>
      </w:r>
      <w:r w:rsidRPr="00105313">
        <w:rPr>
          <w:rFonts w:ascii="Times New Roman" w:hAnsi="Times New Roman"/>
          <w:bCs/>
          <w:sz w:val="24"/>
          <w:szCs w:val="24"/>
          <w:vertAlign w:val="subscript"/>
        </w:rPr>
        <w:t>e</w:t>
      </w:r>
      <w:r w:rsidRPr="00105313">
        <w:rPr>
          <w:rFonts w:ascii="Times New Roman" w:hAnsi="Times New Roman"/>
          <w:bCs/>
          <w:sz w:val="24"/>
          <w:szCs w:val="24"/>
        </w:rPr>
        <w:t>=</w:t>
      </w:r>
      <w:r w:rsidR="00411339">
        <w:rPr>
          <w:rFonts w:ascii="Times New Roman" w:hAnsi="Times New Roman"/>
          <w:bCs/>
          <w:sz w:val="24"/>
          <w:szCs w:val="24"/>
        </w:rPr>
        <w:t>0,19</w:t>
      </w:r>
      <w:r w:rsidRPr="00105313">
        <w:rPr>
          <w:rFonts w:ascii="Times New Roman" w:hAnsi="Times New Roman"/>
          <w:bCs/>
          <w:sz w:val="24"/>
          <w:szCs w:val="24"/>
        </w:rPr>
        <w:t>+0,</w:t>
      </w:r>
      <w:r w:rsidR="00411339">
        <w:rPr>
          <w:rFonts w:ascii="Times New Roman" w:hAnsi="Times New Roman"/>
          <w:bCs/>
          <w:sz w:val="24"/>
          <w:szCs w:val="24"/>
        </w:rPr>
        <w:t>74</w:t>
      </w:r>
      <w:r w:rsidRPr="00105313">
        <w:rPr>
          <w:rFonts w:ascii="Times New Roman" w:hAnsi="Times New Roman"/>
          <w:bCs/>
          <w:sz w:val="24"/>
          <w:szCs w:val="24"/>
        </w:rPr>
        <w:t>(</w:t>
      </w:r>
      <w:r w:rsidR="00411339">
        <w:rPr>
          <w:rFonts w:ascii="Times New Roman" w:hAnsi="Times New Roman"/>
          <w:bCs/>
          <w:sz w:val="24"/>
          <w:szCs w:val="24"/>
        </w:rPr>
        <w:t>7,85</w:t>
      </w:r>
      <w:r w:rsidRPr="00105313">
        <w:rPr>
          <w:rFonts w:ascii="Times New Roman" w:hAnsi="Times New Roman"/>
          <w:bCs/>
          <w:sz w:val="24"/>
          <w:szCs w:val="24"/>
        </w:rPr>
        <w:t>)</w:t>
      </w:r>
      <w:r w:rsidR="006856B0">
        <w:rPr>
          <w:rFonts w:ascii="Times New Roman" w:hAnsi="Times New Roman"/>
          <w:bCs/>
          <w:sz w:val="24"/>
          <w:szCs w:val="24"/>
        </w:rPr>
        <w:t>+0</w:t>
      </w:r>
      <w:r w:rsidRPr="00105313">
        <w:rPr>
          <w:rFonts w:ascii="Times New Roman" w:hAnsi="Times New Roman"/>
          <w:bCs/>
          <w:sz w:val="24"/>
          <w:szCs w:val="24"/>
        </w:rPr>
        <w:t>=</w:t>
      </w:r>
      <w:r w:rsidR="00411339">
        <w:rPr>
          <w:rFonts w:ascii="Times New Roman" w:hAnsi="Times New Roman"/>
          <w:bCs/>
          <w:sz w:val="24"/>
          <w:szCs w:val="24"/>
        </w:rPr>
        <w:t>5,999%</w:t>
      </w:r>
      <w:r w:rsidR="00411339">
        <w:rPr>
          <w:rFonts w:ascii="Verdana" w:hAnsi="Verdana"/>
          <w:bCs/>
          <w:sz w:val="24"/>
          <w:szCs w:val="24"/>
        </w:rPr>
        <w:t>≈</w:t>
      </w:r>
      <w:r w:rsidR="00411339">
        <w:rPr>
          <w:rFonts w:ascii="Times New Roman" w:hAnsi="Times New Roman"/>
          <w:bCs/>
          <w:sz w:val="24"/>
          <w:szCs w:val="24"/>
        </w:rPr>
        <w:t>6%</w:t>
      </w:r>
    </w:p>
    <w:p w:rsidR="00F07628" w:rsidRPr="00105313" w:rsidRDefault="000F5F32" w:rsidP="00581FEF">
      <w:pPr>
        <w:spacing w:line="276" w:lineRule="auto"/>
        <w:jc w:val="center"/>
        <w:rPr>
          <w:rFonts w:ascii="Times New Roman" w:hAnsi="Times New Roman"/>
          <w:bCs/>
          <w:sz w:val="24"/>
          <w:szCs w:val="24"/>
        </w:rPr>
      </w:pPr>
      <w:r>
        <w:rPr>
          <w:rFonts w:ascii="Times New Roman" w:hAnsi="Times New Roman"/>
          <w:bCs/>
          <w:sz w:val="24"/>
          <w:szCs w:val="24"/>
        </w:rPr>
        <w:lastRenderedPageBreak/>
        <w:t>(</w:t>
      </w:r>
      <w:proofErr w:type="gramStart"/>
      <w:r>
        <w:rPr>
          <w:rFonts w:ascii="Times New Roman" w:hAnsi="Times New Roman"/>
          <w:bCs/>
          <w:sz w:val="24"/>
          <w:szCs w:val="24"/>
        </w:rPr>
        <w:t>R</w:t>
      </w:r>
      <w:r w:rsidRPr="000F5F32">
        <w:rPr>
          <w:rFonts w:ascii="Times New Roman" w:hAnsi="Times New Roman"/>
          <w:bCs/>
          <w:sz w:val="24"/>
          <w:szCs w:val="24"/>
          <w:vertAlign w:val="subscript"/>
        </w:rPr>
        <w:t>s</w:t>
      </w:r>
      <w:r>
        <w:rPr>
          <w:rFonts w:ascii="Times New Roman" w:hAnsi="Times New Roman"/>
          <w:bCs/>
          <w:sz w:val="24"/>
          <w:szCs w:val="24"/>
        </w:rPr>
        <w:t xml:space="preserve"> –</w:t>
      </w:r>
      <w:r w:rsidR="0083785D">
        <w:rPr>
          <w:rFonts w:ascii="Times New Roman" w:hAnsi="Times New Roman"/>
          <w:bCs/>
          <w:sz w:val="24"/>
          <w:szCs w:val="24"/>
        </w:rPr>
        <w:t>š</w:t>
      </w:r>
      <w:proofErr w:type="gramEnd"/>
      <w:r w:rsidR="0083785D">
        <w:rPr>
          <w:rFonts w:ascii="Times New Roman" w:hAnsi="Times New Roman"/>
          <w:bCs/>
          <w:sz w:val="24"/>
          <w:szCs w:val="24"/>
        </w:rPr>
        <w:t>eit netiek piemērots</w:t>
      </w:r>
      <w:r w:rsidR="006856B0">
        <w:rPr>
          <w:rFonts w:ascii="Times New Roman" w:hAnsi="Times New Roman"/>
          <w:bCs/>
          <w:sz w:val="24"/>
          <w:szCs w:val="24"/>
        </w:rPr>
        <w:t>, jo Latvijas un nozares kontekstā Latvenergo ir liels uzņēmums</w:t>
      </w:r>
      <w:r>
        <w:rPr>
          <w:rFonts w:ascii="Times New Roman" w:hAnsi="Times New Roman"/>
          <w:bCs/>
          <w:sz w:val="24"/>
          <w:szCs w:val="24"/>
        </w:rPr>
        <w:t>)</w:t>
      </w:r>
    </w:p>
    <w:p w:rsidR="00F07628" w:rsidRDefault="00F07628" w:rsidP="00581FEF">
      <w:pPr>
        <w:spacing w:line="276" w:lineRule="auto"/>
        <w:jc w:val="center"/>
        <w:rPr>
          <w:rFonts w:ascii="Times New Roman" w:hAnsi="Times New Roman"/>
          <w:bCs/>
          <w:sz w:val="24"/>
          <w:szCs w:val="24"/>
        </w:rPr>
      </w:pPr>
      <w:r w:rsidRPr="00105313">
        <w:rPr>
          <w:rFonts w:ascii="Times New Roman" w:hAnsi="Times New Roman"/>
          <w:bCs/>
          <w:sz w:val="24"/>
          <w:szCs w:val="24"/>
        </w:rPr>
        <w:t xml:space="preserve">Faktiski Latvenergo ROE = </w:t>
      </w:r>
      <w:r w:rsidR="00411339">
        <w:rPr>
          <w:rFonts w:ascii="Times New Roman" w:hAnsi="Times New Roman"/>
          <w:bCs/>
          <w:sz w:val="24"/>
          <w:szCs w:val="24"/>
        </w:rPr>
        <w:t>4,5%</w:t>
      </w:r>
      <w:r w:rsidRPr="00105313">
        <w:rPr>
          <w:rFonts w:ascii="Times New Roman" w:hAnsi="Times New Roman"/>
          <w:bCs/>
          <w:sz w:val="24"/>
          <w:szCs w:val="24"/>
        </w:rPr>
        <w:t xml:space="preserve"> (201</w:t>
      </w:r>
      <w:r w:rsidR="00411339">
        <w:rPr>
          <w:rFonts w:ascii="Times New Roman" w:hAnsi="Times New Roman"/>
          <w:bCs/>
          <w:sz w:val="24"/>
          <w:szCs w:val="24"/>
        </w:rPr>
        <w:t>5</w:t>
      </w:r>
      <w:r w:rsidRPr="00105313">
        <w:rPr>
          <w:rFonts w:ascii="Times New Roman" w:hAnsi="Times New Roman"/>
          <w:bCs/>
          <w:sz w:val="24"/>
          <w:szCs w:val="24"/>
        </w:rPr>
        <w:t>)</w:t>
      </w:r>
    </w:p>
    <w:p w:rsidR="000F5F32" w:rsidRDefault="000F5F32" w:rsidP="00581FEF">
      <w:pPr>
        <w:spacing w:line="276" w:lineRule="auto"/>
        <w:jc w:val="center"/>
        <w:rPr>
          <w:rFonts w:ascii="Times New Roman" w:hAnsi="Times New Roman"/>
          <w:bCs/>
          <w:sz w:val="24"/>
          <w:szCs w:val="24"/>
        </w:rPr>
      </w:pPr>
    </w:p>
    <w:p w:rsidR="00DD7EB1" w:rsidRPr="00DD7EB1" w:rsidRDefault="00450DAB" w:rsidP="00C97A43">
      <w:pPr>
        <w:spacing w:line="276" w:lineRule="auto"/>
        <w:ind w:firstLine="720"/>
        <w:jc w:val="both"/>
        <w:rPr>
          <w:rFonts w:ascii="Times New Roman" w:hAnsi="Times New Roman"/>
          <w:bCs/>
          <w:szCs w:val="24"/>
        </w:rPr>
      </w:pPr>
      <w:r>
        <w:rPr>
          <w:rFonts w:ascii="Times New Roman" w:hAnsi="Times New Roman"/>
          <w:bCs/>
          <w:sz w:val="24"/>
          <w:szCs w:val="24"/>
        </w:rPr>
        <w:t>Izmantojot šo pieeju</w:t>
      </w:r>
      <w:r w:rsidR="00E204A8">
        <w:rPr>
          <w:rFonts w:ascii="Times New Roman" w:hAnsi="Times New Roman"/>
          <w:bCs/>
          <w:sz w:val="24"/>
          <w:szCs w:val="24"/>
        </w:rPr>
        <w:t>, mērķis ir panākt, lai valsts kapitālsabiedrībām uzstādītie pašu kapitāla atdeves mērķi būtu atbilstoši kapitāla izmaksām un salīdzināmi ar privāt</w:t>
      </w:r>
      <w:r w:rsidR="00DD7EB1">
        <w:rPr>
          <w:rFonts w:ascii="Times New Roman" w:hAnsi="Times New Roman"/>
          <w:bCs/>
          <w:sz w:val="24"/>
          <w:szCs w:val="24"/>
        </w:rPr>
        <w:t>o</w:t>
      </w:r>
      <w:r w:rsidR="00E204A8">
        <w:rPr>
          <w:rFonts w:ascii="Times New Roman" w:hAnsi="Times New Roman"/>
          <w:bCs/>
          <w:sz w:val="24"/>
          <w:szCs w:val="24"/>
        </w:rPr>
        <w:t xml:space="preserve"> </w:t>
      </w:r>
      <w:r w:rsidR="00DD7EB1">
        <w:rPr>
          <w:rFonts w:ascii="Times New Roman" w:hAnsi="Times New Roman"/>
          <w:bCs/>
          <w:sz w:val="24"/>
          <w:szCs w:val="24"/>
        </w:rPr>
        <w:t>kapitāls</w:t>
      </w:r>
      <w:r w:rsidR="00C97A43">
        <w:rPr>
          <w:rFonts w:ascii="Times New Roman" w:hAnsi="Times New Roman"/>
          <w:bCs/>
          <w:sz w:val="24"/>
          <w:szCs w:val="24"/>
        </w:rPr>
        <w:t>abiedrību efektivitātes līmeni.</w:t>
      </w:r>
    </w:p>
    <w:p w:rsidR="000F5F32" w:rsidRPr="000F5F32" w:rsidRDefault="000F5F32" w:rsidP="000F5F32">
      <w:pPr>
        <w:spacing w:line="276" w:lineRule="auto"/>
        <w:rPr>
          <w:rFonts w:ascii="Times New Roman" w:hAnsi="Times New Roman"/>
          <w:bCs/>
          <w:sz w:val="24"/>
          <w:szCs w:val="24"/>
        </w:rPr>
      </w:pPr>
    </w:p>
    <w:p w:rsidR="00E937F1" w:rsidRDefault="00E937F1" w:rsidP="002E4852">
      <w:pPr>
        <w:spacing w:line="276" w:lineRule="auto"/>
        <w:ind w:firstLine="720"/>
        <w:jc w:val="both"/>
        <w:rPr>
          <w:rFonts w:ascii="Times New Roman" w:hAnsi="Times New Roman"/>
          <w:bCs/>
          <w:sz w:val="24"/>
          <w:szCs w:val="24"/>
        </w:rPr>
      </w:pPr>
      <w:r>
        <w:rPr>
          <w:rFonts w:ascii="Times New Roman" w:hAnsi="Times New Roman"/>
          <w:bCs/>
          <w:sz w:val="24"/>
          <w:szCs w:val="24"/>
        </w:rPr>
        <w:t>Runājot par šīm metodēm, jāmin arī iespējamās grūtības un riski, ko jāapzinās, nosakot finanšu mērķus. Iespējamās grūtības saistībā ar ROE kā finanšu mērķa noteikšanu:</w:t>
      </w:r>
    </w:p>
    <w:p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sidRPr="00E937F1">
        <w:rPr>
          <w:rFonts w:ascii="Times New Roman" w:hAnsi="Times New Roman"/>
          <w:bCs/>
          <w:sz w:val="24"/>
          <w:szCs w:val="24"/>
        </w:rPr>
        <w:t xml:space="preserve">nosakot </w:t>
      </w:r>
      <w:r>
        <w:rPr>
          <w:rFonts w:ascii="Times New Roman" w:hAnsi="Times New Roman"/>
          <w:bCs/>
          <w:sz w:val="24"/>
          <w:szCs w:val="24"/>
        </w:rPr>
        <w:t xml:space="preserve">ROE </w:t>
      </w:r>
      <w:r w:rsidRPr="00E937F1">
        <w:rPr>
          <w:rFonts w:ascii="Times New Roman" w:hAnsi="Times New Roman"/>
          <w:bCs/>
          <w:sz w:val="24"/>
          <w:szCs w:val="24"/>
        </w:rPr>
        <w:t xml:space="preserve">kā vienīgo </w:t>
      </w:r>
      <w:r>
        <w:rPr>
          <w:rFonts w:ascii="Times New Roman" w:hAnsi="Times New Roman"/>
          <w:bCs/>
          <w:sz w:val="24"/>
          <w:szCs w:val="24"/>
        </w:rPr>
        <w:t xml:space="preserve">finanšu </w:t>
      </w:r>
      <w:r w:rsidRPr="00E937F1">
        <w:rPr>
          <w:rFonts w:ascii="Times New Roman" w:hAnsi="Times New Roman"/>
          <w:bCs/>
          <w:sz w:val="24"/>
          <w:szCs w:val="24"/>
        </w:rPr>
        <w:t>mērķi, uzņēmums īstermiņā var manipulēt ar citiem rādītājiem – kapitāla struktūra, pašu kapitāls, peļņa, tādēļ būtībā jāseko arī citiem rādītājiem</w:t>
      </w:r>
      <w:r>
        <w:rPr>
          <w:rFonts w:ascii="Times New Roman" w:hAnsi="Times New Roman"/>
          <w:bCs/>
          <w:sz w:val="24"/>
          <w:szCs w:val="24"/>
        </w:rPr>
        <w:t>,</w:t>
      </w:r>
    </w:p>
    <w:p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sidRPr="00E937F1">
        <w:rPr>
          <w:rFonts w:ascii="Times New Roman" w:hAnsi="Times New Roman"/>
          <w:bCs/>
          <w:sz w:val="24"/>
          <w:szCs w:val="24"/>
        </w:rPr>
        <w:t>ROE pieaugumam var būt nepieciešama dividenžu saglabāšana uzņēmuma rīcībā</w:t>
      </w:r>
      <w:r>
        <w:rPr>
          <w:rFonts w:ascii="Times New Roman" w:hAnsi="Times New Roman"/>
          <w:bCs/>
          <w:sz w:val="24"/>
          <w:szCs w:val="24"/>
        </w:rPr>
        <w:t>,</w:t>
      </w:r>
    </w:p>
    <w:p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Pr>
          <w:rFonts w:ascii="Times New Roman" w:hAnsi="Times New Roman"/>
          <w:bCs/>
          <w:sz w:val="24"/>
          <w:szCs w:val="24"/>
        </w:rPr>
        <w:t>n</w:t>
      </w:r>
      <w:r w:rsidRPr="00E937F1">
        <w:rPr>
          <w:rFonts w:ascii="Times New Roman" w:hAnsi="Times New Roman"/>
          <w:bCs/>
          <w:sz w:val="24"/>
          <w:szCs w:val="24"/>
        </w:rPr>
        <w:t>egatīva pašu kapitāla gadījumā rezultāts nav attiecināms - jāizmanto citi rādītāji</w:t>
      </w:r>
      <w:r w:rsidR="00D732D0">
        <w:rPr>
          <w:rFonts w:ascii="Times New Roman" w:hAnsi="Times New Roman"/>
          <w:bCs/>
          <w:sz w:val="24"/>
          <w:szCs w:val="24"/>
        </w:rPr>
        <w:t>.</w:t>
      </w:r>
    </w:p>
    <w:p w:rsidR="00E937F1" w:rsidRDefault="00E937F1" w:rsidP="002E4852">
      <w:pPr>
        <w:spacing w:line="276" w:lineRule="auto"/>
        <w:ind w:firstLine="720"/>
        <w:jc w:val="both"/>
        <w:rPr>
          <w:rFonts w:ascii="Times New Roman" w:hAnsi="Times New Roman"/>
          <w:bCs/>
          <w:sz w:val="24"/>
          <w:szCs w:val="24"/>
        </w:rPr>
      </w:pPr>
    </w:p>
    <w:p w:rsidR="002E4852" w:rsidRPr="002E4852" w:rsidRDefault="00E937F1" w:rsidP="002E4852">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Potenciālās </w:t>
      </w:r>
      <w:r w:rsidR="002E4852" w:rsidRPr="002E4852">
        <w:rPr>
          <w:rFonts w:ascii="Times New Roman" w:hAnsi="Times New Roman"/>
          <w:bCs/>
          <w:sz w:val="24"/>
          <w:szCs w:val="24"/>
        </w:rPr>
        <w:t xml:space="preserve">CAPM metodes </w:t>
      </w:r>
      <w:r w:rsidR="00D732D0">
        <w:rPr>
          <w:rFonts w:ascii="Times New Roman" w:hAnsi="Times New Roman"/>
          <w:bCs/>
          <w:sz w:val="24"/>
          <w:szCs w:val="24"/>
        </w:rPr>
        <w:t xml:space="preserve">piemērošanas </w:t>
      </w:r>
      <w:r w:rsidR="002E4852" w:rsidRPr="002E4852">
        <w:rPr>
          <w:rFonts w:ascii="Times New Roman" w:hAnsi="Times New Roman"/>
          <w:bCs/>
          <w:sz w:val="24"/>
          <w:szCs w:val="24"/>
        </w:rPr>
        <w:t>grūtības:</w:t>
      </w:r>
    </w:p>
    <w:p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i</w:t>
      </w:r>
      <w:r w:rsidR="002E4852" w:rsidRPr="00D732D0">
        <w:rPr>
          <w:rFonts w:ascii="Times New Roman" w:hAnsi="Times New Roman"/>
          <w:bCs/>
          <w:sz w:val="24"/>
          <w:szCs w:val="24"/>
        </w:rPr>
        <w:t>deālā gadījumā jāievāc dati par salīdzināmo uzņēmumu betām (pieejams Bloomberg/ Reuters), kas ir maksas pakalpojums;</w:t>
      </w:r>
    </w:p>
    <w:p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i</w:t>
      </w:r>
      <w:r w:rsidR="002E4852" w:rsidRPr="00D732D0">
        <w:rPr>
          <w:rFonts w:ascii="Times New Roman" w:hAnsi="Times New Roman"/>
          <w:bCs/>
          <w:sz w:val="24"/>
          <w:szCs w:val="24"/>
        </w:rPr>
        <w:t xml:space="preserve">zmantojot visu nozari (no </w:t>
      </w:r>
      <w:r>
        <w:rPr>
          <w:rFonts w:ascii="Times New Roman" w:hAnsi="Times New Roman"/>
          <w:bCs/>
          <w:sz w:val="24"/>
          <w:szCs w:val="24"/>
        </w:rPr>
        <w:t>A. </w:t>
      </w:r>
      <w:r w:rsidR="002E4852" w:rsidRPr="00D732D0">
        <w:rPr>
          <w:rFonts w:ascii="Times New Roman" w:hAnsi="Times New Roman"/>
          <w:bCs/>
          <w:sz w:val="24"/>
          <w:szCs w:val="24"/>
        </w:rPr>
        <w:t>Damodaran</w:t>
      </w:r>
      <w:r>
        <w:rPr>
          <w:rFonts w:ascii="Times New Roman" w:hAnsi="Times New Roman"/>
          <w:bCs/>
          <w:sz w:val="24"/>
          <w:szCs w:val="24"/>
        </w:rPr>
        <w:t xml:space="preserve"> tabulām</w:t>
      </w:r>
      <w:r w:rsidR="002E4852" w:rsidRPr="00D732D0">
        <w:rPr>
          <w:rFonts w:ascii="Times New Roman" w:hAnsi="Times New Roman"/>
          <w:bCs/>
          <w:sz w:val="24"/>
          <w:szCs w:val="24"/>
        </w:rPr>
        <w:t>), tur var būt iekļauti nesalīdzināmi uzņēmumi;</w:t>
      </w:r>
    </w:p>
    <w:p w:rsid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t</w:t>
      </w:r>
      <w:r w:rsidR="002E4852" w:rsidRPr="00D732D0">
        <w:rPr>
          <w:rFonts w:ascii="Times New Roman" w:hAnsi="Times New Roman"/>
          <w:bCs/>
          <w:sz w:val="24"/>
          <w:szCs w:val="24"/>
        </w:rPr>
        <w:t xml:space="preserve">irgus uzcenojums </w:t>
      </w:r>
      <w:r>
        <w:rPr>
          <w:rFonts w:ascii="Times New Roman" w:hAnsi="Times New Roman"/>
          <w:bCs/>
          <w:sz w:val="24"/>
          <w:szCs w:val="24"/>
        </w:rPr>
        <w:t xml:space="preserve">jeb prēmija </w:t>
      </w:r>
      <w:r w:rsidR="002E4852" w:rsidRPr="00D732D0">
        <w:rPr>
          <w:rFonts w:ascii="Times New Roman" w:hAnsi="Times New Roman"/>
          <w:bCs/>
          <w:sz w:val="24"/>
          <w:szCs w:val="24"/>
        </w:rPr>
        <w:t xml:space="preserve">ir balstīts uz virkni pieņēmumiem, </w:t>
      </w:r>
      <w:r>
        <w:rPr>
          <w:rFonts w:ascii="Times New Roman" w:hAnsi="Times New Roman"/>
          <w:bCs/>
          <w:sz w:val="24"/>
          <w:szCs w:val="24"/>
        </w:rPr>
        <w:t>un t</w:t>
      </w:r>
      <w:r w:rsidR="002E4852" w:rsidRPr="00D732D0">
        <w:rPr>
          <w:rFonts w:ascii="Times New Roman" w:hAnsi="Times New Roman"/>
          <w:bCs/>
          <w:sz w:val="24"/>
          <w:szCs w:val="24"/>
        </w:rPr>
        <w:t xml:space="preserve">as ir lielākais </w:t>
      </w:r>
      <w:r>
        <w:rPr>
          <w:rFonts w:ascii="Times New Roman" w:hAnsi="Times New Roman"/>
          <w:bCs/>
          <w:sz w:val="24"/>
          <w:szCs w:val="24"/>
        </w:rPr>
        <w:t xml:space="preserve">rezultātu ietekmējošais </w:t>
      </w:r>
      <w:r w:rsidR="002E4852" w:rsidRPr="00D732D0">
        <w:rPr>
          <w:rFonts w:ascii="Times New Roman" w:hAnsi="Times New Roman"/>
          <w:bCs/>
          <w:sz w:val="24"/>
          <w:szCs w:val="24"/>
        </w:rPr>
        <w:t>rādītājs pie gandrīz nulle</w:t>
      </w:r>
      <w:r>
        <w:rPr>
          <w:rFonts w:ascii="Times New Roman" w:hAnsi="Times New Roman"/>
          <w:bCs/>
          <w:sz w:val="24"/>
          <w:szCs w:val="24"/>
        </w:rPr>
        <w:t>s līmenī esošas bezriska likmes,</w:t>
      </w:r>
    </w:p>
    <w:p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diskutabls jautājums par papildu uzcenojumu saistībā ar uzņēmuma lielumu</w:t>
      </w:r>
      <w:r w:rsidR="002E4852" w:rsidRPr="00D732D0">
        <w:rPr>
          <w:rFonts w:ascii="Times New Roman" w:hAnsi="Times New Roman"/>
          <w:bCs/>
          <w:sz w:val="24"/>
          <w:szCs w:val="24"/>
        </w:rPr>
        <w:t>.</w:t>
      </w:r>
    </w:p>
    <w:p w:rsidR="00B3398B" w:rsidRDefault="00B3398B" w:rsidP="002E4852">
      <w:pPr>
        <w:spacing w:line="276" w:lineRule="auto"/>
        <w:ind w:firstLine="720"/>
        <w:jc w:val="both"/>
        <w:rPr>
          <w:rFonts w:ascii="Times New Roman" w:hAnsi="Times New Roman"/>
          <w:bCs/>
          <w:sz w:val="24"/>
          <w:szCs w:val="24"/>
        </w:rPr>
      </w:pPr>
    </w:p>
    <w:p w:rsidR="002E4852" w:rsidRPr="002E4852" w:rsidRDefault="00452AC8" w:rsidP="002E4852">
      <w:pPr>
        <w:spacing w:line="276" w:lineRule="auto"/>
        <w:ind w:firstLine="720"/>
        <w:jc w:val="both"/>
        <w:rPr>
          <w:rFonts w:ascii="Times New Roman" w:hAnsi="Times New Roman"/>
          <w:bCs/>
          <w:sz w:val="24"/>
          <w:szCs w:val="24"/>
        </w:rPr>
      </w:pPr>
      <w:r>
        <w:rPr>
          <w:rFonts w:ascii="Times New Roman" w:hAnsi="Times New Roman"/>
          <w:bCs/>
          <w:sz w:val="24"/>
          <w:szCs w:val="24"/>
        </w:rPr>
        <w:t xml:space="preserve">Minētās iespējamās grūtības </w:t>
      </w:r>
      <w:r w:rsidR="00FD29C0">
        <w:rPr>
          <w:rFonts w:ascii="Times New Roman" w:hAnsi="Times New Roman"/>
          <w:bCs/>
          <w:sz w:val="24"/>
          <w:szCs w:val="24"/>
        </w:rPr>
        <w:t xml:space="preserve">un riskus </w:t>
      </w:r>
      <w:r>
        <w:rPr>
          <w:rFonts w:ascii="Times New Roman" w:hAnsi="Times New Roman"/>
          <w:bCs/>
          <w:sz w:val="24"/>
          <w:szCs w:val="24"/>
        </w:rPr>
        <w:t>PK</w:t>
      </w:r>
      <w:r w:rsidR="00FD29C0">
        <w:rPr>
          <w:rFonts w:ascii="Times New Roman" w:hAnsi="Times New Roman"/>
          <w:bCs/>
          <w:sz w:val="24"/>
          <w:szCs w:val="24"/>
        </w:rPr>
        <w:t>C</w:t>
      </w:r>
      <w:r w:rsidR="00B3398B">
        <w:rPr>
          <w:rFonts w:ascii="Times New Roman" w:hAnsi="Times New Roman"/>
          <w:bCs/>
          <w:sz w:val="24"/>
          <w:szCs w:val="24"/>
        </w:rPr>
        <w:t xml:space="preserve"> plāno mazināt, vērtējot kapitāla atdeves mērķus valsts kapitālsabiedrību vidēja termiņa stratēģijas kontekstā un veidojot dialogu ar valsts kapitālsabiedrības pārstāvjiem.</w:t>
      </w:r>
    </w:p>
    <w:p w:rsidR="006108C3" w:rsidRPr="00105313" w:rsidRDefault="006108C3" w:rsidP="00581FEF">
      <w:pPr>
        <w:spacing w:line="276" w:lineRule="auto"/>
        <w:rPr>
          <w:rFonts w:ascii="Times New Roman" w:hAnsi="Times New Roman"/>
          <w:bCs/>
          <w:sz w:val="24"/>
          <w:szCs w:val="24"/>
        </w:rPr>
      </w:pPr>
    </w:p>
    <w:p w:rsidR="00275B5C" w:rsidRPr="00581FEF" w:rsidRDefault="00275B5C" w:rsidP="00275B5C">
      <w:pPr>
        <w:spacing w:line="276" w:lineRule="auto"/>
        <w:rPr>
          <w:rFonts w:ascii="Times New Roman" w:hAnsi="Times New Roman"/>
          <w:b/>
          <w:bCs/>
          <w:sz w:val="24"/>
          <w:szCs w:val="24"/>
        </w:rPr>
      </w:pPr>
      <w:r>
        <w:rPr>
          <w:rFonts w:ascii="Times New Roman" w:hAnsi="Times New Roman"/>
          <w:b/>
          <w:bCs/>
          <w:sz w:val="24"/>
          <w:szCs w:val="24"/>
        </w:rPr>
        <w:t>3</w:t>
      </w:r>
      <w:r w:rsidRPr="00581FEF">
        <w:rPr>
          <w:rFonts w:ascii="Times New Roman" w:hAnsi="Times New Roman"/>
          <w:b/>
          <w:bCs/>
          <w:sz w:val="24"/>
          <w:szCs w:val="24"/>
        </w:rPr>
        <w:t xml:space="preserve">. </w:t>
      </w:r>
      <w:r w:rsidRPr="00275B5C">
        <w:rPr>
          <w:rFonts w:ascii="Times New Roman" w:hAnsi="Times New Roman"/>
          <w:b/>
          <w:bCs/>
          <w:sz w:val="24"/>
          <w:szCs w:val="24"/>
        </w:rPr>
        <w:t xml:space="preserve">Piemērošana </w:t>
      </w:r>
      <w:r w:rsidR="0065120C">
        <w:rPr>
          <w:rFonts w:ascii="Times New Roman" w:hAnsi="Times New Roman"/>
          <w:b/>
          <w:bCs/>
          <w:sz w:val="24"/>
          <w:szCs w:val="24"/>
        </w:rPr>
        <w:t xml:space="preserve">atsevišķām nozarēm </w:t>
      </w:r>
      <w:r w:rsidRPr="00275B5C">
        <w:rPr>
          <w:rFonts w:ascii="Times New Roman" w:hAnsi="Times New Roman"/>
          <w:b/>
          <w:bCs/>
          <w:sz w:val="24"/>
          <w:szCs w:val="24"/>
        </w:rPr>
        <w:t>Latvijas situācijā</w:t>
      </w:r>
    </w:p>
    <w:p w:rsidR="006108C3" w:rsidRPr="00581FEF" w:rsidRDefault="006108C3" w:rsidP="00784F55">
      <w:pPr>
        <w:spacing w:line="276" w:lineRule="auto"/>
        <w:ind w:firstLine="720"/>
        <w:jc w:val="both"/>
        <w:rPr>
          <w:rFonts w:ascii="Times New Roman" w:hAnsi="Times New Roman"/>
          <w:bCs/>
          <w:sz w:val="24"/>
          <w:szCs w:val="24"/>
        </w:rPr>
      </w:pPr>
    </w:p>
    <w:p w:rsidR="008A7110" w:rsidRPr="008A7110" w:rsidRDefault="008A7110" w:rsidP="008A7110">
      <w:pPr>
        <w:spacing w:line="276" w:lineRule="auto"/>
        <w:ind w:firstLine="720"/>
        <w:jc w:val="both"/>
        <w:rPr>
          <w:rFonts w:ascii="Times New Roman" w:hAnsi="Times New Roman"/>
          <w:bCs/>
          <w:sz w:val="24"/>
          <w:szCs w:val="24"/>
        </w:rPr>
      </w:pPr>
      <w:r w:rsidRPr="008A7110">
        <w:rPr>
          <w:rFonts w:ascii="Times New Roman" w:hAnsi="Times New Roman"/>
          <w:bCs/>
          <w:sz w:val="24"/>
          <w:szCs w:val="24"/>
        </w:rPr>
        <w:t xml:space="preserve">Kaut arī kopējā visu valsts kapitālsabiedrību (t.sk. meitas sabiedrību) pašu kapitāla atdeve </w:t>
      </w:r>
      <w:proofErr w:type="gramStart"/>
      <w:r w:rsidRPr="008A7110">
        <w:rPr>
          <w:rFonts w:ascii="Times New Roman" w:hAnsi="Times New Roman"/>
          <w:bCs/>
          <w:sz w:val="24"/>
          <w:szCs w:val="24"/>
        </w:rPr>
        <w:t>2015.gadā</w:t>
      </w:r>
      <w:proofErr w:type="gramEnd"/>
      <w:r w:rsidRPr="008A7110">
        <w:rPr>
          <w:rFonts w:ascii="Times New Roman" w:hAnsi="Times New Roman"/>
          <w:bCs/>
          <w:sz w:val="24"/>
          <w:szCs w:val="24"/>
        </w:rPr>
        <w:t xml:space="preserve"> bija augstāka kā iepriekšējos gados, tas galvenokārt bija pateicoties augstai atdevei nozarēs ar lielāko peļņas īpatsvaru, respektīvi – enerģētikā, sakaros un mežsaimniecībā.</w:t>
      </w:r>
    </w:p>
    <w:p w:rsidR="008A7110" w:rsidRPr="008A7110" w:rsidRDefault="008A7110" w:rsidP="008A7110">
      <w:pPr>
        <w:spacing w:line="276" w:lineRule="auto"/>
        <w:ind w:firstLine="720"/>
        <w:jc w:val="both"/>
        <w:rPr>
          <w:rFonts w:ascii="Times New Roman" w:hAnsi="Times New Roman"/>
          <w:bCs/>
          <w:sz w:val="24"/>
          <w:szCs w:val="24"/>
        </w:rPr>
      </w:pPr>
      <w:r w:rsidRPr="008A7110">
        <w:rPr>
          <w:rFonts w:ascii="Times New Roman" w:hAnsi="Times New Roman"/>
          <w:bCs/>
          <w:sz w:val="24"/>
          <w:szCs w:val="24"/>
        </w:rPr>
        <w:t xml:space="preserve">Tomēr atsevišķas nozares </w:t>
      </w:r>
      <w:r>
        <w:rPr>
          <w:rFonts w:ascii="Times New Roman" w:hAnsi="Times New Roman"/>
          <w:bCs/>
          <w:sz w:val="24"/>
          <w:szCs w:val="24"/>
        </w:rPr>
        <w:t xml:space="preserve">uzrādīja </w:t>
      </w:r>
      <w:r w:rsidR="00DB7616">
        <w:rPr>
          <w:rFonts w:ascii="Times New Roman" w:hAnsi="Times New Roman"/>
          <w:bCs/>
          <w:sz w:val="24"/>
          <w:szCs w:val="24"/>
        </w:rPr>
        <w:t xml:space="preserve">zaudējumus un attiecīgi </w:t>
      </w:r>
      <w:r>
        <w:rPr>
          <w:rFonts w:ascii="Times New Roman" w:hAnsi="Times New Roman"/>
          <w:bCs/>
          <w:sz w:val="24"/>
          <w:szCs w:val="24"/>
        </w:rPr>
        <w:t>negatīvu pašu kapitāla atdevi. Tās ir:</w:t>
      </w:r>
    </w:p>
    <w:p w:rsidR="008A7110" w:rsidRPr="008A7110"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Nekustamais īpašums</w:t>
      </w:r>
      <w:r w:rsidR="00DB7616">
        <w:rPr>
          <w:rFonts w:ascii="Times New Roman" w:hAnsi="Times New Roman"/>
          <w:bCs/>
          <w:sz w:val="24"/>
          <w:szCs w:val="24"/>
        </w:rPr>
        <w:t xml:space="preserve"> (rādītājs nav nosakāms, jo ir negatīvs arī pašu kapitāls)</w:t>
      </w:r>
      <w:r w:rsidRPr="008A7110">
        <w:rPr>
          <w:rFonts w:ascii="Times New Roman" w:hAnsi="Times New Roman"/>
          <w:bCs/>
          <w:sz w:val="24"/>
          <w:szCs w:val="24"/>
        </w:rPr>
        <w:t>,</w:t>
      </w:r>
    </w:p>
    <w:p w:rsidR="008A7110" w:rsidRPr="008A7110"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Veselības aprūpe,</w:t>
      </w:r>
    </w:p>
    <w:p w:rsidR="00DA0F04"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Kultūra</w:t>
      </w:r>
      <w:r>
        <w:rPr>
          <w:rFonts w:ascii="Times New Roman" w:hAnsi="Times New Roman"/>
          <w:bCs/>
          <w:sz w:val="24"/>
          <w:szCs w:val="24"/>
        </w:rPr>
        <w:t>.</w:t>
      </w:r>
    </w:p>
    <w:p w:rsidR="008A7110" w:rsidRPr="008A7110" w:rsidRDefault="008A7110" w:rsidP="008A7110">
      <w:pPr>
        <w:spacing w:line="276" w:lineRule="auto"/>
        <w:jc w:val="both"/>
        <w:rPr>
          <w:rFonts w:ascii="Times New Roman" w:hAnsi="Times New Roman"/>
          <w:bCs/>
          <w:sz w:val="24"/>
          <w:szCs w:val="24"/>
        </w:rPr>
      </w:pPr>
    </w:p>
    <w:p w:rsidR="00DA0F04" w:rsidRPr="00581FEF" w:rsidRDefault="008A7110" w:rsidP="008A7110">
      <w:pPr>
        <w:spacing w:line="276" w:lineRule="auto"/>
        <w:jc w:val="center"/>
        <w:rPr>
          <w:rFonts w:ascii="Times New Roman" w:hAnsi="Times New Roman"/>
          <w:bCs/>
          <w:sz w:val="24"/>
          <w:szCs w:val="24"/>
        </w:rPr>
      </w:pPr>
      <w:r>
        <w:rPr>
          <w:noProof/>
        </w:rPr>
        <w:lastRenderedPageBreak/>
        <w:drawing>
          <wp:inline distT="0" distB="0" distL="0" distR="0" wp14:anchorId="105FB237" wp14:editId="29A12438">
            <wp:extent cx="549592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2E5A" w:rsidRDefault="00A02E5A" w:rsidP="00784F55">
      <w:pPr>
        <w:spacing w:line="276" w:lineRule="auto"/>
        <w:ind w:firstLine="720"/>
        <w:jc w:val="both"/>
        <w:rPr>
          <w:rFonts w:ascii="Times New Roman" w:hAnsi="Times New Roman"/>
          <w:bCs/>
          <w:sz w:val="24"/>
          <w:szCs w:val="24"/>
        </w:rPr>
      </w:pPr>
    </w:p>
    <w:p w:rsidR="00105313" w:rsidRDefault="0083785D" w:rsidP="00784F55">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Analizējot detalizētāk zaudējumus nesošās nozares, jāsecina, ka atsevišķu uzņēmumu rādītāji ir būtiski atšķirīgi, tādēļ nevar uzskatīt, ka visi šo nozaru uzņēmumi ir zaudējumus nesoši. </w:t>
      </w:r>
      <w:r w:rsidR="00A02E5A">
        <w:rPr>
          <w:rFonts w:ascii="Times New Roman" w:hAnsi="Times New Roman"/>
          <w:bCs/>
          <w:sz w:val="24"/>
          <w:szCs w:val="24"/>
        </w:rPr>
        <w:t xml:space="preserve">Tā, piemēram, </w:t>
      </w:r>
      <w:r w:rsidR="00527F16">
        <w:rPr>
          <w:rFonts w:ascii="Times New Roman" w:hAnsi="Times New Roman"/>
          <w:bCs/>
          <w:sz w:val="24"/>
          <w:szCs w:val="24"/>
        </w:rPr>
        <w:t>k</w:t>
      </w:r>
      <w:r w:rsidR="00527F16" w:rsidRPr="00A02E5A">
        <w:rPr>
          <w:rFonts w:ascii="Times New Roman" w:hAnsi="Times New Roman"/>
          <w:bCs/>
          <w:sz w:val="24"/>
          <w:szCs w:val="24"/>
        </w:rPr>
        <w:t xml:space="preserve">aut arī </w:t>
      </w:r>
      <w:r w:rsidR="00A02E5A">
        <w:rPr>
          <w:rFonts w:ascii="Times New Roman" w:hAnsi="Times New Roman"/>
          <w:bCs/>
          <w:sz w:val="24"/>
          <w:szCs w:val="24"/>
        </w:rPr>
        <w:t xml:space="preserve">veselības nozarē </w:t>
      </w:r>
      <w:r w:rsidR="00A02E5A" w:rsidRPr="00A02E5A">
        <w:rPr>
          <w:rFonts w:ascii="Times New Roman" w:hAnsi="Times New Roman"/>
          <w:bCs/>
          <w:sz w:val="24"/>
          <w:szCs w:val="24"/>
        </w:rPr>
        <w:t xml:space="preserve">vidējā atdeve </w:t>
      </w:r>
      <w:proofErr w:type="gramStart"/>
      <w:r w:rsidR="00527F16">
        <w:rPr>
          <w:rFonts w:ascii="Times New Roman" w:hAnsi="Times New Roman"/>
          <w:bCs/>
          <w:sz w:val="24"/>
          <w:szCs w:val="24"/>
        </w:rPr>
        <w:t>2015.gadā</w:t>
      </w:r>
      <w:proofErr w:type="gramEnd"/>
      <w:r w:rsidR="00527F16">
        <w:rPr>
          <w:rFonts w:ascii="Times New Roman" w:hAnsi="Times New Roman"/>
          <w:bCs/>
          <w:sz w:val="24"/>
          <w:szCs w:val="24"/>
        </w:rPr>
        <w:t xml:space="preserve"> bija</w:t>
      </w:r>
      <w:r w:rsidR="00A02E5A" w:rsidRPr="00A02E5A">
        <w:rPr>
          <w:rFonts w:ascii="Times New Roman" w:hAnsi="Times New Roman"/>
          <w:bCs/>
          <w:sz w:val="24"/>
          <w:szCs w:val="24"/>
        </w:rPr>
        <w:t xml:space="preserve"> -12,6%, bez </w:t>
      </w:r>
      <w:r w:rsidR="00527F16">
        <w:rPr>
          <w:rFonts w:ascii="Times New Roman" w:hAnsi="Times New Roman"/>
          <w:bCs/>
          <w:sz w:val="24"/>
          <w:szCs w:val="24"/>
        </w:rPr>
        <w:t>SIA “Rīgas Austrumu klīniskā universitātes slimnīca”</w:t>
      </w:r>
      <w:r w:rsidR="00A02E5A" w:rsidRPr="00A02E5A">
        <w:rPr>
          <w:rFonts w:ascii="Times New Roman" w:hAnsi="Times New Roman"/>
          <w:bCs/>
          <w:sz w:val="24"/>
          <w:szCs w:val="24"/>
        </w:rPr>
        <w:t xml:space="preserve"> tā būtu 0,7% un atsevišķas kapitālsabiedrības sasniedz </w:t>
      </w:r>
      <w:r w:rsidR="00A02E5A">
        <w:rPr>
          <w:rFonts w:ascii="Times New Roman" w:hAnsi="Times New Roman"/>
          <w:bCs/>
          <w:sz w:val="24"/>
          <w:szCs w:val="24"/>
        </w:rPr>
        <w:t xml:space="preserve">pat </w:t>
      </w:r>
      <w:r w:rsidR="00A02E5A" w:rsidRPr="00A02E5A">
        <w:rPr>
          <w:rFonts w:ascii="Times New Roman" w:hAnsi="Times New Roman"/>
          <w:bCs/>
          <w:sz w:val="24"/>
          <w:szCs w:val="24"/>
        </w:rPr>
        <w:t>5%, 7%, 8% atdevi</w:t>
      </w:r>
      <w:r w:rsidR="00A02E5A">
        <w:rPr>
          <w:rFonts w:ascii="Times New Roman" w:hAnsi="Times New Roman"/>
          <w:bCs/>
          <w:sz w:val="24"/>
          <w:szCs w:val="24"/>
        </w:rPr>
        <w:t>.</w:t>
      </w:r>
      <w:r w:rsidR="00527F16">
        <w:rPr>
          <w:rFonts w:ascii="Times New Roman" w:hAnsi="Times New Roman"/>
          <w:bCs/>
          <w:sz w:val="24"/>
          <w:szCs w:val="24"/>
        </w:rPr>
        <w:t xml:space="preserve"> Vidējā pašu kapitāla atdeve nozarē Rietumeiropā ir 7,15%.</w:t>
      </w:r>
    </w:p>
    <w:p w:rsidR="00A02E5A" w:rsidRDefault="00A02E5A" w:rsidP="00A02E5A">
      <w:pPr>
        <w:spacing w:line="276" w:lineRule="auto"/>
        <w:jc w:val="both"/>
        <w:rPr>
          <w:rFonts w:ascii="Times New Roman" w:hAnsi="Times New Roman"/>
          <w:bCs/>
          <w:sz w:val="24"/>
          <w:szCs w:val="24"/>
        </w:rPr>
      </w:pPr>
    </w:p>
    <w:p w:rsidR="00A02E5A" w:rsidRPr="00784F55" w:rsidRDefault="00A02E5A" w:rsidP="00A02E5A">
      <w:pPr>
        <w:spacing w:line="276" w:lineRule="auto"/>
        <w:jc w:val="center"/>
        <w:rPr>
          <w:rFonts w:ascii="Times New Roman" w:hAnsi="Times New Roman"/>
          <w:bCs/>
          <w:sz w:val="24"/>
          <w:szCs w:val="24"/>
        </w:rPr>
      </w:pPr>
      <w:r w:rsidRPr="00A02E5A">
        <w:rPr>
          <w:rFonts w:ascii="Times New Roman" w:hAnsi="Times New Roman"/>
          <w:bCs/>
          <w:noProof/>
          <w:sz w:val="24"/>
          <w:szCs w:val="24"/>
        </w:rPr>
        <w:drawing>
          <wp:inline distT="0" distB="0" distL="0" distR="0" wp14:anchorId="44CFB22F" wp14:editId="3921F7E1">
            <wp:extent cx="5760085" cy="3858895"/>
            <wp:effectExtent l="0" t="0" r="1206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5313" w:rsidRDefault="00105313" w:rsidP="00784F55">
      <w:pPr>
        <w:spacing w:line="276" w:lineRule="auto"/>
        <w:ind w:firstLine="720"/>
        <w:jc w:val="both"/>
        <w:rPr>
          <w:rFonts w:ascii="Times New Roman" w:hAnsi="Times New Roman"/>
          <w:bCs/>
          <w:sz w:val="24"/>
          <w:szCs w:val="24"/>
        </w:rPr>
      </w:pPr>
    </w:p>
    <w:p w:rsidR="005C4E1A" w:rsidRPr="00784F55" w:rsidRDefault="005C4E1A" w:rsidP="00784F55">
      <w:pPr>
        <w:spacing w:line="276" w:lineRule="auto"/>
        <w:ind w:firstLine="720"/>
        <w:jc w:val="both"/>
        <w:rPr>
          <w:rFonts w:ascii="Times New Roman" w:hAnsi="Times New Roman"/>
          <w:bCs/>
          <w:sz w:val="24"/>
          <w:szCs w:val="24"/>
        </w:rPr>
      </w:pPr>
      <w:r>
        <w:rPr>
          <w:rFonts w:ascii="Times New Roman" w:hAnsi="Times New Roman"/>
          <w:bCs/>
          <w:sz w:val="24"/>
          <w:szCs w:val="24"/>
        </w:rPr>
        <w:t xml:space="preserve">Tāpat arī attiecībā uz kultūras nozari, kurā </w:t>
      </w:r>
      <w:r w:rsidRPr="005C4E1A">
        <w:rPr>
          <w:rFonts w:ascii="Times New Roman" w:hAnsi="Times New Roman"/>
          <w:bCs/>
          <w:sz w:val="24"/>
          <w:szCs w:val="24"/>
        </w:rPr>
        <w:t xml:space="preserve">vidējā atdeve </w:t>
      </w:r>
      <w:proofErr w:type="gramStart"/>
      <w:r>
        <w:rPr>
          <w:rFonts w:ascii="Times New Roman" w:hAnsi="Times New Roman"/>
          <w:bCs/>
          <w:sz w:val="24"/>
          <w:szCs w:val="24"/>
        </w:rPr>
        <w:t>2015.gadā</w:t>
      </w:r>
      <w:proofErr w:type="gramEnd"/>
      <w:r>
        <w:rPr>
          <w:rFonts w:ascii="Times New Roman" w:hAnsi="Times New Roman"/>
          <w:bCs/>
          <w:sz w:val="24"/>
          <w:szCs w:val="24"/>
        </w:rPr>
        <w:t xml:space="preserve"> bija</w:t>
      </w:r>
      <w:r w:rsidRPr="005C4E1A">
        <w:rPr>
          <w:rFonts w:ascii="Times New Roman" w:hAnsi="Times New Roman"/>
          <w:bCs/>
          <w:sz w:val="24"/>
          <w:szCs w:val="24"/>
        </w:rPr>
        <w:t xml:space="preserve"> -3,6%, lielākajai daļai kapitālsabiedrību bija pozitīva atdeve</w:t>
      </w:r>
      <w:r>
        <w:rPr>
          <w:rFonts w:ascii="Times New Roman" w:hAnsi="Times New Roman"/>
          <w:bCs/>
          <w:sz w:val="24"/>
          <w:szCs w:val="24"/>
        </w:rPr>
        <w:t xml:space="preserve">. Ņemot vērā, ka teātru/ kultūras nozare </w:t>
      </w:r>
      <w:r>
        <w:rPr>
          <w:rFonts w:ascii="Times New Roman" w:hAnsi="Times New Roman"/>
          <w:bCs/>
          <w:sz w:val="24"/>
          <w:szCs w:val="24"/>
        </w:rPr>
        <w:lastRenderedPageBreak/>
        <w:t>nav izdalīta atsevišķi A. Damodaran tabulās, tad var pieņemt, ka atdeve varētu būt starp izglītības un izklaides nozaru rādītājiem, kas ir 0,5%-15,4%.</w:t>
      </w:r>
    </w:p>
    <w:p w:rsidR="00D32B6D" w:rsidRPr="00784F55" w:rsidRDefault="00D32B6D" w:rsidP="00784F55">
      <w:pPr>
        <w:spacing w:line="276" w:lineRule="auto"/>
        <w:ind w:firstLine="720"/>
        <w:jc w:val="both"/>
        <w:rPr>
          <w:rFonts w:ascii="Times New Roman" w:hAnsi="Times New Roman"/>
          <w:bCs/>
          <w:sz w:val="24"/>
          <w:szCs w:val="24"/>
        </w:rPr>
      </w:pPr>
    </w:p>
    <w:p w:rsidR="003C7786" w:rsidRPr="00784F55" w:rsidRDefault="005C4E1A" w:rsidP="005C4E1A">
      <w:pPr>
        <w:spacing w:line="276" w:lineRule="auto"/>
        <w:jc w:val="both"/>
        <w:rPr>
          <w:rFonts w:ascii="Times New Roman" w:hAnsi="Times New Roman"/>
          <w:bCs/>
          <w:sz w:val="24"/>
          <w:szCs w:val="24"/>
        </w:rPr>
      </w:pPr>
      <w:r w:rsidRPr="005C4E1A">
        <w:rPr>
          <w:rFonts w:ascii="Times New Roman" w:hAnsi="Times New Roman"/>
          <w:bCs/>
          <w:noProof/>
          <w:sz w:val="24"/>
          <w:szCs w:val="24"/>
        </w:rPr>
        <w:drawing>
          <wp:inline distT="0" distB="0" distL="0" distR="0" wp14:anchorId="70C1BBDD" wp14:editId="7CF7EE29">
            <wp:extent cx="5760085" cy="3917315"/>
            <wp:effectExtent l="0" t="0" r="12065"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786" w:rsidRPr="00784F55" w:rsidRDefault="003C7786" w:rsidP="00784F55">
      <w:pPr>
        <w:spacing w:line="276" w:lineRule="auto"/>
        <w:ind w:firstLine="720"/>
        <w:jc w:val="both"/>
        <w:rPr>
          <w:rFonts w:ascii="Times New Roman" w:hAnsi="Times New Roman"/>
          <w:bCs/>
          <w:sz w:val="24"/>
          <w:szCs w:val="24"/>
        </w:rPr>
      </w:pPr>
    </w:p>
    <w:p w:rsidR="00EB13EA" w:rsidRPr="00EB13EA" w:rsidRDefault="002F7AE1" w:rsidP="00EB13EA">
      <w:pPr>
        <w:spacing w:line="276" w:lineRule="auto"/>
        <w:ind w:firstLine="720"/>
        <w:jc w:val="both"/>
        <w:rPr>
          <w:rFonts w:ascii="Times New Roman" w:hAnsi="Times New Roman"/>
          <w:bCs/>
          <w:sz w:val="24"/>
          <w:szCs w:val="24"/>
        </w:rPr>
      </w:pPr>
      <w:r>
        <w:rPr>
          <w:rFonts w:ascii="Times New Roman" w:hAnsi="Times New Roman"/>
          <w:bCs/>
          <w:sz w:val="24"/>
          <w:szCs w:val="24"/>
        </w:rPr>
        <w:t xml:space="preserve">Izvērtējot valsts kapitālsabiedrību rezultātus </w:t>
      </w:r>
      <w:proofErr w:type="gramStart"/>
      <w:r>
        <w:rPr>
          <w:rFonts w:ascii="Times New Roman" w:hAnsi="Times New Roman"/>
          <w:bCs/>
          <w:sz w:val="24"/>
          <w:szCs w:val="24"/>
        </w:rPr>
        <w:t>2015.gadā</w:t>
      </w:r>
      <w:proofErr w:type="gramEnd"/>
      <w:r w:rsidR="0078313B">
        <w:rPr>
          <w:rFonts w:ascii="Times New Roman" w:hAnsi="Times New Roman"/>
          <w:bCs/>
          <w:sz w:val="24"/>
          <w:szCs w:val="24"/>
        </w:rPr>
        <w:t>,</w:t>
      </w:r>
      <w:r>
        <w:rPr>
          <w:rFonts w:ascii="Times New Roman" w:hAnsi="Times New Roman"/>
          <w:bCs/>
          <w:sz w:val="24"/>
          <w:szCs w:val="24"/>
        </w:rPr>
        <w:t xml:space="preserve"> var izdalīt šādas u</w:t>
      </w:r>
      <w:r w:rsidR="00EB13EA" w:rsidRPr="00EB13EA">
        <w:rPr>
          <w:rFonts w:ascii="Times New Roman" w:hAnsi="Times New Roman"/>
          <w:bCs/>
          <w:sz w:val="24"/>
          <w:szCs w:val="24"/>
        </w:rPr>
        <w:t>zņēmumu grupas:</w:t>
      </w:r>
    </w:p>
    <w:p w:rsidR="00EB13EA" w:rsidRPr="002F7AE1" w:rsidRDefault="00EB13EA" w:rsidP="002F7AE1">
      <w:pPr>
        <w:pStyle w:val="ListParagraph"/>
        <w:numPr>
          <w:ilvl w:val="0"/>
          <w:numId w:val="27"/>
        </w:numPr>
        <w:spacing w:line="276" w:lineRule="auto"/>
        <w:jc w:val="both"/>
        <w:rPr>
          <w:rFonts w:ascii="Times New Roman" w:hAnsi="Times New Roman"/>
          <w:bCs/>
          <w:sz w:val="24"/>
          <w:szCs w:val="24"/>
        </w:rPr>
      </w:pPr>
      <w:r w:rsidRPr="002F7AE1">
        <w:rPr>
          <w:rFonts w:ascii="Times New Roman" w:hAnsi="Times New Roman"/>
          <w:bCs/>
          <w:sz w:val="24"/>
          <w:szCs w:val="24"/>
        </w:rPr>
        <w:t>Komerciāli patstāvīgi uzņēmumi</w:t>
      </w:r>
      <w:r w:rsidR="000B020E">
        <w:rPr>
          <w:rFonts w:ascii="Times New Roman" w:hAnsi="Times New Roman"/>
          <w:bCs/>
          <w:sz w:val="24"/>
          <w:szCs w:val="24"/>
        </w:rPr>
        <w:t xml:space="preserve">, kuriem </w:t>
      </w:r>
      <w:r w:rsidRPr="002F7AE1">
        <w:rPr>
          <w:rFonts w:ascii="Times New Roman" w:hAnsi="Times New Roman"/>
          <w:bCs/>
          <w:sz w:val="24"/>
          <w:szCs w:val="24"/>
        </w:rPr>
        <w:t xml:space="preserve">nav nefinanšu mērķi vai </w:t>
      </w:r>
      <w:r w:rsidR="000B020E">
        <w:rPr>
          <w:rFonts w:ascii="Times New Roman" w:hAnsi="Times New Roman"/>
          <w:bCs/>
          <w:sz w:val="24"/>
          <w:szCs w:val="24"/>
        </w:rPr>
        <w:t xml:space="preserve">ir </w:t>
      </w:r>
      <w:r w:rsidRPr="002F7AE1">
        <w:rPr>
          <w:rFonts w:ascii="Times New Roman" w:hAnsi="Times New Roman"/>
          <w:bCs/>
          <w:sz w:val="24"/>
          <w:szCs w:val="24"/>
        </w:rPr>
        <w:t>n</w:t>
      </w:r>
      <w:r w:rsidR="000B020E">
        <w:rPr>
          <w:rFonts w:ascii="Times New Roman" w:hAnsi="Times New Roman"/>
          <w:bCs/>
          <w:sz w:val="24"/>
          <w:szCs w:val="24"/>
        </w:rPr>
        <w:t>enozīmīga to ietekme</w:t>
      </w:r>
      <w:r w:rsidRPr="002F7AE1">
        <w:rPr>
          <w:rFonts w:ascii="Times New Roman" w:hAnsi="Times New Roman"/>
          <w:bCs/>
          <w:sz w:val="24"/>
          <w:szCs w:val="24"/>
        </w:rPr>
        <w:t>,</w:t>
      </w:r>
    </w:p>
    <w:p w:rsidR="00EB13EA" w:rsidRPr="00840939" w:rsidRDefault="00EB13EA" w:rsidP="00840939">
      <w:pPr>
        <w:pStyle w:val="ListParagraph"/>
        <w:numPr>
          <w:ilvl w:val="0"/>
          <w:numId w:val="27"/>
        </w:numPr>
        <w:spacing w:line="276" w:lineRule="auto"/>
        <w:jc w:val="both"/>
        <w:rPr>
          <w:rFonts w:ascii="Times New Roman" w:hAnsi="Times New Roman"/>
          <w:bCs/>
          <w:sz w:val="24"/>
          <w:szCs w:val="24"/>
        </w:rPr>
      </w:pPr>
      <w:r w:rsidRPr="00840939">
        <w:rPr>
          <w:rFonts w:ascii="Times New Roman" w:hAnsi="Times New Roman"/>
          <w:bCs/>
          <w:sz w:val="24"/>
          <w:szCs w:val="24"/>
        </w:rPr>
        <w:t>Uzņēmumi ar nefinanšu mērķiem</w:t>
      </w:r>
      <w:r w:rsidR="000B020E" w:rsidRPr="00840939">
        <w:rPr>
          <w:rFonts w:ascii="Times New Roman" w:hAnsi="Times New Roman"/>
          <w:bCs/>
          <w:sz w:val="24"/>
          <w:szCs w:val="24"/>
        </w:rPr>
        <w:t>,</w:t>
      </w:r>
      <w:r w:rsidRPr="00840939">
        <w:rPr>
          <w:rFonts w:ascii="Times New Roman" w:hAnsi="Times New Roman"/>
          <w:bCs/>
          <w:sz w:val="24"/>
          <w:szCs w:val="24"/>
        </w:rPr>
        <w:t xml:space="preserve"> kas izpauž</w:t>
      </w:r>
      <w:r w:rsidR="000B020E" w:rsidRPr="00840939">
        <w:rPr>
          <w:rFonts w:ascii="Times New Roman" w:hAnsi="Times New Roman"/>
          <w:bCs/>
          <w:sz w:val="24"/>
          <w:szCs w:val="24"/>
        </w:rPr>
        <w:t>as kā regulētas cenas/ cenrādis</w:t>
      </w:r>
      <w:r w:rsidR="00840939" w:rsidRPr="00840939">
        <w:rPr>
          <w:rFonts w:ascii="Times New Roman" w:hAnsi="Times New Roman"/>
          <w:bCs/>
          <w:sz w:val="24"/>
          <w:szCs w:val="24"/>
        </w:rPr>
        <w:t xml:space="preserve">; </w:t>
      </w:r>
      <w:r w:rsidR="00840939">
        <w:rPr>
          <w:rFonts w:ascii="Times New Roman" w:hAnsi="Times New Roman"/>
          <w:bCs/>
          <w:sz w:val="24"/>
          <w:szCs w:val="24"/>
        </w:rPr>
        <w:t>v</w:t>
      </w:r>
      <w:r w:rsidRPr="00840939">
        <w:rPr>
          <w:rFonts w:ascii="Times New Roman" w:hAnsi="Times New Roman"/>
          <w:bCs/>
          <w:sz w:val="24"/>
          <w:szCs w:val="24"/>
        </w:rPr>
        <w:t>alsts deleģēto funkciju veicēji</w:t>
      </w:r>
      <w:r w:rsidR="000B020E" w:rsidRPr="00840939">
        <w:rPr>
          <w:rFonts w:ascii="Times New Roman" w:hAnsi="Times New Roman"/>
          <w:bCs/>
          <w:sz w:val="24"/>
          <w:szCs w:val="24"/>
        </w:rPr>
        <w:t>, kurus raksturo</w:t>
      </w:r>
      <w:r w:rsidRPr="00840939">
        <w:rPr>
          <w:rFonts w:ascii="Times New Roman" w:hAnsi="Times New Roman"/>
          <w:bCs/>
          <w:sz w:val="24"/>
          <w:szCs w:val="24"/>
        </w:rPr>
        <w:t xml:space="preserve"> ierobežota izaugsme</w:t>
      </w:r>
      <w:r w:rsidR="000B020E" w:rsidRPr="00840939">
        <w:rPr>
          <w:rFonts w:ascii="Times New Roman" w:hAnsi="Times New Roman"/>
          <w:bCs/>
          <w:sz w:val="24"/>
          <w:szCs w:val="24"/>
        </w:rPr>
        <w:t xml:space="preserve"> vai </w:t>
      </w:r>
      <w:r w:rsidRPr="00840939">
        <w:rPr>
          <w:rFonts w:ascii="Times New Roman" w:hAnsi="Times New Roman"/>
          <w:bCs/>
          <w:sz w:val="24"/>
          <w:szCs w:val="24"/>
        </w:rPr>
        <w:t>izaugsme pakārtota valsts pasūtījumam</w:t>
      </w:r>
      <w:r w:rsidR="00840939" w:rsidRPr="00840939">
        <w:rPr>
          <w:rFonts w:ascii="Times New Roman" w:hAnsi="Times New Roman"/>
          <w:bCs/>
          <w:sz w:val="24"/>
          <w:szCs w:val="24"/>
        </w:rPr>
        <w:t xml:space="preserve">; </w:t>
      </w:r>
      <w:r w:rsidR="00840939">
        <w:rPr>
          <w:rFonts w:ascii="Times New Roman" w:hAnsi="Times New Roman"/>
          <w:bCs/>
          <w:sz w:val="24"/>
          <w:szCs w:val="24"/>
        </w:rPr>
        <w:t>u</w:t>
      </w:r>
      <w:r w:rsidR="000B020E" w:rsidRPr="00840939">
        <w:rPr>
          <w:rFonts w:ascii="Times New Roman" w:hAnsi="Times New Roman"/>
          <w:bCs/>
          <w:sz w:val="24"/>
          <w:szCs w:val="24"/>
        </w:rPr>
        <w:t xml:space="preserve">zņēmumi ar lielu valsts dotāciju īpatsvaru ieņēmumos, piemēram, </w:t>
      </w:r>
      <w:r w:rsidRPr="00840939">
        <w:rPr>
          <w:rFonts w:ascii="Times New Roman" w:hAnsi="Times New Roman"/>
          <w:bCs/>
          <w:sz w:val="24"/>
          <w:szCs w:val="24"/>
        </w:rPr>
        <w:t>veselība</w:t>
      </w:r>
      <w:r w:rsidR="000B020E" w:rsidRPr="00840939">
        <w:rPr>
          <w:rFonts w:ascii="Times New Roman" w:hAnsi="Times New Roman"/>
          <w:bCs/>
          <w:sz w:val="24"/>
          <w:szCs w:val="24"/>
        </w:rPr>
        <w:t xml:space="preserve">s un </w:t>
      </w:r>
      <w:r w:rsidRPr="00840939">
        <w:rPr>
          <w:rFonts w:ascii="Times New Roman" w:hAnsi="Times New Roman"/>
          <w:bCs/>
          <w:sz w:val="24"/>
          <w:szCs w:val="24"/>
        </w:rPr>
        <w:t>kultūra</w:t>
      </w:r>
      <w:r w:rsidR="000B020E" w:rsidRPr="00840939">
        <w:rPr>
          <w:rFonts w:ascii="Times New Roman" w:hAnsi="Times New Roman"/>
          <w:bCs/>
          <w:sz w:val="24"/>
          <w:szCs w:val="24"/>
        </w:rPr>
        <w:t>s</w:t>
      </w:r>
      <w:r w:rsidRPr="00840939">
        <w:rPr>
          <w:rFonts w:ascii="Times New Roman" w:hAnsi="Times New Roman"/>
          <w:bCs/>
          <w:sz w:val="24"/>
          <w:szCs w:val="24"/>
        </w:rPr>
        <w:t xml:space="preserve"> </w:t>
      </w:r>
      <w:r w:rsidR="000B020E" w:rsidRPr="00840939">
        <w:rPr>
          <w:rFonts w:ascii="Times New Roman" w:hAnsi="Times New Roman"/>
          <w:bCs/>
          <w:sz w:val="24"/>
          <w:szCs w:val="24"/>
        </w:rPr>
        <w:t>nozares kapitālsabiedrības,</w:t>
      </w:r>
    </w:p>
    <w:p w:rsidR="00EB13EA" w:rsidRPr="00840939" w:rsidRDefault="00EB13EA">
      <w:pPr>
        <w:pStyle w:val="ListParagraph"/>
        <w:numPr>
          <w:ilvl w:val="0"/>
          <w:numId w:val="27"/>
        </w:numPr>
        <w:spacing w:line="276" w:lineRule="auto"/>
        <w:jc w:val="both"/>
        <w:rPr>
          <w:rFonts w:ascii="Times New Roman" w:hAnsi="Times New Roman"/>
          <w:bCs/>
          <w:sz w:val="24"/>
          <w:szCs w:val="24"/>
        </w:rPr>
      </w:pPr>
      <w:r w:rsidRPr="00840939">
        <w:rPr>
          <w:rFonts w:ascii="Times New Roman" w:hAnsi="Times New Roman"/>
          <w:bCs/>
          <w:sz w:val="24"/>
          <w:szCs w:val="24"/>
        </w:rPr>
        <w:t>«</w:t>
      </w:r>
      <w:r w:rsidR="00E12ABB">
        <w:rPr>
          <w:rFonts w:ascii="Times New Roman" w:hAnsi="Times New Roman"/>
          <w:bCs/>
          <w:sz w:val="24"/>
          <w:szCs w:val="24"/>
        </w:rPr>
        <w:t>Problemātiski</w:t>
      </w:r>
      <w:r w:rsidRPr="00840939">
        <w:rPr>
          <w:rFonts w:ascii="Times New Roman" w:hAnsi="Times New Roman"/>
          <w:bCs/>
          <w:sz w:val="24"/>
          <w:szCs w:val="24"/>
        </w:rPr>
        <w:t>» aktīvi (nekustamie īpašumi, valsts pārņemtie uzņēmumi)</w:t>
      </w:r>
      <w:r w:rsidR="00840939" w:rsidRPr="00840939">
        <w:rPr>
          <w:rFonts w:ascii="Times New Roman" w:hAnsi="Times New Roman"/>
          <w:bCs/>
          <w:sz w:val="24"/>
          <w:szCs w:val="24"/>
        </w:rPr>
        <w:t xml:space="preserve">; </w:t>
      </w:r>
      <w:r w:rsidR="00840939">
        <w:rPr>
          <w:rFonts w:ascii="Times New Roman" w:hAnsi="Times New Roman"/>
          <w:bCs/>
          <w:sz w:val="24"/>
          <w:szCs w:val="24"/>
        </w:rPr>
        <w:t>u</w:t>
      </w:r>
      <w:r w:rsidRPr="00840939">
        <w:rPr>
          <w:rFonts w:ascii="Times New Roman" w:hAnsi="Times New Roman"/>
          <w:bCs/>
          <w:sz w:val="24"/>
          <w:szCs w:val="24"/>
        </w:rPr>
        <w:t>zņēmumi finanšu grūtībās (uzņēmumi ar zaudējumiem vai negatīvu pašu kapitālu)</w:t>
      </w:r>
      <w:r w:rsidR="000B020E" w:rsidRPr="00840939">
        <w:rPr>
          <w:rFonts w:ascii="Times New Roman" w:hAnsi="Times New Roman"/>
          <w:bCs/>
          <w:sz w:val="24"/>
          <w:szCs w:val="24"/>
        </w:rPr>
        <w:t>.</w:t>
      </w:r>
    </w:p>
    <w:p w:rsidR="00671BD1" w:rsidRDefault="00671BD1" w:rsidP="00671BD1">
      <w:pPr>
        <w:spacing w:line="276" w:lineRule="auto"/>
        <w:jc w:val="both"/>
        <w:rPr>
          <w:rFonts w:ascii="Times New Roman" w:hAnsi="Times New Roman"/>
          <w:bCs/>
          <w:sz w:val="24"/>
          <w:szCs w:val="24"/>
        </w:rPr>
      </w:pPr>
    </w:p>
    <w:p w:rsidR="00671BD1" w:rsidRDefault="00671BD1" w:rsidP="00671BD1">
      <w:pPr>
        <w:spacing w:line="276" w:lineRule="auto"/>
        <w:ind w:firstLine="720"/>
        <w:jc w:val="both"/>
        <w:rPr>
          <w:rFonts w:ascii="Times New Roman" w:hAnsi="Times New Roman"/>
          <w:bCs/>
          <w:sz w:val="24"/>
          <w:szCs w:val="24"/>
        </w:rPr>
      </w:pPr>
      <w:r>
        <w:rPr>
          <w:rFonts w:ascii="Times New Roman" w:hAnsi="Times New Roman"/>
          <w:bCs/>
          <w:sz w:val="24"/>
          <w:szCs w:val="24"/>
        </w:rPr>
        <w:t>Mērķu izvirzīšana, atkarībā no atbilstības kādai no uzņēmumu grupām</w:t>
      </w:r>
      <w:r w:rsidR="00840939">
        <w:rPr>
          <w:rFonts w:ascii="Times New Roman" w:hAnsi="Times New Roman"/>
          <w:bCs/>
          <w:sz w:val="24"/>
          <w:szCs w:val="24"/>
        </w:rPr>
        <w:t>:</w:t>
      </w:r>
    </w:p>
    <w:tbl>
      <w:tblPr>
        <w:tblStyle w:val="TableGrid"/>
        <w:tblW w:w="0" w:type="auto"/>
        <w:tblLook w:val="04A0" w:firstRow="1" w:lastRow="0" w:firstColumn="1" w:lastColumn="0" w:noHBand="0" w:noVBand="1"/>
      </w:tblPr>
      <w:tblGrid>
        <w:gridCol w:w="2830"/>
        <w:gridCol w:w="2835"/>
        <w:gridCol w:w="3396"/>
      </w:tblGrid>
      <w:tr w:rsidR="00763382" w:rsidRPr="00CE197A" w:rsidTr="001812A4">
        <w:tc>
          <w:tcPr>
            <w:tcW w:w="2830" w:type="dxa"/>
          </w:tcPr>
          <w:p w:rsidR="00763382" w:rsidRPr="00CE197A" w:rsidRDefault="00763382" w:rsidP="00671BD1">
            <w:pPr>
              <w:spacing w:line="276" w:lineRule="auto"/>
              <w:jc w:val="both"/>
              <w:rPr>
                <w:rFonts w:ascii="Times New Roman" w:hAnsi="Times New Roman"/>
                <w:b/>
                <w:bCs/>
                <w:sz w:val="22"/>
                <w:szCs w:val="24"/>
              </w:rPr>
            </w:pPr>
            <w:r w:rsidRPr="00CE197A">
              <w:rPr>
                <w:rFonts w:ascii="Times New Roman" w:hAnsi="Times New Roman"/>
                <w:b/>
                <w:bCs/>
                <w:sz w:val="22"/>
                <w:szCs w:val="24"/>
              </w:rPr>
              <w:t>Uzņēmumu grupa</w:t>
            </w:r>
          </w:p>
        </w:tc>
        <w:tc>
          <w:tcPr>
            <w:tcW w:w="2835" w:type="dxa"/>
          </w:tcPr>
          <w:p w:rsidR="00763382" w:rsidRPr="00CE197A" w:rsidRDefault="004B35F4" w:rsidP="00671BD1">
            <w:pPr>
              <w:spacing w:line="276" w:lineRule="auto"/>
              <w:jc w:val="both"/>
              <w:rPr>
                <w:rFonts w:ascii="Times New Roman" w:hAnsi="Times New Roman"/>
                <w:b/>
                <w:bCs/>
                <w:sz w:val="22"/>
                <w:szCs w:val="24"/>
              </w:rPr>
            </w:pPr>
            <w:r>
              <w:rPr>
                <w:rFonts w:ascii="Times New Roman" w:hAnsi="Times New Roman"/>
                <w:b/>
                <w:bCs/>
                <w:sz w:val="22"/>
                <w:szCs w:val="24"/>
              </w:rPr>
              <w:t>Finanšu mērķu</w:t>
            </w:r>
            <w:r w:rsidR="00763382" w:rsidRPr="00CE197A">
              <w:rPr>
                <w:rFonts w:ascii="Times New Roman" w:hAnsi="Times New Roman"/>
                <w:b/>
                <w:bCs/>
                <w:sz w:val="22"/>
                <w:szCs w:val="24"/>
              </w:rPr>
              <w:t xml:space="preserve"> atbilstības noteikšanas metodes</w:t>
            </w:r>
          </w:p>
        </w:tc>
        <w:tc>
          <w:tcPr>
            <w:tcW w:w="3396" w:type="dxa"/>
          </w:tcPr>
          <w:p w:rsidR="00763382" w:rsidRPr="00CE197A" w:rsidRDefault="00763382" w:rsidP="00671BD1">
            <w:pPr>
              <w:spacing w:line="276" w:lineRule="auto"/>
              <w:jc w:val="both"/>
              <w:rPr>
                <w:rFonts w:ascii="Times New Roman" w:hAnsi="Times New Roman"/>
                <w:b/>
                <w:bCs/>
                <w:sz w:val="22"/>
                <w:szCs w:val="24"/>
              </w:rPr>
            </w:pPr>
            <w:r w:rsidRPr="00CE197A">
              <w:rPr>
                <w:rFonts w:ascii="Times New Roman" w:hAnsi="Times New Roman"/>
                <w:b/>
                <w:bCs/>
                <w:sz w:val="22"/>
                <w:szCs w:val="24"/>
              </w:rPr>
              <w:t>Uzņēmumu piemēri</w:t>
            </w:r>
          </w:p>
        </w:tc>
      </w:tr>
      <w:tr w:rsidR="00763382" w:rsidRPr="00CE197A" w:rsidTr="001812A4">
        <w:tc>
          <w:tcPr>
            <w:tcW w:w="2830" w:type="dxa"/>
          </w:tcPr>
          <w:p w:rsidR="00763382" w:rsidRPr="00CE197A" w:rsidRDefault="00763382" w:rsidP="00840939">
            <w:pPr>
              <w:pStyle w:val="ListParagraph"/>
              <w:numPr>
                <w:ilvl w:val="0"/>
                <w:numId w:val="28"/>
              </w:numPr>
              <w:spacing w:line="276" w:lineRule="auto"/>
              <w:jc w:val="both"/>
              <w:rPr>
                <w:rFonts w:ascii="Times New Roman" w:hAnsi="Times New Roman"/>
                <w:bCs/>
                <w:sz w:val="22"/>
                <w:szCs w:val="24"/>
              </w:rPr>
            </w:pPr>
            <w:r w:rsidRPr="00CE197A">
              <w:rPr>
                <w:rFonts w:ascii="Times New Roman" w:hAnsi="Times New Roman"/>
                <w:bCs/>
                <w:sz w:val="22"/>
                <w:szCs w:val="24"/>
              </w:rPr>
              <w:t>Komerciāli patstāvīgi uzņēmumi, kuriem nav nefinanšu mērķi vai ir nenozīmīga to ietekme</w:t>
            </w:r>
          </w:p>
          <w:p w:rsidR="00763382" w:rsidRPr="002A37C4" w:rsidRDefault="00763382" w:rsidP="002A37C4">
            <w:pPr>
              <w:spacing w:line="276" w:lineRule="auto"/>
              <w:jc w:val="both"/>
              <w:rPr>
                <w:rFonts w:ascii="Times New Roman" w:hAnsi="Times New Roman"/>
                <w:bCs/>
                <w:sz w:val="22"/>
                <w:szCs w:val="24"/>
              </w:rPr>
            </w:pPr>
          </w:p>
        </w:tc>
        <w:tc>
          <w:tcPr>
            <w:tcW w:w="2835" w:type="dxa"/>
          </w:tcPr>
          <w:p w:rsidR="00763382" w:rsidRPr="00CE197A" w:rsidRDefault="00763382" w:rsidP="00EC7CA2">
            <w:pPr>
              <w:spacing w:line="276" w:lineRule="auto"/>
              <w:jc w:val="both"/>
              <w:rPr>
                <w:rFonts w:ascii="Times New Roman" w:hAnsi="Times New Roman"/>
                <w:bCs/>
                <w:sz w:val="22"/>
                <w:szCs w:val="24"/>
              </w:rPr>
            </w:pPr>
            <w:r w:rsidRPr="00CE197A">
              <w:rPr>
                <w:rFonts w:ascii="Times New Roman" w:hAnsi="Times New Roman"/>
                <w:bCs/>
                <w:sz w:val="22"/>
                <w:szCs w:val="24"/>
              </w:rPr>
              <w:t>Finanšu mērķus atbilstības noteikšanai izmantot ROE un CAPM metodes, koriģējot attiecībā pret nefinanšu mērķu ietekmi</w:t>
            </w:r>
            <w:r w:rsidR="002A37C4">
              <w:rPr>
                <w:rFonts w:ascii="Times New Roman" w:hAnsi="Times New Roman"/>
                <w:bCs/>
                <w:sz w:val="22"/>
                <w:szCs w:val="24"/>
              </w:rPr>
              <w:t>, ja tāda ir.</w:t>
            </w:r>
          </w:p>
        </w:tc>
        <w:tc>
          <w:tcPr>
            <w:tcW w:w="3396" w:type="dxa"/>
          </w:tcPr>
          <w:p w:rsidR="00EC7CA2" w:rsidRPr="002A37C4" w:rsidRDefault="00EC7CA2" w:rsidP="006943E3">
            <w:pPr>
              <w:pStyle w:val="ListParagraph"/>
              <w:numPr>
                <w:ilvl w:val="0"/>
                <w:numId w:val="31"/>
              </w:numPr>
              <w:spacing w:line="276" w:lineRule="auto"/>
              <w:jc w:val="both"/>
              <w:rPr>
                <w:rFonts w:ascii="Times New Roman" w:hAnsi="Times New Roman"/>
                <w:bCs/>
                <w:sz w:val="22"/>
                <w:szCs w:val="24"/>
              </w:rPr>
            </w:pPr>
            <w:r w:rsidRPr="00CE197A">
              <w:rPr>
                <w:rFonts w:ascii="Times New Roman" w:hAnsi="Times New Roman"/>
                <w:bCs/>
                <w:sz w:val="22"/>
                <w:szCs w:val="24"/>
              </w:rPr>
              <w:t>Latvenergo</w:t>
            </w:r>
            <w:r w:rsidR="002A37C4">
              <w:rPr>
                <w:rFonts w:ascii="Times New Roman" w:hAnsi="Times New Roman"/>
                <w:bCs/>
                <w:sz w:val="22"/>
                <w:szCs w:val="24"/>
              </w:rPr>
              <w:t xml:space="preserve"> (atbilstošā kapitāla atdeve, izmantojot nozares un salīdzinošo uzņēmumu ROE – 5,2-7,7% robežās; izmantojot CAPM aprēķināts WACC aptuveni 5,33% + iespējamā </w:t>
            </w:r>
            <w:r w:rsidR="002A37C4">
              <w:rPr>
                <w:rFonts w:ascii="Times New Roman" w:hAnsi="Times New Roman"/>
                <w:bCs/>
                <w:sz w:val="22"/>
                <w:szCs w:val="24"/>
              </w:rPr>
              <w:lastRenderedPageBreak/>
              <w:t>prēmija par uzņēmuma lielumu</w:t>
            </w:r>
            <w:r w:rsidR="006943E3">
              <w:rPr>
                <w:rFonts w:ascii="Times New Roman" w:hAnsi="Times New Roman"/>
                <w:bCs/>
                <w:sz w:val="22"/>
                <w:szCs w:val="24"/>
              </w:rPr>
              <w:t>, tādēļ kapitāla atdeve nosakāma šajās robežās</w:t>
            </w:r>
            <w:r w:rsidR="002A37C4">
              <w:rPr>
                <w:rFonts w:ascii="Times New Roman" w:hAnsi="Times New Roman"/>
                <w:bCs/>
                <w:sz w:val="22"/>
                <w:szCs w:val="24"/>
              </w:rPr>
              <w:t>)</w:t>
            </w:r>
          </w:p>
        </w:tc>
      </w:tr>
      <w:tr w:rsidR="00763382" w:rsidRPr="00CE197A" w:rsidTr="001812A4">
        <w:tc>
          <w:tcPr>
            <w:tcW w:w="2830" w:type="dxa"/>
          </w:tcPr>
          <w:p w:rsidR="006C71BE" w:rsidRDefault="006C71BE" w:rsidP="00840939">
            <w:pPr>
              <w:pStyle w:val="ListParagraph"/>
              <w:numPr>
                <w:ilvl w:val="0"/>
                <w:numId w:val="30"/>
              </w:numPr>
              <w:spacing w:line="276" w:lineRule="auto"/>
              <w:jc w:val="both"/>
              <w:rPr>
                <w:rFonts w:ascii="Times New Roman" w:hAnsi="Times New Roman"/>
                <w:bCs/>
                <w:sz w:val="22"/>
                <w:szCs w:val="24"/>
              </w:rPr>
            </w:pPr>
            <w:r w:rsidRPr="00CE197A">
              <w:rPr>
                <w:rFonts w:ascii="Times New Roman" w:hAnsi="Times New Roman"/>
                <w:bCs/>
                <w:sz w:val="22"/>
                <w:szCs w:val="24"/>
              </w:rPr>
              <w:lastRenderedPageBreak/>
              <w:t xml:space="preserve">Uzņēmumi ar nefinanšu mērķiem, kas izpaužas kā regulētas cenas/ cenrādis </w:t>
            </w:r>
          </w:p>
          <w:p w:rsidR="002A37C4" w:rsidRPr="00CE197A" w:rsidRDefault="002A37C4" w:rsidP="00840939">
            <w:pPr>
              <w:pStyle w:val="ListParagraph"/>
              <w:numPr>
                <w:ilvl w:val="0"/>
                <w:numId w:val="30"/>
              </w:numPr>
              <w:spacing w:line="276" w:lineRule="auto"/>
              <w:jc w:val="both"/>
              <w:rPr>
                <w:rFonts w:ascii="Times New Roman" w:hAnsi="Times New Roman"/>
                <w:bCs/>
                <w:sz w:val="22"/>
                <w:szCs w:val="24"/>
              </w:rPr>
            </w:pPr>
            <w:r w:rsidRPr="00CE197A">
              <w:rPr>
                <w:rFonts w:ascii="Times New Roman" w:hAnsi="Times New Roman"/>
                <w:bCs/>
                <w:sz w:val="22"/>
                <w:szCs w:val="24"/>
              </w:rPr>
              <w:t>Valsts deleģēto funkciju veicēji, kurus raksturo ierobežota izaugsme vai izaugsme pakārtota valsts pasūtījumam</w:t>
            </w:r>
          </w:p>
          <w:p w:rsidR="002A37C4" w:rsidRDefault="002A37C4" w:rsidP="00840939">
            <w:pPr>
              <w:pStyle w:val="ListParagraph"/>
              <w:numPr>
                <w:ilvl w:val="0"/>
                <w:numId w:val="30"/>
              </w:numPr>
              <w:spacing w:line="276" w:lineRule="auto"/>
              <w:jc w:val="both"/>
              <w:rPr>
                <w:rFonts w:ascii="Times New Roman" w:hAnsi="Times New Roman"/>
                <w:bCs/>
                <w:sz w:val="22"/>
                <w:szCs w:val="24"/>
              </w:rPr>
            </w:pPr>
            <w:r w:rsidRPr="00CE197A">
              <w:rPr>
                <w:rFonts w:ascii="Times New Roman" w:hAnsi="Times New Roman"/>
                <w:bCs/>
                <w:sz w:val="22"/>
                <w:szCs w:val="24"/>
              </w:rPr>
              <w:t>Uzņēmumi ar lielu valsts dotāciju īpatsvaru ieņēmumos, piemēram, veselības un kultūras nozares kapitālsabiedrības</w:t>
            </w:r>
          </w:p>
          <w:p w:rsidR="00763382" w:rsidRPr="00840939" w:rsidRDefault="00763382" w:rsidP="00840939">
            <w:pPr>
              <w:spacing w:line="276" w:lineRule="auto"/>
              <w:jc w:val="both"/>
              <w:rPr>
                <w:rFonts w:ascii="Times New Roman" w:hAnsi="Times New Roman"/>
                <w:bCs/>
                <w:sz w:val="22"/>
                <w:szCs w:val="24"/>
              </w:rPr>
            </w:pPr>
          </w:p>
        </w:tc>
        <w:tc>
          <w:tcPr>
            <w:tcW w:w="2835" w:type="dxa"/>
          </w:tcPr>
          <w:p w:rsidR="00763382" w:rsidRPr="00CE197A" w:rsidRDefault="00EC7CA2" w:rsidP="00EC7CA2">
            <w:pPr>
              <w:spacing w:line="276" w:lineRule="auto"/>
              <w:jc w:val="both"/>
              <w:rPr>
                <w:rFonts w:ascii="Times New Roman" w:hAnsi="Times New Roman"/>
                <w:bCs/>
                <w:sz w:val="22"/>
                <w:szCs w:val="24"/>
              </w:rPr>
            </w:pPr>
            <w:r w:rsidRPr="00CE197A">
              <w:rPr>
                <w:rFonts w:ascii="Times New Roman" w:hAnsi="Times New Roman"/>
                <w:bCs/>
                <w:sz w:val="22"/>
                <w:szCs w:val="24"/>
              </w:rPr>
              <w:t>Finanšu mērķus atbilstības noteikšanai izmantot ROE un CAPM metodes, koriģējot attiecībā pret nefinanšu mērķu ietekmi. Nepieciešama komerciālās un nekomerciālās darbības atdalīšana, kā arī jāvērtē, vai cenas atbilst tirgus līmenim. Pakalpojumu cenām, kas ir zem tirgus līmeņa, jānosaka ietekme uz finanšu rezultātu.</w:t>
            </w:r>
          </w:p>
        </w:tc>
        <w:tc>
          <w:tcPr>
            <w:tcW w:w="3396" w:type="dxa"/>
          </w:tcPr>
          <w:p w:rsidR="006C71BE" w:rsidRPr="00673984" w:rsidRDefault="00673984" w:rsidP="00673984">
            <w:pPr>
              <w:pStyle w:val="ListParagraph"/>
              <w:numPr>
                <w:ilvl w:val="0"/>
                <w:numId w:val="30"/>
              </w:numPr>
              <w:spacing w:line="276" w:lineRule="auto"/>
              <w:jc w:val="both"/>
              <w:rPr>
                <w:rFonts w:ascii="Times New Roman" w:hAnsi="Times New Roman"/>
                <w:bCs/>
                <w:sz w:val="22"/>
                <w:szCs w:val="24"/>
              </w:rPr>
            </w:pPr>
            <w:r w:rsidRPr="00673984">
              <w:rPr>
                <w:rFonts w:ascii="Times New Roman" w:hAnsi="Times New Roman"/>
                <w:bCs/>
                <w:sz w:val="22"/>
                <w:szCs w:val="24"/>
              </w:rPr>
              <w:t>Nacionālais rehabilitācijas</w:t>
            </w:r>
            <w:r>
              <w:rPr>
                <w:rFonts w:ascii="Times New Roman" w:hAnsi="Times New Roman"/>
                <w:bCs/>
                <w:sz w:val="22"/>
                <w:szCs w:val="24"/>
              </w:rPr>
              <w:t xml:space="preserve"> </w:t>
            </w:r>
            <w:r w:rsidRPr="00673984">
              <w:rPr>
                <w:rFonts w:ascii="Times New Roman" w:hAnsi="Times New Roman"/>
                <w:bCs/>
                <w:sz w:val="22"/>
                <w:szCs w:val="24"/>
              </w:rPr>
              <w:t>centrs „Vaivari”</w:t>
            </w:r>
            <w:r>
              <w:rPr>
                <w:rFonts w:ascii="Times New Roman" w:hAnsi="Times New Roman"/>
                <w:bCs/>
                <w:sz w:val="22"/>
                <w:szCs w:val="24"/>
              </w:rPr>
              <w:t xml:space="preserve"> </w:t>
            </w:r>
            <w:proofErr w:type="gramStart"/>
            <w:r>
              <w:rPr>
                <w:rFonts w:ascii="Times New Roman" w:hAnsi="Times New Roman"/>
                <w:bCs/>
                <w:sz w:val="22"/>
                <w:szCs w:val="24"/>
              </w:rPr>
              <w:t>2015.gada</w:t>
            </w:r>
            <w:proofErr w:type="gramEnd"/>
            <w:r>
              <w:rPr>
                <w:rFonts w:ascii="Times New Roman" w:hAnsi="Times New Roman"/>
                <w:bCs/>
                <w:sz w:val="22"/>
                <w:szCs w:val="24"/>
              </w:rPr>
              <w:t xml:space="preserve"> ROE bija 0,7%, bet Eiropas ROE bija 7,15% un Latvijas veselības nozares valsts kapitālsabiedrību vidējais – 2%; rēķinot pēc CAPM kapitāla atdevei jābūt vismaz 3,75% (nav aizņēmumu) un iespējams vēl prēmija par uzņēmuma lielumu (vidēja lieluma uzņēmums), kas nozīmē, ka kapitāla atdevei jābūt augstākai par esošo 3,75-7,15 robežās</w:t>
            </w:r>
          </w:p>
          <w:p w:rsidR="002A37C4" w:rsidRPr="00CE197A" w:rsidRDefault="006943E3" w:rsidP="002A37C4">
            <w:pPr>
              <w:pStyle w:val="ListParagraph"/>
              <w:numPr>
                <w:ilvl w:val="0"/>
                <w:numId w:val="30"/>
              </w:numPr>
              <w:spacing w:line="276" w:lineRule="auto"/>
              <w:jc w:val="both"/>
              <w:rPr>
                <w:rFonts w:ascii="Times New Roman" w:hAnsi="Times New Roman"/>
                <w:bCs/>
                <w:sz w:val="22"/>
                <w:szCs w:val="24"/>
              </w:rPr>
            </w:pPr>
            <w:r>
              <w:rPr>
                <w:rFonts w:ascii="Times New Roman" w:hAnsi="Times New Roman"/>
                <w:bCs/>
                <w:sz w:val="22"/>
                <w:szCs w:val="24"/>
              </w:rPr>
              <w:t xml:space="preserve">Latvijas Jūras administrācija (Eiropas nozares ROE bija 4,92%, bet WACC (nav aizņēmumu) ir </w:t>
            </w:r>
            <w:r w:rsidR="0003101B">
              <w:rPr>
                <w:rFonts w:ascii="Times New Roman" w:hAnsi="Times New Roman"/>
                <w:bCs/>
                <w:sz w:val="22"/>
                <w:szCs w:val="24"/>
              </w:rPr>
              <w:t>7,83</w:t>
            </w:r>
            <w:r>
              <w:rPr>
                <w:rFonts w:ascii="Times New Roman" w:hAnsi="Times New Roman"/>
                <w:bCs/>
                <w:sz w:val="22"/>
                <w:szCs w:val="24"/>
              </w:rPr>
              <w:t xml:space="preserve">%; ņemot vēra faktisko </w:t>
            </w:r>
            <w:proofErr w:type="gramStart"/>
            <w:r>
              <w:rPr>
                <w:rFonts w:ascii="Times New Roman" w:hAnsi="Times New Roman"/>
                <w:bCs/>
                <w:sz w:val="22"/>
                <w:szCs w:val="24"/>
              </w:rPr>
              <w:t>2015.gada</w:t>
            </w:r>
            <w:proofErr w:type="gramEnd"/>
            <w:r>
              <w:rPr>
                <w:rFonts w:ascii="Times New Roman" w:hAnsi="Times New Roman"/>
                <w:bCs/>
                <w:sz w:val="22"/>
                <w:szCs w:val="24"/>
              </w:rPr>
              <w:t xml:space="preserve"> ROE (1,1%)</w:t>
            </w:r>
            <w:r w:rsidR="00D01A83">
              <w:rPr>
                <w:rFonts w:ascii="Times New Roman" w:hAnsi="Times New Roman"/>
                <w:bCs/>
                <w:sz w:val="22"/>
                <w:szCs w:val="24"/>
              </w:rPr>
              <w:t xml:space="preserve"> un nebūtisku nefinanšu mērķu ietekmi</w:t>
            </w:r>
            <w:r>
              <w:rPr>
                <w:rFonts w:ascii="Times New Roman" w:hAnsi="Times New Roman"/>
                <w:bCs/>
                <w:sz w:val="22"/>
                <w:szCs w:val="24"/>
              </w:rPr>
              <w:t>, ilgtermiņā jātiecas vismaz uz Eiropas līmeni 5%)</w:t>
            </w:r>
          </w:p>
          <w:p w:rsidR="009B6E59" w:rsidRDefault="00D01A83" w:rsidP="002A37C4">
            <w:pPr>
              <w:pStyle w:val="ListParagraph"/>
              <w:numPr>
                <w:ilvl w:val="0"/>
                <w:numId w:val="30"/>
              </w:numPr>
              <w:spacing w:line="276" w:lineRule="auto"/>
              <w:jc w:val="both"/>
              <w:rPr>
                <w:rFonts w:ascii="Times New Roman" w:hAnsi="Times New Roman"/>
                <w:bCs/>
                <w:sz w:val="22"/>
                <w:szCs w:val="24"/>
              </w:rPr>
            </w:pPr>
            <w:r>
              <w:rPr>
                <w:rFonts w:ascii="Times New Roman" w:hAnsi="Times New Roman"/>
                <w:bCs/>
                <w:sz w:val="22"/>
                <w:szCs w:val="24"/>
              </w:rPr>
              <w:t xml:space="preserve">Latvijas Nacionālā </w:t>
            </w:r>
            <w:r w:rsidR="002A37C4" w:rsidRPr="00CE197A">
              <w:rPr>
                <w:rFonts w:ascii="Times New Roman" w:hAnsi="Times New Roman"/>
                <w:bCs/>
                <w:sz w:val="22"/>
                <w:szCs w:val="24"/>
              </w:rPr>
              <w:t xml:space="preserve">opera </w:t>
            </w:r>
            <w:r>
              <w:rPr>
                <w:rFonts w:ascii="Times New Roman" w:hAnsi="Times New Roman"/>
                <w:bCs/>
                <w:sz w:val="22"/>
                <w:szCs w:val="24"/>
              </w:rPr>
              <w:t>un balets (</w:t>
            </w:r>
            <w:r w:rsidR="00024E96">
              <w:rPr>
                <w:rFonts w:ascii="Times New Roman" w:hAnsi="Times New Roman"/>
                <w:bCs/>
                <w:sz w:val="22"/>
                <w:szCs w:val="24"/>
              </w:rPr>
              <w:t xml:space="preserve">ņemot vērā, ka nav pieejami dati par kultūras nozari, bet tikai izglītības un izklaides nozari, tad pēc </w:t>
            </w:r>
            <w:proofErr w:type="gramStart"/>
            <w:r w:rsidR="00024E96">
              <w:rPr>
                <w:rFonts w:ascii="Times New Roman" w:hAnsi="Times New Roman"/>
                <w:bCs/>
                <w:sz w:val="22"/>
                <w:szCs w:val="24"/>
              </w:rPr>
              <w:t>2015.gada</w:t>
            </w:r>
            <w:proofErr w:type="gramEnd"/>
            <w:r w:rsidR="00024E96">
              <w:rPr>
                <w:rFonts w:ascii="Times New Roman" w:hAnsi="Times New Roman"/>
                <w:bCs/>
                <w:sz w:val="22"/>
                <w:szCs w:val="24"/>
              </w:rPr>
              <w:t xml:space="preserve"> rezultātiem LNOB ROE atbilda izglītības nozares ROE (0,5%), tomēr, ņemot vērā arī izklaidējošo faktoru kapitāla atdevei būtu jābūt augstākai par izglītību un zemākai par izklaidi. Piemērojot izklaides nozari WACC aprēķinam, tas paredz 7,44% (bez aizņēmumiem), bet fakts bija 1,2%</w:t>
            </w:r>
            <w:r w:rsidR="00600AD1">
              <w:rPr>
                <w:rFonts w:ascii="Times New Roman" w:hAnsi="Times New Roman"/>
                <w:bCs/>
                <w:sz w:val="22"/>
                <w:szCs w:val="24"/>
              </w:rPr>
              <w:t>; atsevišķi jāvērtē salīdzinošie uzņēmumi vai citi iemesli zemākam ROE</w:t>
            </w:r>
            <w:r w:rsidR="00024E96">
              <w:rPr>
                <w:rFonts w:ascii="Times New Roman" w:hAnsi="Times New Roman"/>
                <w:bCs/>
                <w:sz w:val="22"/>
                <w:szCs w:val="24"/>
              </w:rPr>
              <w:t>)</w:t>
            </w:r>
          </w:p>
          <w:p w:rsidR="00763382" w:rsidRPr="00CE197A" w:rsidRDefault="00763382" w:rsidP="0003101B">
            <w:pPr>
              <w:pStyle w:val="ListParagraph"/>
              <w:numPr>
                <w:ilvl w:val="0"/>
                <w:numId w:val="30"/>
              </w:numPr>
              <w:spacing w:line="276" w:lineRule="auto"/>
              <w:jc w:val="both"/>
              <w:rPr>
                <w:rFonts w:ascii="Times New Roman" w:hAnsi="Times New Roman"/>
                <w:bCs/>
                <w:sz w:val="22"/>
                <w:szCs w:val="24"/>
              </w:rPr>
            </w:pPr>
          </w:p>
        </w:tc>
      </w:tr>
      <w:tr w:rsidR="00763382" w:rsidRPr="00CE197A" w:rsidTr="001812A4">
        <w:tc>
          <w:tcPr>
            <w:tcW w:w="2830" w:type="dxa"/>
          </w:tcPr>
          <w:p w:rsidR="00763382" w:rsidRPr="00CE197A" w:rsidRDefault="00763382" w:rsidP="00840939">
            <w:pPr>
              <w:pStyle w:val="ListParagraph"/>
              <w:numPr>
                <w:ilvl w:val="0"/>
                <w:numId w:val="29"/>
              </w:numPr>
              <w:spacing w:line="276" w:lineRule="auto"/>
              <w:jc w:val="both"/>
              <w:rPr>
                <w:rFonts w:ascii="Times New Roman" w:hAnsi="Times New Roman"/>
                <w:bCs/>
                <w:sz w:val="22"/>
                <w:szCs w:val="24"/>
              </w:rPr>
            </w:pPr>
            <w:r w:rsidRPr="00CE197A">
              <w:rPr>
                <w:rFonts w:ascii="Times New Roman" w:hAnsi="Times New Roman"/>
                <w:bCs/>
                <w:sz w:val="22"/>
                <w:szCs w:val="24"/>
              </w:rPr>
              <w:t>«</w:t>
            </w:r>
            <w:r w:rsidR="00E12ABB">
              <w:rPr>
                <w:rFonts w:ascii="Times New Roman" w:hAnsi="Times New Roman"/>
                <w:bCs/>
                <w:sz w:val="22"/>
                <w:szCs w:val="24"/>
              </w:rPr>
              <w:t>Problemātiskie</w:t>
            </w:r>
            <w:r w:rsidRPr="00CE197A">
              <w:rPr>
                <w:rFonts w:ascii="Times New Roman" w:hAnsi="Times New Roman"/>
                <w:bCs/>
                <w:sz w:val="22"/>
                <w:szCs w:val="24"/>
              </w:rPr>
              <w:t xml:space="preserve">» aktīvi (nekustamie īpašumi, </w:t>
            </w:r>
            <w:r w:rsidRPr="00CE197A">
              <w:rPr>
                <w:rFonts w:ascii="Times New Roman" w:hAnsi="Times New Roman"/>
                <w:bCs/>
                <w:sz w:val="22"/>
                <w:szCs w:val="24"/>
              </w:rPr>
              <w:lastRenderedPageBreak/>
              <w:t>valsts pārņemtie uzņēmumi)</w:t>
            </w:r>
          </w:p>
          <w:p w:rsidR="00763382" w:rsidRPr="00CE197A" w:rsidRDefault="00763382" w:rsidP="00840939">
            <w:pPr>
              <w:pStyle w:val="ListParagraph"/>
              <w:numPr>
                <w:ilvl w:val="0"/>
                <w:numId w:val="29"/>
              </w:numPr>
              <w:spacing w:line="276" w:lineRule="auto"/>
              <w:jc w:val="both"/>
              <w:rPr>
                <w:rFonts w:ascii="Times New Roman" w:hAnsi="Times New Roman"/>
                <w:bCs/>
                <w:sz w:val="22"/>
                <w:szCs w:val="24"/>
              </w:rPr>
            </w:pPr>
            <w:r w:rsidRPr="00CE197A">
              <w:rPr>
                <w:rFonts w:ascii="Times New Roman" w:hAnsi="Times New Roman"/>
                <w:bCs/>
                <w:sz w:val="22"/>
                <w:szCs w:val="24"/>
              </w:rPr>
              <w:t>Uzņēmumi finanšu grūtībās (uzņēmumi ar zaudējumiem vai negatīvu pašu kapitālu)</w:t>
            </w:r>
          </w:p>
        </w:tc>
        <w:tc>
          <w:tcPr>
            <w:tcW w:w="2835" w:type="dxa"/>
          </w:tcPr>
          <w:p w:rsidR="00763382" w:rsidRPr="00CE197A" w:rsidRDefault="00763382" w:rsidP="00671BD1">
            <w:pPr>
              <w:spacing w:line="276" w:lineRule="auto"/>
              <w:jc w:val="both"/>
              <w:rPr>
                <w:rFonts w:ascii="Times New Roman" w:hAnsi="Times New Roman"/>
                <w:bCs/>
                <w:sz w:val="22"/>
                <w:szCs w:val="24"/>
              </w:rPr>
            </w:pPr>
            <w:r w:rsidRPr="00CE197A">
              <w:rPr>
                <w:rFonts w:ascii="Times New Roman" w:hAnsi="Times New Roman"/>
                <w:bCs/>
                <w:sz w:val="22"/>
                <w:szCs w:val="24"/>
              </w:rPr>
              <w:lastRenderedPageBreak/>
              <w:t xml:space="preserve">Ilgtermiņā finanšu mērķu atbilstību nosaka, izmantojot </w:t>
            </w:r>
            <w:r w:rsidRPr="00CE197A">
              <w:rPr>
                <w:rFonts w:ascii="Times New Roman" w:hAnsi="Times New Roman"/>
                <w:bCs/>
                <w:sz w:val="22"/>
                <w:szCs w:val="24"/>
              </w:rPr>
              <w:lastRenderedPageBreak/>
              <w:t>ROE un CAPM metodes, bet īstermiņā fokusējoties uz pozitīviem peļņas un pašu kapitāla rādītājiem</w:t>
            </w:r>
            <w:r w:rsidR="00C808A1" w:rsidRPr="00CE197A">
              <w:rPr>
                <w:rFonts w:ascii="Times New Roman" w:hAnsi="Times New Roman"/>
                <w:bCs/>
                <w:sz w:val="22"/>
                <w:szCs w:val="24"/>
              </w:rPr>
              <w:t>.</w:t>
            </w:r>
          </w:p>
        </w:tc>
        <w:tc>
          <w:tcPr>
            <w:tcW w:w="3396" w:type="dxa"/>
          </w:tcPr>
          <w:p w:rsidR="00763382" w:rsidRPr="00CE197A" w:rsidRDefault="00EC7CA2" w:rsidP="00EC7CA2">
            <w:pPr>
              <w:pStyle w:val="ListParagraph"/>
              <w:numPr>
                <w:ilvl w:val="0"/>
                <w:numId w:val="32"/>
              </w:numPr>
              <w:spacing w:line="276" w:lineRule="auto"/>
              <w:jc w:val="both"/>
              <w:rPr>
                <w:rFonts w:ascii="Times New Roman" w:hAnsi="Times New Roman"/>
                <w:bCs/>
                <w:sz w:val="22"/>
                <w:szCs w:val="24"/>
              </w:rPr>
            </w:pPr>
            <w:r w:rsidRPr="00CE197A">
              <w:rPr>
                <w:rFonts w:ascii="Times New Roman" w:hAnsi="Times New Roman"/>
                <w:bCs/>
                <w:sz w:val="22"/>
                <w:szCs w:val="24"/>
              </w:rPr>
              <w:lastRenderedPageBreak/>
              <w:t>VNĪ</w:t>
            </w:r>
            <w:r w:rsidR="008055F9">
              <w:rPr>
                <w:rFonts w:ascii="Times New Roman" w:hAnsi="Times New Roman"/>
                <w:bCs/>
                <w:sz w:val="22"/>
                <w:szCs w:val="24"/>
              </w:rPr>
              <w:t xml:space="preserve"> (nozares ROE ir 4,95% un WACC ir 4,61%, kas būtu </w:t>
            </w:r>
            <w:r w:rsidR="008055F9">
              <w:rPr>
                <w:rFonts w:ascii="Times New Roman" w:hAnsi="Times New Roman"/>
                <w:bCs/>
                <w:sz w:val="22"/>
                <w:szCs w:val="24"/>
              </w:rPr>
              <w:lastRenderedPageBreak/>
              <w:t>optimālās kapitāla atdeves robežas</w:t>
            </w:r>
            <w:r w:rsidR="00600AD1">
              <w:rPr>
                <w:rFonts w:ascii="Times New Roman" w:hAnsi="Times New Roman"/>
                <w:bCs/>
                <w:sz w:val="22"/>
                <w:szCs w:val="24"/>
              </w:rPr>
              <w:t xml:space="preserve"> rentablajai darbībai. Ņ</w:t>
            </w:r>
            <w:r w:rsidR="008055F9">
              <w:rPr>
                <w:rFonts w:ascii="Times New Roman" w:hAnsi="Times New Roman"/>
                <w:bCs/>
                <w:sz w:val="22"/>
                <w:szCs w:val="24"/>
              </w:rPr>
              <w:t xml:space="preserve">emot vērā, ka </w:t>
            </w:r>
            <w:proofErr w:type="gramStart"/>
            <w:r w:rsidR="008055F9">
              <w:rPr>
                <w:rFonts w:ascii="Times New Roman" w:hAnsi="Times New Roman"/>
                <w:bCs/>
                <w:sz w:val="22"/>
                <w:szCs w:val="24"/>
              </w:rPr>
              <w:t>2015.gada</w:t>
            </w:r>
            <w:proofErr w:type="gramEnd"/>
            <w:r w:rsidR="008055F9">
              <w:rPr>
                <w:rFonts w:ascii="Times New Roman" w:hAnsi="Times New Roman"/>
                <w:bCs/>
                <w:sz w:val="22"/>
                <w:szCs w:val="24"/>
              </w:rPr>
              <w:t xml:space="preserve"> faktiskais ROE VNĪ bija negatīvs (-3,8%), </w:t>
            </w:r>
            <w:r w:rsidR="00600AD1">
              <w:rPr>
                <w:rFonts w:ascii="Times New Roman" w:hAnsi="Times New Roman"/>
                <w:bCs/>
                <w:sz w:val="22"/>
                <w:szCs w:val="24"/>
              </w:rPr>
              <w:t xml:space="preserve">kopējās </w:t>
            </w:r>
            <w:r w:rsidR="008055F9">
              <w:rPr>
                <w:rFonts w:ascii="Times New Roman" w:hAnsi="Times New Roman"/>
                <w:bCs/>
                <w:sz w:val="22"/>
                <w:szCs w:val="24"/>
              </w:rPr>
              <w:t xml:space="preserve">kapitāla atdeves primārais mērķis ir atgriezties </w:t>
            </w:r>
            <w:r w:rsidR="009136A7">
              <w:rPr>
                <w:rFonts w:ascii="Times New Roman" w:hAnsi="Times New Roman"/>
                <w:bCs/>
                <w:sz w:val="22"/>
                <w:szCs w:val="24"/>
              </w:rPr>
              <w:t xml:space="preserve">pie </w:t>
            </w:r>
            <w:r w:rsidR="008055F9">
              <w:rPr>
                <w:rFonts w:ascii="Times New Roman" w:hAnsi="Times New Roman"/>
                <w:bCs/>
                <w:sz w:val="22"/>
                <w:szCs w:val="24"/>
              </w:rPr>
              <w:t>pozitīvā</w:t>
            </w:r>
            <w:r w:rsidR="009136A7">
              <w:rPr>
                <w:rFonts w:ascii="Times New Roman" w:hAnsi="Times New Roman"/>
                <w:bCs/>
                <w:sz w:val="22"/>
                <w:szCs w:val="24"/>
              </w:rPr>
              <w:t>m</w:t>
            </w:r>
            <w:r w:rsidR="008055F9">
              <w:rPr>
                <w:rFonts w:ascii="Times New Roman" w:hAnsi="Times New Roman"/>
                <w:bCs/>
                <w:sz w:val="22"/>
                <w:szCs w:val="24"/>
              </w:rPr>
              <w:t xml:space="preserve"> </w:t>
            </w:r>
            <w:r w:rsidR="009136A7">
              <w:rPr>
                <w:rFonts w:ascii="Times New Roman" w:hAnsi="Times New Roman"/>
                <w:bCs/>
                <w:sz w:val="22"/>
                <w:szCs w:val="24"/>
              </w:rPr>
              <w:t xml:space="preserve">ROE </w:t>
            </w:r>
            <w:r w:rsidR="008055F9">
              <w:rPr>
                <w:rFonts w:ascii="Times New Roman" w:hAnsi="Times New Roman"/>
                <w:bCs/>
                <w:sz w:val="22"/>
                <w:szCs w:val="24"/>
              </w:rPr>
              <w:t>vērtībā</w:t>
            </w:r>
            <w:r w:rsidR="009136A7">
              <w:rPr>
                <w:rFonts w:ascii="Times New Roman" w:hAnsi="Times New Roman"/>
                <w:bCs/>
                <w:sz w:val="22"/>
                <w:szCs w:val="24"/>
              </w:rPr>
              <w:t>m</w:t>
            </w:r>
            <w:r w:rsidR="008055F9">
              <w:rPr>
                <w:rFonts w:ascii="Times New Roman" w:hAnsi="Times New Roman"/>
                <w:bCs/>
                <w:sz w:val="22"/>
                <w:szCs w:val="24"/>
              </w:rPr>
              <w:t>)</w:t>
            </w:r>
          </w:p>
          <w:p w:rsidR="00EC7CA2" w:rsidRPr="00CE197A" w:rsidRDefault="00EC7CA2" w:rsidP="009708C2">
            <w:pPr>
              <w:pStyle w:val="ListParagraph"/>
              <w:numPr>
                <w:ilvl w:val="0"/>
                <w:numId w:val="32"/>
              </w:numPr>
              <w:spacing w:line="276" w:lineRule="auto"/>
              <w:jc w:val="both"/>
              <w:rPr>
                <w:rFonts w:ascii="Times New Roman" w:hAnsi="Times New Roman"/>
                <w:bCs/>
                <w:sz w:val="22"/>
                <w:szCs w:val="24"/>
              </w:rPr>
            </w:pPr>
            <w:r w:rsidRPr="00CE197A">
              <w:rPr>
                <w:rFonts w:ascii="Times New Roman" w:hAnsi="Times New Roman"/>
                <w:bCs/>
                <w:sz w:val="22"/>
                <w:szCs w:val="24"/>
              </w:rPr>
              <w:t>Rīgas cirks</w:t>
            </w:r>
            <w:r w:rsidR="009708C2">
              <w:rPr>
                <w:rFonts w:ascii="Times New Roman" w:hAnsi="Times New Roman"/>
                <w:bCs/>
                <w:sz w:val="22"/>
                <w:szCs w:val="24"/>
              </w:rPr>
              <w:t>, LNSO, LTV</w:t>
            </w:r>
            <w:r w:rsidR="008055F9">
              <w:rPr>
                <w:rFonts w:ascii="Times New Roman" w:hAnsi="Times New Roman"/>
                <w:bCs/>
                <w:sz w:val="22"/>
                <w:szCs w:val="24"/>
              </w:rPr>
              <w:t xml:space="preserve"> (nav </w:t>
            </w:r>
            <w:r w:rsidR="009708C2">
              <w:rPr>
                <w:rFonts w:ascii="Times New Roman" w:hAnsi="Times New Roman"/>
                <w:bCs/>
                <w:sz w:val="22"/>
                <w:szCs w:val="24"/>
              </w:rPr>
              <w:t xml:space="preserve">apstiprinātas </w:t>
            </w:r>
            <w:r w:rsidR="008055F9">
              <w:rPr>
                <w:rFonts w:ascii="Times New Roman" w:hAnsi="Times New Roman"/>
                <w:bCs/>
                <w:sz w:val="22"/>
                <w:szCs w:val="24"/>
              </w:rPr>
              <w:t>stratēģija</w:t>
            </w:r>
            <w:r w:rsidR="009708C2">
              <w:rPr>
                <w:rFonts w:ascii="Times New Roman" w:hAnsi="Times New Roman"/>
                <w:bCs/>
                <w:sz w:val="22"/>
                <w:szCs w:val="24"/>
              </w:rPr>
              <w:t>s – īstermiņa mērķis ir nodrošināt peļņu, vidējā termiņā Rīgas cirkam un LNSO līdzīga pieeja kā LNOB, bet LTV nozares komerciālo TV ROE ir 24,87%</w:t>
            </w:r>
            <w:r w:rsidR="008055F9">
              <w:rPr>
                <w:rFonts w:ascii="Times New Roman" w:hAnsi="Times New Roman"/>
                <w:bCs/>
                <w:sz w:val="22"/>
                <w:szCs w:val="24"/>
              </w:rPr>
              <w:t>)</w:t>
            </w:r>
          </w:p>
        </w:tc>
      </w:tr>
    </w:tbl>
    <w:p w:rsidR="00671BD1" w:rsidRPr="00671BD1" w:rsidRDefault="00671BD1" w:rsidP="00671BD1">
      <w:pPr>
        <w:spacing w:line="276" w:lineRule="auto"/>
        <w:ind w:firstLine="720"/>
        <w:jc w:val="both"/>
        <w:rPr>
          <w:rFonts w:ascii="Times New Roman" w:hAnsi="Times New Roman"/>
          <w:bCs/>
          <w:sz w:val="24"/>
          <w:szCs w:val="24"/>
        </w:rPr>
      </w:pPr>
    </w:p>
    <w:p w:rsidR="0076118B" w:rsidRPr="00784F55" w:rsidRDefault="0076118B" w:rsidP="00784F55">
      <w:pPr>
        <w:spacing w:line="276" w:lineRule="auto"/>
        <w:ind w:firstLine="720"/>
        <w:jc w:val="both"/>
        <w:rPr>
          <w:rFonts w:ascii="Times New Roman" w:hAnsi="Times New Roman"/>
          <w:bCs/>
          <w:sz w:val="24"/>
          <w:szCs w:val="24"/>
        </w:rPr>
      </w:pPr>
    </w:p>
    <w:p w:rsidR="00B545DB" w:rsidRPr="00801BE7" w:rsidRDefault="0076118B" w:rsidP="00581FEF">
      <w:pPr>
        <w:spacing w:line="276" w:lineRule="auto"/>
        <w:rPr>
          <w:rFonts w:ascii="Times New Roman" w:hAnsi="Times New Roman"/>
          <w:b/>
          <w:bCs/>
          <w:sz w:val="24"/>
          <w:szCs w:val="22"/>
        </w:rPr>
      </w:pPr>
      <w:r w:rsidRPr="00801BE7">
        <w:rPr>
          <w:rFonts w:ascii="Times New Roman" w:hAnsi="Times New Roman"/>
          <w:b/>
          <w:bCs/>
          <w:sz w:val="24"/>
          <w:szCs w:val="22"/>
        </w:rPr>
        <w:t>4. Secinājumi un priekšlikumi</w:t>
      </w:r>
    </w:p>
    <w:p w:rsidR="0076118B" w:rsidRPr="00801BE7" w:rsidRDefault="0076118B" w:rsidP="00581FEF">
      <w:pPr>
        <w:spacing w:line="276" w:lineRule="auto"/>
        <w:rPr>
          <w:rFonts w:ascii="Times New Roman" w:hAnsi="Times New Roman"/>
          <w:bCs/>
          <w:sz w:val="24"/>
          <w:szCs w:val="22"/>
        </w:rPr>
      </w:pPr>
    </w:p>
    <w:p w:rsidR="004D50A8" w:rsidRDefault="00661653" w:rsidP="003D68DD">
      <w:pPr>
        <w:pStyle w:val="ListParagraph"/>
        <w:numPr>
          <w:ilvl w:val="0"/>
          <w:numId w:val="13"/>
        </w:numPr>
        <w:spacing w:line="276" w:lineRule="auto"/>
        <w:jc w:val="both"/>
        <w:rPr>
          <w:rFonts w:ascii="Times New Roman" w:hAnsi="Times New Roman"/>
          <w:bCs/>
          <w:sz w:val="24"/>
          <w:szCs w:val="22"/>
        </w:rPr>
      </w:pPr>
      <w:r>
        <w:rPr>
          <w:rFonts w:ascii="Times New Roman" w:hAnsi="Times New Roman"/>
          <w:bCs/>
          <w:sz w:val="24"/>
          <w:szCs w:val="22"/>
        </w:rPr>
        <w:t xml:space="preserve">Lai panāktu valsts kapitālsabiedrību kapitāla atdeves </w:t>
      </w:r>
      <w:r w:rsidR="000D185E" w:rsidRPr="00801BE7">
        <w:rPr>
          <w:rFonts w:ascii="Times New Roman" w:hAnsi="Times New Roman"/>
          <w:bCs/>
          <w:sz w:val="24"/>
          <w:szCs w:val="22"/>
        </w:rPr>
        <w:t>pakāpenisk</w:t>
      </w:r>
      <w:r>
        <w:rPr>
          <w:rFonts w:ascii="Times New Roman" w:hAnsi="Times New Roman"/>
          <w:bCs/>
          <w:sz w:val="24"/>
          <w:szCs w:val="22"/>
        </w:rPr>
        <w:t>u</w:t>
      </w:r>
      <w:r w:rsidR="000D185E" w:rsidRPr="00801BE7">
        <w:rPr>
          <w:rFonts w:ascii="Times New Roman" w:hAnsi="Times New Roman"/>
          <w:bCs/>
          <w:sz w:val="24"/>
          <w:szCs w:val="22"/>
        </w:rPr>
        <w:t xml:space="preserve"> virzīb</w:t>
      </w:r>
      <w:r>
        <w:rPr>
          <w:rFonts w:ascii="Times New Roman" w:hAnsi="Times New Roman"/>
          <w:bCs/>
          <w:sz w:val="24"/>
          <w:szCs w:val="22"/>
        </w:rPr>
        <w:t>u</w:t>
      </w:r>
      <w:r w:rsidR="000D185E" w:rsidRPr="00801BE7">
        <w:rPr>
          <w:rFonts w:ascii="Times New Roman" w:hAnsi="Times New Roman"/>
          <w:bCs/>
          <w:sz w:val="24"/>
          <w:szCs w:val="22"/>
        </w:rPr>
        <w:t xml:space="preserve"> uz optimāl</w:t>
      </w:r>
      <w:r>
        <w:rPr>
          <w:rFonts w:ascii="Times New Roman" w:hAnsi="Times New Roman"/>
          <w:bCs/>
          <w:sz w:val="24"/>
          <w:szCs w:val="22"/>
        </w:rPr>
        <w:t>iem</w:t>
      </w:r>
      <w:r w:rsidR="004D50A8">
        <w:rPr>
          <w:rFonts w:ascii="Times New Roman" w:hAnsi="Times New Roman"/>
          <w:bCs/>
          <w:sz w:val="24"/>
          <w:szCs w:val="22"/>
        </w:rPr>
        <w:t xml:space="preserve"> kapitāla atdeves mērķiem, PKC iesaka izmantot kapitāla atdeves mērķu salīdzināšanu </w:t>
      </w:r>
      <w:r w:rsidR="00E12ABB">
        <w:rPr>
          <w:rFonts w:ascii="Times New Roman" w:hAnsi="Times New Roman"/>
          <w:bCs/>
          <w:sz w:val="24"/>
          <w:szCs w:val="22"/>
        </w:rPr>
        <w:t>ar</w:t>
      </w:r>
      <w:r w:rsidR="004D50A8">
        <w:rPr>
          <w:rFonts w:ascii="Times New Roman" w:hAnsi="Times New Roman"/>
          <w:bCs/>
          <w:sz w:val="24"/>
          <w:szCs w:val="22"/>
        </w:rPr>
        <w:t xml:space="preserve"> nozares ROE un CAPM. PKC šīs metodes</w:t>
      </w:r>
      <w:r w:rsidR="00E12ABB">
        <w:rPr>
          <w:rFonts w:ascii="Times New Roman" w:hAnsi="Times New Roman"/>
          <w:bCs/>
          <w:sz w:val="24"/>
          <w:szCs w:val="22"/>
        </w:rPr>
        <w:t xml:space="preserve"> izmanto</w:t>
      </w:r>
      <w:r w:rsidR="004D50A8">
        <w:rPr>
          <w:rFonts w:ascii="Times New Roman" w:hAnsi="Times New Roman"/>
          <w:bCs/>
          <w:sz w:val="24"/>
          <w:szCs w:val="22"/>
        </w:rPr>
        <w:t xml:space="preserve"> savu atzinumu sagatavošanā.</w:t>
      </w:r>
    </w:p>
    <w:p w:rsidR="00E12ABB" w:rsidRPr="00574BE9" w:rsidRDefault="00E12ABB" w:rsidP="00E12ABB">
      <w:pPr>
        <w:pStyle w:val="ListParagraph"/>
        <w:numPr>
          <w:ilvl w:val="0"/>
          <w:numId w:val="13"/>
        </w:numPr>
        <w:spacing w:line="276" w:lineRule="auto"/>
        <w:jc w:val="both"/>
        <w:rPr>
          <w:rFonts w:ascii="Times New Roman" w:hAnsi="Times New Roman"/>
          <w:bCs/>
          <w:sz w:val="24"/>
          <w:szCs w:val="22"/>
        </w:rPr>
      </w:pPr>
      <w:r w:rsidRPr="00574BE9">
        <w:rPr>
          <w:rFonts w:ascii="Times New Roman" w:hAnsi="Times New Roman"/>
          <w:bCs/>
          <w:sz w:val="24"/>
          <w:szCs w:val="22"/>
        </w:rPr>
        <w:t xml:space="preserve">Lai noteiktu ROE mērķus, kas pielīdzināmi privātajam sektoram, </w:t>
      </w:r>
      <w:r>
        <w:rPr>
          <w:rFonts w:ascii="Times New Roman" w:hAnsi="Times New Roman"/>
          <w:bCs/>
          <w:sz w:val="24"/>
          <w:szCs w:val="22"/>
        </w:rPr>
        <w:t>jānodrošina</w:t>
      </w:r>
      <w:r w:rsidRPr="00574BE9">
        <w:rPr>
          <w:rFonts w:ascii="Times New Roman" w:hAnsi="Times New Roman"/>
          <w:bCs/>
          <w:sz w:val="24"/>
          <w:szCs w:val="22"/>
        </w:rPr>
        <w:t xml:space="preserve"> valsts kapitālsabiedrīb</w:t>
      </w:r>
      <w:r>
        <w:rPr>
          <w:rFonts w:ascii="Times New Roman" w:hAnsi="Times New Roman"/>
          <w:bCs/>
          <w:sz w:val="24"/>
          <w:szCs w:val="22"/>
        </w:rPr>
        <w:t>ā</w:t>
      </w:r>
      <w:r w:rsidRPr="00574BE9">
        <w:rPr>
          <w:rFonts w:ascii="Times New Roman" w:hAnsi="Times New Roman"/>
          <w:bCs/>
          <w:sz w:val="24"/>
          <w:szCs w:val="22"/>
        </w:rPr>
        <w:t>s iekšēji strukturāli un finansiāli nodalīt komerciālās un nekomerciālas aktivitātes.</w:t>
      </w:r>
      <w:r>
        <w:rPr>
          <w:rFonts w:ascii="Times New Roman" w:hAnsi="Times New Roman"/>
          <w:bCs/>
          <w:sz w:val="24"/>
          <w:szCs w:val="22"/>
        </w:rPr>
        <w:t xml:space="preserve"> Tādējādi pēc iespējas komerciālajā daļā tiecoties uz privātajam sektoram pielīdzināmiem kapitāla atdeves rezultātiem.</w:t>
      </w:r>
    </w:p>
    <w:p w:rsidR="00624CD2" w:rsidRDefault="00E12ABB" w:rsidP="00D31BB1">
      <w:pPr>
        <w:pStyle w:val="ListParagraph"/>
        <w:numPr>
          <w:ilvl w:val="0"/>
          <w:numId w:val="13"/>
        </w:numPr>
        <w:spacing w:line="276" w:lineRule="auto"/>
        <w:jc w:val="both"/>
        <w:rPr>
          <w:rFonts w:ascii="Times New Roman" w:hAnsi="Times New Roman"/>
          <w:bCs/>
          <w:sz w:val="24"/>
          <w:szCs w:val="22"/>
        </w:rPr>
      </w:pPr>
      <w:r>
        <w:rPr>
          <w:rFonts w:ascii="Times New Roman" w:hAnsi="Times New Roman"/>
          <w:bCs/>
          <w:sz w:val="24"/>
          <w:szCs w:val="22"/>
        </w:rPr>
        <w:t>P</w:t>
      </w:r>
      <w:r w:rsidR="00624CD2">
        <w:rPr>
          <w:rFonts w:ascii="Times New Roman" w:hAnsi="Times New Roman"/>
          <w:bCs/>
          <w:sz w:val="24"/>
          <w:szCs w:val="22"/>
        </w:rPr>
        <w:t>iedāvāt</w:t>
      </w:r>
      <w:r w:rsidR="00D31BB1">
        <w:rPr>
          <w:rFonts w:ascii="Times New Roman" w:hAnsi="Times New Roman"/>
          <w:bCs/>
          <w:sz w:val="24"/>
          <w:szCs w:val="22"/>
        </w:rPr>
        <w:t>o pieeju kapitāla atdeves noteikšanai</w:t>
      </w:r>
      <w:r w:rsidR="00624CD2">
        <w:rPr>
          <w:rFonts w:ascii="Times New Roman" w:hAnsi="Times New Roman"/>
          <w:bCs/>
          <w:sz w:val="24"/>
          <w:szCs w:val="22"/>
        </w:rPr>
        <w:t xml:space="preserve"> </w:t>
      </w:r>
      <w:r w:rsidR="00D31BB1">
        <w:rPr>
          <w:rFonts w:ascii="Times New Roman" w:hAnsi="Times New Roman"/>
          <w:bCs/>
          <w:sz w:val="24"/>
          <w:szCs w:val="22"/>
        </w:rPr>
        <w:t xml:space="preserve">PKC </w:t>
      </w:r>
      <w:r w:rsidR="00624CD2">
        <w:rPr>
          <w:rFonts w:ascii="Times New Roman" w:hAnsi="Times New Roman"/>
          <w:bCs/>
          <w:sz w:val="24"/>
          <w:szCs w:val="22"/>
        </w:rPr>
        <w:t>iek</w:t>
      </w:r>
      <w:r w:rsidR="00D31BB1">
        <w:rPr>
          <w:rFonts w:ascii="Times New Roman" w:hAnsi="Times New Roman"/>
          <w:bCs/>
          <w:sz w:val="24"/>
          <w:szCs w:val="22"/>
        </w:rPr>
        <w:t>ļau</w:t>
      </w:r>
      <w:r>
        <w:rPr>
          <w:rFonts w:ascii="Times New Roman" w:hAnsi="Times New Roman"/>
          <w:bCs/>
          <w:sz w:val="24"/>
          <w:szCs w:val="22"/>
        </w:rPr>
        <w:t>t</w:t>
      </w:r>
      <w:r w:rsidR="00624CD2">
        <w:rPr>
          <w:rFonts w:ascii="Times New Roman" w:hAnsi="Times New Roman"/>
          <w:bCs/>
          <w:sz w:val="24"/>
          <w:szCs w:val="22"/>
        </w:rPr>
        <w:t xml:space="preserve"> </w:t>
      </w:r>
      <w:r w:rsidR="00D31BB1" w:rsidRPr="00D31BB1">
        <w:rPr>
          <w:rFonts w:ascii="Times New Roman" w:hAnsi="Times New Roman"/>
          <w:bCs/>
          <w:sz w:val="24"/>
          <w:szCs w:val="22"/>
        </w:rPr>
        <w:t xml:space="preserve">Valsts kapitālsabiedrību vidēja termiņa darbības stratēģijas izstrādes </w:t>
      </w:r>
      <w:r w:rsidR="00624CD2">
        <w:rPr>
          <w:rFonts w:ascii="Times New Roman" w:hAnsi="Times New Roman"/>
          <w:bCs/>
          <w:sz w:val="24"/>
          <w:szCs w:val="22"/>
        </w:rPr>
        <w:t>vadlīnijās.</w:t>
      </w:r>
    </w:p>
    <w:p w:rsidR="000D185E" w:rsidRPr="00801BE7" w:rsidRDefault="000D185E" w:rsidP="000D185E">
      <w:pPr>
        <w:pStyle w:val="ListParagraph"/>
        <w:rPr>
          <w:rFonts w:ascii="Times New Roman" w:hAnsi="Times New Roman"/>
          <w:b/>
          <w:bCs/>
          <w:sz w:val="24"/>
          <w:szCs w:val="22"/>
        </w:rPr>
      </w:pPr>
    </w:p>
    <w:p w:rsidR="000D185E" w:rsidRDefault="000D185E" w:rsidP="000D185E">
      <w:pPr>
        <w:spacing w:line="276" w:lineRule="auto"/>
        <w:jc w:val="both"/>
        <w:rPr>
          <w:rFonts w:ascii="Times New Roman" w:hAnsi="Times New Roman"/>
          <w:b/>
          <w:bCs/>
          <w:sz w:val="24"/>
          <w:szCs w:val="22"/>
        </w:rPr>
      </w:pPr>
    </w:p>
    <w:p w:rsidR="00801BE7" w:rsidRDefault="00801BE7" w:rsidP="000D185E">
      <w:pPr>
        <w:spacing w:line="276" w:lineRule="auto"/>
        <w:jc w:val="both"/>
        <w:rPr>
          <w:rFonts w:ascii="Times New Roman" w:hAnsi="Times New Roman"/>
          <w:b/>
          <w:bCs/>
          <w:sz w:val="24"/>
          <w:szCs w:val="22"/>
        </w:rPr>
      </w:pPr>
    </w:p>
    <w:p w:rsidR="001F033D" w:rsidRPr="001F033D" w:rsidRDefault="006E2942" w:rsidP="006E2942">
      <w:pPr>
        <w:tabs>
          <w:tab w:val="left" w:pos="1134"/>
          <w:tab w:val="left" w:pos="7230"/>
        </w:tabs>
        <w:spacing w:line="276" w:lineRule="auto"/>
        <w:jc w:val="both"/>
        <w:rPr>
          <w:rFonts w:ascii="Times New Roman" w:hAnsi="Times New Roman"/>
          <w:bCs/>
          <w:sz w:val="24"/>
          <w:szCs w:val="28"/>
        </w:rPr>
      </w:pPr>
      <w:r>
        <w:rPr>
          <w:rFonts w:ascii="Times New Roman" w:hAnsi="Times New Roman"/>
          <w:bCs/>
          <w:sz w:val="24"/>
          <w:szCs w:val="28"/>
        </w:rPr>
        <w:tab/>
      </w:r>
      <w:r w:rsidR="001F033D" w:rsidRPr="001F033D">
        <w:rPr>
          <w:rFonts w:ascii="Times New Roman" w:hAnsi="Times New Roman"/>
          <w:bCs/>
          <w:sz w:val="24"/>
          <w:szCs w:val="28"/>
        </w:rPr>
        <w:t>Ministru prezidents</w:t>
      </w:r>
      <w:r w:rsidR="001F033D">
        <w:rPr>
          <w:rFonts w:ascii="Times New Roman" w:hAnsi="Times New Roman"/>
          <w:bCs/>
          <w:sz w:val="24"/>
          <w:szCs w:val="28"/>
        </w:rPr>
        <w:tab/>
      </w:r>
      <w:r w:rsidR="001F033D" w:rsidRPr="001F033D">
        <w:rPr>
          <w:rFonts w:ascii="Times New Roman" w:hAnsi="Times New Roman"/>
          <w:bCs/>
          <w:sz w:val="24"/>
          <w:szCs w:val="28"/>
        </w:rPr>
        <w:t>M.Kučinskis</w:t>
      </w: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6E2942" w:rsidP="006E2942">
      <w:pPr>
        <w:tabs>
          <w:tab w:val="left" w:pos="1134"/>
          <w:tab w:val="left" w:pos="7230"/>
        </w:tabs>
        <w:spacing w:line="276" w:lineRule="auto"/>
        <w:jc w:val="both"/>
        <w:rPr>
          <w:rFonts w:ascii="Times New Roman" w:hAnsi="Times New Roman"/>
          <w:bCs/>
          <w:sz w:val="24"/>
          <w:szCs w:val="28"/>
        </w:rPr>
      </w:pPr>
      <w:r>
        <w:rPr>
          <w:rFonts w:ascii="Times New Roman" w:hAnsi="Times New Roman"/>
          <w:bCs/>
          <w:sz w:val="24"/>
          <w:szCs w:val="28"/>
        </w:rPr>
        <w:tab/>
      </w:r>
      <w:r w:rsidR="001F033D" w:rsidRPr="001F033D">
        <w:rPr>
          <w:rFonts w:ascii="Times New Roman" w:hAnsi="Times New Roman"/>
          <w:bCs/>
          <w:sz w:val="24"/>
          <w:szCs w:val="28"/>
        </w:rPr>
        <w:t xml:space="preserve">Vīza: </w:t>
      </w:r>
    </w:p>
    <w:p w:rsidR="001F033D" w:rsidRPr="001F033D" w:rsidRDefault="001F033D" w:rsidP="001F033D">
      <w:pPr>
        <w:tabs>
          <w:tab w:val="left" w:pos="7230"/>
        </w:tabs>
        <w:spacing w:line="276" w:lineRule="auto"/>
        <w:jc w:val="both"/>
        <w:rPr>
          <w:rFonts w:ascii="Times New Roman" w:hAnsi="Times New Roman"/>
          <w:bCs/>
          <w:sz w:val="24"/>
          <w:szCs w:val="28"/>
        </w:rPr>
      </w:pPr>
      <w:r w:rsidRPr="001F033D">
        <w:rPr>
          <w:rFonts w:ascii="Times New Roman" w:hAnsi="Times New Roman"/>
          <w:bCs/>
          <w:sz w:val="24"/>
          <w:szCs w:val="28"/>
        </w:rPr>
        <w:t>Pārresoru koordinācijas centra vadītājs</w:t>
      </w:r>
      <w:r w:rsidRPr="001F033D">
        <w:rPr>
          <w:rFonts w:ascii="Times New Roman" w:hAnsi="Times New Roman"/>
          <w:bCs/>
          <w:sz w:val="24"/>
          <w:szCs w:val="28"/>
        </w:rPr>
        <w:tab/>
        <w:t>P.Vilks</w:t>
      </w: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24"/>
          <w:szCs w:val="28"/>
        </w:rPr>
      </w:pPr>
    </w:p>
    <w:p w:rsidR="001F033D" w:rsidRP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DATE  \@ "dd.MM.yyyy HH:mm"  \* MERGEFORMAT </w:instrText>
      </w:r>
      <w:r>
        <w:rPr>
          <w:rFonts w:ascii="Times New Roman" w:hAnsi="Times New Roman"/>
          <w:bCs/>
          <w:sz w:val="18"/>
          <w:szCs w:val="18"/>
        </w:rPr>
        <w:fldChar w:fldCharType="separate"/>
      </w:r>
      <w:r w:rsidR="00667CE0">
        <w:rPr>
          <w:rFonts w:ascii="Times New Roman" w:hAnsi="Times New Roman"/>
          <w:bCs/>
          <w:noProof/>
          <w:sz w:val="18"/>
          <w:szCs w:val="18"/>
        </w:rPr>
        <w:t>13.06.2017 10:45</w:t>
      </w:r>
      <w:r>
        <w:rPr>
          <w:rFonts w:ascii="Times New Roman" w:hAnsi="Times New Roman"/>
          <w:bCs/>
          <w:sz w:val="18"/>
          <w:szCs w:val="18"/>
        </w:rPr>
        <w:fldChar w:fldCharType="end"/>
      </w:r>
    </w:p>
    <w:p w:rsid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NUMWORDS  \* Arabic  \* MERGEFORMAT </w:instrText>
      </w:r>
      <w:r>
        <w:rPr>
          <w:rFonts w:ascii="Times New Roman" w:hAnsi="Times New Roman"/>
          <w:bCs/>
          <w:sz w:val="18"/>
          <w:szCs w:val="18"/>
        </w:rPr>
        <w:fldChar w:fldCharType="separate"/>
      </w:r>
      <w:r>
        <w:rPr>
          <w:rFonts w:ascii="Times New Roman" w:hAnsi="Times New Roman"/>
          <w:bCs/>
          <w:noProof/>
          <w:sz w:val="18"/>
          <w:szCs w:val="18"/>
        </w:rPr>
        <w:t>2561</w:t>
      </w:r>
      <w:r>
        <w:rPr>
          <w:rFonts w:ascii="Times New Roman" w:hAnsi="Times New Roman"/>
          <w:bCs/>
          <w:sz w:val="18"/>
          <w:szCs w:val="18"/>
        </w:rPr>
        <w:fldChar w:fldCharType="end"/>
      </w:r>
    </w:p>
    <w:p w:rsidR="001F033D" w:rsidRP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t>I. Puķīte</w:t>
      </w:r>
      <w:r w:rsidRPr="001F033D">
        <w:rPr>
          <w:rFonts w:ascii="Times New Roman" w:hAnsi="Times New Roman"/>
          <w:bCs/>
          <w:sz w:val="18"/>
          <w:szCs w:val="18"/>
        </w:rPr>
        <w:t xml:space="preserve"> 67082</w:t>
      </w:r>
      <w:r>
        <w:rPr>
          <w:rFonts w:ascii="Times New Roman" w:hAnsi="Times New Roman"/>
          <w:bCs/>
          <w:sz w:val="18"/>
          <w:szCs w:val="18"/>
        </w:rPr>
        <w:t>997</w:t>
      </w:r>
    </w:p>
    <w:p w:rsidR="0048568B" w:rsidRPr="001F033D" w:rsidRDefault="00BA1AE8" w:rsidP="001F033D">
      <w:pPr>
        <w:tabs>
          <w:tab w:val="left" w:pos="7230"/>
        </w:tabs>
        <w:spacing w:line="276" w:lineRule="auto"/>
        <w:jc w:val="both"/>
        <w:rPr>
          <w:rFonts w:ascii="Times New Roman" w:hAnsi="Times New Roman"/>
          <w:bCs/>
          <w:sz w:val="18"/>
          <w:szCs w:val="18"/>
        </w:rPr>
      </w:pPr>
      <w:hyperlink r:id="rId15" w:history="1">
        <w:r w:rsidR="001F033D" w:rsidRPr="00262581">
          <w:rPr>
            <w:rStyle w:val="Hyperlink"/>
            <w:rFonts w:ascii="Times New Roman" w:hAnsi="Times New Roman"/>
            <w:bCs/>
            <w:sz w:val="18"/>
            <w:szCs w:val="18"/>
          </w:rPr>
          <w:t>ilze.pukite@pkc.mk.gov.lv</w:t>
        </w:r>
      </w:hyperlink>
      <w:r w:rsidR="001F033D">
        <w:rPr>
          <w:rFonts w:ascii="Times New Roman" w:hAnsi="Times New Roman"/>
          <w:bCs/>
          <w:sz w:val="18"/>
          <w:szCs w:val="18"/>
        </w:rPr>
        <w:t xml:space="preserve"> </w:t>
      </w:r>
    </w:p>
    <w:sectPr w:rsidR="0048568B" w:rsidRPr="001F033D" w:rsidSect="00801BE7">
      <w:headerReference w:type="defaul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E8" w:rsidRDefault="00BA1AE8" w:rsidP="00F1427D">
      <w:r>
        <w:separator/>
      </w:r>
    </w:p>
  </w:endnote>
  <w:endnote w:type="continuationSeparator" w:id="0">
    <w:p w:rsidR="00BA1AE8" w:rsidRDefault="00BA1AE8" w:rsidP="00F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E8" w:rsidRDefault="00BA1AE8" w:rsidP="00F1427D">
      <w:r>
        <w:separator/>
      </w:r>
    </w:p>
  </w:footnote>
  <w:footnote w:type="continuationSeparator" w:id="0">
    <w:p w:rsidR="00BA1AE8" w:rsidRDefault="00BA1AE8" w:rsidP="00F1427D">
      <w:r>
        <w:continuationSeparator/>
      </w:r>
    </w:p>
  </w:footnote>
  <w:footnote w:id="1">
    <w:p w:rsidR="00661653" w:rsidRPr="00CC40FC" w:rsidRDefault="00661653">
      <w:pPr>
        <w:pStyle w:val="FootnoteText"/>
        <w:rPr>
          <w:rFonts w:ascii="Times New Roman" w:hAnsi="Times New Roman"/>
        </w:rPr>
      </w:pPr>
      <w:r w:rsidRPr="00CC40FC">
        <w:rPr>
          <w:rStyle w:val="FootnoteReference"/>
          <w:rFonts w:ascii="Times New Roman" w:hAnsi="Times New Roman"/>
        </w:rPr>
        <w:footnoteRef/>
      </w:r>
      <w:r w:rsidRPr="00CC40FC">
        <w:rPr>
          <w:rFonts w:ascii="Times New Roman" w:hAnsi="Times New Roman"/>
        </w:rPr>
        <w:t xml:space="preserve"> Financing State-Owned Enterprises An Overview of National Practices 2014</w:t>
      </w:r>
      <w:r>
        <w:rPr>
          <w:rFonts w:ascii="Times New Roman" w:hAnsi="Times New Roman"/>
        </w:rPr>
        <w:t>, OECD</w:t>
      </w:r>
    </w:p>
  </w:footnote>
  <w:footnote w:id="2">
    <w:p w:rsidR="00661653" w:rsidRPr="0039359F" w:rsidRDefault="00661653">
      <w:pPr>
        <w:pStyle w:val="FootnoteText"/>
        <w:rPr>
          <w:rFonts w:ascii="Times New Roman" w:hAnsi="Times New Roman"/>
        </w:rPr>
      </w:pPr>
      <w:r w:rsidRPr="0039359F">
        <w:rPr>
          <w:rStyle w:val="FootnoteReference"/>
          <w:rFonts w:ascii="Times New Roman" w:hAnsi="Times New Roman"/>
        </w:rPr>
        <w:footnoteRef/>
      </w:r>
      <w:r w:rsidRPr="0039359F">
        <w:rPr>
          <w:rFonts w:ascii="Times New Roman" w:hAnsi="Times New Roman"/>
        </w:rPr>
        <w:t xml:space="preserve"> Annual report state-owned enterprises 2015, Zviedrija</w:t>
      </w:r>
    </w:p>
  </w:footnote>
  <w:footnote w:id="3">
    <w:p w:rsidR="00661653" w:rsidRPr="00CC2EC1" w:rsidRDefault="00661653">
      <w:pPr>
        <w:pStyle w:val="FootnoteText"/>
        <w:rPr>
          <w:rFonts w:ascii="Times New Roman" w:hAnsi="Times New Roman"/>
        </w:rPr>
      </w:pPr>
      <w:r w:rsidRPr="00CC2EC1">
        <w:rPr>
          <w:rStyle w:val="FootnoteReference"/>
          <w:rFonts w:ascii="Times New Roman" w:hAnsi="Times New Roman"/>
        </w:rPr>
        <w:footnoteRef/>
      </w:r>
      <w:r w:rsidRPr="00CC2EC1">
        <w:rPr>
          <w:rFonts w:ascii="Times New Roman" w:hAnsi="Times New Roman"/>
        </w:rPr>
        <w:t xml:space="preserve"> State-owned enterprises in Lithuania; Annual Report 2015, Lietuva</w:t>
      </w:r>
    </w:p>
  </w:footnote>
  <w:footnote w:id="4">
    <w:p w:rsidR="00661653" w:rsidRPr="003637DA" w:rsidRDefault="00661653">
      <w:pPr>
        <w:pStyle w:val="FootnoteText"/>
        <w:rPr>
          <w:rFonts w:ascii="Times New Roman" w:hAnsi="Times New Roman"/>
        </w:rPr>
      </w:pPr>
      <w:r w:rsidRPr="003637DA">
        <w:rPr>
          <w:rStyle w:val="FootnoteReference"/>
          <w:rFonts w:ascii="Times New Roman" w:hAnsi="Times New Roman"/>
        </w:rPr>
        <w:footnoteRef/>
      </w:r>
      <w:r w:rsidRPr="003637DA">
        <w:rPr>
          <w:rFonts w:ascii="Times New Roman" w:hAnsi="Times New Roman"/>
        </w:rPr>
        <w:t xml:space="preserve"> </w:t>
      </w:r>
      <w:hyperlink r:id="rId1" w:history="1">
        <w:r w:rsidRPr="00235C34">
          <w:rPr>
            <w:rStyle w:val="Hyperlink"/>
            <w:rFonts w:ascii="Times New Roman" w:hAnsi="Times New Roman"/>
          </w:rPr>
          <w:t>http://pages.stern.nyu.edu/~adamodar/</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62086734"/>
      <w:docPartObj>
        <w:docPartGallery w:val="Page Numbers (Top of Page)"/>
        <w:docPartUnique/>
      </w:docPartObj>
    </w:sdtPr>
    <w:sdtEndPr>
      <w:rPr>
        <w:noProof/>
      </w:rPr>
    </w:sdtEndPr>
    <w:sdtContent>
      <w:p w:rsidR="00661653" w:rsidRPr="009E6ACF" w:rsidRDefault="00661653">
        <w:pPr>
          <w:pStyle w:val="Header"/>
          <w:jc w:val="center"/>
          <w:rPr>
            <w:rFonts w:ascii="Times New Roman" w:hAnsi="Times New Roman"/>
          </w:rPr>
        </w:pPr>
        <w:r w:rsidRPr="009E6ACF">
          <w:rPr>
            <w:rFonts w:ascii="Times New Roman" w:hAnsi="Times New Roman"/>
          </w:rPr>
          <w:fldChar w:fldCharType="begin"/>
        </w:r>
        <w:r w:rsidRPr="009E6ACF">
          <w:rPr>
            <w:rFonts w:ascii="Times New Roman" w:hAnsi="Times New Roman"/>
          </w:rPr>
          <w:instrText xml:space="preserve"> PAGE   \* MERGEFORMAT </w:instrText>
        </w:r>
        <w:r w:rsidRPr="009E6ACF">
          <w:rPr>
            <w:rFonts w:ascii="Times New Roman" w:hAnsi="Times New Roman"/>
          </w:rPr>
          <w:fldChar w:fldCharType="separate"/>
        </w:r>
        <w:r w:rsidR="00667CE0">
          <w:rPr>
            <w:rFonts w:ascii="Times New Roman" w:hAnsi="Times New Roman"/>
            <w:noProof/>
          </w:rPr>
          <w:t>2</w:t>
        </w:r>
        <w:r w:rsidRPr="009E6ACF">
          <w:rPr>
            <w:rFonts w:ascii="Times New Roman" w:hAnsi="Times New Roman"/>
            <w:noProof/>
          </w:rPr>
          <w:fldChar w:fldCharType="end"/>
        </w:r>
      </w:p>
    </w:sdtContent>
  </w:sdt>
  <w:p w:rsidR="00661653" w:rsidRDefault="00661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A8"/>
    <w:multiLevelType w:val="hybridMultilevel"/>
    <w:tmpl w:val="47A4D530"/>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63A0600"/>
    <w:multiLevelType w:val="hybridMultilevel"/>
    <w:tmpl w:val="B8B21A1C"/>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A092785"/>
    <w:multiLevelType w:val="hybridMultilevel"/>
    <w:tmpl w:val="03A65B16"/>
    <w:lvl w:ilvl="0" w:tplc="750009A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05AED"/>
    <w:multiLevelType w:val="hybridMultilevel"/>
    <w:tmpl w:val="183647A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BD408B5"/>
    <w:multiLevelType w:val="hybridMultilevel"/>
    <w:tmpl w:val="8CB6C388"/>
    <w:lvl w:ilvl="0" w:tplc="809A14C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72BD"/>
    <w:multiLevelType w:val="hybridMultilevel"/>
    <w:tmpl w:val="18746720"/>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5021E0E"/>
    <w:multiLevelType w:val="hybridMultilevel"/>
    <w:tmpl w:val="5B564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653893"/>
    <w:multiLevelType w:val="hybridMultilevel"/>
    <w:tmpl w:val="5E52FAB4"/>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C9260E"/>
    <w:multiLevelType w:val="hybridMultilevel"/>
    <w:tmpl w:val="080AD7B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CE546B6"/>
    <w:multiLevelType w:val="hybridMultilevel"/>
    <w:tmpl w:val="D3420C6A"/>
    <w:lvl w:ilvl="0" w:tplc="86142464">
      <w:start w:val="1"/>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62B1"/>
    <w:multiLevelType w:val="hybridMultilevel"/>
    <w:tmpl w:val="6D70C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A216F4"/>
    <w:multiLevelType w:val="hybridMultilevel"/>
    <w:tmpl w:val="8B5E0150"/>
    <w:lvl w:ilvl="0" w:tplc="1EAE56C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37B21DB"/>
    <w:multiLevelType w:val="hybridMultilevel"/>
    <w:tmpl w:val="1F38E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E27EC4"/>
    <w:multiLevelType w:val="hybridMultilevel"/>
    <w:tmpl w:val="9DFEB6F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3DAF31F0"/>
    <w:multiLevelType w:val="hybridMultilevel"/>
    <w:tmpl w:val="026676F4"/>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41483412"/>
    <w:multiLevelType w:val="hybridMultilevel"/>
    <w:tmpl w:val="95DCB9D8"/>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D82A99"/>
    <w:multiLevelType w:val="hybridMultilevel"/>
    <w:tmpl w:val="13C4B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2660A"/>
    <w:multiLevelType w:val="hybridMultilevel"/>
    <w:tmpl w:val="D05624B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C006189"/>
    <w:multiLevelType w:val="hybridMultilevel"/>
    <w:tmpl w:val="64EAE732"/>
    <w:lvl w:ilvl="0" w:tplc="B32E5C0A">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nsid w:val="4D404628"/>
    <w:multiLevelType w:val="hybridMultilevel"/>
    <w:tmpl w:val="8286D5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52575C"/>
    <w:multiLevelType w:val="hybridMultilevel"/>
    <w:tmpl w:val="37A8716E"/>
    <w:lvl w:ilvl="0" w:tplc="2942366E">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261172F"/>
    <w:multiLevelType w:val="hybridMultilevel"/>
    <w:tmpl w:val="578C2232"/>
    <w:lvl w:ilvl="0" w:tplc="B32E5C0A">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35B04D9"/>
    <w:multiLevelType w:val="hybridMultilevel"/>
    <w:tmpl w:val="2E56091E"/>
    <w:lvl w:ilvl="0" w:tplc="16DA2A5C">
      <w:start w:val="1"/>
      <w:numFmt w:val="bullet"/>
      <w:lvlText w:val="•"/>
      <w:lvlJc w:val="left"/>
      <w:pPr>
        <w:tabs>
          <w:tab w:val="num" w:pos="720"/>
        </w:tabs>
        <w:ind w:left="720" w:hanging="360"/>
      </w:pPr>
      <w:rPr>
        <w:rFonts w:ascii="Times New Roman" w:hAnsi="Times New Roman" w:hint="default"/>
      </w:rPr>
    </w:lvl>
    <w:lvl w:ilvl="1" w:tplc="50C277CE" w:tentative="1">
      <w:start w:val="1"/>
      <w:numFmt w:val="bullet"/>
      <w:lvlText w:val="•"/>
      <w:lvlJc w:val="left"/>
      <w:pPr>
        <w:tabs>
          <w:tab w:val="num" w:pos="1440"/>
        </w:tabs>
        <w:ind w:left="1440" w:hanging="360"/>
      </w:pPr>
      <w:rPr>
        <w:rFonts w:ascii="Times New Roman" w:hAnsi="Times New Roman" w:hint="default"/>
      </w:rPr>
    </w:lvl>
    <w:lvl w:ilvl="2" w:tplc="B714E914" w:tentative="1">
      <w:start w:val="1"/>
      <w:numFmt w:val="bullet"/>
      <w:lvlText w:val="•"/>
      <w:lvlJc w:val="left"/>
      <w:pPr>
        <w:tabs>
          <w:tab w:val="num" w:pos="2160"/>
        </w:tabs>
        <w:ind w:left="2160" w:hanging="360"/>
      </w:pPr>
      <w:rPr>
        <w:rFonts w:ascii="Times New Roman" w:hAnsi="Times New Roman" w:hint="default"/>
      </w:rPr>
    </w:lvl>
    <w:lvl w:ilvl="3" w:tplc="56CAF7EA" w:tentative="1">
      <w:start w:val="1"/>
      <w:numFmt w:val="bullet"/>
      <w:lvlText w:val="•"/>
      <w:lvlJc w:val="left"/>
      <w:pPr>
        <w:tabs>
          <w:tab w:val="num" w:pos="2880"/>
        </w:tabs>
        <w:ind w:left="2880" w:hanging="360"/>
      </w:pPr>
      <w:rPr>
        <w:rFonts w:ascii="Times New Roman" w:hAnsi="Times New Roman" w:hint="default"/>
      </w:rPr>
    </w:lvl>
    <w:lvl w:ilvl="4" w:tplc="7F5A184C" w:tentative="1">
      <w:start w:val="1"/>
      <w:numFmt w:val="bullet"/>
      <w:lvlText w:val="•"/>
      <w:lvlJc w:val="left"/>
      <w:pPr>
        <w:tabs>
          <w:tab w:val="num" w:pos="3600"/>
        </w:tabs>
        <w:ind w:left="3600" w:hanging="360"/>
      </w:pPr>
      <w:rPr>
        <w:rFonts w:ascii="Times New Roman" w:hAnsi="Times New Roman" w:hint="default"/>
      </w:rPr>
    </w:lvl>
    <w:lvl w:ilvl="5" w:tplc="8FF67CA2" w:tentative="1">
      <w:start w:val="1"/>
      <w:numFmt w:val="bullet"/>
      <w:lvlText w:val="•"/>
      <w:lvlJc w:val="left"/>
      <w:pPr>
        <w:tabs>
          <w:tab w:val="num" w:pos="4320"/>
        </w:tabs>
        <w:ind w:left="4320" w:hanging="360"/>
      </w:pPr>
      <w:rPr>
        <w:rFonts w:ascii="Times New Roman" w:hAnsi="Times New Roman" w:hint="default"/>
      </w:rPr>
    </w:lvl>
    <w:lvl w:ilvl="6" w:tplc="CA14F4DA" w:tentative="1">
      <w:start w:val="1"/>
      <w:numFmt w:val="bullet"/>
      <w:lvlText w:val="•"/>
      <w:lvlJc w:val="left"/>
      <w:pPr>
        <w:tabs>
          <w:tab w:val="num" w:pos="5040"/>
        </w:tabs>
        <w:ind w:left="5040" w:hanging="360"/>
      </w:pPr>
      <w:rPr>
        <w:rFonts w:ascii="Times New Roman" w:hAnsi="Times New Roman" w:hint="default"/>
      </w:rPr>
    </w:lvl>
    <w:lvl w:ilvl="7" w:tplc="D1147A72" w:tentative="1">
      <w:start w:val="1"/>
      <w:numFmt w:val="bullet"/>
      <w:lvlText w:val="•"/>
      <w:lvlJc w:val="left"/>
      <w:pPr>
        <w:tabs>
          <w:tab w:val="num" w:pos="5760"/>
        </w:tabs>
        <w:ind w:left="5760" w:hanging="360"/>
      </w:pPr>
      <w:rPr>
        <w:rFonts w:ascii="Times New Roman" w:hAnsi="Times New Roman" w:hint="default"/>
      </w:rPr>
    </w:lvl>
    <w:lvl w:ilvl="8" w:tplc="CBBA57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AF38B2"/>
    <w:multiLevelType w:val="hybridMultilevel"/>
    <w:tmpl w:val="6F9E7C24"/>
    <w:lvl w:ilvl="0" w:tplc="9A66C8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8D5AE2"/>
    <w:multiLevelType w:val="hybridMultilevel"/>
    <w:tmpl w:val="9086EC82"/>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BF47117"/>
    <w:multiLevelType w:val="hybridMultilevel"/>
    <w:tmpl w:val="AF04E1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5D71030B"/>
    <w:multiLevelType w:val="hybridMultilevel"/>
    <w:tmpl w:val="DC1CD92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47C2DE4"/>
    <w:multiLevelType w:val="hybridMultilevel"/>
    <w:tmpl w:val="6FFA479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65AA06B7"/>
    <w:multiLevelType w:val="hybridMultilevel"/>
    <w:tmpl w:val="90CA1846"/>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AEF1630"/>
    <w:multiLevelType w:val="hybridMultilevel"/>
    <w:tmpl w:val="C80E7904"/>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6B7E053A"/>
    <w:multiLevelType w:val="hybridMultilevel"/>
    <w:tmpl w:val="656EC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5D7327"/>
    <w:multiLevelType w:val="hybridMultilevel"/>
    <w:tmpl w:val="648AA302"/>
    <w:lvl w:ilvl="0" w:tplc="B32E5C0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7589610C"/>
    <w:multiLevelType w:val="hybridMultilevel"/>
    <w:tmpl w:val="8DC08FE2"/>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7361BC9"/>
    <w:multiLevelType w:val="hybridMultilevel"/>
    <w:tmpl w:val="24BA74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E55DC3"/>
    <w:multiLevelType w:val="hybridMultilevel"/>
    <w:tmpl w:val="A2D2C480"/>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793B1645"/>
    <w:multiLevelType w:val="hybridMultilevel"/>
    <w:tmpl w:val="0892226A"/>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7CAE7A34"/>
    <w:multiLevelType w:val="hybridMultilevel"/>
    <w:tmpl w:val="432202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AD0137"/>
    <w:multiLevelType w:val="hybridMultilevel"/>
    <w:tmpl w:val="A3127D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16"/>
  </w:num>
  <w:num w:numId="4">
    <w:abstractNumId w:val="36"/>
  </w:num>
  <w:num w:numId="5">
    <w:abstractNumId w:val="10"/>
  </w:num>
  <w:num w:numId="6">
    <w:abstractNumId w:val="12"/>
  </w:num>
  <w:num w:numId="7">
    <w:abstractNumId w:val="19"/>
  </w:num>
  <w:num w:numId="8">
    <w:abstractNumId w:val="11"/>
  </w:num>
  <w:num w:numId="9">
    <w:abstractNumId w:val="22"/>
  </w:num>
  <w:num w:numId="10">
    <w:abstractNumId w:val="2"/>
  </w:num>
  <w:num w:numId="11">
    <w:abstractNumId w:val="23"/>
  </w:num>
  <w:num w:numId="12">
    <w:abstractNumId w:val="33"/>
  </w:num>
  <w:num w:numId="13">
    <w:abstractNumId w:val="4"/>
  </w:num>
  <w:num w:numId="14">
    <w:abstractNumId w:val="25"/>
  </w:num>
  <w:num w:numId="15">
    <w:abstractNumId w:val="6"/>
  </w:num>
  <w:num w:numId="16">
    <w:abstractNumId w:val="27"/>
  </w:num>
  <w:num w:numId="17">
    <w:abstractNumId w:val="26"/>
  </w:num>
  <w:num w:numId="18">
    <w:abstractNumId w:val="37"/>
  </w:num>
  <w:num w:numId="19">
    <w:abstractNumId w:val="13"/>
  </w:num>
  <w:num w:numId="20">
    <w:abstractNumId w:val="31"/>
  </w:num>
  <w:num w:numId="21">
    <w:abstractNumId w:val="21"/>
  </w:num>
  <w:num w:numId="22">
    <w:abstractNumId w:val="15"/>
  </w:num>
  <w:num w:numId="23">
    <w:abstractNumId w:val="7"/>
  </w:num>
  <w:num w:numId="24">
    <w:abstractNumId w:val="28"/>
  </w:num>
  <w:num w:numId="25">
    <w:abstractNumId w:val="17"/>
  </w:num>
  <w:num w:numId="26">
    <w:abstractNumId w:val="0"/>
  </w:num>
  <w:num w:numId="27">
    <w:abstractNumId w:val="3"/>
  </w:num>
  <w:num w:numId="28">
    <w:abstractNumId w:val="34"/>
  </w:num>
  <w:num w:numId="29">
    <w:abstractNumId w:val="35"/>
  </w:num>
  <w:num w:numId="30">
    <w:abstractNumId w:val="5"/>
  </w:num>
  <w:num w:numId="31">
    <w:abstractNumId w:val="1"/>
  </w:num>
  <w:num w:numId="32">
    <w:abstractNumId w:val="32"/>
  </w:num>
  <w:num w:numId="33">
    <w:abstractNumId w:val="24"/>
  </w:num>
  <w:num w:numId="34">
    <w:abstractNumId w:val="18"/>
  </w:num>
  <w:num w:numId="35">
    <w:abstractNumId w:val="20"/>
  </w:num>
  <w:num w:numId="36">
    <w:abstractNumId w:val="8"/>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F5"/>
    <w:rsid w:val="000002CC"/>
    <w:rsid w:val="00006F97"/>
    <w:rsid w:val="000102BC"/>
    <w:rsid w:val="000161C2"/>
    <w:rsid w:val="00024E96"/>
    <w:rsid w:val="0003101B"/>
    <w:rsid w:val="00032BB1"/>
    <w:rsid w:val="00034C3F"/>
    <w:rsid w:val="00071D77"/>
    <w:rsid w:val="00084C1F"/>
    <w:rsid w:val="000B020E"/>
    <w:rsid w:val="000D185E"/>
    <w:rsid w:val="000E11A0"/>
    <w:rsid w:val="000E4FEB"/>
    <w:rsid w:val="000F132F"/>
    <w:rsid w:val="000F3AFE"/>
    <w:rsid w:val="000F5F32"/>
    <w:rsid w:val="00100E9E"/>
    <w:rsid w:val="00105313"/>
    <w:rsid w:val="00122264"/>
    <w:rsid w:val="00124E85"/>
    <w:rsid w:val="00125E54"/>
    <w:rsid w:val="0013652B"/>
    <w:rsid w:val="001449C1"/>
    <w:rsid w:val="00173E0A"/>
    <w:rsid w:val="0017671E"/>
    <w:rsid w:val="001812A4"/>
    <w:rsid w:val="001A17B0"/>
    <w:rsid w:val="001A6E2E"/>
    <w:rsid w:val="001B72C8"/>
    <w:rsid w:val="001C044C"/>
    <w:rsid w:val="001D03C4"/>
    <w:rsid w:val="001F033D"/>
    <w:rsid w:val="002318D9"/>
    <w:rsid w:val="00241A97"/>
    <w:rsid w:val="002436AF"/>
    <w:rsid w:val="002537D9"/>
    <w:rsid w:val="00257B68"/>
    <w:rsid w:val="00275B5C"/>
    <w:rsid w:val="002A37C4"/>
    <w:rsid w:val="002C7D77"/>
    <w:rsid w:val="002E4852"/>
    <w:rsid w:val="002F3F5F"/>
    <w:rsid w:val="002F4E16"/>
    <w:rsid w:val="002F7AE1"/>
    <w:rsid w:val="003343C6"/>
    <w:rsid w:val="00351867"/>
    <w:rsid w:val="003637DA"/>
    <w:rsid w:val="00371FD9"/>
    <w:rsid w:val="0038776B"/>
    <w:rsid w:val="00392FC5"/>
    <w:rsid w:val="0039359F"/>
    <w:rsid w:val="003A54AC"/>
    <w:rsid w:val="003B3EC8"/>
    <w:rsid w:val="003B4385"/>
    <w:rsid w:val="003C3545"/>
    <w:rsid w:val="003C7786"/>
    <w:rsid w:val="003D68DD"/>
    <w:rsid w:val="003F3EC4"/>
    <w:rsid w:val="003F4072"/>
    <w:rsid w:val="00401235"/>
    <w:rsid w:val="00411339"/>
    <w:rsid w:val="00447E87"/>
    <w:rsid w:val="00450DAB"/>
    <w:rsid w:val="00452AC8"/>
    <w:rsid w:val="00453784"/>
    <w:rsid w:val="004803BF"/>
    <w:rsid w:val="0048568B"/>
    <w:rsid w:val="004B35F4"/>
    <w:rsid w:val="004B4B3C"/>
    <w:rsid w:val="004B6BD1"/>
    <w:rsid w:val="004C5C94"/>
    <w:rsid w:val="004D50A8"/>
    <w:rsid w:val="004E7657"/>
    <w:rsid w:val="004F7DEF"/>
    <w:rsid w:val="0050331F"/>
    <w:rsid w:val="005118F4"/>
    <w:rsid w:val="00527F16"/>
    <w:rsid w:val="00534C0B"/>
    <w:rsid w:val="00555CA6"/>
    <w:rsid w:val="005666F5"/>
    <w:rsid w:val="00574BE9"/>
    <w:rsid w:val="00581FEF"/>
    <w:rsid w:val="00587650"/>
    <w:rsid w:val="005B07B0"/>
    <w:rsid w:val="005C12C4"/>
    <w:rsid w:val="005C3F75"/>
    <w:rsid w:val="005C4E1A"/>
    <w:rsid w:val="00600AD1"/>
    <w:rsid w:val="006108C3"/>
    <w:rsid w:val="00624CD2"/>
    <w:rsid w:val="0065120C"/>
    <w:rsid w:val="00661653"/>
    <w:rsid w:val="00663C58"/>
    <w:rsid w:val="00667CE0"/>
    <w:rsid w:val="00671BD1"/>
    <w:rsid w:val="00673984"/>
    <w:rsid w:val="0068484C"/>
    <w:rsid w:val="006856B0"/>
    <w:rsid w:val="006943E3"/>
    <w:rsid w:val="006C71BE"/>
    <w:rsid w:val="006D68FB"/>
    <w:rsid w:val="006D732E"/>
    <w:rsid w:val="006D7FC8"/>
    <w:rsid w:val="006E1CE0"/>
    <w:rsid w:val="006E2942"/>
    <w:rsid w:val="006E2AA4"/>
    <w:rsid w:val="006F3709"/>
    <w:rsid w:val="006F44E3"/>
    <w:rsid w:val="00713DD9"/>
    <w:rsid w:val="0076118B"/>
    <w:rsid w:val="007620AA"/>
    <w:rsid w:val="00763382"/>
    <w:rsid w:val="0076585F"/>
    <w:rsid w:val="00766077"/>
    <w:rsid w:val="00775F7B"/>
    <w:rsid w:val="0078313B"/>
    <w:rsid w:val="00784F55"/>
    <w:rsid w:val="007911D7"/>
    <w:rsid w:val="00793031"/>
    <w:rsid w:val="007C573A"/>
    <w:rsid w:val="007E0EC9"/>
    <w:rsid w:val="00801BE7"/>
    <w:rsid w:val="008055F9"/>
    <w:rsid w:val="00835408"/>
    <w:rsid w:val="0083785D"/>
    <w:rsid w:val="00840939"/>
    <w:rsid w:val="00850A4A"/>
    <w:rsid w:val="008512EE"/>
    <w:rsid w:val="00855855"/>
    <w:rsid w:val="00870610"/>
    <w:rsid w:val="008746DE"/>
    <w:rsid w:val="008828C0"/>
    <w:rsid w:val="00897616"/>
    <w:rsid w:val="008A7110"/>
    <w:rsid w:val="008A78FF"/>
    <w:rsid w:val="008D58BA"/>
    <w:rsid w:val="008F2A79"/>
    <w:rsid w:val="009136A7"/>
    <w:rsid w:val="00933229"/>
    <w:rsid w:val="00950942"/>
    <w:rsid w:val="0096399E"/>
    <w:rsid w:val="009708C2"/>
    <w:rsid w:val="0097280E"/>
    <w:rsid w:val="00994812"/>
    <w:rsid w:val="009B6E59"/>
    <w:rsid w:val="009C3250"/>
    <w:rsid w:val="009C4ECF"/>
    <w:rsid w:val="009C5EFC"/>
    <w:rsid w:val="009E19B5"/>
    <w:rsid w:val="009E6ACF"/>
    <w:rsid w:val="009F187C"/>
    <w:rsid w:val="009F63B3"/>
    <w:rsid w:val="00A02E5A"/>
    <w:rsid w:val="00A037C2"/>
    <w:rsid w:val="00A066CF"/>
    <w:rsid w:val="00A53D3E"/>
    <w:rsid w:val="00A66B1F"/>
    <w:rsid w:val="00A80CF4"/>
    <w:rsid w:val="00A8600F"/>
    <w:rsid w:val="00A9107E"/>
    <w:rsid w:val="00AB1CB2"/>
    <w:rsid w:val="00AB4EE4"/>
    <w:rsid w:val="00B23C8B"/>
    <w:rsid w:val="00B3398B"/>
    <w:rsid w:val="00B37C1C"/>
    <w:rsid w:val="00B52AF5"/>
    <w:rsid w:val="00B545DB"/>
    <w:rsid w:val="00B555FE"/>
    <w:rsid w:val="00B711B4"/>
    <w:rsid w:val="00B75844"/>
    <w:rsid w:val="00B8735F"/>
    <w:rsid w:val="00B96D53"/>
    <w:rsid w:val="00B97657"/>
    <w:rsid w:val="00BA1446"/>
    <w:rsid w:val="00BA1AE8"/>
    <w:rsid w:val="00BB510F"/>
    <w:rsid w:val="00BB5DF0"/>
    <w:rsid w:val="00BC169D"/>
    <w:rsid w:val="00BE40AB"/>
    <w:rsid w:val="00BE522E"/>
    <w:rsid w:val="00BE53BB"/>
    <w:rsid w:val="00BF62A4"/>
    <w:rsid w:val="00C07369"/>
    <w:rsid w:val="00C12047"/>
    <w:rsid w:val="00C56087"/>
    <w:rsid w:val="00C7487F"/>
    <w:rsid w:val="00C808A1"/>
    <w:rsid w:val="00C843C3"/>
    <w:rsid w:val="00C97A43"/>
    <w:rsid w:val="00CA22E4"/>
    <w:rsid w:val="00CC0BAB"/>
    <w:rsid w:val="00CC2EC1"/>
    <w:rsid w:val="00CC40FC"/>
    <w:rsid w:val="00CD7510"/>
    <w:rsid w:val="00CE197A"/>
    <w:rsid w:val="00CE5578"/>
    <w:rsid w:val="00CF2002"/>
    <w:rsid w:val="00CF2E05"/>
    <w:rsid w:val="00CF4625"/>
    <w:rsid w:val="00D01A83"/>
    <w:rsid w:val="00D05BB0"/>
    <w:rsid w:val="00D17376"/>
    <w:rsid w:val="00D26C67"/>
    <w:rsid w:val="00D31BB1"/>
    <w:rsid w:val="00D32B6D"/>
    <w:rsid w:val="00D45D81"/>
    <w:rsid w:val="00D6059E"/>
    <w:rsid w:val="00D61A9D"/>
    <w:rsid w:val="00D732D0"/>
    <w:rsid w:val="00DA0F04"/>
    <w:rsid w:val="00DB7616"/>
    <w:rsid w:val="00DD7EB1"/>
    <w:rsid w:val="00DE6844"/>
    <w:rsid w:val="00DE6857"/>
    <w:rsid w:val="00E12ABB"/>
    <w:rsid w:val="00E12F6F"/>
    <w:rsid w:val="00E204A8"/>
    <w:rsid w:val="00E35A93"/>
    <w:rsid w:val="00E35D82"/>
    <w:rsid w:val="00E40099"/>
    <w:rsid w:val="00E43BE9"/>
    <w:rsid w:val="00E602EF"/>
    <w:rsid w:val="00E610F1"/>
    <w:rsid w:val="00E805B4"/>
    <w:rsid w:val="00E811F9"/>
    <w:rsid w:val="00E8139E"/>
    <w:rsid w:val="00E937F1"/>
    <w:rsid w:val="00E95C74"/>
    <w:rsid w:val="00EA70EB"/>
    <w:rsid w:val="00EB13EA"/>
    <w:rsid w:val="00EC7CA2"/>
    <w:rsid w:val="00EE3BDD"/>
    <w:rsid w:val="00F07628"/>
    <w:rsid w:val="00F12BE4"/>
    <w:rsid w:val="00F1427D"/>
    <w:rsid w:val="00F246E9"/>
    <w:rsid w:val="00F31E2F"/>
    <w:rsid w:val="00F52FB3"/>
    <w:rsid w:val="00F6336C"/>
    <w:rsid w:val="00F72F52"/>
    <w:rsid w:val="00F77DD5"/>
    <w:rsid w:val="00F95EBA"/>
    <w:rsid w:val="00F964BC"/>
    <w:rsid w:val="00FA43BF"/>
    <w:rsid w:val="00FB48A6"/>
    <w:rsid w:val="00FC5941"/>
    <w:rsid w:val="00FD29C0"/>
    <w:rsid w:val="00FD7056"/>
    <w:rsid w:val="00FE4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B3"/>
    <w:pPr>
      <w:spacing w:after="0" w:line="240" w:lineRule="auto"/>
    </w:pPr>
    <w:rPr>
      <w:rFonts w:ascii="Cambria" w:eastAsia="Times New Roman" w:hAnsi="Cambria" w:cs="Times New Roman"/>
      <w:sz w:val="20"/>
      <w:szCs w:val="20"/>
      <w:lang w:eastAsia="lv-LV"/>
    </w:rPr>
  </w:style>
  <w:style w:type="paragraph" w:styleId="Heading2">
    <w:name w:val="heading 2"/>
    <w:basedOn w:val="Normal"/>
    <w:link w:val="Heading2Char"/>
    <w:uiPriority w:val="9"/>
    <w:qFormat/>
    <w:rsid w:val="00BC169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F5"/>
    <w:pPr>
      <w:ind w:left="720"/>
      <w:contextualSpacing/>
    </w:pPr>
  </w:style>
  <w:style w:type="character" w:styleId="Hyperlink">
    <w:name w:val="Hyperlink"/>
    <w:basedOn w:val="DefaultParagraphFont"/>
    <w:uiPriority w:val="99"/>
    <w:unhideWhenUsed/>
    <w:rsid w:val="00125E54"/>
    <w:rPr>
      <w:color w:val="0563C1" w:themeColor="hyperlink"/>
      <w:u w:val="single"/>
    </w:rPr>
  </w:style>
  <w:style w:type="table" w:styleId="TableGrid">
    <w:name w:val="Table Grid"/>
    <w:basedOn w:val="TableNormal"/>
    <w:uiPriority w:val="39"/>
    <w:rsid w:val="0012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169D"/>
    <w:rPr>
      <w:rFonts w:ascii="Times New Roman" w:eastAsia="Times New Roman" w:hAnsi="Times New Roman" w:cs="Times New Roman"/>
      <w:b/>
      <w:bCs/>
      <w:sz w:val="36"/>
      <w:szCs w:val="36"/>
      <w:lang w:eastAsia="lv-LV"/>
    </w:rPr>
  </w:style>
  <w:style w:type="character" w:styleId="PlaceholderText">
    <w:name w:val="Placeholder Text"/>
    <w:basedOn w:val="DefaultParagraphFont"/>
    <w:uiPriority w:val="99"/>
    <w:semiHidden/>
    <w:rsid w:val="005C3F75"/>
    <w:rPr>
      <w:color w:val="808080"/>
    </w:rPr>
  </w:style>
  <w:style w:type="character" w:customStyle="1" w:styleId="shorttext">
    <w:name w:val="short_text"/>
    <w:basedOn w:val="DefaultParagraphFont"/>
    <w:rsid w:val="00BE53BB"/>
  </w:style>
  <w:style w:type="character" w:styleId="Emphasis">
    <w:name w:val="Emphasis"/>
    <w:basedOn w:val="DefaultParagraphFont"/>
    <w:uiPriority w:val="20"/>
    <w:qFormat/>
    <w:rsid w:val="0050331F"/>
    <w:rPr>
      <w:i/>
      <w:iCs/>
    </w:rPr>
  </w:style>
  <w:style w:type="paragraph" w:styleId="NormalWeb">
    <w:name w:val="Normal (Web)"/>
    <w:basedOn w:val="Normal"/>
    <w:uiPriority w:val="99"/>
    <w:semiHidden/>
    <w:unhideWhenUsed/>
    <w:rsid w:val="0050331F"/>
    <w:pPr>
      <w:spacing w:before="100" w:beforeAutospacing="1" w:after="100" w:afterAutospacing="1"/>
    </w:pPr>
    <w:rPr>
      <w:rFonts w:ascii="Times New Roman" w:hAnsi="Times New Roman"/>
      <w:sz w:val="24"/>
      <w:szCs w:val="24"/>
    </w:rPr>
  </w:style>
  <w:style w:type="character" w:customStyle="1" w:styleId="definition-url">
    <w:name w:val="definition-url"/>
    <w:basedOn w:val="DefaultParagraphFont"/>
    <w:rsid w:val="009E19B5"/>
  </w:style>
  <w:style w:type="paragraph" w:styleId="BalloonText">
    <w:name w:val="Balloon Text"/>
    <w:basedOn w:val="Normal"/>
    <w:link w:val="BalloonTextChar"/>
    <w:uiPriority w:val="99"/>
    <w:semiHidden/>
    <w:unhideWhenUsed/>
    <w:rsid w:val="00E6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E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1427D"/>
    <w:pPr>
      <w:tabs>
        <w:tab w:val="center" w:pos="4153"/>
        <w:tab w:val="right" w:pos="8306"/>
      </w:tabs>
    </w:pPr>
  </w:style>
  <w:style w:type="character" w:customStyle="1" w:styleId="HeaderChar">
    <w:name w:val="Header Char"/>
    <w:basedOn w:val="DefaultParagraphFont"/>
    <w:link w:val="Header"/>
    <w:uiPriority w:val="99"/>
    <w:rsid w:val="00F1427D"/>
    <w:rPr>
      <w:rFonts w:ascii="Cambria" w:eastAsia="Times New Roman" w:hAnsi="Cambria" w:cs="Times New Roman"/>
      <w:sz w:val="20"/>
      <w:szCs w:val="20"/>
      <w:lang w:eastAsia="lv-LV"/>
    </w:rPr>
  </w:style>
  <w:style w:type="paragraph" w:styleId="Footer">
    <w:name w:val="footer"/>
    <w:basedOn w:val="Normal"/>
    <w:link w:val="FooterChar"/>
    <w:uiPriority w:val="99"/>
    <w:unhideWhenUsed/>
    <w:rsid w:val="00F1427D"/>
    <w:pPr>
      <w:tabs>
        <w:tab w:val="center" w:pos="4153"/>
        <w:tab w:val="right" w:pos="8306"/>
      </w:tabs>
    </w:pPr>
  </w:style>
  <w:style w:type="character" w:customStyle="1" w:styleId="FooterChar">
    <w:name w:val="Footer Char"/>
    <w:basedOn w:val="DefaultParagraphFont"/>
    <w:link w:val="Footer"/>
    <w:uiPriority w:val="99"/>
    <w:rsid w:val="00F1427D"/>
    <w:rPr>
      <w:rFonts w:ascii="Cambria" w:eastAsia="Times New Roman" w:hAnsi="Cambria" w:cs="Times New Roman"/>
      <w:sz w:val="20"/>
      <w:szCs w:val="20"/>
      <w:lang w:eastAsia="lv-LV"/>
    </w:rPr>
  </w:style>
  <w:style w:type="paragraph" w:styleId="FootnoteText">
    <w:name w:val="footnote text"/>
    <w:basedOn w:val="Normal"/>
    <w:link w:val="FootnoteTextChar"/>
    <w:uiPriority w:val="99"/>
    <w:semiHidden/>
    <w:unhideWhenUsed/>
    <w:rsid w:val="00E811F9"/>
  </w:style>
  <w:style w:type="character" w:customStyle="1" w:styleId="FootnoteTextChar">
    <w:name w:val="Footnote Text Char"/>
    <w:basedOn w:val="DefaultParagraphFont"/>
    <w:link w:val="FootnoteText"/>
    <w:uiPriority w:val="99"/>
    <w:semiHidden/>
    <w:rsid w:val="00E811F9"/>
    <w:rPr>
      <w:rFonts w:ascii="Cambria" w:eastAsia="Times New Roman" w:hAnsi="Cambria" w:cs="Times New Roman"/>
      <w:sz w:val="20"/>
      <w:szCs w:val="20"/>
      <w:lang w:eastAsia="lv-LV"/>
    </w:rPr>
  </w:style>
  <w:style w:type="character" w:styleId="FootnoteReference">
    <w:name w:val="footnote reference"/>
    <w:basedOn w:val="DefaultParagraphFont"/>
    <w:uiPriority w:val="99"/>
    <w:semiHidden/>
    <w:unhideWhenUsed/>
    <w:rsid w:val="00E811F9"/>
    <w:rPr>
      <w:vertAlign w:val="superscript"/>
    </w:rPr>
  </w:style>
  <w:style w:type="character" w:styleId="FollowedHyperlink">
    <w:name w:val="FollowedHyperlink"/>
    <w:basedOn w:val="DefaultParagraphFont"/>
    <w:uiPriority w:val="99"/>
    <w:semiHidden/>
    <w:unhideWhenUsed/>
    <w:rsid w:val="00006F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B3"/>
    <w:pPr>
      <w:spacing w:after="0" w:line="240" w:lineRule="auto"/>
    </w:pPr>
    <w:rPr>
      <w:rFonts w:ascii="Cambria" w:eastAsia="Times New Roman" w:hAnsi="Cambria" w:cs="Times New Roman"/>
      <w:sz w:val="20"/>
      <w:szCs w:val="20"/>
      <w:lang w:eastAsia="lv-LV"/>
    </w:rPr>
  </w:style>
  <w:style w:type="paragraph" w:styleId="Heading2">
    <w:name w:val="heading 2"/>
    <w:basedOn w:val="Normal"/>
    <w:link w:val="Heading2Char"/>
    <w:uiPriority w:val="9"/>
    <w:qFormat/>
    <w:rsid w:val="00BC169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F5"/>
    <w:pPr>
      <w:ind w:left="720"/>
      <w:contextualSpacing/>
    </w:pPr>
  </w:style>
  <w:style w:type="character" w:styleId="Hyperlink">
    <w:name w:val="Hyperlink"/>
    <w:basedOn w:val="DefaultParagraphFont"/>
    <w:uiPriority w:val="99"/>
    <w:unhideWhenUsed/>
    <w:rsid w:val="00125E54"/>
    <w:rPr>
      <w:color w:val="0563C1" w:themeColor="hyperlink"/>
      <w:u w:val="single"/>
    </w:rPr>
  </w:style>
  <w:style w:type="table" w:styleId="TableGrid">
    <w:name w:val="Table Grid"/>
    <w:basedOn w:val="TableNormal"/>
    <w:uiPriority w:val="39"/>
    <w:rsid w:val="0012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169D"/>
    <w:rPr>
      <w:rFonts w:ascii="Times New Roman" w:eastAsia="Times New Roman" w:hAnsi="Times New Roman" w:cs="Times New Roman"/>
      <w:b/>
      <w:bCs/>
      <w:sz w:val="36"/>
      <w:szCs w:val="36"/>
      <w:lang w:eastAsia="lv-LV"/>
    </w:rPr>
  </w:style>
  <w:style w:type="character" w:styleId="PlaceholderText">
    <w:name w:val="Placeholder Text"/>
    <w:basedOn w:val="DefaultParagraphFont"/>
    <w:uiPriority w:val="99"/>
    <w:semiHidden/>
    <w:rsid w:val="005C3F75"/>
    <w:rPr>
      <w:color w:val="808080"/>
    </w:rPr>
  </w:style>
  <w:style w:type="character" w:customStyle="1" w:styleId="shorttext">
    <w:name w:val="short_text"/>
    <w:basedOn w:val="DefaultParagraphFont"/>
    <w:rsid w:val="00BE53BB"/>
  </w:style>
  <w:style w:type="character" w:styleId="Emphasis">
    <w:name w:val="Emphasis"/>
    <w:basedOn w:val="DefaultParagraphFont"/>
    <w:uiPriority w:val="20"/>
    <w:qFormat/>
    <w:rsid w:val="0050331F"/>
    <w:rPr>
      <w:i/>
      <w:iCs/>
    </w:rPr>
  </w:style>
  <w:style w:type="paragraph" w:styleId="NormalWeb">
    <w:name w:val="Normal (Web)"/>
    <w:basedOn w:val="Normal"/>
    <w:uiPriority w:val="99"/>
    <w:semiHidden/>
    <w:unhideWhenUsed/>
    <w:rsid w:val="0050331F"/>
    <w:pPr>
      <w:spacing w:before="100" w:beforeAutospacing="1" w:after="100" w:afterAutospacing="1"/>
    </w:pPr>
    <w:rPr>
      <w:rFonts w:ascii="Times New Roman" w:hAnsi="Times New Roman"/>
      <w:sz w:val="24"/>
      <w:szCs w:val="24"/>
    </w:rPr>
  </w:style>
  <w:style w:type="character" w:customStyle="1" w:styleId="definition-url">
    <w:name w:val="definition-url"/>
    <w:basedOn w:val="DefaultParagraphFont"/>
    <w:rsid w:val="009E19B5"/>
  </w:style>
  <w:style w:type="paragraph" w:styleId="BalloonText">
    <w:name w:val="Balloon Text"/>
    <w:basedOn w:val="Normal"/>
    <w:link w:val="BalloonTextChar"/>
    <w:uiPriority w:val="99"/>
    <w:semiHidden/>
    <w:unhideWhenUsed/>
    <w:rsid w:val="00E6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E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1427D"/>
    <w:pPr>
      <w:tabs>
        <w:tab w:val="center" w:pos="4153"/>
        <w:tab w:val="right" w:pos="8306"/>
      </w:tabs>
    </w:pPr>
  </w:style>
  <w:style w:type="character" w:customStyle="1" w:styleId="HeaderChar">
    <w:name w:val="Header Char"/>
    <w:basedOn w:val="DefaultParagraphFont"/>
    <w:link w:val="Header"/>
    <w:uiPriority w:val="99"/>
    <w:rsid w:val="00F1427D"/>
    <w:rPr>
      <w:rFonts w:ascii="Cambria" w:eastAsia="Times New Roman" w:hAnsi="Cambria" w:cs="Times New Roman"/>
      <w:sz w:val="20"/>
      <w:szCs w:val="20"/>
      <w:lang w:eastAsia="lv-LV"/>
    </w:rPr>
  </w:style>
  <w:style w:type="paragraph" w:styleId="Footer">
    <w:name w:val="footer"/>
    <w:basedOn w:val="Normal"/>
    <w:link w:val="FooterChar"/>
    <w:uiPriority w:val="99"/>
    <w:unhideWhenUsed/>
    <w:rsid w:val="00F1427D"/>
    <w:pPr>
      <w:tabs>
        <w:tab w:val="center" w:pos="4153"/>
        <w:tab w:val="right" w:pos="8306"/>
      </w:tabs>
    </w:pPr>
  </w:style>
  <w:style w:type="character" w:customStyle="1" w:styleId="FooterChar">
    <w:name w:val="Footer Char"/>
    <w:basedOn w:val="DefaultParagraphFont"/>
    <w:link w:val="Footer"/>
    <w:uiPriority w:val="99"/>
    <w:rsid w:val="00F1427D"/>
    <w:rPr>
      <w:rFonts w:ascii="Cambria" w:eastAsia="Times New Roman" w:hAnsi="Cambria" w:cs="Times New Roman"/>
      <w:sz w:val="20"/>
      <w:szCs w:val="20"/>
      <w:lang w:eastAsia="lv-LV"/>
    </w:rPr>
  </w:style>
  <w:style w:type="paragraph" w:styleId="FootnoteText">
    <w:name w:val="footnote text"/>
    <w:basedOn w:val="Normal"/>
    <w:link w:val="FootnoteTextChar"/>
    <w:uiPriority w:val="99"/>
    <w:semiHidden/>
    <w:unhideWhenUsed/>
    <w:rsid w:val="00E811F9"/>
  </w:style>
  <w:style w:type="character" w:customStyle="1" w:styleId="FootnoteTextChar">
    <w:name w:val="Footnote Text Char"/>
    <w:basedOn w:val="DefaultParagraphFont"/>
    <w:link w:val="FootnoteText"/>
    <w:uiPriority w:val="99"/>
    <w:semiHidden/>
    <w:rsid w:val="00E811F9"/>
    <w:rPr>
      <w:rFonts w:ascii="Cambria" w:eastAsia="Times New Roman" w:hAnsi="Cambria" w:cs="Times New Roman"/>
      <w:sz w:val="20"/>
      <w:szCs w:val="20"/>
      <w:lang w:eastAsia="lv-LV"/>
    </w:rPr>
  </w:style>
  <w:style w:type="character" w:styleId="FootnoteReference">
    <w:name w:val="footnote reference"/>
    <w:basedOn w:val="DefaultParagraphFont"/>
    <w:uiPriority w:val="99"/>
    <w:semiHidden/>
    <w:unhideWhenUsed/>
    <w:rsid w:val="00E811F9"/>
    <w:rPr>
      <w:vertAlign w:val="superscript"/>
    </w:rPr>
  </w:style>
  <w:style w:type="character" w:styleId="FollowedHyperlink">
    <w:name w:val="FollowedHyperlink"/>
    <w:basedOn w:val="DefaultParagraphFont"/>
    <w:uiPriority w:val="99"/>
    <w:semiHidden/>
    <w:unhideWhenUsed/>
    <w:rsid w:val="00006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000">
      <w:bodyDiv w:val="1"/>
      <w:marLeft w:val="0"/>
      <w:marRight w:val="0"/>
      <w:marTop w:val="0"/>
      <w:marBottom w:val="0"/>
      <w:divBdr>
        <w:top w:val="none" w:sz="0" w:space="0" w:color="auto"/>
        <w:left w:val="none" w:sz="0" w:space="0" w:color="auto"/>
        <w:bottom w:val="none" w:sz="0" w:space="0" w:color="auto"/>
        <w:right w:val="none" w:sz="0" w:space="0" w:color="auto"/>
      </w:divBdr>
      <w:divsChild>
        <w:div w:id="836700047">
          <w:marLeft w:val="547"/>
          <w:marRight w:val="0"/>
          <w:marTop w:val="0"/>
          <w:marBottom w:val="0"/>
          <w:divBdr>
            <w:top w:val="none" w:sz="0" w:space="0" w:color="auto"/>
            <w:left w:val="none" w:sz="0" w:space="0" w:color="auto"/>
            <w:bottom w:val="none" w:sz="0" w:space="0" w:color="auto"/>
            <w:right w:val="none" w:sz="0" w:space="0" w:color="auto"/>
          </w:divBdr>
        </w:div>
        <w:div w:id="2009166959">
          <w:marLeft w:val="547"/>
          <w:marRight w:val="0"/>
          <w:marTop w:val="0"/>
          <w:marBottom w:val="0"/>
          <w:divBdr>
            <w:top w:val="none" w:sz="0" w:space="0" w:color="auto"/>
            <w:left w:val="none" w:sz="0" w:space="0" w:color="auto"/>
            <w:bottom w:val="none" w:sz="0" w:space="0" w:color="auto"/>
            <w:right w:val="none" w:sz="0" w:space="0" w:color="auto"/>
          </w:divBdr>
        </w:div>
      </w:divsChild>
    </w:div>
    <w:div w:id="351759664">
      <w:bodyDiv w:val="1"/>
      <w:marLeft w:val="0"/>
      <w:marRight w:val="0"/>
      <w:marTop w:val="0"/>
      <w:marBottom w:val="0"/>
      <w:divBdr>
        <w:top w:val="none" w:sz="0" w:space="0" w:color="auto"/>
        <w:left w:val="none" w:sz="0" w:space="0" w:color="auto"/>
        <w:bottom w:val="none" w:sz="0" w:space="0" w:color="auto"/>
        <w:right w:val="none" w:sz="0" w:space="0" w:color="auto"/>
      </w:divBdr>
    </w:div>
    <w:div w:id="538054564">
      <w:bodyDiv w:val="1"/>
      <w:marLeft w:val="0"/>
      <w:marRight w:val="0"/>
      <w:marTop w:val="0"/>
      <w:marBottom w:val="0"/>
      <w:divBdr>
        <w:top w:val="none" w:sz="0" w:space="0" w:color="auto"/>
        <w:left w:val="none" w:sz="0" w:space="0" w:color="auto"/>
        <w:bottom w:val="none" w:sz="0" w:space="0" w:color="auto"/>
        <w:right w:val="none" w:sz="0" w:space="0" w:color="auto"/>
      </w:divBdr>
    </w:div>
    <w:div w:id="579754000">
      <w:bodyDiv w:val="1"/>
      <w:marLeft w:val="0"/>
      <w:marRight w:val="0"/>
      <w:marTop w:val="0"/>
      <w:marBottom w:val="0"/>
      <w:divBdr>
        <w:top w:val="none" w:sz="0" w:space="0" w:color="auto"/>
        <w:left w:val="none" w:sz="0" w:space="0" w:color="auto"/>
        <w:bottom w:val="none" w:sz="0" w:space="0" w:color="auto"/>
        <w:right w:val="none" w:sz="0" w:space="0" w:color="auto"/>
      </w:divBdr>
      <w:divsChild>
        <w:div w:id="1516114332">
          <w:marLeft w:val="547"/>
          <w:marRight w:val="0"/>
          <w:marTop w:val="0"/>
          <w:marBottom w:val="0"/>
          <w:divBdr>
            <w:top w:val="none" w:sz="0" w:space="0" w:color="auto"/>
            <w:left w:val="none" w:sz="0" w:space="0" w:color="auto"/>
            <w:bottom w:val="none" w:sz="0" w:space="0" w:color="auto"/>
            <w:right w:val="none" w:sz="0" w:space="0" w:color="auto"/>
          </w:divBdr>
        </w:div>
      </w:divsChild>
    </w:div>
    <w:div w:id="741950816">
      <w:bodyDiv w:val="1"/>
      <w:marLeft w:val="0"/>
      <w:marRight w:val="0"/>
      <w:marTop w:val="0"/>
      <w:marBottom w:val="0"/>
      <w:divBdr>
        <w:top w:val="none" w:sz="0" w:space="0" w:color="auto"/>
        <w:left w:val="none" w:sz="0" w:space="0" w:color="auto"/>
        <w:bottom w:val="none" w:sz="0" w:space="0" w:color="auto"/>
        <w:right w:val="none" w:sz="0" w:space="0" w:color="auto"/>
      </w:divBdr>
    </w:div>
    <w:div w:id="819927265">
      <w:bodyDiv w:val="1"/>
      <w:marLeft w:val="0"/>
      <w:marRight w:val="0"/>
      <w:marTop w:val="0"/>
      <w:marBottom w:val="0"/>
      <w:divBdr>
        <w:top w:val="none" w:sz="0" w:space="0" w:color="auto"/>
        <w:left w:val="none" w:sz="0" w:space="0" w:color="auto"/>
        <w:bottom w:val="none" w:sz="0" w:space="0" w:color="auto"/>
        <w:right w:val="none" w:sz="0" w:space="0" w:color="auto"/>
      </w:divBdr>
    </w:div>
    <w:div w:id="835000257">
      <w:bodyDiv w:val="1"/>
      <w:marLeft w:val="0"/>
      <w:marRight w:val="0"/>
      <w:marTop w:val="0"/>
      <w:marBottom w:val="0"/>
      <w:divBdr>
        <w:top w:val="none" w:sz="0" w:space="0" w:color="auto"/>
        <w:left w:val="none" w:sz="0" w:space="0" w:color="auto"/>
        <w:bottom w:val="none" w:sz="0" w:space="0" w:color="auto"/>
        <w:right w:val="none" w:sz="0" w:space="0" w:color="auto"/>
      </w:divBdr>
    </w:div>
    <w:div w:id="1124037521">
      <w:bodyDiv w:val="1"/>
      <w:marLeft w:val="0"/>
      <w:marRight w:val="0"/>
      <w:marTop w:val="0"/>
      <w:marBottom w:val="0"/>
      <w:divBdr>
        <w:top w:val="none" w:sz="0" w:space="0" w:color="auto"/>
        <w:left w:val="none" w:sz="0" w:space="0" w:color="auto"/>
        <w:bottom w:val="none" w:sz="0" w:space="0" w:color="auto"/>
        <w:right w:val="none" w:sz="0" w:space="0" w:color="auto"/>
      </w:divBdr>
    </w:div>
    <w:div w:id="1388844757">
      <w:bodyDiv w:val="1"/>
      <w:marLeft w:val="0"/>
      <w:marRight w:val="0"/>
      <w:marTop w:val="0"/>
      <w:marBottom w:val="0"/>
      <w:divBdr>
        <w:top w:val="none" w:sz="0" w:space="0" w:color="auto"/>
        <w:left w:val="none" w:sz="0" w:space="0" w:color="auto"/>
        <w:bottom w:val="none" w:sz="0" w:space="0" w:color="auto"/>
        <w:right w:val="none" w:sz="0" w:space="0" w:color="auto"/>
      </w:divBdr>
    </w:div>
    <w:div w:id="1405420904">
      <w:bodyDiv w:val="1"/>
      <w:marLeft w:val="0"/>
      <w:marRight w:val="0"/>
      <w:marTop w:val="0"/>
      <w:marBottom w:val="0"/>
      <w:divBdr>
        <w:top w:val="none" w:sz="0" w:space="0" w:color="auto"/>
        <w:left w:val="none" w:sz="0" w:space="0" w:color="auto"/>
        <w:bottom w:val="none" w:sz="0" w:space="0" w:color="auto"/>
        <w:right w:val="none" w:sz="0" w:space="0" w:color="auto"/>
      </w:divBdr>
    </w:div>
    <w:div w:id="1435202617">
      <w:bodyDiv w:val="1"/>
      <w:marLeft w:val="0"/>
      <w:marRight w:val="0"/>
      <w:marTop w:val="0"/>
      <w:marBottom w:val="0"/>
      <w:divBdr>
        <w:top w:val="none" w:sz="0" w:space="0" w:color="auto"/>
        <w:left w:val="none" w:sz="0" w:space="0" w:color="auto"/>
        <w:bottom w:val="none" w:sz="0" w:space="0" w:color="auto"/>
        <w:right w:val="none" w:sz="0" w:space="0" w:color="auto"/>
      </w:divBdr>
      <w:divsChild>
        <w:div w:id="1534028126">
          <w:marLeft w:val="547"/>
          <w:marRight w:val="0"/>
          <w:marTop w:val="0"/>
          <w:marBottom w:val="0"/>
          <w:divBdr>
            <w:top w:val="none" w:sz="0" w:space="0" w:color="auto"/>
            <w:left w:val="none" w:sz="0" w:space="0" w:color="auto"/>
            <w:bottom w:val="none" w:sz="0" w:space="0" w:color="auto"/>
            <w:right w:val="none" w:sz="0" w:space="0" w:color="auto"/>
          </w:divBdr>
        </w:div>
      </w:divsChild>
    </w:div>
    <w:div w:id="1551454037">
      <w:bodyDiv w:val="1"/>
      <w:marLeft w:val="0"/>
      <w:marRight w:val="0"/>
      <w:marTop w:val="0"/>
      <w:marBottom w:val="0"/>
      <w:divBdr>
        <w:top w:val="none" w:sz="0" w:space="0" w:color="auto"/>
        <w:left w:val="none" w:sz="0" w:space="0" w:color="auto"/>
        <w:bottom w:val="none" w:sz="0" w:space="0" w:color="auto"/>
        <w:right w:val="none" w:sz="0" w:space="0" w:color="auto"/>
      </w:divBdr>
    </w:div>
    <w:div w:id="1880779706">
      <w:bodyDiv w:val="1"/>
      <w:marLeft w:val="0"/>
      <w:marRight w:val="0"/>
      <w:marTop w:val="0"/>
      <w:marBottom w:val="0"/>
      <w:divBdr>
        <w:top w:val="none" w:sz="0" w:space="0" w:color="auto"/>
        <w:left w:val="none" w:sz="0" w:space="0" w:color="auto"/>
        <w:bottom w:val="none" w:sz="0" w:space="0" w:color="auto"/>
        <w:right w:val="none" w:sz="0" w:space="0" w:color="auto"/>
      </w:divBdr>
    </w:div>
    <w:div w:id="20989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ges.stern.nyu.edu/~adamodar/" TargetMode="External"/><Relationship Id="rId5" Type="http://schemas.openxmlformats.org/officeDocument/2006/relationships/settings" Target="settings.xml"/><Relationship Id="rId15" Type="http://schemas.openxmlformats.org/officeDocument/2006/relationships/hyperlink" Target="mailto:ilze.pukite@pkc.mk.gov.lv" TargetMode="External"/><Relationship Id="rId10" Type="http://schemas.openxmlformats.org/officeDocument/2006/relationships/hyperlink" Target="http://pages.stern.nyu.edu/~adamodar/" TargetMode="External"/><Relationship Id="rId4" Type="http://schemas.microsoft.com/office/2007/relationships/stylesWithEffects" Target="stylesWithEffects.xml"/><Relationship Id="rId9" Type="http://schemas.openxmlformats.org/officeDocument/2006/relationships/hyperlink" Target="https://www.ecb.europa.eu/stats/money/long/html/index.en.html"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pages.stern.nyu.edu/~adamod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Valsts kapitālsabiedrību peļņa 2015.gadā (milj. EUR) un pašu kapitāla atdeve (ROE, %) pa nozarēm</a:t>
            </a:r>
          </a:p>
        </c:rich>
      </c:tx>
      <c:overlay val="0"/>
      <c:spPr>
        <a:noFill/>
        <a:ln>
          <a:noFill/>
        </a:ln>
        <a:effectLst/>
      </c:spPr>
    </c:title>
    <c:autoTitleDeleted val="0"/>
    <c:plotArea>
      <c:layout/>
      <c:barChart>
        <c:barDir val="col"/>
        <c:grouping val="clustered"/>
        <c:varyColors val="0"/>
        <c:ser>
          <c:idx val="0"/>
          <c:order val="0"/>
          <c:tx>
            <c:strRef>
              <c:f>Sheet1!$B$5</c:f>
              <c:strCache>
                <c:ptCount val="1"/>
                <c:pt idx="0">
                  <c:v>Peļņa / zaudējumi, EUR milj. (kreisā ass)</c:v>
                </c:pt>
              </c:strCache>
            </c:strRef>
          </c:tx>
          <c:spPr>
            <a:solidFill>
              <a:schemeClr val="accent4"/>
            </a:solidFill>
            <a:ln>
              <a:noFill/>
            </a:ln>
            <a:effectLst/>
          </c:spPr>
          <c:invertIfNegative val="0"/>
          <c:dLbls>
            <c:dLbl>
              <c:idx val="4"/>
              <c:layout>
                <c:manualLayout>
                  <c:x val="-8.4728464691155585E-17"/>
                  <c:y val="7.8703703703703706E-2"/>
                </c:manualLayout>
              </c:layout>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7.87033391659374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Enerģētika</c:v>
                </c:pt>
                <c:pt idx="1">
                  <c:v>Sakari</c:v>
                </c:pt>
                <c:pt idx="2">
                  <c:v>Mežsaimniecība un lauksaimniecība</c:v>
                </c:pt>
                <c:pt idx="3">
                  <c:v>Transports un uzglabāšana</c:v>
                </c:pt>
                <c:pt idx="4">
                  <c:v>Kultūra</c:v>
                </c:pt>
                <c:pt idx="5">
                  <c:v>Veselības aprūpe</c:v>
                </c:pt>
                <c:pt idx="6">
                  <c:v>Nekustamais īpašums</c:v>
                </c:pt>
                <c:pt idx="7">
                  <c:v>Pārējās kapitālsabiedrības</c:v>
                </c:pt>
              </c:strCache>
            </c:strRef>
          </c:cat>
          <c:val>
            <c:numRef>
              <c:f>Sheet1!$C$5:$J$5</c:f>
              <c:numCache>
                <c:formatCode>_-* #\ ##0_-;\-* #\ ##0_-;_-* "-"??_-;_-@_-</c:formatCode>
                <c:ptCount val="8"/>
                <c:pt idx="0">
                  <c:v>87.634119999999996</c:v>
                </c:pt>
                <c:pt idx="1">
                  <c:v>62.833631869999998</c:v>
                </c:pt>
                <c:pt idx="2">
                  <c:v>59.330919999999999</c:v>
                </c:pt>
                <c:pt idx="3">
                  <c:v>27.424643</c:v>
                </c:pt>
                <c:pt idx="4">
                  <c:v>-0.108722</c:v>
                </c:pt>
                <c:pt idx="5">
                  <c:v>-4.6240370000000004</c:v>
                </c:pt>
                <c:pt idx="6">
                  <c:v>-73.139138000000003</c:v>
                </c:pt>
                <c:pt idx="7">
                  <c:v>5.0263226300000001</c:v>
                </c:pt>
              </c:numCache>
            </c:numRef>
          </c:val>
        </c:ser>
        <c:dLbls>
          <c:showLegendKey val="0"/>
          <c:showVal val="0"/>
          <c:showCatName val="0"/>
          <c:showSerName val="0"/>
          <c:showPercent val="0"/>
          <c:showBubbleSize val="0"/>
        </c:dLbls>
        <c:gapWidth val="219"/>
        <c:axId val="215815680"/>
        <c:axId val="215817216"/>
      </c:barChart>
      <c:lineChart>
        <c:grouping val="standard"/>
        <c:varyColors val="0"/>
        <c:ser>
          <c:idx val="1"/>
          <c:order val="1"/>
          <c:tx>
            <c:strRef>
              <c:f>Sheet1!$B$6</c:f>
              <c:strCache>
                <c:ptCount val="1"/>
                <c:pt idx="0">
                  <c:v>Pašu kapitāla atdeve, ROE; % (labā ass)</c:v>
                </c:pt>
              </c:strCache>
            </c:strRef>
          </c:tx>
          <c:spPr>
            <a:ln w="28575" cap="rnd">
              <a:solidFill>
                <a:schemeClr val="tx1"/>
              </a:solidFill>
              <a:prstDash val="sysDot"/>
              <a:round/>
            </a:ln>
            <a:effectLst/>
          </c:spPr>
          <c:marker>
            <c:symbol val="none"/>
          </c:marker>
          <c:dLbls>
            <c:dLbl>
              <c:idx val="6"/>
              <c:layout>
                <c:manualLayout>
                  <c:x val="4.6216060080878103E-3"/>
                  <c:y val="2.7777777777777776E-2"/>
                </c:manualLayout>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Enerģētika</c:v>
                </c:pt>
                <c:pt idx="1">
                  <c:v>Sakari</c:v>
                </c:pt>
                <c:pt idx="2">
                  <c:v>Mežsaimniecība un lauksaimniecība</c:v>
                </c:pt>
                <c:pt idx="3">
                  <c:v>Transports un uzglabāšana</c:v>
                </c:pt>
                <c:pt idx="4">
                  <c:v>Kultūra</c:v>
                </c:pt>
                <c:pt idx="5">
                  <c:v>Veselības aprūpe</c:v>
                </c:pt>
                <c:pt idx="6">
                  <c:v>Nekustamais īpašums</c:v>
                </c:pt>
                <c:pt idx="7">
                  <c:v>Pārējās kapitālsabiedrības</c:v>
                </c:pt>
              </c:strCache>
            </c:strRef>
          </c:cat>
          <c:val>
            <c:numRef>
              <c:f>Sheet1!$C$6:$J$6</c:f>
              <c:numCache>
                <c:formatCode>0.0</c:formatCode>
                <c:ptCount val="8"/>
                <c:pt idx="0">
                  <c:v>3.9417182531038755</c:v>
                </c:pt>
                <c:pt idx="1">
                  <c:v>12.648733394708966</c:v>
                </c:pt>
                <c:pt idx="2">
                  <c:v>17.877989605952902</c:v>
                </c:pt>
                <c:pt idx="3">
                  <c:v>5.8867223987371133</c:v>
                </c:pt>
                <c:pt idx="4">
                  <c:v>-3.5852976480985608</c:v>
                </c:pt>
                <c:pt idx="5">
                  <c:v>-12.630071323876003</c:v>
                </c:pt>
                <c:pt idx="6">
                  <c:v>0</c:v>
                </c:pt>
                <c:pt idx="7">
                  <c:v>1.745871806556851</c:v>
                </c:pt>
              </c:numCache>
            </c:numRef>
          </c:val>
          <c:smooth val="0"/>
        </c:ser>
        <c:dLbls>
          <c:showLegendKey val="0"/>
          <c:showVal val="0"/>
          <c:showCatName val="0"/>
          <c:showSerName val="0"/>
          <c:showPercent val="0"/>
          <c:showBubbleSize val="0"/>
        </c:dLbls>
        <c:marker val="1"/>
        <c:smooth val="0"/>
        <c:axId val="215821312"/>
        <c:axId val="215819392"/>
      </c:lineChart>
      <c:catAx>
        <c:axId val="21581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5817216"/>
        <c:crosses val="autoZero"/>
        <c:auto val="1"/>
        <c:lblAlgn val="ctr"/>
        <c:lblOffset val="100"/>
        <c:noMultiLvlLbl val="0"/>
      </c:catAx>
      <c:valAx>
        <c:axId val="21581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Peļņa, milj. EUR</a:t>
                </a:r>
              </a:p>
            </c:rich>
          </c:tx>
          <c:overlay val="0"/>
          <c:spPr>
            <a:noFill/>
            <a:ln>
              <a:noFill/>
            </a:ln>
            <a:effectLst/>
          </c:sp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5815680"/>
        <c:crosses val="autoZero"/>
        <c:crossBetween val="between"/>
      </c:valAx>
      <c:valAx>
        <c:axId val="215819392"/>
        <c:scaling>
          <c:orientation val="minMax"/>
          <c:max val="30"/>
          <c:min val="-3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ROE, %</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5821312"/>
        <c:crosses val="max"/>
        <c:crossBetween val="between"/>
      </c:valAx>
      <c:catAx>
        <c:axId val="215821312"/>
        <c:scaling>
          <c:orientation val="minMax"/>
        </c:scaling>
        <c:delete val="1"/>
        <c:axPos val="b"/>
        <c:numFmt formatCode="General" sourceLinked="1"/>
        <c:majorTickMark val="out"/>
        <c:minorTickMark val="none"/>
        <c:tickLblPos val="nextTo"/>
        <c:crossAx val="2158193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lv-LV"/>
              <a:t>Pašu kapitāla atdeve 2015.gadā, ROE; %</a:t>
            </a:r>
          </a:p>
        </c:rich>
      </c:tx>
      <c:overlay val="0"/>
      <c:spPr>
        <a:noFill/>
        <a:ln>
          <a:noFill/>
        </a:ln>
        <a:effectLst/>
      </c:spPr>
    </c:title>
    <c:autoTitleDeleted val="0"/>
    <c:plotArea>
      <c:layout/>
      <c:barChart>
        <c:barDir val="bar"/>
        <c:grouping val="clustered"/>
        <c:varyColors val="0"/>
        <c:ser>
          <c:idx val="0"/>
          <c:order val="0"/>
          <c:tx>
            <c:strRef>
              <c:f>veselība!$C$2</c:f>
              <c:strCache>
                <c:ptCount val="1"/>
                <c:pt idx="0">
                  <c:v>Pašu kapitāla atdeve, ROE; %</c:v>
                </c:pt>
              </c:strCache>
            </c:strRef>
          </c:tx>
          <c:spPr>
            <a:solidFill>
              <a:srgbClr val="FFC000"/>
            </a:solidFill>
            <a:ln>
              <a:noFill/>
            </a:ln>
            <a:effectLst/>
          </c:spPr>
          <c:invertIfNegative val="0"/>
          <c:dPt>
            <c:idx val="13"/>
            <c:invertIfNegative val="0"/>
            <c:bubble3D val="0"/>
            <c:spPr>
              <a:solidFill>
                <a:srgbClr val="DD8047"/>
              </a:solidFill>
              <a:ln>
                <a:noFill/>
              </a:ln>
              <a:effectLst/>
            </c:spPr>
          </c:dPt>
          <c:dLbls>
            <c:dLbl>
              <c:idx val="1"/>
              <c:layout>
                <c:manualLayout>
                  <c:x val="-9.7019422453947044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veselība!$B$3:$B$20</c:f>
              <c:strCache>
                <c:ptCount val="17"/>
                <c:pt idx="0">
                  <c:v>SIA „Rīgas Austrumu klīniskā
universitātes slimnīca”</c:v>
                </c:pt>
                <c:pt idx="1">
                  <c:v>SIA „Rīgas hematoloģijas centrs”</c:v>
                </c:pt>
                <c:pt idx="2">
                  <c:v>VSIA "Traumatoloģijas un
ortopēdijas slimnīca"</c:v>
                </c:pt>
                <c:pt idx="3">
                  <c:v>VSIA „Piejūras slimnīca”</c:v>
                </c:pt>
                <c:pt idx="4">
                  <c:v>VSIA ”Bērnu klīniskā universitātes
slimnīca”</c:v>
                </c:pt>
                <c:pt idx="5">
                  <c:v>VSIA Iekšlietu ministrijas poliklīnika</c:v>
                </c:pt>
                <c:pt idx="6">
                  <c:v>VSIA “Rīgas Psihiatrijas un
narkoloģijas centrs”</c:v>
                </c:pt>
                <c:pt idx="7">
                  <c:v>VSIA "Nacionālais rehabilitācijas
centrs „Vaivari””</c:v>
                </c:pt>
                <c:pt idx="8">
                  <c:v>VSIA “Daugavpils psihoneiroloģiskā
slimnīca”</c:v>
                </c:pt>
                <c:pt idx="9">
                  <c:v>SIA „Veselības centrs
„Biķernieki”</c:v>
                </c:pt>
                <c:pt idx="10">
                  <c:v>VSIA “Bērnu psihoneiroloģiskā slimnīca “Ainaži”"</c:v>
                </c:pt>
                <c:pt idx="11">
                  <c:v>VSIA “Paula Stradiņa klīniskā
universitātes slimnīca”</c:v>
                </c:pt>
                <c:pt idx="12">
                  <c:v>VSIA „Straupes narkoloģiskā
slimnīca”</c:v>
                </c:pt>
                <c:pt idx="13">
                  <c:v>Eiropas vidējais (Hospitals/Healthcare Facilities)</c:v>
                </c:pt>
                <c:pt idx="14">
                  <c:v>VSIA "Strenču psihoneiroloģiskā slimnīca"</c:v>
                </c:pt>
                <c:pt idx="15">
                  <c:v>VSIA "Aknīstes psihoneiroloģiskā slimnīca"</c:v>
                </c:pt>
                <c:pt idx="16">
                  <c:v>VSIA "Slimnīca "Ģintermuiža""</c:v>
                </c:pt>
              </c:strCache>
            </c:strRef>
          </c:cat>
          <c:val>
            <c:numRef>
              <c:f>veselība!$C$3:$C$19</c:f>
              <c:numCache>
                <c:formatCode>0.0%</c:formatCode>
                <c:ptCount val="17"/>
                <c:pt idx="0">
                  <c:v>0</c:v>
                </c:pt>
                <c:pt idx="1">
                  <c:v>-3.3515988590301755E-2</c:v>
                </c:pt>
                <c:pt idx="2">
                  <c:v>-1.679622474631353E-2</c:v>
                </c:pt>
                <c:pt idx="3">
                  <c:v>-5.1667244814536557E-4</c:v>
                </c:pt>
                <c:pt idx="4">
                  <c:v>4.7013985685057704E-4</c:v>
                </c:pt>
                <c:pt idx="5">
                  <c:v>3.4297569629905696E-3</c:v>
                </c:pt>
                <c:pt idx="6">
                  <c:v>4.1955775901308416E-3</c:v>
                </c:pt>
                <c:pt idx="7">
                  <c:v>6.6817697587550741E-3</c:v>
                </c:pt>
                <c:pt idx="8">
                  <c:v>7.364010741552721E-3</c:v>
                </c:pt>
                <c:pt idx="9">
                  <c:v>1.1873856924263284E-2</c:v>
                </c:pt>
                <c:pt idx="10">
                  <c:v>1.6257039743115008E-2</c:v>
                </c:pt>
                <c:pt idx="11">
                  <c:v>1.6613327735073895E-2</c:v>
                </c:pt>
                <c:pt idx="12">
                  <c:v>5.0799313893653518E-2</c:v>
                </c:pt>
                <c:pt idx="13" formatCode="0.00%">
                  <c:v>7.1520359734386571E-2</c:v>
                </c:pt>
                <c:pt idx="14">
                  <c:v>7.4525829115320685E-2</c:v>
                </c:pt>
                <c:pt idx="15">
                  <c:v>7.4525829115320685E-2</c:v>
                </c:pt>
                <c:pt idx="16">
                  <c:v>8.1458066504967216E-2</c:v>
                </c:pt>
              </c:numCache>
            </c:numRef>
          </c:val>
        </c:ser>
        <c:dLbls>
          <c:showLegendKey val="0"/>
          <c:showVal val="0"/>
          <c:showCatName val="0"/>
          <c:showSerName val="0"/>
          <c:showPercent val="0"/>
          <c:showBubbleSize val="0"/>
        </c:dLbls>
        <c:gapWidth val="182"/>
        <c:axId val="216015232"/>
        <c:axId val="216016768"/>
      </c:barChart>
      <c:catAx>
        <c:axId val="21601523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016768"/>
        <c:crosses val="autoZero"/>
        <c:auto val="1"/>
        <c:lblAlgn val="ctr"/>
        <c:lblOffset val="100"/>
        <c:noMultiLvlLbl val="0"/>
      </c:catAx>
      <c:valAx>
        <c:axId val="2160167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01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lv-LV"/>
              <a:t>Pašu kapitāla atdeve 2015.gadā, ROE; %</a:t>
            </a:r>
          </a:p>
        </c:rich>
      </c:tx>
      <c:overlay val="0"/>
      <c:spPr>
        <a:noFill/>
        <a:ln>
          <a:noFill/>
        </a:ln>
        <a:effectLst/>
      </c:spPr>
    </c:title>
    <c:autoTitleDeleted val="0"/>
    <c:plotArea>
      <c:layout/>
      <c:barChart>
        <c:barDir val="bar"/>
        <c:grouping val="clustered"/>
        <c:varyColors val="0"/>
        <c:ser>
          <c:idx val="0"/>
          <c:order val="0"/>
          <c:tx>
            <c:strRef>
              <c:f>kultūra!$C$17</c:f>
              <c:strCache>
                <c:ptCount val="1"/>
                <c:pt idx="0">
                  <c:v>Pašu kapitāla atdeve, ROE; %</c:v>
                </c:pt>
              </c:strCache>
            </c:strRef>
          </c:tx>
          <c:spPr>
            <a:solidFill>
              <a:srgbClr val="FFC000"/>
            </a:solidFill>
            <a:ln>
              <a:noFill/>
            </a:ln>
            <a:effectLst/>
          </c:spPr>
          <c:invertIfNegative val="0"/>
          <c:dPt>
            <c:idx val="5"/>
            <c:invertIfNegative val="0"/>
            <c:bubble3D val="0"/>
            <c:spPr>
              <a:solidFill>
                <a:schemeClr val="accent2"/>
              </a:solidFill>
              <a:ln>
                <a:noFill/>
              </a:ln>
              <a:effectLst/>
            </c:spPr>
          </c:dPt>
          <c:dPt>
            <c:idx val="14"/>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kultūra!$B$18:$B$33</c:f>
              <c:strCache>
                <c:ptCount val="16"/>
                <c:pt idx="0">
                  <c:v>VSIA Latvijas Nacionālais simfoniskais orķestris</c:v>
                </c:pt>
                <c:pt idx="1">
                  <c:v>VSIA " Rīgas cirks"</c:v>
                </c:pt>
                <c:pt idx="2">
                  <c:v>VSIA "Mihaila Čehova Rīgas Krievu teātris"</c:v>
                </c:pt>
                <c:pt idx="3">
                  <c:v>VSIA Liepājas simfoniskais orķestris</c:v>
                </c:pt>
                <c:pt idx="4">
                  <c:v>Valsts SIA Valmiera drāmas teātris</c:v>
                </c:pt>
                <c:pt idx="5">
                  <c:v>Eiropas vidējais (Education)</c:v>
                </c:pt>
                <c:pt idx="6">
                  <c:v>VSIA "Jaunais Rīgas teātris"</c:v>
                </c:pt>
                <c:pt idx="7">
                  <c:v>VSIA Latvijas Leļļu teātris</c:v>
                </c:pt>
                <c:pt idx="8">
                  <c:v>VSIA "Latvijas Nacionālā opera un balets"</c:v>
                </c:pt>
                <c:pt idx="9">
                  <c:v>VSIA "Latvijas Nacionālais teātris "</c:v>
                </c:pt>
                <c:pt idx="10">
                  <c:v>VSIA "Daugavpils teātris"</c:v>
                </c:pt>
                <c:pt idx="11">
                  <c:v>VSIA "Valsts Akadēmiskais koris
"Latvija"""</c:v>
                </c:pt>
                <c:pt idx="12">
                  <c:v>VSIA" Dailes teātris"</c:v>
                </c:pt>
                <c:pt idx="13">
                  <c:v>VSIA "Latvijas Koncerti"</c:v>
                </c:pt>
                <c:pt idx="14">
                  <c:v>Eiropas vidējais (Entertainment)</c:v>
                </c:pt>
                <c:pt idx="15">
                  <c:v>VSIA  Kremerata Baltica</c:v>
                </c:pt>
              </c:strCache>
            </c:strRef>
          </c:cat>
          <c:val>
            <c:numRef>
              <c:f>kultūra!$C$18:$C$33</c:f>
              <c:numCache>
                <c:formatCode>0.0%</c:formatCode>
                <c:ptCount val="16"/>
                <c:pt idx="0">
                  <c:v>0</c:v>
                </c:pt>
                <c:pt idx="1">
                  <c:v>-0.63836531871144619</c:v>
                </c:pt>
                <c:pt idx="2">
                  <c:v>-0.11495301700706687</c:v>
                </c:pt>
                <c:pt idx="3">
                  <c:v>2.8993958242221033E-3</c:v>
                </c:pt>
                <c:pt idx="4">
                  <c:v>4.6669658930217515E-3</c:v>
                </c:pt>
                <c:pt idx="5" formatCode="0.000%">
                  <c:v>5.0228310502283121E-3</c:v>
                </c:pt>
                <c:pt idx="6">
                  <c:v>5.9423544825004679E-3</c:v>
                </c:pt>
                <c:pt idx="7">
                  <c:v>7.8224205737674607E-3</c:v>
                </c:pt>
                <c:pt idx="8">
                  <c:v>1.1780418542966964E-2</c:v>
                </c:pt>
                <c:pt idx="9">
                  <c:v>1.3420202941814783E-2</c:v>
                </c:pt>
                <c:pt idx="10">
                  <c:v>1.6416336534898966E-2</c:v>
                </c:pt>
                <c:pt idx="11">
                  <c:v>2.4146039291041945E-2</c:v>
                </c:pt>
                <c:pt idx="12">
                  <c:v>3.3401353238105468E-2</c:v>
                </c:pt>
                <c:pt idx="13">
                  <c:v>9.488491701933803E-2</c:v>
                </c:pt>
                <c:pt idx="14">
                  <c:v>0.15446362479742648</c:v>
                </c:pt>
                <c:pt idx="15">
                  <c:v>0.51147540983606554</c:v>
                </c:pt>
              </c:numCache>
            </c:numRef>
          </c:val>
        </c:ser>
        <c:dLbls>
          <c:showLegendKey val="0"/>
          <c:showVal val="0"/>
          <c:showCatName val="0"/>
          <c:showSerName val="0"/>
          <c:showPercent val="0"/>
          <c:showBubbleSize val="0"/>
        </c:dLbls>
        <c:gapWidth val="182"/>
        <c:axId val="216054400"/>
        <c:axId val="217788800"/>
      </c:barChart>
      <c:catAx>
        <c:axId val="2160544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7788800"/>
        <c:crosses val="autoZero"/>
        <c:auto val="1"/>
        <c:lblAlgn val="ctr"/>
        <c:lblOffset val="100"/>
        <c:noMultiLvlLbl val="0"/>
      </c:catAx>
      <c:valAx>
        <c:axId val="2177888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05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961E-15F0-41DE-AE55-FE1CA5BD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12773</Words>
  <Characters>7282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Informatīvais ziņojums “Efektīvas kapitāla atdeves mērķu noteikšana valsts kapitālsabiedrībās”</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“Efektīvas kapitāla atdeves mērķu noteikšana valsts kapitālsabiedrībās”</dc:title>
  <dc:creator>Ilze Puķīte</dc:creator>
  <cp:lastModifiedBy>Jekaterina Borovika</cp:lastModifiedBy>
  <cp:revision>2</cp:revision>
  <cp:lastPrinted>2016-09-07T12:39:00Z</cp:lastPrinted>
  <dcterms:created xsi:type="dcterms:W3CDTF">2017-06-13T07:46:00Z</dcterms:created>
  <dcterms:modified xsi:type="dcterms:W3CDTF">2017-06-13T07:46:00Z</dcterms:modified>
</cp:coreProperties>
</file>