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28" w:rsidRPr="006578E1" w:rsidRDefault="00B45228" w:rsidP="00B45228">
      <w:pPr>
        <w:spacing w:after="0" w:line="240" w:lineRule="auto"/>
        <w:jc w:val="center"/>
        <w:rPr>
          <w:rFonts w:ascii="Times New Roman" w:eastAsia="Times New Roman" w:hAnsi="Times New Roman" w:cs="Times New Roman"/>
          <w:b/>
          <w:bCs/>
          <w:color w:val="414142"/>
          <w:sz w:val="24"/>
          <w:szCs w:val="24"/>
          <w:lang w:eastAsia="lv-LV"/>
        </w:rPr>
      </w:pPr>
      <w:bookmarkStart w:id="0" w:name="468683"/>
      <w:bookmarkEnd w:id="0"/>
      <w:r w:rsidRPr="006578E1">
        <w:rPr>
          <w:rFonts w:ascii="Times New Roman" w:eastAsia="Times New Roman" w:hAnsi="Times New Roman" w:cs="Times New Roman"/>
          <w:b/>
          <w:bCs/>
          <w:color w:val="414142"/>
          <w:sz w:val="24"/>
          <w:szCs w:val="24"/>
          <w:lang w:eastAsia="lv-LV"/>
        </w:rPr>
        <w:t>Likumprojekta “</w:t>
      </w:r>
      <w:r w:rsidR="002C2C30" w:rsidRPr="006578E1">
        <w:rPr>
          <w:rFonts w:ascii="Times New Roman" w:eastAsia="Times New Roman" w:hAnsi="Times New Roman" w:cs="Times New Roman"/>
          <w:b/>
          <w:bCs/>
          <w:color w:val="414142"/>
          <w:sz w:val="24"/>
          <w:szCs w:val="24"/>
          <w:lang w:eastAsia="lv-LV"/>
        </w:rPr>
        <w:t xml:space="preserve">Grozījums </w:t>
      </w:r>
      <w:r w:rsidRPr="006578E1">
        <w:rPr>
          <w:rFonts w:ascii="Times New Roman" w:eastAsia="Times New Roman" w:hAnsi="Times New Roman" w:cs="Times New Roman"/>
          <w:b/>
          <w:bCs/>
          <w:color w:val="414142"/>
          <w:sz w:val="24"/>
          <w:szCs w:val="24"/>
          <w:lang w:eastAsia="lv-LV"/>
        </w:rPr>
        <w:t>likumā “Par Tirdzniecības nolīgumu starp Eiropas Savienību un tās dalībvalstīm, no vienas puses, un Kolumbiju un Peru, no otras puses”” sākotnējās ietekmes novērtējuma ziņojums (anotācija)</w:t>
      </w:r>
    </w:p>
    <w:p w:rsidR="00B45228" w:rsidRPr="00894C55" w:rsidRDefault="00B4522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1B1335" w:rsidRPr="001B133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I.</w:t>
            </w:r>
            <w:r w:rsidR="0050178F"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izstrādes nepieciešamība</w:t>
            </w:r>
          </w:p>
        </w:tc>
      </w:tr>
      <w:tr w:rsidR="001B1335" w:rsidRPr="001B133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Ministru kabineta 2014. gada 7. jūlija rīkojuma Nr.331 „Par valsts pārvaldes uzdevumu ārējās ekonomiskās politikas jomā nodošanu un finansējuma pārdali starp Ekonomikas ministriju un Ārlietu ministriju” 1.punkts un Ministru kabineta 2014. gada 1. jūlija sēdes lēmuma (protokols Nr.36, 41.§) 3.punkts.</w:t>
                </w:r>
              </w:p>
            </w:tc>
          </w:sdtContent>
        </w:sdt>
      </w:tr>
      <w:tr w:rsidR="001B1335" w:rsidRPr="001B133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eastAsia="Times New Roman" w:hAnsi="Times New Roman" w:cs="Times New Roman"/>
              <w:sz w:val="24"/>
              <w:szCs w:val="24"/>
              <w:lang w:eastAsia="lv-LV"/>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Ar Ministru kabineta 2014. gada 7. jūlija rīkojuma Nr.331 „Par valsts pārvaldes uzdevumu ārējās ekonomiskās politikas jomā nodošanu un finansējuma pārdali starp Ekonomikas ministriju un Ārlietu ministriju” 1. punktu Ārlietu ministrijai ar 2014. gada 1. augustu tika nodotas Ekonomikas ministrijas kompetences ārējās tirdzniecības politikas jomā. Līdz ar to saskaņā ar Ministru kabineta 2014. gada 1. jūlija sēdes lēmuma (protokols Nr.36 41.§) 3. punktu ir nepieciešams izdarīt grozījumus 2013. gada 4. aprīļa likumā “Par Tirdzniecības nolīgumu starp Eiropas Savienību un tās dalībvalstīm, no vienas puses, un Kolumbiju un Peru, no otras puses”, un 2. pantā Ekonomikas ministrija aizstājama ar Ārlietu ministriju.</w:t>
                </w:r>
              </w:p>
            </w:tc>
          </w:sdtContent>
        </w:sdt>
      </w:tr>
      <w:tr w:rsidR="001B1335" w:rsidRPr="001B133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Ārlietu ministrija</w:t>
                </w:r>
              </w:p>
            </w:tc>
          </w:sdtContent>
        </w:sdt>
      </w:tr>
      <w:tr w:rsidR="001B1335" w:rsidRPr="001B133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233C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Projektam nav finansiālas ietekmes uz valsts budžetu. Finansējuma pārdale, nododot Ekonomikas ministrijas funkcijas ārējās tirdzniecības politikas jomā Ārlietu ministrijai, noteikta Ministru kabineta 2014. gada 7. jūlija rīkojumā Nr.331 „Par valsts pārvaldes uzdevumu ārējās ekonomiskās politikas jomā nodošanu un finansējuma pārdali starp Ekonomikas ministriju un Ārlietu ministriju”.</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II.</w:t>
            </w:r>
            <w:r w:rsidR="0050178F"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B4949" w:rsidRPr="001B133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B1335" w:rsidRDefault="00DB4949" w:rsidP="005017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894C55" w:rsidRPr="001B13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III.</w:t>
            </w:r>
            <w:r w:rsidR="00BD4425"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1B1335"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B1335"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DB4949" w:rsidRPr="001B1335" w:rsidRDefault="00DB4949" w:rsidP="00DC056C">
      <w:pPr>
        <w:spacing w:after="0" w:line="240" w:lineRule="auto"/>
        <w:ind w:firstLine="426"/>
        <w:rPr>
          <w:rFonts w:ascii="Times New Roman" w:hAnsi="Times New Roman" w:cs="Times New Roman"/>
          <w:sz w:val="24"/>
          <w:szCs w:val="24"/>
        </w:rPr>
      </w:pPr>
    </w:p>
    <w:p w:rsidR="00233C41" w:rsidRPr="001B1335" w:rsidRDefault="00233C41"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IV.</w:t>
            </w:r>
            <w:r w:rsidR="00BD4425"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ietekme uz spēkā esošo tiesību normu sistēmu</w:t>
            </w:r>
          </w:p>
        </w:tc>
      </w:tr>
      <w:tr w:rsidR="00233C41" w:rsidRPr="001B1335" w:rsidTr="00233C41">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233C41" w:rsidRPr="001B1335" w:rsidRDefault="00233C41" w:rsidP="00233C41">
            <w:pPr>
              <w:spacing w:after="0" w:line="240" w:lineRule="auto"/>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894C55" w:rsidRPr="001B13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V.</w:t>
            </w:r>
            <w:r w:rsidR="003E0791"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1B1335"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1B1335"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DB4949" w:rsidRPr="001B1335"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B1335" w:rsidRPr="001B1335"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VI.</w:t>
            </w:r>
            <w:r w:rsidR="00816C11"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Sabiedrības līdzdalība un komunikācijas aktivitātes</w:t>
            </w:r>
          </w:p>
        </w:tc>
      </w:tr>
      <w:tr w:rsidR="00C3603D" w:rsidRPr="001B1335" w:rsidTr="00C3603D">
        <w:trPr>
          <w:trHeight w:val="432"/>
          <w:jc w:val="center"/>
        </w:trPr>
        <w:tc>
          <w:tcPr>
            <w:tcW w:w="5000" w:type="pct"/>
            <w:tcBorders>
              <w:top w:val="outset" w:sz="6" w:space="0" w:color="414142"/>
              <w:left w:val="outset" w:sz="6" w:space="0" w:color="414142"/>
              <w:bottom w:val="outset" w:sz="6" w:space="0" w:color="414142"/>
              <w:right w:val="outset" w:sz="6" w:space="0" w:color="414142"/>
            </w:tcBorders>
          </w:tcPr>
          <w:p w:rsidR="00C3603D" w:rsidRPr="001B1335" w:rsidRDefault="00C3603D" w:rsidP="00C3603D">
            <w:pPr>
              <w:spacing w:after="0" w:line="240" w:lineRule="auto"/>
              <w:jc w:val="center"/>
              <w:rPr>
                <w:rFonts w:ascii="Times New Roman" w:eastAsia="Times New Roman" w:hAnsi="Times New Roman" w:cs="Times New Roman"/>
                <w:sz w:val="24"/>
                <w:szCs w:val="24"/>
                <w:lang w:eastAsia="lv-LV"/>
              </w:rPr>
            </w:pPr>
            <w:r w:rsidRPr="001B1335">
              <w:rPr>
                <w:rFonts w:ascii="Times New Roman" w:eastAsia="Times New Roman" w:hAnsi="Times New Roman" w:cs="Times New Roman"/>
                <w:bCs/>
                <w:sz w:val="24"/>
                <w:szCs w:val="24"/>
                <w:lang w:eastAsia="lv-LV"/>
              </w:rPr>
              <w:t>Projekts šo jomu neskar</w:t>
            </w:r>
          </w:p>
        </w:tc>
      </w:tr>
    </w:tbl>
    <w:p w:rsidR="00894C55" w:rsidRPr="001B133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1B1335" w:rsidRPr="001B133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B133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B1335">
              <w:rPr>
                <w:rFonts w:ascii="Times New Roman" w:eastAsia="Times New Roman" w:hAnsi="Times New Roman" w:cs="Times New Roman"/>
                <w:b/>
                <w:bCs/>
                <w:sz w:val="24"/>
                <w:szCs w:val="24"/>
                <w:lang w:eastAsia="lv-LV"/>
              </w:rPr>
              <w:t>VII.</w:t>
            </w:r>
            <w:r w:rsidR="00816C11" w:rsidRPr="001B1335">
              <w:rPr>
                <w:rFonts w:ascii="Times New Roman" w:eastAsia="Times New Roman" w:hAnsi="Times New Roman" w:cs="Times New Roman"/>
                <w:b/>
                <w:bCs/>
                <w:sz w:val="24"/>
                <w:szCs w:val="24"/>
                <w:lang w:eastAsia="lv-LV"/>
              </w:rPr>
              <w:t> </w:t>
            </w:r>
            <w:r w:rsidRPr="001B1335">
              <w:rPr>
                <w:rFonts w:ascii="Times New Roman" w:eastAsia="Times New Roman" w:hAnsi="Times New Roman" w:cs="Times New Roman"/>
                <w:b/>
                <w:bCs/>
                <w:sz w:val="24"/>
                <w:szCs w:val="24"/>
                <w:lang w:eastAsia="lv-LV"/>
              </w:rPr>
              <w:t>Tiesību akta projekta izpildes nodrošināšana un tās ietekme uz institūcijām</w:t>
            </w:r>
          </w:p>
        </w:tc>
      </w:tr>
      <w:tr w:rsidR="001B1335" w:rsidRPr="001B133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B1335" w:rsidRDefault="00C3603D"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Ārlietu ministrija un Ekonomikas ministrija.</w:t>
                </w:r>
              </w:p>
            </w:tc>
          </w:sdtContent>
        </w:sdt>
      </w:tr>
      <w:tr w:rsidR="001B1335" w:rsidRPr="001B133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Projekta izpildes ietekme uz pārvaldes funkcijām un institucionālo struktūru.</w:t>
            </w:r>
          </w:p>
          <w:p w:rsidR="00894C55" w:rsidRPr="001B1335"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B1335" w:rsidRDefault="00C3603D" w:rsidP="00233C41">
                <w:pPr>
                  <w:spacing w:after="0" w:line="240" w:lineRule="auto"/>
                  <w:jc w:val="both"/>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Ar 2014. gada 1. augustu Ārlietu ministrija pārņēma Ekonomikas ministrijas funkcijas ārējās tirdzniecības politikas jautājumos, tāpēc nepieciešams arī Ārlietu ministriju noteikt kā atbildīgo ministriju par visu ES tirdzniecības nolīgumos paredzēto saistību izpildes koordinatoru Latvijā. Institūcijas, pamatojoties uz šo tiesību aktu, netiek izveidotas vai likvidētas.</w:t>
                </w:r>
              </w:p>
            </w:tc>
          </w:sdtContent>
        </w:sdt>
      </w:tr>
      <w:tr w:rsidR="001B1335" w:rsidRPr="001B133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B1335" w:rsidRDefault="00894C55" w:rsidP="00894C55">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B1335" w:rsidRDefault="00B45228" w:rsidP="00B45228">
                <w:pPr>
                  <w:spacing w:after="0" w:line="240" w:lineRule="auto"/>
                  <w:rPr>
                    <w:rFonts w:ascii="Times New Roman" w:eastAsia="Times New Roman" w:hAnsi="Times New Roman" w:cs="Times New Roman"/>
                    <w:sz w:val="24"/>
                    <w:szCs w:val="24"/>
                    <w:lang w:eastAsia="lv-LV"/>
                  </w:rPr>
                </w:pPr>
                <w:r w:rsidRPr="001B1335">
                  <w:rPr>
                    <w:rFonts w:ascii="Times New Roman" w:eastAsia="Times New Roman" w:hAnsi="Times New Roman" w:cs="Times New Roman"/>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A5619" w:rsidRPr="006578E1" w:rsidRDefault="008A5619" w:rsidP="008A5619">
      <w:pPr>
        <w:tabs>
          <w:tab w:val="left" w:pos="6237"/>
        </w:tabs>
        <w:spacing w:after="0" w:line="240" w:lineRule="auto"/>
        <w:rPr>
          <w:rFonts w:ascii="Times New Roman" w:hAnsi="Times New Roman" w:cs="Times New Roman"/>
          <w:sz w:val="24"/>
          <w:szCs w:val="24"/>
        </w:rPr>
      </w:pPr>
      <w:r w:rsidRPr="006578E1">
        <w:rPr>
          <w:rFonts w:ascii="Times New Roman" w:hAnsi="Times New Roman" w:cs="Times New Roman"/>
          <w:sz w:val="24"/>
          <w:szCs w:val="24"/>
        </w:rPr>
        <w:t xml:space="preserve">Ārlietu ministrs </w:t>
      </w:r>
      <w:r w:rsidRPr="006578E1">
        <w:rPr>
          <w:rFonts w:ascii="Times New Roman" w:hAnsi="Times New Roman" w:cs="Times New Roman"/>
          <w:sz w:val="24"/>
          <w:szCs w:val="24"/>
        </w:rPr>
        <w:tab/>
      </w:r>
      <w:r w:rsidRPr="006578E1">
        <w:rPr>
          <w:rFonts w:ascii="Times New Roman" w:hAnsi="Times New Roman" w:cs="Times New Roman"/>
          <w:sz w:val="24"/>
          <w:szCs w:val="24"/>
        </w:rPr>
        <w:tab/>
        <w:t xml:space="preserve">Edgars Rinkēvičs </w:t>
      </w:r>
    </w:p>
    <w:p w:rsidR="008A5619" w:rsidRPr="006578E1" w:rsidRDefault="008A5619" w:rsidP="008A5619">
      <w:pPr>
        <w:tabs>
          <w:tab w:val="left" w:pos="6237"/>
        </w:tabs>
        <w:spacing w:after="0" w:line="240" w:lineRule="auto"/>
        <w:ind w:firstLine="720"/>
        <w:rPr>
          <w:rFonts w:ascii="Times New Roman" w:hAnsi="Times New Roman" w:cs="Times New Roman"/>
          <w:sz w:val="24"/>
          <w:szCs w:val="24"/>
        </w:rPr>
      </w:pPr>
    </w:p>
    <w:p w:rsidR="008A5619" w:rsidRPr="006578E1" w:rsidRDefault="008A5619" w:rsidP="008A5619">
      <w:pPr>
        <w:tabs>
          <w:tab w:val="left" w:pos="6237"/>
        </w:tabs>
        <w:spacing w:after="0" w:line="240" w:lineRule="auto"/>
        <w:ind w:firstLine="720"/>
        <w:rPr>
          <w:rFonts w:ascii="Times New Roman" w:hAnsi="Times New Roman" w:cs="Times New Roman"/>
          <w:sz w:val="24"/>
          <w:szCs w:val="24"/>
        </w:rPr>
      </w:pPr>
    </w:p>
    <w:p w:rsidR="008A5619" w:rsidRPr="006578E1" w:rsidRDefault="008A5619" w:rsidP="008A5619">
      <w:pPr>
        <w:tabs>
          <w:tab w:val="left" w:pos="6237"/>
        </w:tabs>
        <w:spacing w:after="0" w:line="240" w:lineRule="auto"/>
        <w:rPr>
          <w:rFonts w:ascii="Times New Roman" w:hAnsi="Times New Roman" w:cs="Times New Roman"/>
          <w:sz w:val="24"/>
          <w:szCs w:val="24"/>
        </w:rPr>
      </w:pPr>
      <w:r w:rsidRPr="006578E1">
        <w:rPr>
          <w:rFonts w:ascii="Times New Roman" w:hAnsi="Times New Roman" w:cs="Times New Roman"/>
          <w:sz w:val="24"/>
          <w:szCs w:val="24"/>
        </w:rPr>
        <w:t xml:space="preserve">Vīza: Valsts sekretārs </w:t>
      </w:r>
      <w:r w:rsidRPr="006578E1">
        <w:rPr>
          <w:rFonts w:ascii="Times New Roman" w:hAnsi="Times New Roman" w:cs="Times New Roman"/>
          <w:sz w:val="24"/>
          <w:szCs w:val="24"/>
        </w:rPr>
        <w:tab/>
      </w:r>
      <w:r w:rsidRPr="006578E1">
        <w:rPr>
          <w:rFonts w:ascii="Times New Roman" w:hAnsi="Times New Roman" w:cs="Times New Roman"/>
          <w:sz w:val="24"/>
          <w:szCs w:val="24"/>
        </w:rPr>
        <w:tab/>
        <w:t>Andrejs Pildegovičs</w:t>
      </w:r>
    </w:p>
    <w:p w:rsidR="008A5619" w:rsidRPr="008A5619" w:rsidRDefault="008A5619" w:rsidP="008A5619">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60E4" w:rsidRDefault="00894C55" w:rsidP="00894C55">
      <w:pPr>
        <w:tabs>
          <w:tab w:val="left" w:pos="6237"/>
        </w:tabs>
        <w:spacing w:after="0" w:line="240" w:lineRule="auto"/>
        <w:ind w:firstLine="720"/>
        <w:rPr>
          <w:rFonts w:ascii="Times New Roman" w:hAnsi="Times New Roman" w:cs="Times New Roman"/>
          <w:sz w:val="28"/>
          <w:szCs w:val="28"/>
        </w:rPr>
      </w:pPr>
    </w:p>
    <w:p w:rsidR="00C30DCC" w:rsidRPr="00C30DCC" w:rsidRDefault="003E5804" w:rsidP="00C30DCC">
      <w:pPr>
        <w:tabs>
          <w:tab w:val="left" w:pos="18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 </w:t>
      </w:r>
      <w:bookmarkStart w:id="1" w:name="_GoBack"/>
      <w:bookmarkEnd w:id="1"/>
      <w:proofErr w:type="spellStart"/>
      <w:r w:rsidR="00C30DCC" w:rsidRPr="00C30DCC">
        <w:rPr>
          <w:rFonts w:ascii="Times New Roman" w:hAnsi="Times New Roman" w:cs="Times New Roman"/>
          <w:bCs/>
          <w:sz w:val="20"/>
          <w:szCs w:val="20"/>
        </w:rPr>
        <w:t>Veiķeniece</w:t>
      </w:r>
      <w:proofErr w:type="spellEnd"/>
      <w:r w:rsidR="00C30DCC" w:rsidRPr="00C30DCC">
        <w:rPr>
          <w:rFonts w:ascii="Times New Roman" w:hAnsi="Times New Roman" w:cs="Times New Roman"/>
          <w:bCs/>
          <w:sz w:val="20"/>
          <w:szCs w:val="20"/>
        </w:rPr>
        <w:t>, 67016412</w:t>
      </w:r>
    </w:p>
    <w:p w:rsidR="00C30DCC" w:rsidRPr="00C30DCC" w:rsidRDefault="003E5804" w:rsidP="00C30DCC">
      <w:pPr>
        <w:tabs>
          <w:tab w:val="left" w:pos="180"/>
        </w:tabs>
        <w:spacing w:after="0" w:line="240" w:lineRule="auto"/>
        <w:rPr>
          <w:rFonts w:ascii="Times New Roman" w:hAnsi="Times New Roman" w:cs="Times New Roman"/>
          <w:bCs/>
          <w:sz w:val="20"/>
          <w:szCs w:val="20"/>
        </w:rPr>
      </w:pPr>
      <w:hyperlink r:id="rId7" w:history="1">
        <w:r w:rsidR="00C30DCC" w:rsidRPr="00C30DCC">
          <w:rPr>
            <w:rStyle w:val="Hyperlink"/>
            <w:rFonts w:ascii="Times New Roman" w:hAnsi="Times New Roman" w:cs="Times New Roman"/>
            <w:bCs/>
            <w:sz w:val="20"/>
            <w:szCs w:val="20"/>
          </w:rPr>
          <w:t>marta.veikeniece@mfa.gov.lv</w:t>
        </w:r>
      </w:hyperlink>
      <w:r w:rsidR="00C30DCC" w:rsidRPr="00C30DCC">
        <w:rPr>
          <w:rFonts w:ascii="Times New Roman" w:hAnsi="Times New Roman" w:cs="Times New Roman"/>
          <w:bCs/>
          <w:sz w:val="20"/>
          <w:szCs w:val="20"/>
        </w:rPr>
        <w:t xml:space="preserve"> </w:t>
      </w:r>
    </w:p>
    <w:p w:rsidR="00C30DCC" w:rsidRPr="00BE5ABD" w:rsidRDefault="00C30DCC" w:rsidP="00C30DCC">
      <w:pPr>
        <w:ind w:firstLine="720"/>
        <w:jc w:val="both"/>
        <w:rPr>
          <w:szCs w:val="28"/>
        </w:rPr>
      </w:pPr>
    </w:p>
    <w:p w:rsidR="00894C55" w:rsidRPr="008A5619" w:rsidRDefault="00894C55" w:rsidP="00C30DCC">
      <w:pPr>
        <w:tabs>
          <w:tab w:val="left" w:pos="6237"/>
        </w:tabs>
        <w:spacing w:after="0" w:line="240" w:lineRule="auto"/>
        <w:rPr>
          <w:rFonts w:ascii="Times New Roman" w:hAnsi="Times New Roman" w:cs="Times New Roman"/>
          <w:color w:val="FF0000"/>
          <w:sz w:val="24"/>
          <w:szCs w:val="28"/>
        </w:rPr>
      </w:pPr>
    </w:p>
    <w:sectPr w:rsidR="00894C55" w:rsidRPr="008A5619" w:rsidSect="005E50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C0" w:rsidRDefault="003C76C0" w:rsidP="00894C55">
      <w:pPr>
        <w:spacing w:after="0" w:line="240" w:lineRule="auto"/>
      </w:pPr>
      <w:r>
        <w:separator/>
      </w:r>
    </w:p>
  </w:endnote>
  <w:endnote w:type="continuationSeparator" w:id="0">
    <w:p w:rsidR="003C76C0" w:rsidRDefault="003C76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64" w:rsidRDefault="009F0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C360E4" w:rsidRDefault="008A5619" w:rsidP="00C360E4">
    <w:pPr>
      <w:spacing w:after="0" w:line="240" w:lineRule="auto"/>
      <w:jc w:val="both"/>
      <w:rPr>
        <w:rFonts w:ascii="Times New Roman" w:eastAsia="Times New Roman" w:hAnsi="Times New Roman" w:cs="Times New Roman"/>
        <w:bCs/>
        <w:sz w:val="20"/>
        <w:szCs w:val="20"/>
        <w:lang w:eastAsia="lv-LV"/>
      </w:rPr>
    </w:pPr>
    <w:r w:rsidRPr="00C360E4">
      <w:rPr>
        <w:rFonts w:ascii="Times New Roman" w:hAnsi="Times New Roman" w:cs="Times New Roman"/>
        <w:sz w:val="20"/>
        <w:szCs w:val="20"/>
      </w:rPr>
      <w:t>AMA</w:t>
    </w:r>
    <w:r w:rsidR="009F0264">
      <w:rPr>
        <w:rFonts w:ascii="Times New Roman" w:hAnsi="Times New Roman" w:cs="Times New Roman"/>
        <w:sz w:val="20"/>
        <w:szCs w:val="20"/>
      </w:rPr>
      <w:t>anot_15</w:t>
    </w:r>
    <w:r w:rsidR="00C360E4" w:rsidRPr="00C360E4">
      <w:rPr>
        <w:rFonts w:ascii="Times New Roman" w:hAnsi="Times New Roman" w:cs="Times New Roman"/>
        <w:sz w:val="20"/>
        <w:szCs w:val="20"/>
      </w:rPr>
      <w:t>0</w:t>
    </w:r>
    <w:r w:rsidR="009F0264">
      <w:rPr>
        <w:rFonts w:ascii="Times New Roman" w:hAnsi="Times New Roman" w:cs="Times New Roman"/>
        <w:sz w:val="20"/>
        <w:szCs w:val="20"/>
      </w:rPr>
      <w:t>520</w:t>
    </w:r>
    <w:r w:rsidR="00C360E4" w:rsidRPr="00C360E4">
      <w:rPr>
        <w:rFonts w:ascii="Times New Roman" w:hAnsi="Times New Roman" w:cs="Times New Roman"/>
        <w:sz w:val="20"/>
        <w:szCs w:val="20"/>
      </w:rPr>
      <w:t>17</w:t>
    </w:r>
    <w:r w:rsidRPr="00C360E4">
      <w:rPr>
        <w:rFonts w:ascii="Times New Roman" w:hAnsi="Times New Roman" w:cs="Times New Roman"/>
        <w:sz w:val="20"/>
        <w:szCs w:val="20"/>
      </w:rPr>
      <w:t>_</w:t>
    </w:r>
    <w:r w:rsidR="00C360E4" w:rsidRPr="00C360E4">
      <w:rPr>
        <w:rFonts w:ascii="Times New Roman" w:hAnsi="Times New Roman" w:cs="Times New Roman"/>
        <w:sz w:val="20"/>
        <w:szCs w:val="20"/>
      </w:rPr>
      <w:t xml:space="preserve">Kolumbija_Peru: </w:t>
    </w:r>
    <w:r w:rsidR="00C360E4" w:rsidRPr="00C360E4">
      <w:rPr>
        <w:rFonts w:ascii="Times New Roman" w:eastAsia="Times New Roman" w:hAnsi="Times New Roman" w:cs="Times New Roman"/>
        <w:bCs/>
        <w:sz w:val="20"/>
        <w:szCs w:val="20"/>
        <w:lang w:eastAsia="lv-LV"/>
      </w:rPr>
      <w:t>Likumprojekta “</w:t>
    </w:r>
    <w:r w:rsidR="002C2C30" w:rsidRPr="00C360E4">
      <w:rPr>
        <w:rFonts w:ascii="Times New Roman" w:eastAsia="Times New Roman" w:hAnsi="Times New Roman" w:cs="Times New Roman"/>
        <w:bCs/>
        <w:sz w:val="20"/>
        <w:szCs w:val="20"/>
        <w:lang w:eastAsia="lv-LV"/>
      </w:rPr>
      <w:t>Grozījum</w:t>
    </w:r>
    <w:r w:rsidR="002C2C30">
      <w:rPr>
        <w:rFonts w:ascii="Times New Roman" w:eastAsia="Times New Roman" w:hAnsi="Times New Roman" w:cs="Times New Roman"/>
        <w:bCs/>
        <w:sz w:val="20"/>
        <w:szCs w:val="20"/>
        <w:lang w:eastAsia="lv-LV"/>
      </w:rPr>
      <w:t>s</w:t>
    </w:r>
    <w:r w:rsidR="002C2C30" w:rsidRPr="00C360E4">
      <w:rPr>
        <w:rFonts w:ascii="Times New Roman" w:eastAsia="Times New Roman" w:hAnsi="Times New Roman" w:cs="Times New Roman"/>
        <w:bCs/>
        <w:sz w:val="20"/>
        <w:szCs w:val="20"/>
        <w:lang w:eastAsia="lv-LV"/>
      </w:rPr>
      <w:t xml:space="preserve"> </w:t>
    </w:r>
    <w:r w:rsidR="00C360E4" w:rsidRPr="00C360E4">
      <w:rPr>
        <w:rFonts w:ascii="Times New Roman" w:eastAsia="Times New Roman" w:hAnsi="Times New Roman" w:cs="Times New Roman"/>
        <w:bCs/>
        <w:sz w:val="20"/>
        <w:szCs w:val="20"/>
        <w:lang w:eastAsia="lv-LV"/>
      </w:rPr>
      <w:t>likumā “Par Tirdzniecības nolīgumu starp Eiropas Savienību un tās dalībvalstīm, no vienas puses, un Kolumbiju un Peru, no otras puses”” sākotnējās ietekmes novērtējuma ziņojums (anotācija)</w:t>
    </w:r>
  </w:p>
  <w:p w:rsidR="00894C55" w:rsidRPr="00C360E4" w:rsidRDefault="00894C55" w:rsidP="008A5619">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E4" w:rsidRPr="00C360E4" w:rsidRDefault="009F0264" w:rsidP="00C360E4">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AMAanot_150520</w:t>
    </w:r>
    <w:r w:rsidR="00C360E4" w:rsidRPr="00C360E4">
      <w:rPr>
        <w:rFonts w:ascii="Times New Roman" w:hAnsi="Times New Roman" w:cs="Times New Roman"/>
        <w:sz w:val="20"/>
        <w:szCs w:val="20"/>
      </w:rPr>
      <w:t xml:space="preserve">17_Kolumbija_Peru: </w:t>
    </w:r>
    <w:r w:rsidR="00C360E4" w:rsidRPr="00C360E4">
      <w:rPr>
        <w:rFonts w:ascii="Times New Roman" w:eastAsia="Times New Roman" w:hAnsi="Times New Roman" w:cs="Times New Roman"/>
        <w:bCs/>
        <w:sz w:val="20"/>
        <w:szCs w:val="20"/>
        <w:lang w:eastAsia="lv-LV"/>
      </w:rPr>
      <w:t>Likumprojekta “</w:t>
    </w:r>
    <w:r w:rsidR="002C2C30" w:rsidRPr="00C360E4">
      <w:rPr>
        <w:rFonts w:ascii="Times New Roman" w:eastAsia="Times New Roman" w:hAnsi="Times New Roman" w:cs="Times New Roman"/>
        <w:bCs/>
        <w:sz w:val="20"/>
        <w:szCs w:val="20"/>
        <w:lang w:eastAsia="lv-LV"/>
      </w:rPr>
      <w:t>Grozījum</w:t>
    </w:r>
    <w:r w:rsidR="002C2C30">
      <w:rPr>
        <w:rFonts w:ascii="Times New Roman" w:eastAsia="Times New Roman" w:hAnsi="Times New Roman" w:cs="Times New Roman"/>
        <w:bCs/>
        <w:sz w:val="20"/>
        <w:szCs w:val="20"/>
        <w:lang w:eastAsia="lv-LV"/>
      </w:rPr>
      <w:t>s</w:t>
    </w:r>
    <w:r w:rsidR="002C2C30" w:rsidRPr="00C360E4">
      <w:rPr>
        <w:rFonts w:ascii="Times New Roman" w:eastAsia="Times New Roman" w:hAnsi="Times New Roman" w:cs="Times New Roman"/>
        <w:bCs/>
        <w:sz w:val="20"/>
        <w:szCs w:val="20"/>
        <w:lang w:eastAsia="lv-LV"/>
      </w:rPr>
      <w:t xml:space="preserve"> </w:t>
    </w:r>
    <w:r w:rsidR="00C360E4" w:rsidRPr="00C360E4">
      <w:rPr>
        <w:rFonts w:ascii="Times New Roman" w:eastAsia="Times New Roman" w:hAnsi="Times New Roman" w:cs="Times New Roman"/>
        <w:bCs/>
        <w:sz w:val="20"/>
        <w:szCs w:val="20"/>
        <w:lang w:eastAsia="lv-LV"/>
      </w:rPr>
      <w:t>likumā “Par Tirdzniecības nolīgumu starp Eiropas Savienību un tās dalībvalstīm, no vienas puses, un Kolumbiju un Peru, no otras puses”” sākotnējās ietekmes novērtējuma ziņojums (anotācija)</w:t>
    </w:r>
  </w:p>
  <w:p w:rsidR="005E5000" w:rsidRPr="00C360E4" w:rsidRDefault="005E5000" w:rsidP="00C3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C0" w:rsidRDefault="003C76C0" w:rsidP="00894C55">
      <w:pPr>
        <w:spacing w:after="0" w:line="240" w:lineRule="auto"/>
      </w:pPr>
      <w:r>
        <w:separator/>
      </w:r>
    </w:p>
  </w:footnote>
  <w:footnote w:type="continuationSeparator" w:id="0">
    <w:p w:rsidR="003C76C0" w:rsidRDefault="003C76C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64" w:rsidRDefault="009F0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580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64" w:rsidRDefault="009F0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A5F4F"/>
    <w:rsid w:val="001B1335"/>
    <w:rsid w:val="00207C3A"/>
    <w:rsid w:val="00233C41"/>
    <w:rsid w:val="00243426"/>
    <w:rsid w:val="002C2C30"/>
    <w:rsid w:val="003B0BF9"/>
    <w:rsid w:val="003C76C0"/>
    <w:rsid w:val="003E0791"/>
    <w:rsid w:val="003E5804"/>
    <w:rsid w:val="003F28AC"/>
    <w:rsid w:val="004454FE"/>
    <w:rsid w:val="00467520"/>
    <w:rsid w:val="00471F27"/>
    <w:rsid w:val="00481F51"/>
    <w:rsid w:val="004A3A9F"/>
    <w:rsid w:val="0050178F"/>
    <w:rsid w:val="005E5000"/>
    <w:rsid w:val="0060099B"/>
    <w:rsid w:val="006064B4"/>
    <w:rsid w:val="006578E1"/>
    <w:rsid w:val="006E1081"/>
    <w:rsid w:val="00720585"/>
    <w:rsid w:val="00733C1B"/>
    <w:rsid w:val="00755049"/>
    <w:rsid w:val="00773AF6"/>
    <w:rsid w:val="007D0881"/>
    <w:rsid w:val="00816C11"/>
    <w:rsid w:val="00894C55"/>
    <w:rsid w:val="008A5619"/>
    <w:rsid w:val="00975424"/>
    <w:rsid w:val="009F0264"/>
    <w:rsid w:val="00AE5567"/>
    <w:rsid w:val="00B2165C"/>
    <w:rsid w:val="00B45228"/>
    <w:rsid w:val="00BD4425"/>
    <w:rsid w:val="00C25B49"/>
    <w:rsid w:val="00C30DCC"/>
    <w:rsid w:val="00C3603D"/>
    <w:rsid w:val="00C360E4"/>
    <w:rsid w:val="00CE5657"/>
    <w:rsid w:val="00DB4949"/>
    <w:rsid w:val="00DC056C"/>
    <w:rsid w:val="00E90C01"/>
    <w:rsid w:val="00EA192E"/>
    <w:rsid w:val="00EA486E"/>
    <w:rsid w:val="00F57B0C"/>
    <w:rsid w:val="00FD1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371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ta.veikeniece@mfa.gov.lv"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D7626"/>
    <w:rsid w:val="00344186"/>
    <w:rsid w:val="00472F39"/>
    <w:rsid w:val="00523A63"/>
    <w:rsid w:val="006C35E0"/>
    <w:rsid w:val="008B623B"/>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A9FD9C9044F430B994D1F5A61A029F4">
    <w:name w:val="0A9FD9C9044F430B994D1F5A61A029F4"/>
    <w:rsid w:val="006C35E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2166</Words>
  <Characters>1235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Marta Veikeniece</cp:lastModifiedBy>
  <cp:revision>7</cp:revision>
  <cp:lastPrinted>2017-03-21T09:24:00Z</cp:lastPrinted>
  <dcterms:created xsi:type="dcterms:W3CDTF">2017-03-21T09:24:00Z</dcterms:created>
  <dcterms:modified xsi:type="dcterms:W3CDTF">2017-05-16T12:50:00Z</dcterms:modified>
</cp:coreProperties>
</file>