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56C72" w14:textId="77777777" w:rsidR="00D63706" w:rsidRPr="00DC6F66" w:rsidRDefault="00D63706" w:rsidP="00EA43B2">
      <w:pPr>
        <w:spacing w:after="0" w:line="240" w:lineRule="auto"/>
        <w:jc w:val="center"/>
        <w:rPr>
          <w:rFonts w:ascii="Times New Roman" w:eastAsia="Times New Roman" w:hAnsi="Times New Roman" w:cs="Times New Roman"/>
          <w:b/>
          <w:sz w:val="30"/>
          <w:szCs w:val="30"/>
          <w:lang w:eastAsia="zh-CN"/>
        </w:rPr>
      </w:pPr>
      <w:r w:rsidRPr="00DC6F66">
        <w:rPr>
          <w:rFonts w:ascii="Times New Roman" w:eastAsia="Times New Roman" w:hAnsi="Times New Roman" w:cs="Times New Roman"/>
          <w:b/>
          <w:sz w:val="30"/>
          <w:szCs w:val="30"/>
          <w:lang w:eastAsia="zh-CN"/>
        </w:rPr>
        <w:t>Informatīvais ziņojums</w:t>
      </w:r>
    </w:p>
    <w:p w14:paraId="6E6E16CC" w14:textId="2738D389" w:rsidR="005404EE" w:rsidRDefault="00C87122" w:rsidP="005404EE">
      <w:pPr>
        <w:pStyle w:val="Footer"/>
        <w:spacing w:after="120"/>
        <w:jc w:val="center"/>
      </w:pPr>
      <w:r w:rsidRPr="00DC6F66">
        <w:rPr>
          <w:b/>
          <w:sz w:val="30"/>
          <w:szCs w:val="30"/>
        </w:rPr>
        <w:t>“</w:t>
      </w:r>
      <w:r w:rsidR="00BA011F" w:rsidRPr="00DC6F66">
        <w:rPr>
          <w:b/>
          <w:sz w:val="30"/>
          <w:szCs w:val="30"/>
        </w:rPr>
        <w:t xml:space="preserve">Par valsts līdzdalību valsts akciju sabiedrībā “Privatizācijas aģentūra” un </w:t>
      </w:r>
      <w:bookmarkStart w:id="0" w:name="_Toc467497970"/>
      <w:bookmarkStart w:id="1" w:name="_Toc468286048"/>
      <w:bookmarkStart w:id="2" w:name="_Toc468974756"/>
      <w:r w:rsidR="005404EE" w:rsidRPr="00DC6F66">
        <w:rPr>
          <w:b/>
          <w:sz w:val="30"/>
          <w:szCs w:val="30"/>
        </w:rPr>
        <w:t>tās vispārējo stratēģisko mērķi”</w:t>
      </w:r>
    </w:p>
    <w:p w14:paraId="6D8917F0" w14:textId="1E375838" w:rsidR="005404EE" w:rsidRPr="005404EE" w:rsidRDefault="005404EE" w:rsidP="005404EE">
      <w:pPr>
        <w:spacing w:after="0" w:line="240" w:lineRule="auto"/>
        <w:ind w:right="-29"/>
        <w:rPr>
          <w:rFonts w:ascii="Times New Roman" w:hAnsi="Times New Roman" w:cs="Times New Roman"/>
          <w:b/>
          <w:sz w:val="24"/>
          <w:szCs w:val="24"/>
        </w:rPr>
      </w:pPr>
      <w:r w:rsidRPr="005404EE">
        <w:rPr>
          <w:rFonts w:ascii="Times New Roman" w:hAnsi="Times New Roman" w:cs="Times New Roman"/>
          <w:b/>
          <w:sz w:val="24"/>
          <w:szCs w:val="24"/>
        </w:rPr>
        <w:t>SATURS</w:t>
      </w:r>
    </w:p>
    <w:p w14:paraId="22AE89E8" w14:textId="68E0A13F" w:rsidR="005404EE" w:rsidRPr="005404EE" w:rsidRDefault="005404EE" w:rsidP="005404EE">
      <w:pPr>
        <w:pStyle w:val="TOC1"/>
        <w:tabs>
          <w:tab w:val="right" w:leader="dot" w:pos="9884"/>
        </w:tabs>
        <w:spacing w:before="0" w:after="0" w:line="240" w:lineRule="auto"/>
        <w:rPr>
          <w:rFonts w:ascii="Times New Roman" w:eastAsiaTheme="minorEastAsia" w:hAnsi="Times New Roman" w:cs="Times New Roman"/>
          <w:b w:val="0"/>
          <w:bCs w:val="0"/>
          <w:caps w:val="0"/>
          <w:noProof/>
          <w:sz w:val="24"/>
          <w:szCs w:val="24"/>
          <w:lang w:eastAsia="lv-LV"/>
        </w:rPr>
      </w:pPr>
      <w:r w:rsidRPr="005404EE">
        <w:rPr>
          <w:rFonts w:ascii="Times New Roman" w:hAnsi="Times New Roman" w:cs="Times New Roman"/>
          <w:sz w:val="24"/>
          <w:szCs w:val="24"/>
        </w:rPr>
        <w:fldChar w:fldCharType="begin"/>
      </w:r>
      <w:r w:rsidRPr="005404EE">
        <w:rPr>
          <w:rFonts w:ascii="Times New Roman" w:hAnsi="Times New Roman" w:cs="Times New Roman"/>
          <w:sz w:val="24"/>
          <w:szCs w:val="24"/>
        </w:rPr>
        <w:instrText xml:space="preserve"> TOC \o "1-3" \h \z \u </w:instrText>
      </w:r>
      <w:r w:rsidRPr="005404EE">
        <w:rPr>
          <w:rFonts w:ascii="Times New Roman" w:hAnsi="Times New Roman" w:cs="Times New Roman"/>
          <w:sz w:val="24"/>
          <w:szCs w:val="24"/>
        </w:rPr>
        <w:fldChar w:fldCharType="separate"/>
      </w:r>
      <w:hyperlink w:anchor="_Toc482084795" w:history="1">
        <w:r w:rsidRPr="005404EE">
          <w:rPr>
            <w:rStyle w:val="Hyperlink"/>
            <w:rFonts w:ascii="Times New Roman" w:hAnsi="Times New Roman" w:cs="Times New Roman"/>
            <w:noProof/>
            <w:sz w:val="24"/>
            <w:szCs w:val="24"/>
          </w:rPr>
          <w:t>Ievads</w:t>
        </w:r>
        <w:r w:rsidRPr="005404EE">
          <w:rPr>
            <w:rFonts w:ascii="Times New Roman" w:hAnsi="Times New Roman" w:cs="Times New Roman"/>
            <w:noProof/>
            <w:webHidden/>
            <w:sz w:val="24"/>
            <w:szCs w:val="24"/>
          </w:rPr>
          <w:tab/>
        </w:r>
        <w:r w:rsidRPr="005404EE">
          <w:rPr>
            <w:rFonts w:ascii="Times New Roman" w:hAnsi="Times New Roman" w:cs="Times New Roman"/>
            <w:noProof/>
            <w:webHidden/>
            <w:sz w:val="24"/>
            <w:szCs w:val="24"/>
          </w:rPr>
          <w:fldChar w:fldCharType="begin"/>
        </w:r>
        <w:r w:rsidRPr="005404EE">
          <w:rPr>
            <w:rFonts w:ascii="Times New Roman" w:hAnsi="Times New Roman" w:cs="Times New Roman"/>
            <w:noProof/>
            <w:webHidden/>
            <w:sz w:val="24"/>
            <w:szCs w:val="24"/>
          </w:rPr>
          <w:instrText xml:space="preserve"> PAGEREF _Toc482084795 \h </w:instrText>
        </w:r>
        <w:r w:rsidRPr="005404EE">
          <w:rPr>
            <w:rFonts w:ascii="Times New Roman" w:hAnsi="Times New Roman" w:cs="Times New Roman"/>
            <w:noProof/>
            <w:webHidden/>
            <w:sz w:val="24"/>
            <w:szCs w:val="24"/>
          </w:rPr>
        </w:r>
        <w:r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2</w:t>
        </w:r>
        <w:r w:rsidRPr="005404EE">
          <w:rPr>
            <w:rFonts w:ascii="Times New Roman" w:hAnsi="Times New Roman" w:cs="Times New Roman"/>
            <w:noProof/>
            <w:webHidden/>
            <w:sz w:val="24"/>
            <w:szCs w:val="24"/>
          </w:rPr>
          <w:fldChar w:fldCharType="end"/>
        </w:r>
      </w:hyperlink>
    </w:p>
    <w:p w14:paraId="1CED5017" w14:textId="3B194283" w:rsidR="005404EE" w:rsidRPr="005404EE" w:rsidRDefault="00F21AC2" w:rsidP="005404EE">
      <w:pPr>
        <w:pStyle w:val="TOC1"/>
        <w:tabs>
          <w:tab w:val="left" w:pos="440"/>
          <w:tab w:val="right" w:leader="dot" w:pos="9884"/>
        </w:tabs>
        <w:spacing w:before="0" w:after="0" w:line="240" w:lineRule="auto"/>
        <w:rPr>
          <w:rFonts w:ascii="Times New Roman" w:eastAsiaTheme="minorEastAsia" w:hAnsi="Times New Roman" w:cs="Times New Roman"/>
          <w:b w:val="0"/>
          <w:bCs w:val="0"/>
          <w:caps w:val="0"/>
          <w:noProof/>
          <w:sz w:val="24"/>
          <w:szCs w:val="24"/>
          <w:lang w:eastAsia="lv-LV"/>
        </w:rPr>
      </w:pPr>
      <w:hyperlink w:anchor="_Toc482084796" w:history="1">
        <w:r w:rsidR="005404EE" w:rsidRPr="005404EE">
          <w:rPr>
            <w:rStyle w:val="Hyperlink"/>
            <w:rFonts w:ascii="Times New Roman" w:hAnsi="Times New Roman" w:cs="Times New Roman"/>
            <w:noProof/>
            <w:sz w:val="24"/>
            <w:szCs w:val="24"/>
          </w:rPr>
          <w:t>1.</w:t>
        </w:r>
        <w:r w:rsidR="005404EE" w:rsidRPr="005404EE">
          <w:rPr>
            <w:rFonts w:ascii="Times New Roman" w:eastAsiaTheme="minorEastAsia" w:hAnsi="Times New Roman" w:cs="Times New Roman"/>
            <w:b w:val="0"/>
            <w:bCs w:val="0"/>
            <w:caps w:val="0"/>
            <w:noProof/>
            <w:sz w:val="24"/>
            <w:szCs w:val="24"/>
            <w:lang w:eastAsia="lv-LV"/>
          </w:rPr>
          <w:tab/>
        </w:r>
        <w:r w:rsidR="005404EE" w:rsidRPr="005404EE">
          <w:rPr>
            <w:rStyle w:val="Hyperlink"/>
            <w:rFonts w:ascii="Times New Roman" w:hAnsi="Times New Roman" w:cs="Times New Roman"/>
            <w:noProof/>
            <w:sz w:val="24"/>
            <w:szCs w:val="24"/>
          </w:rPr>
          <w:t>Situācijas apraksts</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_Toc482084796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2</w:t>
        </w:r>
        <w:r w:rsidR="005404EE" w:rsidRPr="005404EE">
          <w:rPr>
            <w:rFonts w:ascii="Times New Roman" w:hAnsi="Times New Roman" w:cs="Times New Roman"/>
            <w:noProof/>
            <w:webHidden/>
            <w:sz w:val="24"/>
            <w:szCs w:val="24"/>
          </w:rPr>
          <w:fldChar w:fldCharType="end"/>
        </w:r>
      </w:hyperlink>
    </w:p>
    <w:p w14:paraId="57264EC8" w14:textId="0C65EE28" w:rsidR="005404EE" w:rsidRPr="005404EE" w:rsidRDefault="00F21AC2" w:rsidP="005404EE">
      <w:pPr>
        <w:pStyle w:val="TOC2"/>
        <w:tabs>
          <w:tab w:val="left" w:pos="880"/>
          <w:tab w:val="right" w:leader="dot" w:pos="9884"/>
        </w:tabs>
        <w:spacing w:line="240" w:lineRule="auto"/>
        <w:rPr>
          <w:rFonts w:ascii="Times New Roman" w:eastAsiaTheme="minorEastAsia" w:hAnsi="Times New Roman" w:cs="Times New Roman"/>
          <w:smallCaps w:val="0"/>
          <w:noProof/>
          <w:sz w:val="24"/>
          <w:szCs w:val="24"/>
          <w:lang w:eastAsia="lv-LV"/>
        </w:rPr>
      </w:pPr>
      <w:hyperlink w:anchor="_Toc482084797" w:history="1">
        <w:r w:rsidR="005404EE" w:rsidRPr="005404EE">
          <w:rPr>
            <w:rStyle w:val="Hyperlink"/>
            <w:rFonts w:ascii="Times New Roman" w:hAnsi="Times New Roman" w:cs="Times New Roman"/>
            <w:noProof/>
            <w:sz w:val="24"/>
            <w:szCs w:val="24"/>
          </w:rPr>
          <w:t>1.1.</w:t>
        </w:r>
        <w:r w:rsidR="005404EE" w:rsidRPr="005404EE">
          <w:rPr>
            <w:rFonts w:ascii="Times New Roman" w:eastAsiaTheme="minorEastAsia" w:hAnsi="Times New Roman" w:cs="Times New Roman"/>
            <w:smallCaps w:val="0"/>
            <w:noProof/>
            <w:sz w:val="24"/>
            <w:szCs w:val="24"/>
            <w:lang w:eastAsia="lv-LV"/>
          </w:rPr>
          <w:tab/>
        </w:r>
        <w:r w:rsidR="005404EE" w:rsidRPr="005404EE">
          <w:rPr>
            <w:rStyle w:val="Hyperlink"/>
            <w:rFonts w:ascii="Times New Roman" w:hAnsi="Times New Roman" w:cs="Times New Roman"/>
            <w:noProof/>
            <w:sz w:val="24"/>
            <w:szCs w:val="24"/>
          </w:rPr>
          <w:t>Sabiedrībai deleģētie valsts pārvaldes uzdevumi un Ministru kabineta doti uzdevumi</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_Toc482084797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2</w:t>
        </w:r>
        <w:r w:rsidR="005404EE" w:rsidRPr="005404EE">
          <w:rPr>
            <w:rFonts w:ascii="Times New Roman" w:hAnsi="Times New Roman" w:cs="Times New Roman"/>
            <w:noProof/>
            <w:webHidden/>
            <w:sz w:val="24"/>
            <w:szCs w:val="24"/>
          </w:rPr>
          <w:fldChar w:fldCharType="end"/>
        </w:r>
      </w:hyperlink>
    </w:p>
    <w:p w14:paraId="73A932FB" w14:textId="36428304" w:rsidR="005404EE" w:rsidRPr="005404EE" w:rsidRDefault="00F21AC2" w:rsidP="005404EE">
      <w:pPr>
        <w:pStyle w:val="TOC2"/>
        <w:tabs>
          <w:tab w:val="left" w:pos="880"/>
          <w:tab w:val="right" w:leader="dot" w:pos="9884"/>
        </w:tabs>
        <w:spacing w:line="240" w:lineRule="auto"/>
        <w:rPr>
          <w:rFonts w:ascii="Times New Roman" w:eastAsiaTheme="minorEastAsia" w:hAnsi="Times New Roman" w:cs="Times New Roman"/>
          <w:smallCaps w:val="0"/>
          <w:noProof/>
          <w:sz w:val="24"/>
          <w:szCs w:val="24"/>
          <w:lang w:eastAsia="lv-LV"/>
        </w:rPr>
      </w:pPr>
      <w:hyperlink w:anchor="_Toc482084798" w:history="1">
        <w:r w:rsidR="005404EE" w:rsidRPr="005404EE">
          <w:rPr>
            <w:rStyle w:val="Hyperlink"/>
            <w:rFonts w:ascii="Times New Roman" w:hAnsi="Times New Roman" w:cs="Times New Roman"/>
            <w:noProof/>
            <w:sz w:val="24"/>
            <w:szCs w:val="24"/>
          </w:rPr>
          <w:t>1.2.</w:t>
        </w:r>
        <w:r w:rsidR="005404EE" w:rsidRPr="005404EE">
          <w:rPr>
            <w:rFonts w:ascii="Times New Roman" w:eastAsiaTheme="minorEastAsia" w:hAnsi="Times New Roman" w:cs="Times New Roman"/>
            <w:smallCaps w:val="0"/>
            <w:noProof/>
            <w:sz w:val="24"/>
            <w:szCs w:val="24"/>
            <w:lang w:eastAsia="lv-LV"/>
          </w:rPr>
          <w:tab/>
        </w:r>
        <w:r w:rsidR="005404EE" w:rsidRPr="005404EE">
          <w:rPr>
            <w:rStyle w:val="Hyperlink"/>
            <w:rFonts w:ascii="Times New Roman" w:hAnsi="Times New Roman" w:cs="Times New Roman"/>
            <w:noProof/>
            <w:sz w:val="24"/>
            <w:szCs w:val="24"/>
          </w:rPr>
          <w:t>Pārvaldāmais portfelis</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_Toc482084798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5</w:t>
        </w:r>
        <w:r w:rsidR="005404EE" w:rsidRPr="005404EE">
          <w:rPr>
            <w:rFonts w:ascii="Times New Roman" w:hAnsi="Times New Roman" w:cs="Times New Roman"/>
            <w:noProof/>
            <w:webHidden/>
            <w:sz w:val="24"/>
            <w:szCs w:val="24"/>
          </w:rPr>
          <w:fldChar w:fldCharType="end"/>
        </w:r>
      </w:hyperlink>
    </w:p>
    <w:p w14:paraId="3D15CFB4" w14:textId="435FB085" w:rsidR="005404EE" w:rsidRPr="005404EE" w:rsidRDefault="00F21AC2" w:rsidP="005404EE">
      <w:pPr>
        <w:pStyle w:val="TOC1"/>
        <w:tabs>
          <w:tab w:val="left" w:pos="440"/>
          <w:tab w:val="right" w:leader="dot" w:pos="9884"/>
        </w:tabs>
        <w:spacing w:before="0" w:after="0" w:line="240" w:lineRule="auto"/>
        <w:rPr>
          <w:rFonts w:ascii="Times New Roman" w:eastAsiaTheme="minorEastAsia" w:hAnsi="Times New Roman" w:cs="Times New Roman"/>
          <w:b w:val="0"/>
          <w:bCs w:val="0"/>
          <w:caps w:val="0"/>
          <w:noProof/>
          <w:sz w:val="24"/>
          <w:szCs w:val="24"/>
          <w:lang w:eastAsia="lv-LV"/>
        </w:rPr>
      </w:pPr>
      <w:hyperlink w:anchor="_Toc482084799" w:history="1">
        <w:r w:rsidR="005404EE" w:rsidRPr="005404EE">
          <w:rPr>
            <w:rStyle w:val="Hyperlink"/>
            <w:rFonts w:ascii="Times New Roman" w:hAnsi="Times New Roman" w:cs="Times New Roman"/>
            <w:noProof/>
            <w:sz w:val="24"/>
            <w:szCs w:val="24"/>
          </w:rPr>
          <w:t>2.</w:t>
        </w:r>
        <w:r w:rsidR="005404EE" w:rsidRPr="005404EE">
          <w:rPr>
            <w:rFonts w:ascii="Times New Roman" w:eastAsiaTheme="minorEastAsia" w:hAnsi="Times New Roman" w:cs="Times New Roman"/>
            <w:b w:val="0"/>
            <w:bCs w:val="0"/>
            <w:caps w:val="0"/>
            <w:noProof/>
            <w:sz w:val="24"/>
            <w:szCs w:val="24"/>
            <w:lang w:eastAsia="lv-LV"/>
          </w:rPr>
          <w:tab/>
        </w:r>
        <w:r w:rsidR="005404EE" w:rsidRPr="005404EE">
          <w:rPr>
            <w:rStyle w:val="Hyperlink"/>
            <w:rFonts w:ascii="Times New Roman" w:hAnsi="Times New Roman" w:cs="Times New Roman"/>
            <w:noProof/>
            <w:sz w:val="24"/>
            <w:szCs w:val="24"/>
          </w:rPr>
          <w:t>Valsts līdzdalība un vispārējais stratēģiskais mērķis</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_Toc482084799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6</w:t>
        </w:r>
        <w:r w:rsidR="005404EE" w:rsidRPr="005404EE">
          <w:rPr>
            <w:rFonts w:ascii="Times New Roman" w:hAnsi="Times New Roman" w:cs="Times New Roman"/>
            <w:noProof/>
            <w:webHidden/>
            <w:sz w:val="24"/>
            <w:szCs w:val="24"/>
          </w:rPr>
          <w:fldChar w:fldCharType="end"/>
        </w:r>
      </w:hyperlink>
    </w:p>
    <w:p w14:paraId="08CE046F" w14:textId="4FE58E0E" w:rsidR="005404EE" w:rsidRPr="005404EE" w:rsidRDefault="00F21AC2" w:rsidP="005404EE">
      <w:pPr>
        <w:pStyle w:val="TOC2"/>
        <w:tabs>
          <w:tab w:val="left" w:pos="880"/>
          <w:tab w:val="right" w:leader="dot" w:pos="9884"/>
        </w:tabs>
        <w:spacing w:line="240" w:lineRule="auto"/>
        <w:rPr>
          <w:rFonts w:ascii="Times New Roman" w:eastAsiaTheme="minorEastAsia" w:hAnsi="Times New Roman" w:cs="Times New Roman"/>
          <w:smallCaps w:val="0"/>
          <w:noProof/>
          <w:sz w:val="24"/>
          <w:szCs w:val="24"/>
          <w:lang w:eastAsia="lv-LV"/>
        </w:rPr>
      </w:pPr>
      <w:hyperlink w:anchor="_Toc482084800" w:history="1">
        <w:r w:rsidR="005404EE" w:rsidRPr="005404EE">
          <w:rPr>
            <w:rStyle w:val="Hyperlink"/>
            <w:rFonts w:ascii="Times New Roman" w:hAnsi="Times New Roman" w:cs="Times New Roman"/>
            <w:noProof/>
            <w:sz w:val="24"/>
            <w:szCs w:val="24"/>
          </w:rPr>
          <w:t>2.1.</w:t>
        </w:r>
        <w:r w:rsidR="005404EE" w:rsidRPr="005404EE">
          <w:rPr>
            <w:rFonts w:ascii="Times New Roman" w:eastAsiaTheme="minorEastAsia" w:hAnsi="Times New Roman" w:cs="Times New Roman"/>
            <w:smallCaps w:val="0"/>
            <w:noProof/>
            <w:sz w:val="24"/>
            <w:szCs w:val="24"/>
            <w:lang w:eastAsia="lv-LV"/>
          </w:rPr>
          <w:tab/>
        </w:r>
        <w:r w:rsidR="005404EE" w:rsidRPr="005404EE">
          <w:rPr>
            <w:rStyle w:val="Hyperlink"/>
            <w:rFonts w:ascii="Times New Roman" w:hAnsi="Times New Roman" w:cs="Times New Roman"/>
            <w:noProof/>
            <w:sz w:val="24"/>
            <w:szCs w:val="24"/>
          </w:rPr>
          <w:t>Valsts līdzdalības pamatojums</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_Toc482084800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6</w:t>
        </w:r>
        <w:r w:rsidR="005404EE" w:rsidRPr="005404EE">
          <w:rPr>
            <w:rFonts w:ascii="Times New Roman" w:hAnsi="Times New Roman" w:cs="Times New Roman"/>
            <w:noProof/>
            <w:webHidden/>
            <w:sz w:val="24"/>
            <w:szCs w:val="24"/>
          </w:rPr>
          <w:fldChar w:fldCharType="end"/>
        </w:r>
      </w:hyperlink>
    </w:p>
    <w:p w14:paraId="628CDA35" w14:textId="61E5E3D3" w:rsidR="005404EE" w:rsidRPr="005404EE" w:rsidRDefault="00F21AC2" w:rsidP="005404EE">
      <w:pPr>
        <w:pStyle w:val="TOC2"/>
        <w:tabs>
          <w:tab w:val="left" w:pos="880"/>
          <w:tab w:val="right" w:leader="dot" w:pos="9884"/>
        </w:tabs>
        <w:spacing w:line="240" w:lineRule="auto"/>
        <w:rPr>
          <w:rFonts w:ascii="Times New Roman" w:eastAsiaTheme="minorEastAsia" w:hAnsi="Times New Roman" w:cs="Times New Roman"/>
          <w:smallCaps w:val="0"/>
          <w:noProof/>
          <w:sz w:val="24"/>
          <w:szCs w:val="24"/>
          <w:lang w:eastAsia="lv-LV"/>
        </w:rPr>
      </w:pPr>
      <w:hyperlink w:anchor="_Toc482084801" w:history="1">
        <w:r w:rsidR="005404EE" w:rsidRPr="005404EE">
          <w:rPr>
            <w:rStyle w:val="Hyperlink"/>
            <w:rFonts w:ascii="Times New Roman" w:hAnsi="Times New Roman" w:cs="Times New Roman"/>
            <w:noProof/>
            <w:sz w:val="24"/>
            <w:szCs w:val="24"/>
          </w:rPr>
          <w:t>2.2.</w:t>
        </w:r>
        <w:r w:rsidR="005404EE" w:rsidRPr="005404EE">
          <w:rPr>
            <w:rFonts w:ascii="Times New Roman" w:eastAsiaTheme="minorEastAsia" w:hAnsi="Times New Roman" w:cs="Times New Roman"/>
            <w:smallCaps w:val="0"/>
            <w:noProof/>
            <w:sz w:val="24"/>
            <w:szCs w:val="24"/>
            <w:lang w:eastAsia="lv-LV"/>
          </w:rPr>
          <w:tab/>
        </w:r>
        <w:r w:rsidR="005404EE" w:rsidRPr="005404EE">
          <w:rPr>
            <w:rStyle w:val="Hyperlink"/>
            <w:rFonts w:ascii="Times New Roman" w:hAnsi="Times New Roman" w:cs="Times New Roman"/>
            <w:noProof/>
            <w:sz w:val="24"/>
            <w:szCs w:val="24"/>
          </w:rPr>
          <w:t>Vispārējais stratēģiskais mērķis</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_Toc482084801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9</w:t>
        </w:r>
        <w:r w:rsidR="005404EE" w:rsidRPr="005404EE">
          <w:rPr>
            <w:rFonts w:ascii="Times New Roman" w:hAnsi="Times New Roman" w:cs="Times New Roman"/>
            <w:noProof/>
            <w:webHidden/>
            <w:sz w:val="24"/>
            <w:szCs w:val="24"/>
          </w:rPr>
          <w:fldChar w:fldCharType="end"/>
        </w:r>
      </w:hyperlink>
    </w:p>
    <w:p w14:paraId="509C12D2" w14:textId="5CF23B0D" w:rsidR="005404EE" w:rsidRPr="005404EE" w:rsidRDefault="00F21AC2" w:rsidP="005404EE">
      <w:pPr>
        <w:pStyle w:val="TOC2"/>
        <w:tabs>
          <w:tab w:val="left" w:pos="880"/>
          <w:tab w:val="right" w:leader="dot" w:pos="9884"/>
        </w:tabs>
        <w:spacing w:line="240" w:lineRule="auto"/>
        <w:rPr>
          <w:rFonts w:ascii="Times New Roman" w:eastAsiaTheme="minorEastAsia" w:hAnsi="Times New Roman" w:cs="Times New Roman"/>
          <w:smallCaps w:val="0"/>
          <w:noProof/>
          <w:sz w:val="24"/>
          <w:szCs w:val="24"/>
          <w:lang w:eastAsia="lv-LV"/>
        </w:rPr>
      </w:pPr>
      <w:hyperlink w:anchor="_Toc482084802" w:history="1">
        <w:r w:rsidR="005404EE" w:rsidRPr="005404EE">
          <w:rPr>
            <w:rStyle w:val="Hyperlink"/>
            <w:rFonts w:ascii="Times New Roman" w:hAnsi="Times New Roman" w:cs="Times New Roman"/>
            <w:noProof/>
            <w:sz w:val="24"/>
            <w:szCs w:val="24"/>
          </w:rPr>
          <w:t>2.3.</w:t>
        </w:r>
        <w:r w:rsidR="005404EE" w:rsidRPr="005404EE">
          <w:rPr>
            <w:rFonts w:ascii="Times New Roman" w:eastAsiaTheme="minorEastAsia" w:hAnsi="Times New Roman" w:cs="Times New Roman"/>
            <w:smallCaps w:val="0"/>
            <w:noProof/>
            <w:sz w:val="24"/>
            <w:szCs w:val="24"/>
            <w:lang w:eastAsia="lv-LV"/>
          </w:rPr>
          <w:tab/>
        </w:r>
        <w:r w:rsidR="005404EE" w:rsidRPr="005404EE">
          <w:rPr>
            <w:rStyle w:val="Hyperlink"/>
            <w:rFonts w:ascii="Times New Roman" w:hAnsi="Times New Roman" w:cs="Times New Roman"/>
            <w:noProof/>
            <w:sz w:val="24"/>
            <w:szCs w:val="24"/>
          </w:rPr>
          <w:t>Juridiskā forma</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_Toc482084802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10</w:t>
        </w:r>
        <w:r w:rsidR="005404EE" w:rsidRPr="005404EE">
          <w:rPr>
            <w:rFonts w:ascii="Times New Roman" w:hAnsi="Times New Roman" w:cs="Times New Roman"/>
            <w:noProof/>
            <w:webHidden/>
            <w:sz w:val="24"/>
            <w:szCs w:val="24"/>
          </w:rPr>
          <w:fldChar w:fldCharType="end"/>
        </w:r>
      </w:hyperlink>
    </w:p>
    <w:p w14:paraId="0E8AEDE4" w14:textId="5EEF6328" w:rsidR="005404EE" w:rsidRPr="005404EE" w:rsidRDefault="00F21AC2" w:rsidP="005404EE">
      <w:pPr>
        <w:pStyle w:val="TOC1"/>
        <w:tabs>
          <w:tab w:val="left" w:pos="440"/>
          <w:tab w:val="right" w:leader="dot" w:pos="9884"/>
        </w:tabs>
        <w:spacing w:before="0" w:after="0" w:line="240" w:lineRule="auto"/>
        <w:rPr>
          <w:rFonts w:ascii="Times New Roman" w:eastAsiaTheme="minorEastAsia" w:hAnsi="Times New Roman" w:cs="Times New Roman"/>
          <w:b w:val="0"/>
          <w:bCs w:val="0"/>
          <w:caps w:val="0"/>
          <w:noProof/>
          <w:sz w:val="24"/>
          <w:szCs w:val="24"/>
          <w:lang w:eastAsia="lv-LV"/>
        </w:rPr>
      </w:pPr>
      <w:hyperlink w:anchor="_Toc482084803" w:history="1">
        <w:r w:rsidR="005404EE" w:rsidRPr="005404EE">
          <w:rPr>
            <w:rStyle w:val="Hyperlink"/>
            <w:rFonts w:ascii="Times New Roman" w:hAnsi="Times New Roman" w:cs="Times New Roman"/>
            <w:noProof/>
            <w:sz w:val="24"/>
            <w:szCs w:val="24"/>
          </w:rPr>
          <w:t>3.</w:t>
        </w:r>
        <w:r w:rsidR="005404EE" w:rsidRPr="005404EE">
          <w:rPr>
            <w:rFonts w:ascii="Times New Roman" w:eastAsiaTheme="minorEastAsia" w:hAnsi="Times New Roman" w:cs="Times New Roman"/>
            <w:b w:val="0"/>
            <w:bCs w:val="0"/>
            <w:caps w:val="0"/>
            <w:noProof/>
            <w:sz w:val="24"/>
            <w:szCs w:val="24"/>
            <w:lang w:eastAsia="lv-LV"/>
          </w:rPr>
          <w:tab/>
        </w:r>
        <w:r w:rsidR="005404EE" w:rsidRPr="005404EE">
          <w:rPr>
            <w:rStyle w:val="Hyperlink"/>
            <w:rFonts w:ascii="Times New Roman" w:hAnsi="Times New Roman" w:cs="Times New Roman"/>
            <w:noProof/>
            <w:sz w:val="24"/>
            <w:szCs w:val="24"/>
          </w:rPr>
          <w:t>Sabiedrības turpmākā darbība</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_Toc482084803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10</w:t>
        </w:r>
        <w:r w:rsidR="005404EE" w:rsidRPr="005404EE">
          <w:rPr>
            <w:rFonts w:ascii="Times New Roman" w:hAnsi="Times New Roman" w:cs="Times New Roman"/>
            <w:noProof/>
            <w:webHidden/>
            <w:sz w:val="24"/>
            <w:szCs w:val="24"/>
          </w:rPr>
          <w:fldChar w:fldCharType="end"/>
        </w:r>
      </w:hyperlink>
    </w:p>
    <w:p w14:paraId="02D4F104" w14:textId="5FDDE336" w:rsidR="005404EE" w:rsidRPr="005404EE" w:rsidRDefault="00F21AC2" w:rsidP="005404EE">
      <w:pPr>
        <w:pStyle w:val="TOC2"/>
        <w:tabs>
          <w:tab w:val="left" w:pos="880"/>
          <w:tab w:val="right" w:leader="dot" w:pos="9884"/>
        </w:tabs>
        <w:spacing w:line="240" w:lineRule="auto"/>
        <w:rPr>
          <w:rFonts w:ascii="Times New Roman" w:eastAsiaTheme="minorEastAsia" w:hAnsi="Times New Roman" w:cs="Times New Roman"/>
          <w:smallCaps w:val="0"/>
          <w:noProof/>
          <w:sz w:val="24"/>
          <w:szCs w:val="24"/>
          <w:lang w:eastAsia="lv-LV"/>
        </w:rPr>
      </w:pPr>
      <w:hyperlink w:anchor="_Toc482084804" w:history="1">
        <w:r w:rsidR="005404EE" w:rsidRPr="005404EE">
          <w:rPr>
            <w:rStyle w:val="Hyperlink"/>
            <w:rFonts w:ascii="Times New Roman" w:hAnsi="Times New Roman" w:cs="Times New Roman"/>
            <w:noProof/>
            <w:sz w:val="24"/>
            <w:szCs w:val="24"/>
          </w:rPr>
          <w:t>3.1.</w:t>
        </w:r>
        <w:r w:rsidR="005404EE" w:rsidRPr="005404EE">
          <w:rPr>
            <w:rFonts w:ascii="Times New Roman" w:eastAsiaTheme="minorEastAsia" w:hAnsi="Times New Roman" w:cs="Times New Roman"/>
            <w:smallCaps w:val="0"/>
            <w:noProof/>
            <w:sz w:val="24"/>
            <w:szCs w:val="24"/>
            <w:lang w:eastAsia="lv-LV"/>
          </w:rPr>
          <w:tab/>
        </w:r>
        <w:r w:rsidR="005404EE" w:rsidRPr="005404EE">
          <w:rPr>
            <w:rStyle w:val="Hyperlink"/>
            <w:rFonts w:ascii="Times New Roman" w:hAnsi="Times New Roman" w:cs="Times New Roman"/>
            <w:noProof/>
            <w:sz w:val="24"/>
            <w:szCs w:val="24"/>
          </w:rPr>
          <w:t>Sabiedrības vadības modelis</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_Toc482084804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10</w:t>
        </w:r>
        <w:r w:rsidR="005404EE" w:rsidRPr="005404EE">
          <w:rPr>
            <w:rFonts w:ascii="Times New Roman" w:hAnsi="Times New Roman" w:cs="Times New Roman"/>
            <w:noProof/>
            <w:webHidden/>
            <w:sz w:val="24"/>
            <w:szCs w:val="24"/>
          </w:rPr>
          <w:fldChar w:fldCharType="end"/>
        </w:r>
      </w:hyperlink>
    </w:p>
    <w:p w14:paraId="3E2EC7DF" w14:textId="22B28574" w:rsidR="005404EE" w:rsidRPr="005404EE" w:rsidRDefault="00F21AC2" w:rsidP="005404EE">
      <w:pPr>
        <w:pStyle w:val="TOC2"/>
        <w:tabs>
          <w:tab w:val="left" w:pos="880"/>
          <w:tab w:val="right" w:leader="dot" w:pos="9884"/>
        </w:tabs>
        <w:spacing w:line="240" w:lineRule="auto"/>
        <w:rPr>
          <w:rFonts w:ascii="Times New Roman" w:eastAsiaTheme="minorEastAsia" w:hAnsi="Times New Roman" w:cs="Times New Roman"/>
          <w:smallCaps w:val="0"/>
          <w:noProof/>
          <w:sz w:val="24"/>
          <w:szCs w:val="24"/>
          <w:lang w:eastAsia="lv-LV"/>
        </w:rPr>
      </w:pPr>
      <w:hyperlink w:anchor="_Toc482084805" w:history="1">
        <w:r w:rsidR="005404EE" w:rsidRPr="005404EE">
          <w:rPr>
            <w:rStyle w:val="Hyperlink"/>
            <w:rFonts w:ascii="Times New Roman" w:hAnsi="Times New Roman" w:cs="Times New Roman"/>
            <w:noProof/>
            <w:sz w:val="24"/>
            <w:szCs w:val="24"/>
          </w:rPr>
          <w:t>3.2.</w:t>
        </w:r>
        <w:r w:rsidR="005404EE" w:rsidRPr="005404EE">
          <w:rPr>
            <w:rFonts w:ascii="Times New Roman" w:eastAsiaTheme="minorEastAsia" w:hAnsi="Times New Roman" w:cs="Times New Roman"/>
            <w:smallCaps w:val="0"/>
            <w:noProof/>
            <w:sz w:val="24"/>
            <w:szCs w:val="24"/>
            <w:lang w:eastAsia="lv-LV"/>
          </w:rPr>
          <w:tab/>
        </w:r>
        <w:r w:rsidR="005404EE" w:rsidRPr="005404EE">
          <w:rPr>
            <w:rStyle w:val="Hyperlink"/>
            <w:rFonts w:ascii="Times New Roman" w:hAnsi="Times New Roman" w:cs="Times New Roman"/>
            <w:noProof/>
            <w:sz w:val="24"/>
            <w:szCs w:val="24"/>
          </w:rPr>
          <w:t>Sabiedrības finansēšanas kārtība</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_Toc482084805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11</w:t>
        </w:r>
        <w:r w:rsidR="005404EE" w:rsidRPr="005404EE">
          <w:rPr>
            <w:rFonts w:ascii="Times New Roman" w:hAnsi="Times New Roman" w:cs="Times New Roman"/>
            <w:noProof/>
            <w:webHidden/>
            <w:sz w:val="24"/>
            <w:szCs w:val="24"/>
          </w:rPr>
          <w:fldChar w:fldCharType="end"/>
        </w:r>
      </w:hyperlink>
    </w:p>
    <w:p w14:paraId="23B6904E" w14:textId="0E58FA69" w:rsidR="005404EE" w:rsidRPr="005404EE" w:rsidRDefault="00F21AC2" w:rsidP="005404EE">
      <w:pPr>
        <w:pStyle w:val="TOC1"/>
        <w:tabs>
          <w:tab w:val="left" w:pos="440"/>
          <w:tab w:val="right" w:leader="dot" w:pos="9884"/>
        </w:tabs>
        <w:spacing w:before="0" w:after="0" w:line="240" w:lineRule="auto"/>
        <w:rPr>
          <w:rFonts w:ascii="Times New Roman" w:eastAsiaTheme="minorEastAsia" w:hAnsi="Times New Roman" w:cs="Times New Roman"/>
          <w:b w:val="0"/>
          <w:bCs w:val="0"/>
          <w:caps w:val="0"/>
          <w:noProof/>
          <w:sz w:val="24"/>
          <w:szCs w:val="24"/>
          <w:lang w:eastAsia="lv-LV"/>
        </w:rPr>
      </w:pPr>
      <w:hyperlink w:anchor="_Toc482084806" w:history="1">
        <w:r w:rsidR="005404EE" w:rsidRPr="005404EE">
          <w:rPr>
            <w:rStyle w:val="Hyperlink"/>
            <w:rFonts w:ascii="Times New Roman" w:hAnsi="Times New Roman" w:cs="Times New Roman"/>
            <w:noProof/>
            <w:sz w:val="24"/>
            <w:szCs w:val="24"/>
          </w:rPr>
          <w:t>4.</w:t>
        </w:r>
        <w:r w:rsidR="005404EE" w:rsidRPr="005404EE">
          <w:rPr>
            <w:rFonts w:ascii="Times New Roman" w:eastAsiaTheme="minorEastAsia" w:hAnsi="Times New Roman" w:cs="Times New Roman"/>
            <w:b w:val="0"/>
            <w:bCs w:val="0"/>
            <w:caps w:val="0"/>
            <w:noProof/>
            <w:sz w:val="24"/>
            <w:szCs w:val="24"/>
            <w:lang w:eastAsia="lv-LV"/>
          </w:rPr>
          <w:tab/>
        </w:r>
        <w:r w:rsidR="005404EE" w:rsidRPr="005404EE">
          <w:rPr>
            <w:rStyle w:val="Hyperlink"/>
            <w:rFonts w:ascii="Times New Roman" w:hAnsi="Times New Roman" w:cs="Times New Roman"/>
            <w:noProof/>
            <w:sz w:val="24"/>
            <w:szCs w:val="24"/>
          </w:rPr>
          <w:t>Valsts pārvaldes uzdevumu izpildes pabeigšanas un optimizācijas iespējas</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_Toc482084806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15</w:t>
        </w:r>
        <w:r w:rsidR="005404EE" w:rsidRPr="005404EE">
          <w:rPr>
            <w:rFonts w:ascii="Times New Roman" w:hAnsi="Times New Roman" w:cs="Times New Roman"/>
            <w:noProof/>
            <w:webHidden/>
            <w:sz w:val="24"/>
            <w:szCs w:val="24"/>
          </w:rPr>
          <w:fldChar w:fldCharType="end"/>
        </w:r>
      </w:hyperlink>
    </w:p>
    <w:p w14:paraId="2DCAC618" w14:textId="2A42D402" w:rsidR="005404EE" w:rsidRPr="005404EE" w:rsidRDefault="00F21AC2" w:rsidP="005404EE">
      <w:pPr>
        <w:pStyle w:val="TOC2"/>
        <w:tabs>
          <w:tab w:val="left" w:pos="880"/>
          <w:tab w:val="right" w:leader="dot" w:pos="9884"/>
        </w:tabs>
        <w:spacing w:line="240" w:lineRule="auto"/>
        <w:rPr>
          <w:rFonts w:ascii="Times New Roman" w:eastAsiaTheme="minorEastAsia" w:hAnsi="Times New Roman" w:cs="Times New Roman"/>
          <w:smallCaps w:val="0"/>
          <w:noProof/>
          <w:sz w:val="24"/>
          <w:szCs w:val="24"/>
          <w:lang w:eastAsia="lv-LV"/>
        </w:rPr>
      </w:pPr>
      <w:hyperlink w:anchor="_Toc482084807" w:history="1">
        <w:r w:rsidR="005404EE" w:rsidRPr="005404EE">
          <w:rPr>
            <w:rStyle w:val="Hyperlink"/>
            <w:rFonts w:ascii="Times New Roman" w:hAnsi="Times New Roman" w:cs="Times New Roman"/>
            <w:noProof/>
            <w:sz w:val="24"/>
            <w:szCs w:val="24"/>
          </w:rPr>
          <w:t>4.1.</w:t>
        </w:r>
        <w:r w:rsidR="005404EE" w:rsidRPr="005404EE">
          <w:rPr>
            <w:rFonts w:ascii="Times New Roman" w:eastAsiaTheme="minorEastAsia" w:hAnsi="Times New Roman" w:cs="Times New Roman"/>
            <w:smallCaps w:val="0"/>
            <w:noProof/>
            <w:sz w:val="24"/>
            <w:szCs w:val="24"/>
            <w:lang w:eastAsia="lv-LV"/>
          </w:rPr>
          <w:tab/>
        </w:r>
        <w:r w:rsidR="005404EE" w:rsidRPr="005404EE">
          <w:rPr>
            <w:rStyle w:val="Hyperlink"/>
            <w:rFonts w:ascii="Times New Roman" w:hAnsi="Times New Roman" w:cs="Times New Roman"/>
            <w:noProof/>
            <w:sz w:val="24"/>
            <w:szCs w:val="24"/>
          </w:rPr>
          <w:t>Valsts pārvaldes uzdevumu izpildes optimizācijas nepieciešamības pamatojums</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_Toc482084807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15</w:t>
        </w:r>
        <w:r w:rsidR="005404EE" w:rsidRPr="005404EE">
          <w:rPr>
            <w:rFonts w:ascii="Times New Roman" w:hAnsi="Times New Roman" w:cs="Times New Roman"/>
            <w:noProof/>
            <w:webHidden/>
            <w:sz w:val="24"/>
            <w:szCs w:val="24"/>
          </w:rPr>
          <w:fldChar w:fldCharType="end"/>
        </w:r>
      </w:hyperlink>
    </w:p>
    <w:p w14:paraId="571E64AE" w14:textId="06058826" w:rsidR="005404EE" w:rsidRPr="005404EE" w:rsidRDefault="00F21AC2" w:rsidP="005404EE">
      <w:pPr>
        <w:pStyle w:val="TOC2"/>
        <w:tabs>
          <w:tab w:val="left" w:pos="880"/>
          <w:tab w:val="right" w:leader="dot" w:pos="9884"/>
        </w:tabs>
        <w:spacing w:line="240" w:lineRule="auto"/>
        <w:rPr>
          <w:rFonts w:ascii="Times New Roman" w:eastAsiaTheme="minorEastAsia" w:hAnsi="Times New Roman" w:cs="Times New Roman"/>
          <w:smallCaps w:val="0"/>
          <w:noProof/>
          <w:sz w:val="24"/>
          <w:szCs w:val="24"/>
          <w:lang w:eastAsia="lv-LV"/>
        </w:rPr>
      </w:pPr>
      <w:hyperlink w:anchor="_Toc482084808" w:history="1">
        <w:r w:rsidR="005404EE" w:rsidRPr="005404EE">
          <w:rPr>
            <w:rStyle w:val="Hyperlink"/>
            <w:rFonts w:ascii="Times New Roman" w:hAnsi="Times New Roman" w:cs="Times New Roman"/>
            <w:noProof/>
            <w:sz w:val="24"/>
            <w:szCs w:val="24"/>
          </w:rPr>
          <w:t>4.2.</w:t>
        </w:r>
        <w:r w:rsidR="005404EE" w:rsidRPr="005404EE">
          <w:rPr>
            <w:rFonts w:ascii="Times New Roman" w:eastAsiaTheme="minorEastAsia" w:hAnsi="Times New Roman" w:cs="Times New Roman"/>
            <w:smallCaps w:val="0"/>
            <w:noProof/>
            <w:sz w:val="24"/>
            <w:szCs w:val="24"/>
            <w:lang w:eastAsia="lv-LV"/>
          </w:rPr>
          <w:tab/>
        </w:r>
        <w:r w:rsidR="005404EE" w:rsidRPr="005404EE">
          <w:rPr>
            <w:rStyle w:val="Hyperlink"/>
            <w:rFonts w:ascii="Times New Roman" w:hAnsi="Times New Roman" w:cs="Times New Roman"/>
            <w:noProof/>
            <w:sz w:val="24"/>
            <w:szCs w:val="24"/>
          </w:rPr>
          <w:t>Privatizācijas procesa pabeigšana: izaicinājumi un piedāvātie risinājumi</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_Toc482084808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16</w:t>
        </w:r>
        <w:r w:rsidR="005404EE" w:rsidRPr="005404EE">
          <w:rPr>
            <w:rFonts w:ascii="Times New Roman" w:hAnsi="Times New Roman" w:cs="Times New Roman"/>
            <w:noProof/>
            <w:webHidden/>
            <w:sz w:val="24"/>
            <w:szCs w:val="24"/>
          </w:rPr>
          <w:fldChar w:fldCharType="end"/>
        </w:r>
      </w:hyperlink>
    </w:p>
    <w:p w14:paraId="44093882" w14:textId="6E32718B" w:rsidR="005404EE" w:rsidRPr="005404EE" w:rsidRDefault="00F21AC2" w:rsidP="005404EE">
      <w:pPr>
        <w:pStyle w:val="TOC3"/>
        <w:tabs>
          <w:tab w:val="left" w:pos="1320"/>
          <w:tab w:val="right" w:leader="dot" w:pos="9884"/>
        </w:tabs>
        <w:spacing w:line="240" w:lineRule="auto"/>
        <w:rPr>
          <w:rFonts w:ascii="Times New Roman" w:eastAsiaTheme="minorEastAsia" w:hAnsi="Times New Roman" w:cs="Times New Roman"/>
          <w:i w:val="0"/>
          <w:iCs w:val="0"/>
          <w:noProof/>
          <w:sz w:val="24"/>
          <w:szCs w:val="24"/>
          <w:lang w:eastAsia="lv-LV"/>
        </w:rPr>
      </w:pPr>
      <w:hyperlink w:anchor="_Toc482084809" w:history="1">
        <w:r w:rsidR="005404EE" w:rsidRPr="005404EE">
          <w:rPr>
            <w:rStyle w:val="Hyperlink"/>
            <w:rFonts w:ascii="Times New Roman" w:hAnsi="Times New Roman" w:cs="Times New Roman"/>
            <w:noProof/>
            <w:sz w:val="24"/>
            <w:szCs w:val="24"/>
          </w:rPr>
          <w:t>4.2.1.</w:t>
        </w:r>
        <w:r w:rsidR="005404EE" w:rsidRPr="005404EE">
          <w:rPr>
            <w:rFonts w:ascii="Times New Roman" w:eastAsiaTheme="minorEastAsia" w:hAnsi="Times New Roman" w:cs="Times New Roman"/>
            <w:i w:val="0"/>
            <w:iCs w:val="0"/>
            <w:noProof/>
            <w:sz w:val="24"/>
            <w:szCs w:val="24"/>
            <w:lang w:eastAsia="lv-LV"/>
          </w:rPr>
          <w:tab/>
        </w:r>
        <w:r w:rsidR="005404EE" w:rsidRPr="005404EE">
          <w:rPr>
            <w:rStyle w:val="Hyperlink"/>
            <w:rFonts w:ascii="Times New Roman" w:hAnsi="Times New Roman" w:cs="Times New Roman"/>
            <w:noProof/>
            <w:sz w:val="24"/>
            <w:szCs w:val="24"/>
          </w:rPr>
          <w:t>Valsts īpašumu objekti un valsts zemesgabali</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_Toc482084809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16</w:t>
        </w:r>
        <w:r w:rsidR="005404EE" w:rsidRPr="005404EE">
          <w:rPr>
            <w:rFonts w:ascii="Times New Roman" w:hAnsi="Times New Roman" w:cs="Times New Roman"/>
            <w:noProof/>
            <w:webHidden/>
            <w:sz w:val="24"/>
            <w:szCs w:val="24"/>
          </w:rPr>
          <w:fldChar w:fldCharType="end"/>
        </w:r>
      </w:hyperlink>
    </w:p>
    <w:p w14:paraId="30C9B024" w14:textId="5D884BB5" w:rsidR="005404EE" w:rsidRPr="005404EE" w:rsidRDefault="00F21AC2" w:rsidP="005404EE">
      <w:pPr>
        <w:pStyle w:val="TOC3"/>
        <w:tabs>
          <w:tab w:val="right" w:leader="dot" w:pos="9884"/>
        </w:tabs>
        <w:spacing w:line="240" w:lineRule="auto"/>
        <w:rPr>
          <w:rFonts w:ascii="Times New Roman" w:eastAsiaTheme="minorEastAsia" w:hAnsi="Times New Roman" w:cs="Times New Roman"/>
          <w:i w:val="0"/>
          <w:iCs w:val="0"/>
          <w:noProof/>
          <w:sz w:val="24"/>
          <w:szCs w:val="24"/>
          <w:lang w:eastAsia="lv-LV"/>
        </w:rPr>
      </w:pPr>
      <w:hyperlink w:anchor="_Toc482084810" w:history="1">
        <w:r w:rsidR="005404EE" w:rsidRPr="005404EE">
          <w:rPr>
            <w:rStyle w:val="Hyperlink"/>
            <w:rFonts w:ascii="Times New Roman" w:hAnsi="Times New Roman" w:cs="Times New Roman"/>
            <w:noProof/>
            <w:sz w:val="24"/>
            <w:szCs w:val="24"/>
          </w:rPr>
          <w:t>4.2.1.1. Ieviestie pasākumi</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_Toc482084810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16</w:t>
        </w:r>
        <w:r w:rsidR="005404EE" w:rsidRPr="005404EE">
          <w:rPr>
            <w:rFonts w:ascii="Times New Roman" w:hAnsi="Times New Roman" w:cs="Times New Roman"/>
            <w:noProof/>
            <w:webHidden/>
            <w:sz w:val="24"/>
            <w:szCs w:val="24"/>
          </w:rPr>
          <w:fldChar w:fldCharType="end"/>
        </w:r>
      </w:hyperlink>
    </w:p>
    <w:p w14:paraId="4477118C" w14:textId="17EBCB64" w:rsidR="005404EE" w:rsidRPr="005404EE" w:rsidRDefault="00F21AC2" w:rsidP="005404EE">
      <w:pPr>
        <w:pStyle w:val="TOC3"/>
        <w:tabs>
          <w:tab w:val="right" w:leader="dot" w:pos="9884"/>
        </w:tabs>
        <w:spacing w:line="240" w:lineRule="auto"/>
        <w:rPr>
          <w:rFonts w:ascii="Times New Roman" w:eastAsiaTheme="minorEastAsia" w:hAnsi="Times New Roman" w:cs="Times New Roman"/>
          <w:i w:val="0"/>
          <w:iCs w:val="0"/>
          <w:noProof/>
          <w:sz w:val="24"/>
          <w:szCs w:val="24"/>
          <w:lang w:eastAsia="lv-LV"/>
        </w:rPr>
      </w:pPr>
      <w:hyperlink w:anchor="_Toc482084811" w:history="1">
        <w:r w:rsidR="005404EE" w:rsidRPr="005404EE">
          <w:rPr>
            <w:rStyle w:val="Hyperlink"/>
            <w:rFonts w:ascii="Times New Roman" w:hAnsi="Times New Roman" w:cs="Times New Roman"/>
            <w:noProof/>
            <w:sz w:val="24"/>
            <w:szCs w:val="24"/>
          </w:rPr>
          <w:t>4.2.1.2. Plānotie pasākumi</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_Toc482084811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16</w:t>
        </w:r>
        <w:r w:rsidR="005404EE" w:rsidRPr="005404EE">
          <w:rPr>
            <w:rFonts w:ascii="Times New Roman" w:hAnsi="Times New Roman" w:cs="Times New Roman"/>
            <w:noProof/>
            <w:webHidden/>
            <w:sz w:val="24"/>
            <w:szCs w:val="24"/>
          </w:rPr>
          <w:fldChar w:fldCharType="end"/>
        </w:r>
      </w:hyperlink>
    </w:p>
    <w:p w14:paraId="26E8F1BE" w14:textId="52468B41" w:rsidR="005404EE" w:rsidRPr="005404EE" w:rsidRDefault="00F21AC2" w:rsidP="005404EE">
      <w:pPr>
        <w:pStyle w:val="TOC3"/>
        <w:tabs>
          <w:tab w:val="left" w:pos="1320"/>
          <w:tab w:val="right" w:leader="dot" w:pos="9884"/>
        </w:tabs>
        <w:spacing w:line="240" w:lineRule="auto"/>
        <w:rPr>
          <w:rFonts w:ascii="Times New Roman" w:eastAsiaTheme="minorEastAsia" w:hAnsi="Times New Roman" w:cs="Times New Roman"/>
          <w:i w:val="0"/>
          <w:iCs w:val="0"/>
          <w:noProof/>
          <w:sz w:val="24"/>
          <w:szCs w:val="24"/>
          <w:lang w:eastAsia="lv-LV"/>
        </w:rPr>
      </w:pPr>
      <w:hyperlink w:anchor="_Toc482084812" w:history="1">
        <w:r w:rsidR="005404EE" w:rsidRPr="005404EE">
          <w:rPr>
            <w:rStyle w:val="Hyperlink"/>
            <w:rFonts w:ascii="Times New Roman" w:hAnsi="Times New Roman" w:cs="Times New Roman"/>
            <w:noProof/>
            <w:sz w:val="24"/>
            <w:szCs w:val="24"/>
          </w:rPr>
          <w:t>4.2.2.</w:t>
        </w:r>
        <w:r w:rsidR="005404EE" w:rsidRPr="005404EE">
          <w:rPr>
            <w:rFonts w:ascii="Times New Roman" w:eastAsiaTheme="minorEastAsia" w:hAnsi="Times New Roman" w:cs="Times New Roman"/>
            <w:i w:val="0"/>
            <w:iCs w:val="0"/>
            <w:noProof/>
            <w:sz w:val="24"/>
            <w:szCs w:val="24"/>
            <w:lang w:eastAsia="lv-LV"/>
          </w:rPr>
          <w:tab/>
        </w:r>
        <w:r w:rsidR="005404EE" w:rsidRPr="005404EE">
          <w:rPr>
            <w:rStyle w:val="Hyperlink"/>
            <w:rFonts w:ascii="Times New Roman" w:hAnsi="Times New Roman" w:cs="Times New Roman"/>
            <w:noProof/>
            <w:sz w:val="24"/>
            <w:szCs w:val="24"/>
          </w:rPr>
          <w:t>Zemes izpirkšana zemes reformas ietvaros</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_Toc482084812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17</w:t>
        </w:r>
        <w:r w:rsidR="005404EE" w:rsidRPr="005404EE">
          <w:rPr>
            <w:rFonts w:ascii="Times New Roman" w:hAnsi="Times New Roman" w:cs="Times New Roman"/>
            <w:noProof/>
            <w:webHidden/>
            <w:sz w:val="24"/>
            <w:szCs w:val="24"/>
          </w:rPr>
          <w:fldChar w:fldCharType="end"/>
        </w:r>
      </w:hyperlink>
    </w:p>
    <w:p w14:paraId="518EBD3F" w14:textId="48E1E81C" w:rsidR="005404EE" w:rsidRPr="005404EE" w:rsidRDefault="00F21AC2" w:rsidP="005404EE">
      <w:pPr>
        <w:pStyle w:val="TOC3"/>
        <w:tabs>
          <w:tab w:val="right" w:leader="dot" w:pos="9884"/>
        </w:tabs>
        <w:spacing w:line="240" w:lineRule="auto"/>
        <w:rPr>
          <w:rFonts w:ascii="Times New Roman" w:eastAsiaTheme="minorEastAsia" w:hAnsi="Times New Roman" w:cs="Times New Roman"/>
          <w:i w:val="0"/>
          <w:iCs w:val="0"/>
          <w:noProof/>
          <w:sz w:val="24"/>
          <w:szCs w:val="24"/>
          <w:lang w:eastAsia="lv-LV"/>
        </w:rPr>
      </w:pPr>
      <w:hyperlink w:anchor="_Toc482084813" w:history="1">
        <w:r w:rsidR="005404EE" w:rsidRPr="005404EE">
          <w:rPr>
            <w:rStyle w:val="Hyperlink"/>
            <w:rFonts w:ascii="Times New Roman" w:hAnsi="Times New Roman" w:cs="Times New Roman"/>
            <w:noProof/>
            <w:sz w:val="24"/>
            <w:szCs w:val="24"/>
          </w:rPr>
          <w:t>4.2.2.1. Ieviestie pasākumi</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_Toc482084813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17</w:t>
        </w:r>
        <w:r w:rsidR="005404EE" w:rsidRPr="005404EE">
          <w:rPr>
            <w:rFonts w:ascii="Times New Roman" w:hAnsi="Times New Roman" w:cs="Times New Roman"/>
            <w:noProof/>
            <w:webHidden/>
            <w:sz w:val="24"/>
            <w:szCs w:val="24"/>
          </w:rPr>
          <w:fldChar w:fldCharType="end"/>
        </w:r>
      </w:hyperlink>
    </w:p>
    <w:p w14:paraId="6BFEEEB4" w14:textId="5501BB66" w:rsidR="005404EE" w:rsidRPr="005404EE" w:rsidRDefault="00F21AC2" w:rsidP="005404EE">
      <w:pPr>
        <w:pStyle w:val="TOC3"/>
        <w:tabs>
          <w:tab w:val="right" w:leader="dot" w:pos="9884"/>
        </w:tabs>
        <w:spacing w:line="240" w:lineRule="auto"/>
        <w:rPr>
          <w:rFonts w:ascii="Times New Roman" w:eastAsiaTheme="minorEastAsia" w:hAnsi="Times New Roman" w:cs="Times New Roman"/>
          <w:i w:val="0"/>
          <w:iCs w:val="0"/>
          <w:noProof/>
          <w:sz w:val="24"/>
          <w:szCs w:val="24"/>
          <w:lang w:eastAsia="lv-LV"/>
        </w:rPr>
      </w:pPr>
      <w:hyperlink w:anchor="_Toc482084814" w:history="1">
        <w:r w:rsidR="005404EE" w:rsidRPr="005404EE">
          <w:rPr>
            <w:rStyle w:val="Hyperlink"/>
            <w:rFonts w:ascii="Times New Roman" w:hAnsi="Times New Roman" w:cs="Times New Roman"/>
            <w:noProof/>
            <w:sz w:val="24"/>
            <w:szCs w:val="24"/>
          </w:rPr>
          <w:t>4.2.2.2. Plānotie pasākumi</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_Toc482084814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17</w:t>
        </w:r>
        <w:r w:rsidR="005404EE" w:rsidRPr="005404EE">
          <w:rPr>
            <w:rFonts w:ascii="Times New Roman" w:hAnsi="Times New Roman" w:cs="Times New Roman"/>
            <w:noProof/>
            <w:webHidden/>
            <w:sz w:val="24"/>
            <w:szCs w:val="24"/>
          </w:rPr>
          <w:fldChar w:fldCharType="end"/>
        </w:r>
      </w:hyperlink>
    </w:p>
    <w:p w14:paraId="2E1860E9" w14:textId="5CFA5B7E" w:rsidR="005404EE" w:rsidRPr="005404EE" w:rsidRDefault="00F21AC2" w:rsidP="005404EE">
      <w:pPr>
        <w:pStyle w:val="TOC3"/>
        <w:tabs>
          <w:tab w:val="left" w:pos="1320"/>
          <w:tab w:val="right" w:leader="dot" w:pos="9884"/>
        </w:tabs>
        <w:spacing w:line="240" w:lineRule="auto"/>
        <w:rPr>
          <w:rFonts w:ascii="Times New Roman" w:eastAsiaTheme="minorEastAsia" w:hAnsi="Times New Roman" w:cs="Times New Roman"/>
          <w:i w:val="0"/>
          <w:iCs w:val="0"/>
          <w:noProof/>
          <w:sz w:val="24"/>
          <w:szCs w:val="24"/>
          <w:lang w:eastAsia="lv-LV"/>
        </w:rPr>
      </w:pPr>
      <w:hyperlink w:anchor="_Toc482084815" w:history="1">
        <w:r w:rsidR="005404EE" w:rsidRPr="005404EE">
          <w:rPr>
            <w:rStyle w:val="Hyperlink"/>
            <w:rFonts w:ascii="Times New Roman" w:hAnsi="Times New Roman" w:cs="Times New Roman"/>
            <w:noProof/>
            <w:sz w:val="24"/>
            <w:szCs w:val="24"/>
          </w:rPr>
          <w:t>4.2.3.</w:t>
        </w:r>
        <w:r w:rsidR="005404EE" w:rsidRPr="005404EE">
          <w:rPr>
            <w:rFonts w:ascii="Times New Roman" w:eastAsiaTheme="minorEastAsia" w:hAnsi="Times New Roman" w:cs="Times New Roman"/>
            <w:i w:val="0"/>
            <w:iCs w:val="0"/>
            <w:noProof/>
            <w:sz w:val="24"/>
            <w:szCs w:val="24"/>
            <w:lang w:eastAsia="lv-LV"/>
          </w:rPr>
          <w:tab/>
        </w:r>
        <w:r w:rsidR="005404EE" w:rsidRPr="005404EE">
          <w:rPr>
            <w:rStyle w:val="Hyperlink"/>
            <w:rFonts w:ascii="Times New Roman" w:hAnsi="Times New Roman" w:cs="Times New Roman"/>
            <w:noProof/>
            <w:sz w:val="24"/>
            <w:szCs w:val="24"/>
          </w:rPr>
          <w:t>Valsts dzīvojamās mājas un dzīvokļu īpašumi</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_Toc482084815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17</w:t>
        </w:r>
        <w:r w:rsidR="005404EE" w:rsidRPr="005404EE">
          <w:rPr>
            <w:rFonts w:ascii="Times New Roman" w:hAnsi="Times New Roman" w:cs="Times New Roman"/>
            <w:noProof/>
            <w:webHidden/>
            <w:sz w:val="24"/>
            <w:szCs w:val="24"/>
          </w:rPr>
          <w:fldChar w:fldCharType="end"/>
        </w:r>
      </w:hyperlink>
    </w:p>
    <w:p w14:paraId="784A854F" w14:textId="4D791A2C" w:rsidR="005404EE" w:rsidRPr="005404EE" w:rsidRDefault="00F21AC2" w:rsidP="005404EE">
      <w:pPr>
        <w:pStyle w:val="TOC3"/>
        <w:tabs>
          <w:tab w:val="right" w:leader="dot" w:pos="9884"/>
        </w:tabs>
        <w:spacing w:line="240" w:lineRule="auto"/>
        <w:rPr>
          <w:rFonts w:ascii="Times New Roman" w:eastAsiaTheme="minorEastAsia" w:hAnsi="Times New Roman" w:cs="Times New Roman"/>
          <w:i w:val="0"/>
          <w:iCs w:val="0"/>
          <w:noProof/>
          <w:sz w:val="24"/>
          <w:szCs w:val="24"/>
          <w:lang w:eastAsia="lv-LV"/>
        </w:rPr>
      </w:pPr>
      <w:hyperlink w:anchor="_Toc482084816" w:history="1">
        <w:r w:rsidR="005404EE" w:rsidRPr="005404EE">
          <w:rPr>
            <w:rStyle w:val="Hyperlink"/>
            <w:rFonts w:ascii="Times New Roman" w:hAnsi="Times New Roman" w:cs="Times New Roman"/>
            <w:noProof/>
            <w:sz w:val="24"/>
            <w:szCs w:val="24"/>
          </w:rPr>
          <w:t>4.2.3.1. Ieviestie pasākumi</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_Toc482084816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17</w:t>
        </w:r>
        <w:r w:rsidR="005404EE" w:rsidRPr="005404EE">
          <w:rPr>
            <w:rFonts w:ascii="Times New Roman" w:hAnsi="Times New Roman" w:cs="Times New Roman"/>
            <w:noProof/>
            <w:webHidden/>
            <w:sz w:val="24"/>
            <w:szCs w:val="24"/>
          </w:rPr>
          <w:fldChar w:fldCharType="end"/>
        </w:r>
      </w:hyperlink>
    </w:p>
    <w:p w14:paraId="5DE93084" w14:textId="13998A96" w:rsidR="005404EE" w:rsidRPr="005404EE" w:rsidRDefault="00F21AC2" w:rsidP="005404EE">
      <w:pPr>
        <w:pStyle w:val="TOC3"/>
        <w:tabs>
          <w:tab w:val="right" w:leader="dot" w:pos="9884"/>
        </w:tabs>
        <w:spacing w:line="240" w:lineRule="auto"/>
        <w:rPr>
          <w:rFonts w:ascii="Times New Roman" w:eastAsiaTheme="minorEastAsia" w:hAnsi="Times New Roman" w:cs="Times New Roman"/>
          <w:i w:val="0"/>
          <w:iCs w:val="0"/>
          <w:noProof/>
          <w:sz w:val="24"/>
          <w:szCs w:val="24"/>
          <w:lang w:eastAsia="lv-LV"/>
        </w:rPr>
      </w:pPr>
      <w:hyperlink w:anchor="_Toc482084817" w:history="1">
        <w:r w:rsidR="005404EE" w:rsidRPr="005404EE">
          <w:rPr>
            <w:rStyle w:val="Hyperlink"/>
            <w:rFonts w:ascii="Times New Roman" w:hAnsi="Times New Roman" w:cs="Times New Roman"/>
            <w:noProof/>
            <w:sz w:val="24"/>
            <w:szCs w:val="24"/>
          </w:rPr>
          <w:t>4.2.3.2. Plānotie pasākumi</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_Toc482084817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17</w:t>
        </w:r>
        <w:r w:rsidR="005404EE" w:rsidRPr="005404EE">
          <w:rPr>
            <w:rFonts w:ascii="Times New Roman" w:hAnsi="Times New Roman" w:cs="Times New Roman"/>
            <w:noProof/>
            <w:webHidden/>
            <w:sz w:val="24"/>
            <w:szCs w:val="24"/>
          </w:rPr>
          <w:fldChar w:fldCharType="end"/>
        </w:r>
      </w:hyperlink>
    </w:p>
    <w:p w14:paraId="55F72BDE" w14:textId="0A0AD99B" w:rsidR="005404EE" w:rsidRPr="005404EE" w:rsidRDefault="00F21AC2" w:rsidP="005404EE">
      <w:pPr>
        <w:pStyle w:val="TOC3"/>
        <w:tabs>
          <w:tab w:val="left" w:pos="1320"/>
          <w:tab w:val="right" w:leader="dot" w:pos="9884"/>
        </w:tabs>
        <w:spacing w:line="240" w:lineRule="auto"/>
        <w:rPr>
          <w:rFonts w:ascii="Times New Roman" w:eastAsiaTheme="minorEastAsia" w:hAnsi="Times New Roman" w:cs="Times New Roman"/>
          <w:i w:val="0"/>
          <w:iCs w:val="0"/>
          <w:noProof/>
          <w:sz w:val="24"/>
          <w:szCs w:val="24"/>
          <w:lang w:eastAsia="lv-LV"/>
        </w:rPr>
      </w:pPr>
      <w:hyperlink w:anchor="_Toc482084818" w:history="1">
        <w:r w:rsidR="005404EE" w:rsidRPr="005404EE">
          <w:rPr>
            <w:rStyle w:val="Hyperlink"/>
            <w:rFonts w:ascii="Times New Roman" w:hAnsi="Times New Roman" w:cs="Times New Roman"/>
            <w:noProof/>
            <w:sz w:val="24"/>
            <w:szCs w:val="24"/>
          </w:rPr>
          <w:t>4.2.4.</w:t>
        </w:r>
        <w:r w:rsidR="005404EE" w:rsidRPr="005404EE">
          <w:rPr>
            <w:rFonts w:ascii="Times New Roman" w:eastAsiaTheme="minorEastAsia" w:hAnsi="Times New Roman" w:cs="Times New Roman"/>
            <w:i w:val="0"/>
            <w:iCs w:val="0"/>
            <w:noProof/>
            <w:sz w:val="24"/>
            <w:szCs w:val="24"/>
            <w:lang w:eastAsia="lv-LV"/>
          </w:rPr>
          <w:tab/>
        </w:r>
        <w:r w:rsidR="005404EE" w:rsidRPr="005404EE">
          <w:rPr>
            <w:rStyle w:val="Hyperlink"/>
            <w:rFonts w:ascii="Times New Roman" w:hAnsi="Times New Roman" w:cs="Times New Roman"/>
            <w:noProof/>
            <w:sz w:val="24"/>
            <w:szCs w:val="24"/>
          </w:rPr>
          <w:t>Privatizācijas sertifikāti</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_Toc482084818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18</w:t>
        </w:r>
        <w:r w:rsidR="005404EE" w:rsidRPr="005404EE">
          <w:rPr>
            <w:rFonts w:ascii="Times New Roman" w:hAnsi="Times New Roman" w:cs="Times New Roman"/>
            <w:noProof/>
            <w:webHidden/>
            <w:sz w:val="24"/>
            <w:szCs w:val="24"/>
          </w:rPr>
          <w:fldChar w:fldCharType="end"/>
        </w:r>
      </w:hyperlink>
    </w:p>
    <w:p w14:paraId="065ABD6B" w14:textId="32104BA3" w:rsidR="005404EE" w:rsidRPr="005404EE" w:rsidRDefault="00F21AC2" w:rsidP="005404EE">
      <w:pPr>
        <w:pStyle w:val="TOC3"/>
        <w:tabs>
          <w:tab w:val="right" w:leader="dot" w:pos="9884"/>
        </w:tabs>
        <w:spacing w:line="240" w:lineRule="auto"/>
        <w:rPr>
          <w:rFonts w:ascii="Times New Roman" w:eastAsiaTheme="minorEastAsia" w:hAnsi="Times New Roman" w:cs="Times New Roman"/>
          <w:i w:val="0"/>
          <w:iCs w:val="0"/>
          <w:noProof/>
          <w:sz w:val="24"/>
          <w:szCs w:val="24"/>
          <w:lang w:eastAsia="lv-LV"/>
        </w:rPr>
      </w:pPr>
      <w:hyperlink w:anchor="_Toc482084819" w:history="1">
        <w:r w:rsidR="005404EE" w:rsidRPr="005404EE">
          <w:rPr>
            <w:rStyle w:val="Hyperlink"/>
            <w:rFonts w:ascii="Times New Roman" w:hAnsi="Times New Roman" w:cs="Times New Roman"/>
            <w:noProof/>
            <w:sz w:val="24"/>
            <w:szCs w:val="24"/>
          </w:rPr>
          <w:t>4.2.4.1. Ieviestie pasākumi</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_Toc482084819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18</w:t>
        </w:r>
        <w:r w:rsidR="005404EE" w:rsidRPr="005404EE">
          <w:rPr>
            <w:rFonts w:ascii="Times New Roman" w:hAnsi="Times New Roman" w:cs="Times New Roman"/>
            <w:noProof/>
            <w:webHidden/>
            <w:sz w:val="24"/>
            <w:szCs w:val="24"/>
          </w:rPr>
          <w:fldChar w:fldCharType="end"/>
        </w:r>
      </w:hyperlink>
    </w:p>
    <w:p w14:paraId="62215636" w14:textId="20C0A894" w:rsidR="005404EE" w:rsidRPr="005404EE" w:rsidRDefault="00F21AC2" w:rsidP="005404EE">
      <w:pPr>
        <w:pStyle w:val="TOC3"/>
        <w:tabs>
          <w:tab w:val="right" w:leader="dot" w:pos="9884"/>
        </w:tabs>
        <w:spacing w:line="240" w:lineRule="auto"/>
        <w:rPr>
          <w:rFonts w:ascii="Times New Roman" w:eastAsiaTheme="minorEastAsia" w:hAnsi="Times New Roman" w:cs="Times New Roman"/>
          <w:i w:val="0"/>
          <w:iCs w:val="0"/>
          <w:noProof/>
          <w:sz w:val="24"/>
          <w:szCs w:val="24"/>
          <w:lang w:eastAsia="lv-LV"/>
        </w:rPr>
      </w:pPr>
      <w:hyperlink w:anchor="_Toc482084820" w:history="1">
        <w:r w:rsidR="005404EE" w:rsidRPr="005404EE">
          <w:rPr>
            <w:rStyle w:val="Hyperlink"/>
            <w:rFonts w:ascii="Times New Roman" w:hAnsi="Times New Roman" w:cs="Times New Roman"/>
            <w:noProof/>
            <w:sz w:val="24"/>
            <w:szCs w:val="24"/>
          </w:rPr>
          <w:t>4.2.4.2. Plānotie pasākumi</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_Toc482084820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18</w:t>
        </w:r>
        <w:r w:rsidR="005404EE" w:rsidRPr="005404EE">
          <w:rPr>
            <w:rFonts w:ascii="Times New Roman" w:hAnsi="Times New Roman" w:cs="Times New Roman"/>
            <w:noProof/>
            <w:webHidden/>
            <w:sz w:val="24"/>
            <w:szCs w:val="24"/>
          </w:rPr>
          <w:fldChar w:fldCharType="end"/>
        </w:r>
      </w:hyperlink>
    </w:p>
    <w:p w14:paraId="33F53321" w14:textId="65D1471C" w:rsidR="005404EE" w:rsidRPr="005404EE" w:rsidRDefault="00F21AC2" w:rsidP="005404EE">
      <w:pPr>
        <w:pStyle w:val="TOC2"/>
        <w:tabs>
          <w:tab w:val="left" w:pos="880"/>
          <w:tab w:val="right" w:leader="dot" w:pos="9884"/>
        </w:tabs>
        <w:spacing w:line="240" w:lineRule="auto"/>
        <w:rPr>
          <w:rFonts w:ascii="Times New Roman" w:eastAsiaTheme="minorEastAsia" w:hAnsi="Times New Roman" w:cs="Times New Roman"/>
          <w:smallCaps w:val="0"/>
          <w:noProof/>
          <w:sz w:val="24"/>
          <w:szCs w:val="24"/>
          <w:lang w:eastAsia="lv-LV"/>
        </w:rPr>
      </w:pPr>
      <w:hyperlink w:anchor="_Toc482084821" w:history="1">
        <w:r w:rsidR="005404EE" w:rsidRPr="005404EE">
          <w:rPr>
            <w:rStyle w:val="Hyperlink"/>
            <w:rFonts w:ascii="Times New Roman" w:hAnsi="Times New Roman" w:cs="Times New Roman"/>
            <w:noProof/>
            <w:sz w:val="24"/>
            <w:szCs w:val="24"/>
          </w:rPr>
          <w:t>4.3.</w:t>
        </w:r>
        <w:r w:rsidR="005404EE" w:rsidRPr="005404EE">
          <w:rPr>
            <w:rFonts w:ascii="Times New Roman" w:eastAsiaTheme="minorEastAsia" w:hAnsi="Times New Roman" w:cs="Times New Roman"/>
            <w:smallCaps w:val="0"/>
            <w:noProof/>
            <w:sz w:val="24"/>
            <w:szCs w:val="24"/>
            <w:lang w:eastAsia="lv-LV"/>
          </w:rPr>
          <w:tab/>
        </w:r>
        <w:r w:rsidR="005404EE" w:rsidRPr="005404EE">
          <w:rPr>
            <w:rStyle w:val="Hyperlink"/>
            <w:rFonts w:ascii="Times New Roman" w:hAnsi="Times New Roman" w:cs="Times New Roman"/>
            <w:noProof/>
            <w:sz w:val="24"/>
            <w:szCs w:val="24"/>
          </w:rPr>
          <w:t>Pilna cikla pakalpojumu nodrošināšana</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_Toc482084821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19</w:t>
        </w:r>
        <w:r w:rsidR="005404EE" w:rsidRPr="005404EE">
          <w:rPr>
            <w:rFonts w:ascii="Times New Roman" w:hAnsi="Times New Roman" w:cs="Times New Roman"/>
            <w:noProof/>
            <w:webHidden/>
            <w:sz w:val="24"/>
            <w:szCs w:val="24"/>
          </w:rPr>
          <w:fldChar w:fldCharType="end"/>
        </w:r>
      </w:hyperlink>
    </w:p>
    <w:p w14:paraId="60B746D6" w14:textId="6FC804EB" w:rsidR="005404EE" w:rsidRPr="005404EE" w:rsidRDefault="00F21AC2" w:rsidP="005404EE">
      <w:pPr>
        <w:pStyle w:val="TOC2"/>
        <w:tabs>
          <w:tab w:val="left" w:pos="880"/>
          <w:tab w:val="right" w:leader="dot" w:pos="9884"/>
        </w:tabs>
        <w:spacing w:line="240" w:lineRule="auto"/>
        <w:rPr>
          <w:rFonts w:ascii="Times New Roman" w:eastAsiaTheme="minorEastAsia" w:hAnsi="Times New Roman" w:cs="Times New Roman"/>
          <w:smallCaps w:val="0"/>
          <w:noProof/>
          <w:sz w:val="24"/>
          <w:szCs w:val="24"/>
          <w:lang w:eastAsia="lv-LV"/>
        </w:rPr>
      </w:pPr>
      <w:hyperlink w:anchor="_Toc482084822" w:history="1">
        <w:r w:rsidR="005404EE" w:rsidRPr="005404EE">
          <w:rPr>
            <w:rStyle w:val="Hyperlink"/>
            <w:rFonts w:ascii="Times New Roman" w:hAnsi="Times New Roman" w:cs="Times New Roman"/>
            <w:noProof/>
            <w:sz w:val="24"/>
            <w:szCs w:val="24"/>
          </w:rPr>
          <w:t>4.4.</w:t>
        </w:r>
        <w:r w:rsidR="005404EE" w:rsidRPr="005404EE">
          <w:rPr>
            <w:rFonts w:ascii="Times New Roman" w:eastAsiaTheme="minorEastAsia" w:hAnsi="Times New Roman" w:cs="Times New Roman"/>
            <w:smallCaps w:val="0"/>
            <w:noProof/>
            <w:sz w:val="24"/>
            <w:szCs w:val="24"/>
            <w:lang w:eastAsia="lv-LV"/>
          </w:rPr>
          <w:tab/>
        </w:r>
        <w:r w:rsidR="005404EE" w:rsidRPr="005404EE">
          <w:rPr>
            <w:rStyle w:val="Hyperlink"/>
            <w:rFonts w:ascii="Times New Roman" w:hAnsi="Times New Roman" w:cs="Times New Roman"/>
            <w:noProof/>
            <w:sz w:val="24"/>
            <w:szCs w:val="24"/>
          </w:rPr>
          <w:t>Lēmumu pieņemšanas procesu optimizēšana</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_Toc482084822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20</w:t>
        </w:r>
        <w:r w:rsidR="005404EE" w:rsidRPr="005404EE">
          <w:rPr>
            <w:rFonts w:ascii="Times New Roman" w:hAnsi="Times New Roman" w:cs="Times New Roman"/>
            <w:noProof/>
            <w:webHidden/>
            <w:sz w:val="24"/>
            <w:szCs w:val="24"/>
          </w:rPr>
          <w:fldChar w:fldCharType="end"/>
        </w:r>
      </w:hyperlink>
    </w:p>
    <w:p w14:paraId="72257560" w14:textId="3A7C13AC" w:rsidR="005404EE" w:rsidRPr="005404EE" w:rsidRDefault="00F21AC2" w:rsidP="005404EE">
      <w:pPr>
        <w:pStyle w:val="TOC2"/>
        <w:tabs>
          <w:tab w:val="left" w:pos="880"/>
          <w:tab w:val="right" w:leader="dot" w:pos="9884"/>
        </w:tabs>
        <w:spacing w:line="240" w:lineRule="auto"/>
        <w:rPr>
          <w:rFonts w:ascii="Times New Roman" w:eastAsiaTheme="minorEastAsia" w:hAnsi="Times New Roman" w:cs="Times New Roman"/>
          <w:smallCaps w:val="0"/>
          <w:noProof/>
          <w:sz w:val="24"/>
          <w:szCs w:val="24"/>
          <w:lang w:eastAsia="lv-LV"/>
        </w:rPr>
      </w:pPr>
      <w:hyperlink w:anchor="_Toc482084823" w:history="1">
        <w:r w:rsidR="005404EE" w:rsidRPr="005404EE">
          <w:rPr>
            <w:rStyle w:val="Hyperlink"/>
            <w:rFonts w:ascii="Times New Roman" w:hAnsi="Times New Roman" w:cs="Times New Roman"/>
            <w:noProof/>
            <w:sz w:val="24"/>
            <w:szCs w:val="24"/>
          </w:rPr>
          <w:t>4.5.</w:t>
        </w:r>
        <w:r w:rsidR="005404EE" w:rsidRPr="005404EE">
          <w:rPr>
            <w:rFonts w:ascii="Times New Roman" w:eastAsiaTheme="minorEastAsia" w:hAnsi="Times New Roman" w:cs="Times New Roman"/>
            <w:smallCaps w:val="0"/>
            <w:noProof/>
            <w:sz w:val="24"/>
            <w:szCs w:val="24"/>
            <w:lang w:eastAsia="lv-LV"/>
          </w:rPr>
          <w:tab/>
        </w:r>
        <w:r w:rsidR="005404EE" w:rsidRPr="005404EE">
          <w:rPr>
            <w:rStyle w:val="Hyperlink"/>
            <w:rFonts w:ascii="Times New Roman" w:hAnsi="Times New Roman" w:cs="Times New Roman"/>
            <w:noProof/>
            <w:sz w:val="24"/>
            <w:szCs w:val="24"/>
          </w:rPr>
          <w:t>Sabiedrības pārvaldīšanas modeļa pilnveide</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_Toc482084823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21</w:t>
        </w:r>
        <w:r w:rsidR="005404EE" w:rsidRPr="005404EE">
          <w:rPr>
            <w:rFonts w:ascii="Times New Roman" w:hAnsi="Times New Roman" w:cs="Times New Roman"/>
            <w:noProof/>
            <w:webHidden/>
            <w:sz w:val="24"/>
            <w:szCs w:val="24"/>
          </w:rPr>
          <w:fldChar w:fldCharType="end"/>
        </w:r>
      </w:hyperlink>
    </w:p>
    <w:p w14:paraId="2214EAD3" w14:textId="61DCBDF2" w:rsidR="005404EE" w:rsidRPr="005404EE" w:rsidRDefault="00F21AC2" w:rsidP="005404EE">
      <w:pPr>
        <w:pStyle w:val="TOC1"/>
        <w:tabs>
          <w:tab w:val="left" w:pos="440"/>
          <w:tab w:val="right" w:leader="dot" w:pos="9884"/>
        </w:tabs>
        <w:spacing w:before="0" w:after="0" w:line="240" w:lineRule="auto"/>
        <w:rPr>
          <w:rFonts w:ascii="Times New Roman" w:eastAsiaTheme="minorEastAsia" w:hAnsi="Times New Roman" w:cs="Times New Roman"/>
          <w:b w:val="0"/>
          <w:bCs w:val="0"/>
          <w:caps w:val="0"/>
          <w:noProof/>
          <w:sz w:val="24"/>
          <w:szCs w:val="24"/>
          <w:lang w:eastAsia="lv-LV"/>
        </w:rPr>
      </w:pPr>
      <w:hyperlink w:anchor="_Toc482084824" w:history="1">
        <w:r w:rsidR="005404EE" w:rsidRPr="005404EE">
          <w:rPr>
            <w:rStyle w:val="Hyperlink"/>
            <w:rFonts w:ascii="Times New Roman" w:hAnsi="Times New Roman" w:cs="Times New Roman"/>
            <w:noProof/>
            <w:sz w:val="24"/>
            <w:szCs w:val="24"/>
          </w:rPr>
          <w:t>5.</w:t>
        </w:r>
        <w:r w:rsidR="005404EE" w:rsidRPr="005404EE">
          <w:rPr>
            <w:rFonts w:ascii="Times New Roman" w:eastAsiaTheme="minorEastAsia" w:hAnsi="Times New Roman" w:cs="Times New Roman"/>
            <w:b w:val="0"/>
            <w:bCs w:val="0"/>
            <w:caps w:val="0"/>
            <w:noProof/>
            <w:sz w:val="24"/>
            <w:szCs w:val="24"/>
            <w:lang w:eastAsia="lv-LV"/>
          </w:rPr>
          <w:tab/>
        </w:r>
        <w:r w:rsidR="005404EE" w:rsidRPr="005404EE">
          <w:rPr>
            <w:rStyle w:val="Hyperlink"/>
            <w:rFonts w:ascii="Times New Roman" w:hAnsi="Times New Roman" w:cs="Times New Roman"/>
            <w:noProof/>
            <w:sz w:val="24"/>
            <w:szCs w:val="24"/>
          </w:rPr>
          <w:t>Priekšlikumi izmaiņām normatīvajos aktos</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_Toc482084824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22</w:t>
        </w:r>
        <w:r w:rsidR="005404EE" w:rsidRPr="005404EE">
          <w:rPr>
            <w:rFonts w:ascii="Times New Roman" w:hAnsi="Times New Roman" w:cs="Times New Roman"/>
            <w:noProof/>
            <w:webHidden/>
            <w:sz w:val="24"/>
            <w:szCs w:val="24"/>
          </w:rPr>
          <w:fldChar w:fldCharType="end"/>
        </w:r>
      </w:hyperlink>
    </w:p>
    <w:p w14:paraId="17815960" w14:textId="084113FA" w:rsidR="005404EE" w:rsidRPr="005404EE" w:rsidRDefault="00F21AC2" w:rsidP="005404EE">
      <w:pPr>
        <w:pStyle w:val="TOC2"/>
        <w:tabs>
          <w:tab w:val="left" w:pos="880"/>
          <w:tab w:val="right" w:leader="dot" w:pos="9884"/>
        </w:tabs>
        <w:spacing w:line="240" w:lineRule="auto"/>
        <w:rPr>
          <w:rFonts w:ascii="Times New Roman" w:eastAsiaTheme="minorEastAsia" w:hAnsi="Times New Roman" w:cs="Times New Roman"/>
          <w:smallCaps w:val="0"/>
          <w:noProof/>
          <w:sz w:val="24"/>
          <w:szCs w:val="24"/>
          <w:lang w:eastAsia="lv-LV"/>
        </w:rPr>
      </w:pPr>
      <w:hyperlink w:anchor="_Toc482084825" w:history="1">
        <w:r w:rsidR="005404EE" w:rsidRPr="005404EE">
          <w:rPr>
            <w:rStyle w:val="Hyperlink"/>
            <w:rFonts w:ascii="Times New Roman" w:hAnsi="Times New Roman" w:cs="Times New Roman"/>
            <w:noProof/>
            <w:sz w:val="24"/>
            <w:szCs w:val="24"/>
          </w:rPr>
          <w:t>5.1.</w:t>
        </w:r>
        <w:r w:rsidR="005404EE" w:rsidRPr="005404EE">
          <w:rPr>
            <w:rFonts w:ascii="Times New Roman" w:eastAsiaTheme="minorEastAsia" w:hAnsi="Times New Roman" w:cs="Times New Roman"/>
            <w:smallCaps w:val="0"/>
            <w:noProof/>
            <w:sz w:val="24"/>
            <w:szCs w:val="24"/>
            <w:lang w:eastAsia="lv-LV"/>
          </w:rPr>
          <w:tab/>
        </w:r>
        <w:r w:rsidR="005404EE" w:rsidRPr="005404EE">
          <w:rPr>
            <w:rStyle w:val="Hyperlink"/>
            <w:rFonts w:ascii="Times New Roman" w:hAnsi="Times New Roman" w:cs="Times New Roman"/>
            <w:noProof/>
            <w:sz w:val="24"/>
            <w:szCs w:val="24"/>
          </w:rPr>
          <w:t>Sabiedrības pārvaldīšana atbilstoši Publiskas personas kapitāla daļu un kapitālsabiedrību pārvaldības likumam</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_Toc482084825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22</w:t>
        </w:r>
        <w:r w:rsidR="005404EE" w:rsidRPr="005404EE">
          <w:rPr>
            <w:rFonts w:ascii="Times New Roman" w:hAnsi="Times New Roman" w:cs="Times New Roman"/>
            <w:noProof/>
            <w:webHidden/>
            <w:sz w:val="24"/>
            <w:szCs w:val="24"/>
          </w:rPr>
          <w:fldChar w:fldCharType="end"/>
        </w:r>
      </w:hyperlink>
    </w:p>
    <w:p w14:paraId="584E7E9B" w14:textId="0D07BEBF" w:rsidR="005404EE" w:rsidRPr="005404EE" w:rsidRDefault="00F21AC2" w:rsidP="005404EE">
      <w:pPr>
        <w:pStyle w:val="TOC2"/>
        <w:tabs>
          <w:tab w:val="left" w:pos="880"/>
          <w:tab w:val="right" w:leader="dot" w:pos="9884"/>
        </w:tabs>
        <w:spacing w:line="240" w:lineRule="auto"/>
        <w:rPr>
          <w:rFonts w:ascii="Times New Roman" w:eastAsiaTheme="minorEastAsia" w:hAnsi="Times New Roman" w:cs="Times New Roman"/>
          <w:smallCaps w:val="0"/>
          <w:noProof/>
          <w:sz w:val="24"/>
          <w:szCs w:val="24"/>
          <w:lang w:eastAsia="lv-LV"/>
        </w:rPr>
      </w:pPr>
      <w:hyperlink w:anchor="_Toc482084826" w:history="1">
        <w:r w:rsidR="005404EE" w:rsidRPr="005404EE">
          <w:rPr>
            <w:rStyle w:val="Hyperlink"/>
            <w:rFonts w:ascii="Times New Roman" w:hAnsi="Times New Roman" w:cs="Times New Roman"/>
            <w:noProof/>
            <w:sz w:val="24"/>
            <w:szCs w:val="24"/>
          </w:rPr>
          <w:t>5.2.</w:t>
        </w:r>
        <w:r w:rsidR="005404EE" w:rsidRPr="005404EE">
          <w:rPr>
            <w:rFonts w:ascii="Times New Roman" w:eastAsiaTheme="minorEastAsia" w:hAnsi="Times New Roman" w:cs="Times New Roman"/>
            <w:smallCaps w:val="0"/>
            <w:noProof/>
            <w:sz w:val="24"/>
            <w:szCs w:val="24"/>
            <w:lang w:eastAsia="lv-LV"/>
          </w:rPr>
          <w:tab/>
        </w:r>
        <w:r w:rsidR="005404EE" w:rsidRPr="005404EE">
          <w:rPr>
            <w:rStyle w:val="Hyperlink"/>
            <w:rFonts w:ascii="Times New Roman" w:hAnsi="Times New Roman" w:cs="Times New Roman"/>
            <w:noProof/>
            <w:sz w:val="24"/>
            <w:szCs w:val="24"/>
          </w:rPr>
          <w:t>Likumi, kuros grozījumi nepieciešami tikai saistībā ar Sabiedrības nosaukuma (firmas) maiņu</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_Toc482084826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23</w:t>
        </w:r>
        <w:r w:rsidR="005404EE" w:rsidRPr="005404EE">
          <w:rPr>
            <w:rFonts w:ascii="Times New Roman" w:hAnsi="Times New Roman" w:cs="Times New Roman"/>
            <w:noProof/>
            <w:webHidden/>
            <w:sz w:val="24"/>
            <w:szCs w:val="24"/>
          </w:rPr>
          <w:fldChar w:fldCharType="end"/>
        </w:r>
      </w:hyperlink>
    </w:p>
    <w:p w14:paraId="565BEC21" w14:textId="2AC9745F" w:rsidR="005404EE" w:rsidRPr="005404EE" w:rsidRDefault="00F21AC2" w:rsidP="005404EE">
      <w:pPr>
        <w:pStyle w:val="TOC2"/>
        <w:tabs>
          <w:tab w:val="left" w:pos="880"/>
          <w:tab w:val="right" w:leader="dot" w:pos="9884"/>
        </w:tabs>
        <w:spacing w:line="240" w:lineRule="auto"/>
        <w:rPr>
          <w:rFonts w:ascii="Times New Roman" w:eastAsiaTheme="minorEastAsia" w:hAnsi="Times New Roman" w:cs="Times New Roman"/>
          <w:smallCaps w:val="0"/>
          <w:noProof/>
          <w:sz w:val="24"/>
          <w:szCs w:val="24"/>
          <w:lang w:eastAsia="lv-LV"/>
        </w:rPr>
      </w:pPr>
      <w:hyperlink w:anchor="_Toc482084827" w:history="1">
        <w:r w:rsidR="005404EE" w:rsidRPr="005404EE">
          <w:rPr>
            <w:rStyle w:val="Hyperlink"/>
            <w:rFonts w:ascii="Times New Roman" w:hAnsi="Times New Roman" w:cs="Times New Roman"/>
            <w:noProof/>
            <w:sz w:val="24"/>
            <w:szCs w:val="24"/>
          </w:rPr>
          <w:t>5.3.</w:t>
        </w:r>
        <w:r w:rsidR="005404EE" w:rsidRPr="005404EE">
          <w:rPr>
            <w:rFonts w:ascii="Times New Roman" w:eastAsiaTheme="minorEastAsia" w:hAnsi="Times New Roman" w:cs="Times New Roman"/>
            <w:smallCaps w:val="0"/>
            <w:noProof/>
            <w:sz w:val="24"/>
            <w:szCs w:val="24"/>
            <w:lang w:eastAsia="lv-LV"/>
          </w:rPr>
          <w:tab/>
        </w:r>
        <w:r w:rsidR="005404EE" w:rsidRPr="005404EE">
          <w:rPr>
            <w:rStyle w:val="Hyperlink"/>
            <w:rFonts w:ascii="Times New Roman" w:hAnsi="Times New Roman" w:cs="Times New Roman"/>
            <w:noProof/>
            <w:sz w:val="24"/>
            <w:szCs w:val="24"/>
          </w:rPr>
          <w:t>Pirkuma līguma par valsts vai pašvaldību īpašuma objektu, apbūvētu un neapbūvētu zemesgabalu un zemes izpirkuma (pirkuma) līguma nomaksas termiņa samazināšana no 10 līdz 5 gadiem</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_Toc482084827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23</w:t>
        </w:r>
        <w:r w:rsidR="005404EE" w:rsidRPr="005404EE">
          <w:rPr>
            <w:rFonts w:ascii="Times New Roman" w:hAnsi="Times New Roman" w:cs="Times New Roman"/>
            <w:noProof/>
            <w:webHidden/>
            <w:sz w:val="24"/>
            <w:szCs w:val="24"/>
          </w:rPr>
          <w:fldChar w:fldCharType="end"/>
        </w:r>
      </w:hyperlink>
    </w:p>
    <w:p w14:paraId="1F7E9671" w14:textId="4650FF53" w:rsidR="005404EE" w:rsidRPr="005404EE" w:rsidRDefault="00F21AC2" w:rsidP="005404EE">
      <w:pPr>
        <w:pStyle w:val="TOC2"/>
        <w:tabs>
          <w:tab w:val="left" w:pos="880"/>
          <w:tab w:val="right" w:leader="dot" w:pos="9884"/>
        </w:tabs>
        <w:spacing w:line="240" w:lineRule="auto"/>
        <w:rPr>
          <w:rFonts w:ascii="Times New Roman" w:eastAsiaTheme="minorEastAsia" w:hAnsi="Times New Roman" w:cs="Times New Roman"/>
          <w:smallCaps w:val="0"/>
          <w:noProof/>
          <w:sz w:val="24"/>
          <w:szCs w:val="24"/>
          <w:lang w:eastAsia="lv-LV"/>
        </w:rPr>
      </w:pPr>
      <w:hyperlink w:anchor="_Toc482084828" w:history="1">
        <w:r w:rsidR="005404EE" w:rsidRPr="005404EE">
          <w:rPr>
            <w:rStyle w:val="Hyperlink"/>
            <w:rFonts w:ascii="Times New Roman" w:hAnsi="Times New Roman" w:cs="Times New Roman"/>
            <w:noProof/>
            <w:sz w:val="24"/>
            <w:szCs w:val="24"/>
          </w:rPr>
          <w:t>5.4.</w:t>
        </w:r>
        <w:r w:rsidR="005404EE" w:rsidRPr="005404EE">
          <w:rPr>
            <w:rFonts w:ascii="Times New Roman" w:eastAsiaTheme="minorEastAsia" w:hAnsi="Times New Roman" w:cs="Times New Roman"/>
            <w:smallCaps w:val="0"/>
            <w:noProof/>
            <w:sz w:val="24"/>
            <w:szCs w:val="24"/>
            <w:lang w:eastAsia="lv-LV"/>
          </w:rPr>
          <w:tab/>
        </w:r>
        <w:r w:rsidR="005404EE" w:rsidRPr="005404EE">
          <w:rPr>
            <w:rStyle w:val="Hyperlink"/>
            <w:rFonts w:ascii="Times New Roman" w:hAnsi="Times New Roman" w:cs="Times New Roman"/>
            <w:noProof/>
            <w:sz w:val="24"/>
            <w:szCs w:val="24"/>
          </w:rPr>
          <w:t>Sabiedrības noteikšana par tās turējumā esošo valsts īpašuma objektu un zemesgabalu, kuru privatizācija tiek izbeigta, atsavināšanas veicošo institūciju</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_Toc482084828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23</w:t>
        </w:r>
        <w:r w:rsidR="005404EE" w:rsidRPr="005404EE">
          <w:rPr>
            <w:rFonts w:ascii="Times New Roman" w:hAnsi="Times New Roman" w:cs="Times New Roman"/>
            <w:noProof/>
            <w:webHidden/>
            <w:sz w:val="24"/>
            <w:szCs w:val="24"/>
          </w:rPr>
          <w:fldChar w:fldCharType="end"/>
        </w:r>
      </w:hyperlink>
    </w:p>
    <w:p w14:paraId="565E2878" w14:textId="2183503D" w:rsidR="005404EE" w:rsidRPr="005404EE" w:rsidRDefault="00F21AC2" w:rsidP="005404EE">
      <w:pPr>
        <w:pStyle w:val="TOC2"/>
        <w:tabs>
          <w:tab w:val="left" w:pos="880"/>
          <w:tab w:val="right" w:leader="dot" w:pos="9884"/>
        </w:tabs>
        <w:spacing w:line="240" w:lineRule="auto"/>
        <w:rPr>
          <w:rFonts w:ascii="Times New Roman" w:eastAsiaTheme="minorEastAsia" w:hAnsi="Times New Roman" w:cs="Times New Roman"/>
          <w:smallCaps w:val="0"/>
          <w:noProof/>
          <w:sz w:val="24"/>
          <w:szCs w:val="24"/>
          <w:lang w:eastAsia="lv-LV"/>
        </w:rPr>
      </w:pPr>
      <w:hyperlink w:anchor="_Toc482084829" w:history="1">
        <w:r w:rsidR="005404EE" w:rsidRPr="005404EE">
          <w:rPr>
            <w:rStyle w:val="Hyperlink"/>
            <w:rFonts w:ascii="Times New Roman" w:hAnsi="Times New Roman" w:cs="Times New Roman"/>
            <w:noProof/>
            <w:sz w:val="24"/>
            <w:szCs w:val="24"/>
          </w:rPr>
          <w:t>5.5.</w:t>
        </w:r>
        <w:r w:rsidR="005404EE" w:rsidRPr="005404EE">
          <w:rPr>
            <w:rFonts w:ascii="Times New Roman" w:eastAsiaTheme="minorEastAsia" w:hAnsi="Times New Roman" w:cs="Times New Roman"/>
            <w:smallCaps w:val="0"/>
            <w:noProof/>
            <w:sz w:val="24"/>
            <w:szCs w:val="24"/>
            <w:lang w:eastAsia="lv-LV"/>
          </w:rPr>
          <w:tab/>
        </w:r>
        <w:r w:rsidR="005404EE" w:rsidRPr="005404EE">
          <w:rPr>
            <w:rStyle w:val="Hyperlink"/>
            <w:rFonts w:ascii="Times New Roman" w:hAnsi="Times New Roman" w:cs="Times New Roman"/>
            <w:noProof/>
            <w:sz w:val="24"/>
            <w:szCs w:val="24"/>
          </w:rPr>
          <w:t>Sabiedrībai nodotās bezmantinieku mantas atsavināšanas vienkāršošana</w:t>
        </w:r>
        <w:r w:rsidR="005404EE" w:rsidRPr="005404EE">
          <w:rPr>
            <w:rFonts w:ascii="Times New Roman" w:hAnsi="Times New Roman" w:cs="Times New Roman"/>
            <w:noProof/>
            <w:webHidden/>
            <w:sz w:val="24"/>
            <w:szCs w:val="24"/>
          </w:rPr>
          <w:tab/>
        </w:r>
        <w:r w:rsidR="005404EE" w:rsidRPr="005404EE">
          <w:rPr>
            <w:rFonts w:ascii="Times New Roman" w:hAnsi="Times New Roman" w:cs="Times New Roman"/>
            <w:noProof/>
            <w:webHidden/>
            <w:sz w:val="24"/>
            <w:szCs w:val="24"/>
          </w:rPr>
          <w:fldChar w:fldCharType="begin"/>
        </w:r>
        <w:r w:rsidR="005404EE" w:rsidRPr="005404EE">
          <w:rPr>
            <w:rFonts w:ascii="Times New Roman" w:hAnsi="Times New Roman" w:cs="Times New Roman"/>
            <w:noProof/>
            <w:webHidden/>
            <w:sz w:val="24"/>
            <w:szCs w:val="24"/>
          </w:rPr>
          <w:instrText xml:space="preserve"> PAGEREF _Toc482084829 \h </w:instrText>
        </w:r>
        <w:r w:rsidR="005404EE" w:rsidRPr="005404EE">
          <w:rPr>
            <w:rFonts w:ascii="Times New Roman" w:hAnsi="Times New Roman" w:cs="Times New Roman"/>
            <w:noProof/>
            <w:webHidden/>
            <w:sz w:val="24"/>
            <w:szCs w:val="24"/>
          </w:rPr>
        </w:r>
        <w:r w:rsidR="005404EE" w:rsidRPr="005404EE">
          <w:rPr>
            <w:rFonts w:ascii="Times New Roman" w:hAnsi="Times New Roman" w:cs="Times New Roman"/>
            <w:noProof/>
            <w:webHidden/>
            <w:sz w:val="24"/>
            <w:szCs w:val="24"/>
          </w:rPr>
          <w:fldChar w:fldCharType="separate"/>
        </w:r>
        <w:r w:rsidR="00361B46">
          <w:rPr>
            <w:rFonts w:ascii="Times New Roman" w:hAnsi="Times New Roman" w:cs="Times New Roman"/>
            <w:noProof/>
            <w:webHidden/>
            <w:sz w:val="24"/>
            <w:szCs w:val="24"/>
          </w:rPr>
          <w:t>23</w:t>
        </w:r>
        <w:r w:rsidR="005404EE" w:rsidRPr="005404EE">
          <w:rPr>
            <w:rFonts w:ascii="Times New Roman" w:hAnsi="Times New Roman" w:cs="Times New Roman"/>
            <w:noProof/>
            <w:webHidden/>
            <w:sz w:val="24"/>
            <w:szCs w:val="24"/>
          </w:rPr>
          <w:fldChar w:fldCharType="end"/>
        </w:r>
      </w:hyperlink>
    </w:p>
    <w:p w14:paraId="46FCCF58" w14:textId="5B14302E" w:rsidR="005404EE" w:rsidRDefault="005404EE" w:rsidP="005404EE">
      <w:pPr>
        <w:spacing w:after="0" w:line="240" w:lineRule="auto"/>
        <w:ind w:right="113"/>
        <w:jc w:val="both"/>
        <w:rPr>
          <w:rFonts w:ascii="Times New Roman" w:hAnsi="Times New Roman" w:cs="Times New Roman"/>
          <w:sz w:val="24"/>
          <w:szCs w:val="24"/>
        </w:rPr>
      </w:pPr>
      <w:r w:rsidRPr="005404EE">
        <w:rPr>
          <w:rFonts w:ascii="Times New Roman" w:hAnsi="Times New Roman" w:cs="Times New Roman"/>
          <w:sz w:val="24"/>
          <w:szCs w:val="24"/>
        </w:rPr>
        <w:fldChar w:fldCharType="end"/>
      </w:r>
    </w:p>
    <w:p w14:paraId="30892A94" w14:textId="77777777" w:rsidR="006E7F27" w:rsidRDefault="006E7F27" w:rsidP="005404EE">
      <w:pPr>
        <w:spacing w:after="0" w:line="240" w:lineRule="auto"/>
        <w:ind w:right="113"/>
        <w:jc w:val="both"/>
      </w:pPr>
    </w:p>
    <w:p w14:paraId="02C1C9DB" w14:textId="68C89AB7" w:rsidR="00D63706" w:rsidRPr="000571FE" w:rsidRDefault="00A369F6" w:rsidP="00EA43B2">
      <w:pPr>
        <w:pStyle w:val="Heading1"/>
        <w:keepNext w:val="0"/>
        <w:keepLines w:val="0"/>
        <w:spacing w:line="240" w:lineRule="auto"/>
        <w:jc w:val="center"/>
        <w:rPr>
          <w:rStyle w:val="Heading1Char"/>
          <w:rFonts w:ascii="Times New Roman" w:hAnsi="Times New Roman" w:cs="Times New Roman"/>
          <w:b/>
          <w:color w:val="auto"/>
          <w:sz w:val="28"/>
        </w:rPr>
      </w:pPr>
      <w:bookmarkStart w:id="3" w:name="_Toc482084433"/>
      <w:bookmarkStart w:id="4" w:name="_Toc482084597"/>
      <w:bookmarkStart w:id="5" w:name="_Toc482084632"/>
      <w:bookmarkStart w:id="6" w:name="_Toc482084667"/>
      <w:bookmarkStart w:id="7" w:name="_Toc482084795"/>
      <w:bookmarkStart w:id="8" w:name="_Toc478473144"/>
      <w:r w:rsidRPr="000571FE">
        <w:rPr>
          <w:rStyle w:val="Heading1Char"/>
          <w:rFonts w:ascii="Times New Roman" w:hAnsi="Times New Roman" w:cs="Times New Roman"/>
          <w:b/>
          <w:color w:val="auto"/>
          <w:sz w:val="28"/>
        </w:rPr>
        <w:lastRenderedPageBreak/>
        <w:t>Ievads</w:t>
      </w:r>
      <w:bookmarkEnd w:id="0"/>
      <w:bookmarkEnd w:id="1"/>
      <w:bookmarkEnd w:id="2"/>
      <w:bookmarkEnd w:id="3"/>
      <w:bookmarkEnd w:id="4"/>
      <w:bookmarkEnd w:id="5"/>
      <w:bookmarkEnd w:id="6"/>
      <w:bookmarkEnd w:id="7"/>
      <w:bookmarkEnd w:id="8"/>
    </w:p>
    <w:p w14:paraId="5F698C6E" w14:textId="77777777" w:rsidR="00DC4FED" w:rsidRPr="00DC6F66" w:rsidRDefault="003C0ABE" w:rsidP="00DC4FED">
      <w:pPr>
        <w:spacing w:before="80" w:after="80" w:line="240" w:lineRule="auto"/>
        <w:ind w:firstLine="709"/>
        <w:jc w:val="both"/>
        <w:rPr>
          <w:rFonts w:ascii="Times New Roman" w:eastAsia="Times New Roman" w:hAnsi="Times New Roman" w:cs="Times New Roman"/>
          <w:sz w:val="24"/>
          <w:szCs w:val="24"/>
          <w:lang w:eastAsia="lv-LV"/>
        </w:rPr>
      </w:pPr>
      <w:r w:rsidRPr="00DC6F66">
        <w:rPr>
          <w:rFonts w:ascii="Times New Roman" w:eastAsia="Times New Roman" w:hAnsi="Times New Roman" w:cs="Times New Roman"/>
          <w:sz w:val="24"/>
          <w:szCs w:val="24"/>
          <w:lang w:eastAsia="lv-LV"/>
        </w:rPr>
        <w:t>2015.gada 1.janvārī</w:t>
      </w:r>
      <w:r w:rsidRPr="00DC6F66">
        <w:t xml:space="preserve"> </w:t>
      </w:r>
      <w:r w:rsidRPr="00DC6F66">
        <w:rPr>
          <w:rFonts w:ascii="Times New Roman" w:eastAsia="Times New Roman" w:hAnsi="Times New Roman" w:cs="Times New Roman"/>
          <w:sz w:val="24"/>
          <w:szCs w:val="24"/>
          <w:lang w:eastAsia="lv-LV"/>
        </w:rPr>
        <w:t>stājās spēkā</w:t>
      </w:r>
      <w:r w:rsidRPr="00DC6F66">
        <w:t xml:space="preserve"> </w:t>
      </w:r>
      <w:r w:rsidRPr="00DC6F66">
        <w:rPr>
          <w:rFonts w:ascii="Times New Roman" w:eastAsia="Times New Roman" w:hAnsi="Times New Roman" w:cs="Times New Roman"/>
          <w:sz w:val="24"/>
          <w:szCs w:val="24"/>
          <w:lang w:eastAsia="lv-LV"/>
        </w:rPr>
        <w:t xml:space="preserve">Publiskas personas kapitāla daļu un kapitālsabiedrību pārvaldības likums (turpmāk – </w:t>
      </w:r>
      <w:r w:rsidR="00B27E90">
        <w:rPr>
          <w:rFonts w:ascii="Times New Roman" w:eastAsia="Times New Roman" w:hAnsi="Times New Roman" w:cs="Times New Roman"/>
          <w:sz w:val="24"/>
          <w:szCs w:val="24"/>
          <w:lang w:eastAsia="lv-LV"/>
        </w:rPr>
        <w:t>Kapitālsabiedrību p</w:t>
      </w:r>
      <w:r w:rsidRPr="00DC6F66">
        <w:rPr>
          <w:rFonts w:ascii="Times New Roman" w:eastAsia="Times New Roman" w:hAnsi="Times New Roman" w:cs="Times New Roman"/>
          <w:sz w:val="24"/>
          <w:szCs w:val="24"/>
          <w:lang w:eastAsia="lv-LV"/>
        </w:rPr>
        <w:t>ārvaldības likums). Tā pārejas noteikumu 11.punktā ir noteikts, ka publiskas personas augstākā lēmējinstitūcija (attiecībā uz valsts kapitālsabiedrībām - Ministru kabinets), saskaņā ar šā likuma 7.pantu līdz 2016.gada 1.oktobrim pieņem lēmumu par tās tiešo līdzdalību kapitālsabiedrībās, nosakot arī valsts līdzdalības vispārējo stratēģisko mērķi.</w:t>
      </w:r>
    </w:p>
    <w:p w14:paraId="6F3D48CD" w14:textId="77777777" w:rsidR="00C54314" w:rsidRDefault="00C54314" w:rsidP="00DC4FED">
      <w:pPr>
        <w:spacing w:before="80" w:after="8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Ņemot vērā minēto, </w:t>
      </w:r>
      <w:r w:rsidR="002A24D4" w:rsidRPr="00DC6F66">
        <w:rPr>
          <w:rFonts w:ascii="Times New Roman" w:hAnsi="Times New Roman" w:cs="Times New Roman"/>
          <w:sz w:val="24"/>
          <w:szCs w:val="24"/>
        </w:rPr>
        <w:t>šajā informatīvajā ziņojumā ir</w:t>
      </w:r>
      <w:r w:rsidRPr="00DC6F66">
        <w:rPr>
          <w:rFonts w:ascii="Times New Roman" w:hAnsi="Times New Roman" w:cs="Times New Roman"/>
          <w:sz w:val="24"/>
          <w:szCs w:val="24"/>
        </w:rPr>
        <w:t xml:space="preserve"> </w:t>
      </w:r>
      <w:r w:rsidR="002A24D4" w:rsidRPr="00DC6F66">
        <w:rPr>
          <w:rFonts w:ascii="Times New Roman" w:hAnsi="Times New Roman" w:cs="Times New Roman"/>
          <w:sz w:val="24"/>
          <w:szCs w:val="24"/>
        </w:rPr>
        <w:t xml:space="preserve">izvērtēta </w:t>
      </w:r>
      <w:r w:rsidRPr="00DC6F66">
        <w:rPr>
          <w:rFonts w:ascii="Times New Roman" w:hAnsi="Times New Roman" w:cs="Times New Roman"/>
          <w:sz w:val="24"/>
          <w:szCs w:val="24"/>
        </w:rPr>
        <w:t>valsts līdzdalības valsts akciju sabiedrībā “Privatizācijas aģentūra” (turpmāk – Sabiedrība) nepieciešamī</w:t>
      </w:r>
      <w:r w:rsidR="002A24D4" w:rsidRPr="00DC6F66">
        <w:rPr>
          <w:rFonts w:ascii="Times New Roman" w:hAnsi="Times New Roman" w:cs="Times New Roman"/>
          <w:sz w:val="24"/>
          <w:szCs w:val="24"/>
        </w:rPr>
        <w:t>ba</w:t>
      </w:r>
      <w:r w:rsidR="00867AF7" w:rsidRPr="00DC6F66">
        <w:rPr>
          <w:rFonts w:ascii="Times New Roman" w:hAnsi="Times New Roman" w:cs="Times New Roman"/>
          <w:sz w:val="24"/>
          <w:szCs w:val="24"/>
        </w:rPr>
        <w:t xml:space="preserve">, </w:t>
      </w:r>
      <w:r w:rsidRPr="00DC6F66">
        <w:rPr>
          <w:rFonts w:ascii="Times New Roman" w:hAnsi="Times New Roman" w:cs="Times New Roman"/>
          <w:sz w:val="24"/>
          <w:szCs w:val="24"/>
        </w:rPr>
        <w:t xml:space="preserve">kā arī </w:t>
      </w:r>
      <w:r w:rsidR="00C94DA8" w:rsidRPr="00DC6F66">
        <w:rPr>
          <w:rFonts w:ascii="Times New Roman" w:hAnsi="Times New Roman" w:cs="Times New Roman"/>
          <w:sz w:val="24"/>
          <w:szCs w:val="24"/>
        </w:rPr>
        <w:t>piedāvāts</w:t>
      </w:r>
      <w:r w:rsidRPr="00DC6F66">
        <w:rPr>
          <w:rFonts w:ascii="Times New Roman" w:hAnsi="Times New Roman" w:cs="Times New Roman"/>
          <w:sz w:val="24"/>
          <w:szCs w:val="24"/>
        </w:rPr>
        <w:t xml:space="preserve"> valsts līdzdalības vispārējais stratēģiskais mērķis.</w:t>
      </w:r>
    </w:p>
    <w:p w14:paraId="1D1EE672" w14:textId="77777777" w:rsidR="004E29AB" w:rsidRPr="00DC6F66" w:rsidRDefault="004E29AB" w:rsidP="00DC4FED">
      <w:pPr>
        <w:spacing w:before="80" w:after="80" w:line="240" w:lineRule="auto"/>
        <w:ind w:firstLine="709"/>
        <w:jc w:val="both"/>
        <w:rPr>
          <w:rFonts w:ascii="Times New Roman" w:hAnsi="Times New Roman" w:cs="Times New Roman"/>
          <w:sz w:val="24"/>
          <w:szCs w:val="24"/>
        </w:rPr>
      </w:pPr>
    </w:p>
    <w:p w14:paraId="457B7490" w14:textId="32F86AE8" w:rsidR="00A17E91" w:rsidRDefault="00A369F6" w:rsidP="00DC4FED">
      <w:pPr>
        <w:pStyle w:val="Heading1"/>
        <w:keepNext w:val="0"/>
        <w:keepLines w:val="0"/>
        <w:numPr>
          <w:ilvl w:val="0"/>
          <w:numId w:val="2"/>
        </w:numPr>
        <w:spacing w:line="240" w:lineRule="auto"/>
        <w:ind w:left="714" w:hanging="357"/>
        <w:jc w:val="center"/>
        <w:rPr>
          <w:rStyle w:val="Heading1Char"/>
          <w:rFonts w:ascii="Times New Roman" w:hAnsi="Times New Roman" w:cs="Times New Roman"/>
          <w:b/>
          <w:color w:val="auto"/>
          <w:sz w:val="28"/>
        </w:rPr>
      </w:pPr>
      <w:bookmarkStart w:id="9" w:name="_Toc468974757"/>
      <w:bookmarkStart w:id="10" w:name="_Toc482084434"/>
      <w:bookmarkStart w:id="11" w:name="_Toc482084598"/>
      <w:bookmarkStart w:id="12" w:name="_Toc482084633"/>
      <w:bookmarkStart w:id="13" w:name="_Toc482084668"/>
      <w:bookmarkStart w:id="14" w:name="_Toc482084796"/>
      <w:bookmarkStart w:id="15" w:name="_Toc478473145"/>
      <w:r w:rsidRPr="00DC6F66">
        <w:rPr>
          <w:rStyle w:val="Heading1Char"/>
          <w:rFonts w:ascii="Times New Roman" w:hAnsi="Times New Roman" w:cs="Times New Roman"/>
          <w:b/>
          <w:color w:val="auto"/>
          <w:sz w:val="28"/>
        </w:rPr>
        <w:t xml:space="preserve">Situācijas </w:t>
      </w:r>
      <w:r w:rsidR="003E5939" w:rsidRPr="00DC6F66">
        <w:rPr>
          <w:rStyle w:val="Heading1Char"/>
          <w:rFonts w:ascii="Times New Roman" w:hAnsi="Times New Roman" w:cs="Times New Roman"/>
          <w:b/>
          <w:color w:val="auto"/>
          <w:sz w:val="28"/>
        </w:rPr>
        <w:t>apraksts</w:t>
      </w:r>
      <w:bookmarkEnd w:id="9"/>
      <w:bookmarkEnd w:id="10"/>
      <w:bookmarkEnd w:id="11"/>
      <w:bookmarkEnd w:id="12"/>
      <w:bookmarkEnd w:id="13"/>
      <w:bookmarkEnd w:id="14"/>
      <w:bookmarkEnd w:id="15"/>
      <w:r w:rsidR="00A17E91" w:rsidRPr="00DC6F66">
        <w:rPr>
          <w:rStyle w:val="Heading1Char"/>
          <w:rFonts w:ascii="Times New Roman" w:hAnsi="Times New Roman" w:cs="Times New Roman"/>
          <w:b/>
          <w:color w:val="auto"/>
          <w:sz w:val="28"/>
        </w:rPr>
        <w:t xml:space="preserve"> </w:t>
      </w:r>
    </w:p>
    <w:p w14:paraId="2C33874A" w14:textId="77777777" w:rsidR="004048E9" w:rsidRPr="00114266" w:rsidRDefault="00190CA1" w:rsidP="004048E9">
      <w:pPr>
        <w:spacing w:before="120" w:after="120" w:line="240" w:lineRule="auto"/>
        <w:ind w:firstLine="709"/>
        <w:jc w:val="both"/>
        <w:rPr>
          <w:rFonts w:ascii="Times New Roman" w:hAnsi="Times New Roman"/>
          <w:color w:val="C00000"/>
          <w:sz w:val="24"/>
        </w:rPr>
      </w:pPr>
      <w:r w:rsidRPr="00DC6F66">
        <w:rPr>
          <w:rFonts w:ascii="Times New Roman" w:hAnsi="Times New Roman" w:cs="Times New Roman"/>
          <w:sz w:val="24"/>
          <w:szCs w:val="24"/>
        </w:rPr>
        <w:t xml:space="preserve">Sabiedrība dibināta 1994.gada 22.aprīlī kā bezpeļņas organizācija, valsts akciju sabiedrība. 2004.gada 1.novembrī Sabiedrība reģistrēta komercreģistrā (reģistrācijas Nr. 40003192154) kā valsts akciju sabiedrība “Privatizācijas aģentūra”. </w:t>
      </w:r>
    </w:p>
    <w:p w14:paraId="4FD9E697" w14:textId="77777777" w:rsidR="004048E9" w:rsidRPr="0019593E" w:rsidRDefault="004048E9" w:rsidP="00114266">
      <w:pPr>
        <w:spacing w:before="120" w:after="120" w:line="240" w:lineRule="auto"/>
        <w:ind w:firstLine="709"/>
        <w:jc w:val="both"/>
        <w:rPr>
          <w:rFonts w:ascii="Times New Roman" w:hAnsi="Times New Roman" w:cs="Times New Roman"/>
          <w:color w:val="C00000"/>
          <w:sz w:val="24"/>
          <w:szCs w:val="24"/>
        </w:rPr>
      </w:pPr>
      <w:r w:rsidRPr="0019593E">
        <w:rPr>
          <w:rFonts w:ascii="Times New Roman" w:hAnsi="Times New Roman" w:cs="Times New Roman"/>
          <w:sz w:val="24"/>
          <w:szCs w:val="24"/>
        </w:rPr>
        <w:t xml:space="preserve">Atbilstoši </w:t>
      </w:r>
      <w:r w:rsidR="00BA6B74" w:rsidRPr="0019593E">
        <w:rPr>
          <w:rFonts w:ascii="Times New Roman" w:hAnsi="Times New Roman" w:cs="Times New Roman"/>
          <w:sz w:val="24"/>
          <w:szCs w:val="24"/>
        </w:rPr>
        <w:t>Valsts pārvald</w:t>
      </w:r>
      <w:r w:rsidRPr="0019593E">
        <w:rPr>
          <w:rFonts w:ascii="Times New Roman" w:hAnsi="Times New Roman" w:cs="Times New Roman"/>
          <w:sz w:val="24"/>
          <w:szCs w:val="24"/>
        </w:rPr>
        <w:t>es iekārtas likuma 40.panta otrajai daļai</w:t>
      </w:r>
      <w:r w:rsidR="00BA6B74" w:rsidRPr="0019593E">
        <w:rPr>
          <w:rFonts w:ascii="Times New Roman" w:hAnsi="Times New Roman" w:cs="Times New Roman"/>
          <w:sz w:val="24"/>
          <w:szCs w:val="24"/>
        </w:rPr>
        <w:t xml:space="preserve"> privātpersonai, t.sk. valsts kapitālsabiedrībai, pārvaldes uzdevumu var deleģēt ar ārēju normatīvo aktu vai līgumu, ja tas paredzēts ārējā normatīvajā aktā. Atbilstoši </w:t>
      </w:r>
      <w:r w:rsidR="009145AE" w:rsidRPr="009145AE">
        <w:rPr>
          <w:rFonts w:ascii="Times New Roman" w:hAnsi="Times New Roman" w:cs="Times New Roman"/>
          <w:sz w:val="24"/>
          <w:szCs w:val="24"/>
        </w:rPr>
        <w:t>likuma “Par valsts un pašvaldību īpašuma objektu privatizāciju” (turpmāk – Privatizācijas likums)</w:t>
      </w:r>
      <w:r w:rsidR="009145AE">
        <w:rPr>
          <w:rFonts w:ascii="Times New Roman" w:hAnsi="Times New Roman" w:cs="Times New Roman"/>
          <w:sz w:val="24"/>
          <w:szCs w:val="24"/>
        </w:rPr>
        <w:t xml:space="preserve"> </w:t>
      </w:r>
      <w:r w:rsidR="00BA6B74" w:rsidRPr="0019593E">
        <w:rPr>
          <w:rFonts w:ascii="Times New Roman" w:hAnsi="Times New Roman" w:cs="Times New Roman"/>
          <w:sz w:val="24"/>
          <w:szCs w:val="24"/>
        </w:rPr>
        <w:t>5.panta pirmajai daļai, Sabiedrību dibināja, lai ar šo instrumentu organizētu valsts īpašumu objektu, t.sk. valsts kapitāla daļu, privatizāciju. Tādējādi Sabiedrība sākotnēji veica komercdarbību, kas pamatā saistīta ar pakalpojuma sniegšanu valstij (izpilda tai deleģēt</w:t>
      </w:r>
      <w:r w:rsidRPr="0019593E">
        <w:rPr>
          <w:rFonts w:ascii="Times New Roman" w:hAnsi="Times New Roman" w:cs="Times New Roman"/>
          <w:sz w:val="24"/>
          <w:szCs w:val="24"/>
        </w:rPr>
        <w:t>os valsts pārvaldes uzdevumus)</w:t>
      </w:r>
      <w:r w:rsidR="00BA6B74" w:rsidRPr="0019593E">
        <w:rPr>
          <w:rFonts w:ascii="Times New Roman" w:hAnsi="Times New Roman" w:cs="Times New Roman"/>
          <w:sz w:val="24"/>
          <w:szCs w:val="24"/>
        </w:rPr>
        <w:t xml:space="preserve">. </w:t>
      </w:r>
      <w:r w:rsidRPr="0019593E">
        <w:rPr>
          <w:rFonts w:ascii="Times New Roman" w:hAnsi="Times New Roman" w:cs="Times New Roman"/>
          <w:sz w:val="24"/>
          <w:szCs w:val="24"/>
        </w:rPr>
        <w:t>Sabiedrības kā privāto tiesību subjekta darbībām, kas veiktas, izpildot tai ar ārējo normatīvo aktu deleģētos valsts pārvaldes uzdevumus, ir publisko tiesību raksturs.</w:t>
      </w:r>
    </w:p>
    <w:p w14:paraId="75701E59" w14:textId="77777777" w:rsidR="00190CA1" w:rsidRPr="0019593E" w:rsidRDefault="00190CA1" w:rsidP="00190CA1">
      <w:pPr>
        <w:spacing w:before="120" w:after="0" w:line="240" w:lineRule="auto"/>
        <w:ind w:firstLine="709"/>
        <w:contextualSpacing/>
        <w:jc w:val="both"/>
        <w:rPr>
          <w:rFonts w:ascii="Times New Roman" w:hAnsi="Times New Roman" w:cs="Times New Roman"/>
          <w:sz w:val="24"/>
          <w:szCs w:val="24"/>
        </w:rPr>
      </w:pPr>
      <w:r w:rsidRPr="0019593E">
        <w:rPr>
          <w:rFonts w:ascii="Times New Roman" w:hAnsi="Times New Roman" w:cs="Times New Roman"/>
          <w:sz w:val="24"/>
          <w:szCs w:val="24"/>
        </w:rPr>
        <w:t>Saskaņā ar statūtiem</w:t>
      </w:r>
      <w:r w:rsidR="00BA6B74" w:rsidRPr="0019593E">
        <w:rPr>
          <w:rStyle w:val="FootnoteReference"/>
          <w:rFonts w:ascii="Times New Roman" w:hAnsi="Times New Roman" w:cs="Times New Roman"/>
          <w:sz w:val="24"/>
          <w:szCs w:val="24"/>
        </w:rPr>
        <w:footnoteReference w:id="2"/>
      </w:r>
      <w:r w:rsidRPr="0019593E">
        <w:rPr>
          <w:rFonts w:ascii="Times New Roman" w:hAnsi="Times New Roman" w:cs="Times New Roman"/>
          <w:sz w:val="24"/>
          <w:szCs w:val="24"/>
        </w:rPr>
        <w:t xml:space="preserve"> un NACE klasifikatoru, Sabiedrība veic šādu komercdarbību: </w:t>
      </w:r>
    </w:p>
    <w:p w14:paraId="694920F5" w14:textId="77777777" w:rsidR="00190CA1" w:rsidRPr="0019593E" w:rsidRDefault="00190CA1" w:rsidP="00655F3C">
      <w:pPr>
        <w:pStyle w:val="ListParagraph"/>
        <w:numPr>
          <w:ilvl w:val="0"/>
          <w:numId w:val="9"/>
        </w:numPr>
        <w:spacing w:after="120"/>
        <w:ind w:hanging="357"/>
        <w:jc w:val="both"/>
        <w:rPr>
          <w:rFonts w:cs="Times New Roman"/>
        </w:rPr>
      </w:pPr>
      <w:r w:rsidRPr="0019593E">
        <w:rPr>
          <w:rFonts w:cs="Times New Roman"/>
        </w:rPr>
        <w:t>operācijas ar nekustamo īpašumu (68);</w:t>
      </w:r>
    </w:p>
    <w:p w14:paraId="3582551C" w14:textId="77777777" w:rsidR="00190CA1" w:rsidRPr="0019593E" w:rsidRDefault="00190CA1" w:rsidP="00655F3C">
      <w:pPr>
        <w:pStyle w:val="ListParagraph"/>
        <w:numPr>
          <w:ilvl w:val="0"/>
          <w:numId w:val="9"/>
        </w:numPr>
        <w:spacing w:before="120" w:after="120"/>
        <w:jc w:val="both"/>
        <w:rPr>
          <w:rFonts w:cs="Times New Roman"/>
        </w:rPr>
      </w:pPr>
      <w:r w:rsidRPr="0019593E">
        <w:rPr>
          <w:rFonts w:cs="Times New Roman"/>
        </w:rPr>
        <w:t>konsultēšana komercdarbībā un vadībzinībās (70.22);</w:t>
      </w:r>
    </w:p>
    <w:p w14:paraId="6407E18C" w14:textId="77777777" w:rsidR="00190CA1" w:rsidRPr="0019593E" w:rsidRDefault="00190CA1" w:rsidP="00655F3C">
      <w:pPr>
        <w:pStyle w:val="ListParagraph"/>
        <w:numPr>
          <w:ilvl w:val="0"/>
          <w:numId w:val="9"/>
        </w:numPr>
        <w:spacing w:before="120" w:after="120"/>
        <w:jc w:val="both"/>
        <w:rPr>
          <w:rFonts w:cs="Times New Roman"/>
        </w:rPr>
      </w:pPr>
      <w:r w:rsidRPr="0019593E">
        <w:rPr>
          <w:rFonts w:cs="Times New Roman"/>
        </w:rPr>
        <w:t>operācijas ar vērtspapīriem (66.12);</w:t>
      </w:r>
    </w:p>
    <w:p w14:paraId="1D64918D" w14:textId="77777777" w:rsidR="00190CA1" w:rsidRPr="0019593E" w:rsidRDefault="00190CA1" w:rsidP="00655F3C">
      <w:pPr>
        <w:pStyle w:val="ListParagraph"/>
        <w:numPr>
          <w:ilvl w:val="0"/>
          <w:numId w:val="9"/>
        </w:numPr>
        <w:spacing w:before="120" w:after="120"/>
        <w:jc w:val="both"/>
        <w:rPr>
          <w:rFonts w:cs="Times New Roman"/>
        </w:rPr>
      </w:pPr>
      <w:r w:rsidRPr="0019593E">
        <w:rPr>
          <w:rFonts w:cs="Times New Roman"/>
        </w:rPr>
        <w:t>fondu pārvaldīšana (66.30);</w:t>
      </w:r>
    </w:p>
    <w:p w14:paraId="363091F5" w14:textId="77777777" w:rsidR="00190CA1" w:rsidRDefault="00190CA1" w:rsidP="00655F3C">
      <w:pPr>
        <w:pStyle w:val="ListParagraph"/>
        <w:numPr>
          <w:ilvl w:val="0"/>
          <w:numId w:val="9"/>
        </w:numPr>
        <w:spacing w:before="120" w:after="120"/>
        <w:jc w:val="both"/>
        <w:rPr>
          <w:rFonts w:cs="Times New Roman"/>
        </w:rPr>
      </w:pPr>
      <w:r w:rsidRPr="00DC6F66">
        <w:rPr>
          <w:rFonts w:cs="Times New Roman"/>
        </w:rPr>
        <w:t>vispārējo valsts dienestu darbība (84.11).</w:t>
      </w:r>
    </w:p>
    <w:p w14:paraId="005C45A4" w14:textId="229B5768" w:rsidR="00A369F6" w:rsidRPr="00DC6F66" w:rsidRDefault="00A369F6">
      <w:pPr>
        <w:pStyle w:val="Heading2"/>
      </w:pPr>
      <w:bookmarkStart w:id="16" w:name="_Toc482084435"/>
      <w:bookmarkStart w:id="17" w:name="_Toc482084599"/>
      <w:bookmarkStart w:id="18" w:name="_Toc482084634"/>
      <w:bookmarkStart w:id="19" w:name="_Toc482084669"/>
      <w:bookmarkStart w:id="20" w:name="_Toc482084797"/>
      <w:bookmarkStart w:id="21" w:name="_Toc478473146"/>
      <w:r w:rsidRPr="00DC6F66">
        <w:t>Sabie</w:t>
      </w:r>
      <w:r w:rsidR="00AD560E" w:rsidRPr="00DC6F66">
        <w:t>drībai deleģētie</w:t>
      </w:r>
      <w:r w:rsidR="00122ABC" w:rsidRPr="00DC6F66">
        <w:t xml:space="preserve"> </w:t>
      </w:r>
      <w:r w:rsidRPr="00DC6F66">
        <w:t>valsts pārvaldes uzdevum</w:t>
      </w:r>
      <w:r w:rsidR="00AD560E" w:rsidRPr="00DC6F66">
        <w:t>i</w:t>
      </w:r>
      <w:r w:rsidR="00B27E90">
        <w:t xml:space="preserve"> un Ministru kabineta doti uzdevumi</w:t>
      </w:r>
      <w:bookmarkEnd w:id="16"/>
      <w:bookmarkEnd w:id="17"/>
      <w:bookmarkEnd w:id="18"/>
      <w:bookmarkEnd w:id="19"/>
      <w:bookmarkEnd w:id="20"/>
      <w:bookmarkEnd w:id="21"/>
    </w:p>
    <w:p w14:paraId="6EE84BB0" w14:textId="77777777" w:rsidR="007F7446" w:rsidRDefault="004048E9" w:rsidP="007F7446">
      <w:pPr>
        <w:spacing w:before="120" w:after="120" w:line="240" w:lineRule="auto"/>
        <w:ind w:firstLine="709"/>
        <w:jc w:val="both"/>
        <w:rPr>
          <w:rFonts w:ascii="Times New Roman" w:hAnsi="Times New Roman" w:cs="Times New Roman"/>
          <w:sz w:val="24"/>
          <w:szCs w:val="24"/>
        </w:rPr>
      </w:pPr>
      <w:r w:rsidRPr="004048E9">
        <w:rPr>
          <w:rFonts w:ascii="Times New Roman" w:hAnsi="Times New Roman" w:cs="Times New Roman"/>
          <w:sz w:val="24"/>
          <w:szCs w:val="24"/>
        </w:rPr>
        <w:t>Laika gaitā Sabiedrība valstij papildus sāka sniegt citus atsevišķus, ar</w:t>
      </w:r>
      <w:r w:rsidR="0040290C">
        <w:rPr>
          <w:rFonts w:ascii="Times New Roman" w:hAnsi="Times New Roman" w:cs="Times New Roman"/>
          <w:sz w:val="24"/>
          <w:szCs w:val="24"/>
        </w:rPr>
        <w:t xml:space="preserve"> valsts īpašumu objektu</w:t>
      </w:r>
      <w:r w:rsidRPr="004048E9">
        <w:rPr>
          <w:rFonts w:ascii="Times New Roman" w:hAnsi="Times New Roman" w:cs="Times New Roman"/>
          <w:sz w:val="24"/>
          <w:szCs w:val="24"/>
        </w:rPr>
        <w:t xml:space="preserve"> privatizāciju nesaistītus pakalpojumus (citus tai deleģēt</w:t>
      </w:r>
      <w:r w:rsidR="0040290C">
        <w:rPr>
          <w:rFonts w:ascii="Times New Roman" w:hAnsi="Times New Roman" w:cs="Times New Roman"/>
          <w:sz w:val="24"/>
          <w:szCs w:val="24"/>
        </w:rPr>
        <w:t>us</w:t>
      </w:r>
      <w:r w:rsidRPr="004048E9">
        <w:rPr>
          <w:rFonts w:ascii="Times New Roman" w:hAnsi="Times New Roman" w:cs="Times New Roman"/>
          <w:sz w:val="24"/>
          <w:szCs w:val="24"/>
        </w:rPr>
        <w:t xml:space="preserve"> valsts pārvaldes uzdevumus</w:t>
      </w:r>
      <w:r w:rsidR="0040290C">
        <w:rPr>
          <w:rFonts w:ascii="Times New Roman" w:hAnsi="Times New Roman" w:cs="Times New Roman"/>
          <w:sz w:val="24"/>
          <w:szCs w:val="24"/>
        </w:rPr>
        <w:t xml:space="preserve"> vai uzdotus uzdevumus</w:t>
      </w:r>
      <w:r w:rsidRPr="004048E9">
        <w:rPr>
          <w:rFonts w:ascii="Times New Roman" w:hAnsi="Times New Roman" w:cs="Times New Roman"/>
          <w:sz w:val="24"/>
          <w:szCs w:val="24"/>
        </w:rPr>
        <w:t>), tādējādi tās darbības tvērums ir kļuvis daudz plašāks. Ze</w:t>
      </w:r>
      <w:r w:rsidR="00BA4A23" w:rsidRPr="004048E9">
        <w:rPr>
          <w:rFonts w:ascii="Times New Roman" w:hAnsi="Times New Roman" w:cs="Times New Roman"/>
          <w:sz w:val="24"/>
          <w:szCs w:val="24"/>
        </w:rPr>
        <w:t xml:space="preserve">māk ir uzskaitīti uzdevumi, kuru izpilde ir </w:t>
      </w:r>
      <w:r w:rsidR="00122ABC" w:rsidRPr="004048E9">
        <w:rPr>
          <w:rFonts w:ascii="Times New Roman" w:hAnsi="Times New Roman" w:cs="Times New Roman"/>
          <w:sz w:val="24"/>
          <w:szCs w:val="24"/>
        </w:rPr>
        <w:t>uzdota</w:t>
      </w:r>
      <w:r w:rsidR="00BA4A23" w:rsidRPr="004048E9">
        <w:rPr>
          <w:rFonts w:ascii="Times New Roman" w:hAnsi="Times New Roman" w:cs="Times New Roman"/>
          <w:sz w:val="24"/>
          <w:szCs w:val="24"/>
        </w:rPr>
        <w:t xml:space="preserve"> </w:t>
      </w:r>
      <w:r w:rsidR="00A369F6" w:rsidRPr="004048E9">
        <w:rPr>
          <w:rFonts w:ascii="Times New Roman" w:hAnsi="Times New Roman" w:cs="Times New Roman"/>
          <w:sz w:val="24"/>
          <w:szCs w:val="24"/>
        </w:rPr>
        <w:t>Sabiedrība</w:t>
      </w:r>
      <w:r w:rsidR="00BA4A23" w:rsidRPr="004048E9">
        <w:rPr>
          <w:rFonts w:ascii="Times New Roman" w:hAnsi="Times New Roman" w:cs="Times New Roman"/>
          <w:sz w:val="24"/>
          <w:szCs w:val="24"/>
        </w:rPr>
        <w:t>i.</w:t>
      </w:r>
    </w:p>
    <w:p w14:paraId="60AC9819" w14:textId="77777777" w:rsidR="004E29AB" w:rsidRDefault="004E29AB" w:rsidP="007F7446">
      <w:pPr>
        <w:spacing w:before="120" w:after="120" w:line="240" w:lineRule="auto"/>
        <w:ind w:firstLine="709"/>
        <w:jc w:val="both"/>
        <w:rPr>
          <w:rFonts w:ascii="Times New Roman" w:hAnsi="Times New Roman" w:cs="Times New Roman"/>
          <w:sz w:val="24"/>
          <w:szCs w:val="24"/>
        </w:rPr>
      </w:pPr>
    </w:p>
    <w:p w14:paraId="5853D45E" w14:textId="77777777" w:rsidR="00D342C5" w:rsidRPr="00DC6F66" w:rsidRDefault="00A369F6" w:rsidP="00655F3C">
      <w:pPr>
        <w:pStyle w:val="ListParagraph"/>
        <w:numPr>
          <w:ilvl w:val="0"/>
          <w:numId w:val="4"/>
        </w:numPr>
        <w:spacing w:before="120"/>
        <w:ind w:left="425" w:hanging="425"/>
        <w:contextualSpacing w:val="0"/>
        <w:jc w:val="both"/>
        <w:rPr>
          <w:rFonts w:cs="Times New Roman"/>
          <w:b/>
          <w:i/>
        </w:rPr>
      </w:pPr>
      <w:r w:rsidRPr="00DC6F66">
        <w:rPr>
          <w:rFonts w:cs="Times New Roman"/>
          <w:b/>
          <w:i/>
        </w:rPr>
        <w:t>Valsts īpašuma objektu un valsts zemesgabalu privatizācija</w:t>
      </w:r>
    </w:p>
    <w:p w14:paraId="2306F976" w14:textId="77777777" w:rsidR="00747979" w:rsidRPr="00DC6F66" w:rsidRDefault="00A369F6" w:rsidP="007F7446">
      <w:pPr>
        <w:spacing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Sabiedrība veic tai deleģēto valsts pārvaldes uzdevumu – valsts īpašuma objektu, valsts zemesgabalu privatizāciju </w:t>
      </w:r>
      <w:r w:rsidR="00F074BB" w:rsidRPr="00DC6F66">
        <w:rPr>
          <w:rFonts w:ascii="Times New Roman" w:hAnsi="Times New Roman" w:cs="Times New Roman"/>
          <w:sz w:val="24"/>
          <w:szCs w:val="24"/>
        </w:rPr>
        <w:t>Privatizācijas likumā</w:t>
      </w:r>
      <w:r w:rsidRPr="00DC6F66">
        <w:rPr>
          <w:rFonts w:ascii="Times New Roman" w:hAnsi="Times New Roman" w:cs="Times New Roman"/>
          <w:sz w:val="24"/>
          <w:szCs w:val="24"/>
        </w:rPr>
        <w:t xml:space="preserve"> un Valsts un pašvaldību īpašuma privatizācijas un privatizācijas sertifikātu izmantošanas pabeigšanas likumā (turpmāk – </w:t>
      </w:r>
      <w:r w:rsidR="00B27E90">
        <w:rPr>
          <w:rFonts w:ascii="Times New Roman" w:hAnsi="Times New Roman" w:cs="Times New Roman"/>
          <w:sz w:val="24"/>
          <w:szCs w:val="24"/>
        </w:rPr>
        <w:t>Privatizācijas p</w:t>
      </w:r>
      <w:r w:rsidRPr="00DC6F66">
        <w:rPr>
          <w:rFonts w:ascii="Times New Roman" w:hAnsi="Times New Roman" w:cs="Times New Roman"/>
          <w:sz w:val="24"/>
          <w:szCs w:val="24"/>
        </w:rPr>
        <w:t>abeigšanas likums) noteiktās kompetences ietvaros.</w:t>
      </w:r>
    </w:p>
    <w:p w14:paraId="5D9CD924" w14:textId="60E9B08E" w:rsidR="00A369F6" w:rsidRPr="00204F01" w:rsidRDefault="00F36FD7" w:rsidP="007F7446">
      <w:pPr>
        <w:spacing w:before="120" w:after="120" w:line="240" w:lineRule="auto"/>
        <w:ind w:firstLine="709"/>
        <w:jc w:val="both"/>
        <w:rPr>
          <w:rFonts w:ascii="Times New Roman" w:eastAsiaTheme="minorEastAsia" w:hAnsi="Times New Roman" w:cs="Times New Roman"/>
          <w:sz w:val="24"/>
          <w:szCs w:val="24"/>
        </w:rPr>
      </w:pPr>
      <w:r w:rsidRPr="00DC6F66">
        <w:rPr>
          <w:rFonts w:ascii="Times New Roman" w:eastAsiaTheme="minorEastAsia" w:hAnsi="Times New Roman" w:cs="Times New Roman"/>
          <w:sz w:val="24"/>
          <w:szCs w:val="24"/>
        </w:rPr>
        <w:lastRenderedPageBreak/>
        <w:t xml:space="preserve">Uz </w:t>
      </w:r>
      <w:r w:rsidRPr="00760FDB">
        <w:rPr>
          <w:rFonts w:ascii="Times New Roman" w:eastAsiaTheme="minorEastAsia" w:hAnsi="Times New Roman" w:cs="Times New Roman"/>
          <w:sz w:val="24"/>
          <w:szCs w:val="24"/>
        </w:rPr>
        <w:t xml:space="preserve">2016.gada </w:t>
      </w:r>
      <w:r w:rsidR="002A7246" w:rsidRPr="00760FDB">
        <w:rPr>
          <w:rFonts w:ascii="Times New Roman" w:eastAsiaTheme="minorEastAsia" w:hAnsi="Times New Roman" w:cs="Times New Roman"/>
          <w:sz w:val="24"/>
          <w:szCs w:val="24"/>
        </w:rPr>
        <w:t>3</w:t>
      </w:r>
      <w:r w:rsidRPr="00760FDB">
        <w:rPr>
          <w:rFonts w:ascii="Times New Roman" w:eastAsiaTheme="minorEastAsia" w:hAnsi="Times New Roman" w:cs="Times New Roman"/>
          <w:sz w:val="24"/>
          <w:szCs w:val="24"/>
        </w:rPr>
        <w:t>1.</w:t>
      </w:r>
      <w:r w:rsidR="002A7246" w:rsidRPr="00760FDB">
        <w:rPr>
          <w:rFonts w:ascii="Times New Roman" w:eastAsiaTheme="minorEastAsia" w:hAnsi="Times New Roman" w:cs="Times New Roman"/>
          <w:sz w:val="24"/>
          <w:szCs w:val="24"/>
        </w:rPr>
        <w:t>decembri</w:t>
      </w:r>
      <w:r w:rsidRPr="00760FDB">
        <w:rPr>
          <w:rFonts w:ascii="Times New Roman" w:eastAsiaTheme="minorEastAsia" w:hAnsi="Times New Roman" w:cs="Times New Roman"/>
          <w:sz w:val="24"/>
          <w:szCs w:val="24"/>
        </w:rPr>
        <w:t xml:space="preserve"> </w:t>
      </w:r>
      <w:r w:rsidRPr="00204F01">
        <w:rPr>
          <w:rFonts w:ascii="Times New Roman" w:eastAsiaTheme="minorEastAsia" w:hAnsi="Times New Roman" w:cs="Times New Roman"/>
          <w:sz w:val="24"/>
          <w:szCs w:val="24"/>
        </w:rPr>
        <w:t xml:space="preserve">Sabiedrības valdījumā bija </w:t>
      </w:r>
      <w:r w:rsidRPr="00204F01">
        <w:rPr>
          <w:rFonts w:ascii="Times New Roman" w:eastAsiaTheme="minorEastAsia" w:hAnsi="Times New Roman" w:cs="Times New Roman"/>
          <w:b/>
          <w:sz w:val="24"/>
          <w:szCs w:val="24"/>
        </w:rPr>
        <w:t>4</w:t>
      </w:r>
      <w:r w:rsidR="008A7D07" w:rsidRPr="00204F01">
        <w:rPr>
          <w:rFonts w:ascii="Times New Roman" w:eastAsiaTheme="minorEastAsia" w:hAnsi="Times New Roman" w:cs="Times New Roman"/>
          <w:b/>
          <w:sz w:val="24"/>
          <w:szCs w:val="24"/>
        </w:rPr>
        <w:t>5</w:t>
      </w:r>
      <w:r w:rsidRPr="00DE5A56">
        <w:rPr>
          <w:rFonts w:ascii="Times New Roman" w:eastAsiaTheme="minorEastAsia" w:hAnsi="Times New Roman" w:cs="Times New Roman"/>
          <w:sz w:val="24"/>
          <w:szCs w:val="24"/>
        </w:rPr>
        <w:t xml:space="preserve"> valsts nekustamā īpašuma objekti (ēkas ar zemesgabaliem) un </w:t>
      </w:r>
      <w:r w:rsidR="005C7F38" w:rsidRPr="002F3824">
        <w:rPr>
          <w:rFonts w:ascii="Times New Roman" w:eastAsiaTheme="minorEastAsia" w:hAnsi="Times New Roman" w:cs="Times New Roman"/>
          <w:b/>
          <w:sz w:val="24"/>
          <w:szCs w:val="24"/>
        </w:rPr>
        <w:t>65</w:t>
      </w:r>
      <w:r w:rsidR="00906D3F" w:rsidRPr="002F3824">
        <w:rPr>
          <w:rFonts w:ascii="Times New Roman" w:eastAsiaTheme="minorEastAsia" w:hAnsi="Times New Roman" w:cs="Times New Roman"/>
          <w:b/>
          <w:sz w:val="24"/>
          <w:szCs w:val="24"/>
        </w:rPr>
        <w:t>5</w:t>
      </w:r>
      <w:r w:rsidR="005C7F38" w:rsidRPr="00204F01">
        <w:rPr>
          <w:rFonts w:ascii="Times New Roman" w:eastAsiaTheme="minorEastAsia" w:hAnsi="Times New Roman" w:cs="Times New Roman"/>
          <w:sz w:val="24"/>
          <w:szCs w:val="24"/>
        </w:rPr>
        <w:t xml:space="preserve"> zemesgabali</w:t>
      </w:r>
      <w:r w:rsidR="0011375A" w:rsidRPr="00204F01">
        <w:rPr>
          <w:rFonts w:ascii="Times New Roman" w:eastAsiaTheme="minorEastAsia" w:hAnsi="Times New Roman" w:cs="Times New Roman"/>
          <w:sz w:val="24"/>
          <w:szCs w:val="24"/>
        </w:rPr>
        <w:t>. Noslēgto zemesgabalu un nekustamā īpašuma objektu nomas līgumu skaits bija</w:t>
      </w:r>
      <w:r w:rsidR="005C7F38" w:rsidRPr="00204F01">
        <w:rPr>
          <w:rFonts w:ascii="Times New Roman" w:eastAsiaTheme="minorEastAsia" w:hAnsi="Times New Roman" w:cs="Times New Roman"/>
          <w:sz w:val="24"/>
          <w:szCs w:val="24"/>
        </w:rPr>
        <w:t xml:space="preserve"> </w:t>
      </w:r>
      <w:r w:rsidR="008A7D07" w:rsidRPr="00204F01">
        <w:rPr>
          <w:rFonts w:ascii="Times New Roman" w:eastAsiaTheme="minorEastAsia" w:hAnsi="Times New Roman" w:cs="Times New Roman"/>
          <w:b/>
          <w:sz w:val="24"/>
          <w:szCs w:val="24"/>
        </w:rPr>
        <w:t>51</w:t>
      </w:r>
      <w:r w:rsidR="0068440D" w:rsidRPr="00204F01">
        <w:rPr>
          <w:rFonts w:ascii="Times New Roman" w:eastAsiaTheme="minorEastAsia" w:hAnsi="Times New Roman" w:cs="Times New Roman"/>
          <w:b/>
          <w:sz w:val="24"/>
          <w:szCs w:val="24"/>
        </w:rPr>
        <w:t>3</w:t>
      </w:r>
      <w:r w:rsidR="005C7F38" w:rsidRPr="00204F01">
        <w:rPr>
          <w:rFonts w:ascii="Times New Roman" w:eastAsiaTheme="minorEastAsia" w:hAnsi="Times New Roman" w:cs="Times New Roman"/>
          <w:sz w:val="24"/>
          <w:szCs w:val="24"/>
        </w:rPr>
        <w:t>.</w:t>
      </w:r>
    </w:p>
    <w:p w14:paraId="65431989" w14:textId="77777777" w:rsidR="004E29AB" w:rsidRPr="00DC6F66" w:rsidRDefault="004E29AB" w:rsidP="007F7446">
      <w:pPr>
        <w:spacing w:before="120" w:after="120" w:line="240" w:lineRule="auto"/>
        <w:ind w:firstLine="709"/>
        <w:jc w:val="both"/>
        <w:rPr>
          <w:rFonts w:ascii="Times New Roman" w:eastAsiaTheme="minorEastAsia" w:hAnsi="Times New Roman" w:cs="Times New Roman"/>
          <w:sz w:val="24"/>
          <w:szCs w:val="24"/>
        </w:rPr>
      </w:pPr>
    </w:p>
    <w:p w14:paraId="5A378658" w14:textId="77777777" w:rsidR="00D342C5" w:rsidRPr="00DC6F66" w:rsidRDefault="00353737" w:rsidP="00655F3C">
      <w:pPr>
        <w:pStyle w:val="ListParagraph"/>
        <w:numPr>
          <w:ilvl w:val="0"/>
          <w:numId w:val="4"/>
        </w:numPr>
        <w:spacing w:before="120"/>
        <w:ind w:left="425" w:hanging="425"/>
        <w:contextualSpacing w:val="0"/>
        <w:jc w:val="both"/>
        <w:rPr>
          <w:rFonts w:cs="Times New Roman"/>
          <w:b/>
          <w:i/>
        </w:rPr>
      </w:pPr>
      <w:r w:rsidRPr="00DC6F66">
        <w:rPr>
          <w:rFonts w:cs="Times New Roman"/>
          <w:b/>
          <w:i/>
        </w:rPr>
        <w:t>Zemes izpirkšana zemes reformas ietvaros</w:t>
      </w:r>
    </w:p>
    <w:p w14:paraId="1F29B530" w14:textId="77777777" w:rsidR="00747979" w:rsidRPr="00DC6F66" w:rsidRDefault="00353737" w:rsidP="007F7446">
      <w:pPr>
        <w:spacing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Sabiedrība, ievērojot Ministru kabineta 2013.gada 15.oktobra noteikumus Nr.1106 "Zemes izpirkuma (pirkuma) līguma noslēgšanas kārtība", zemes reformas ietvaros slēdz zemes izpirkuma (pirkuma) līgumus ar bijušajiem zemes īpašniekiem vai viņu mantiniekiem, ja atjaunotā vai piešķirtā līdzvērtīgā zemesgabala platība ir lielāka par to zemes platību, uz kuru atjaunojamas īpašuma tiesības, un tā pārsniedz zemes kadastrālajā uzmērīšanā pieļaujamās nesaistes robežas. Šis valsts pārvaldes uzdevums Sabiedrībai deleģēts atbilstoši Ministru kabineta 2016.gada 20.septembra noteikumiem Nr.623 “Noteikumi par valsts pārvaldes uzdevuma – zemes izpirkuma (pirkuma) līgumu slēgšana, šo līgumu izpildes kontrole un neizpirktās zemes nodošana pašvaldību īpašumā – deleģēšanu”.</w:t>
      </w:r>
    </w:p>
    <w:p w14:paraId="1E18B666" w14:textId="49E130EB" w:rsidR="00353737" w:rsidRDefault="005F673A" w:rsidP="007F7446">
      <w:pPr>
        <w:spacing w:before="120"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Uz 2016.gada </w:t>
      </w:r>
      <w:r w:rsidR="001B7DF9">
        <w:rPr>
          <w:rFonts w:ascii="Times New Roman" w:hAnsi="Times New Roman" w:cs="Times New Roman"/>
          <w:sz w:val="24"/>
          <w:szCs w:val="24"/>
        </w:rPr>
        <w:t>3</w:t>
      </w:r>
      <w:r w:rsidRPr="00DC6F66">
        <w:rPr>
          <w:rFonts w:ascii="Times New Roman" w:hAnsi="Times New Roman" w:cs="Times New Roman"/>
          <w:sz w:val="24"/>
          <w:szCs w:val="24"/>
        </w:rPr>
        <w:t>1.</w:t>
      </w:r>
      <w:r w:rsidR="001B7DF9">
        <w:rPr>
          <w:rFonts w:ascii="Times New Roman" w:hAnsi="Times New Roman" w:cs="Times New Roman"/>
          <w:sz w:val="24"/>
          <w:szCs w:val="24"/>
        </w:rPr>
        <w:t>decembri</w:t>
      </w:r>
      <w:r w:rsidR="001B7DF9" w:rsidRPr="00DC6F66">
        <w:rPr>
          <w:rFonts w:ascii="Times New Roman" w:hAnsi="Times New Roman" w:cs="Times New Roman"/>
          <w:sz w:val="24"/>
          <w:szCs w:val="24"/>
        </w:rPr>
        <w:t xml:space="preserve"> </w:t>
      </w:r>
      <w:r w:rsidRPr="00DC6F66">
        <w:rPr>
          <w:rFonts w:ascii="Times New Roman" w:hAnsi="Times New Roman" w:cs="Times New Roman"/>
          <w:sz w:val="24"/>
          <w:szCs w:val="24"/>
        </w:rPr>
        <w:t xml:space="preserve">Sabiedrības </w:t>
      </w:r>
      <w:r w:rsidR="001976C5" w:rsidRPr="00DC6F66">
        <w:rPr>
          <w:rFonts w:ascii="Times New Roman" w:hAnsi="Times New Roman" w:cs="Times New Roman"/>
          <w:sz w:val="24"/>
          <w:szCs w:val="24"/>
        </w:rPr>
        <w:t xml:space="preserve">kontrolē </w:t>
      </w:r>
      <w:r w:rsidR="009425EA" w:rsidRPr="00DC6F66">
        <w:rPr>
          <w:rFonts w:ascii="Times New Roman" w:hAnsi="Times New Roman" w:cs="Times New Roman"/>
          <w:sz w:val="24"/>
          <w:szCs w:val="24"/>
        </w:rPr>
        <w:t xml:space="preserve">bija </w:t>
      </w:r>
      <w:r w:rsidR="009425EA" w:rsidRPr="00DC6F66">
        <w:rPr>
          <w:rFonts w:ascii="Times New Roman" w:hAnsi="Times New Roman" w:cs="Times New Roman"/>
          <w:b/>
          <w:sz w:val="24"/>
          <w:szCs w:val="24"/>
        </w:rPr>
        <w:t>9</w:t>
      </w:r>
      <w:r w:rsidR="001B7DF9">
        <w:rPr>
          <w:rFonts w:ascii="Times New Roman" w:hAnsi="Times New Roman" w:cs="Times New Roman"/>
          <w:b/>
          <w:sz w:val="24"/>
          <w:szCs w:val="24"/>
        </w:rPr>
        <w:t>33</w:t>
      </w:r>
      <w:r w:rsidR="009425EA" w:rsidRPr="00DC6F66">
        <w:rPr>
          <w:rFonts w:ascii="Times New Roman" w:hAnsi="Times New Roman" w:cs="Times New Roman"/>
          <w:sz w:val="24"/>
          <w:szCs w:val="24"/>
        </w:rPr>
        <w:t xml:space="preserve"> </w:t>
      </w:r>
      <w:r w:rsidR="001976C5" w:rsidRPr="00DC6F66">
        <w:rPr>
          <w:rFonts w:ascii="Times New Roman" w:hAnsi="Times New Roman" w:cs="Times New Roman"/>
          <w:sz w:val="24"/>
          <w:szCs w:val="24"/>
        </w:rPr>
        <w:t>zemes izpirkuma līgum</w:t>
      </w:r>
      <w:r w:rsidR="009425EA" w:rsidRPr="00DC6F66">
        <w:rPr>
          <w:rFonts w:ascii="Times New Roman" w:hAnsi="Times New Roman" w:cs="Times New Roman"/>
          <w:sz w:val="24"/>
          <w:szCs w:val="24"/>
        </w:rPr>
        <w:t>i</w:t>
      </w:r>
      <w:r w:rsidRPr="00DC6F66">
        <w:rPr>
          <w:rFonts w:ascii="Times New Roman" w:hAnsi="Times New Roman" w:cs="Times New Roman"/>
          <w:sz w:val="24"/>
          <w:szCs w:val="24"/>
        </w:rPr>
        <w:t>.</w:t>
      </w:r>
    </w:p>
    <w:p w14:paraId="351A373B" w14:textId="77777777" w:rsidR="004E29AB" w:rsidRPr="00DC6F66" w:rsidRDefault="004E29AB" w:rsidP="007F7446">
      <w:pPr>
        <w:spacing w:before="120" w:after="120" w:line="240" w:lineRule="auto"/>
        <w:ind w:firstLine="709"/>
        <w:jc w:val="both"/>
        <w:rPr>
          <w:rFonts w:ascii="Times New Roman" w:hAnsi="Times New Roman" w:cs="Times New Roman"/>
          <w:sz w:val="24"/>
          <w:szCs w:val="24"/>
        </w:rPr>
      </w:pPr>
    </w:p>
    <w:p w14:paraId="49C5938C" w14:textId="77777777" w:rsidR="00D342C5" w:rsidRPr="00DC6F66" w:rsidRDefault="00A369F6" w:rsidP="00655F3C">
      <w:pPr>
        <w:pStyle w:val="ListParagraph"/>
        <w:numPr>
          <w:ilvl w:val="0"/>
          <w:numId w:val="4"/>
        </w:numPr>
        <w:spacing w:before="120"/>
        <w:ind w:left="425" w:hanging="425"/>
        <w:contextualSpacing w:val="0"/>
        <w:jc w:val="both"/>
        <w:rPr>
          <w:rFonts w:cs="Times New Roman"/>
          <w:b/>
          <w:i/>
        </w:rPr>
      </w:pPr>
      <w:r w:rsidRPr="00DC6F66">
        <w:rPr>
          <w:rFonts w:cs="Times New Roman"/>
          <w:b/>
          <w:i/>
        </w:rPr>
        <w:t>Valsts dzīvojamo māju privatizācija</w:t>
      </w:r>
      <w:r w:rsidR="00A63DCA" w:rsidRPr="00DC6F66">
        <w:rPr>
          <w:rFonts w:cs="Times New Roman"/>
          <w:b/>
          <w:i/>
        </w:rPr>
        <w:t>,</w:t>
      </w:r>
      <w:r w:rsidRPr="00DC6F66">
        <w:rPr>
          <w:rFonts w:cs="Times New Roman"/>
          <w:b/>
          <w:i/>
        </w:rPr>
        <w:t xml:space="preserve"> pārvaldīšana un valsts dzīvojamo māju, to domājamo daļu u</w:t>
      </w:r>
      <w:r w:rsidR="00867AF7" w:rsidRPr="00DC6F66">
        <w:rPr>
          <w:rFonts w:cs="Times New Roman"/>
          <w:b/>
          <w:i/>
        </w:rPr>
        <w:t xml:space="preserve">n dzīvokļu īpašumu </w:t>
      </w:r>
      <w:r w:rsidR="00FB58A9" w:rsidRPr="00DC6F66">
        <w:rPr>
          <w:rFonts w:cs="Times New Roman"/>
          <w:b/>
          <w:i/>
        </w:rPr>
        <w:t xml:space="preserve">privatizācija un </w:t>
      </w:r>
      <w:r w:rsidR="00867AF7" w:rsidRPr="00DC6F66">
        <w:rPr>
          <w:rFonts w:cs="Times New Roman"/>
          <w:b/>
          <w:i/>
        </w:rPr>
        <w:t>atsavināšana</w:t>
      </w:r>
      <w:r w:rsidR="00D342C5" w:rsidRPr="00DC6F66">
        <w:rPr>
          <w:rFonts w:cs="Times New Roman"/>
          <w:b/>
          <w:i/>
        </w:rPr>
        <w:tab/>
      </w:r>
    </w:p>
    <w:p w14:paraId="3BBA35C8" w14:textId="77777777" w:rsidR="00D342C5" w:rsidRPr="00DC6F66" w:rsidRDefault="00A369F6" w:rsidP="007F7446">
      <w:pPr>
        <w:spacing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Ar Ministru kabineta 2009.gada 29.maija rīkojumu Nr.353 “Par Būvniecības, enerģētikas un mājokļu valsts aģentūras likvidāciju” Sabiedrībai no 2009.gada 1.jūlija </w:t>
      </w:r>
      <w:r w:rsidR="0064386C" w:rsidRPr="00DC6F66">
        <w:rPr>
          <w:rFonts w:ascii="Times New Roman" w:hAnsi="Times New Roman" w:cs="Times New Roman"/>
          <w:sz w:val="24"/>
          <w:szCs w:val="24"/>
        </w:rPr>
        <w:t xml:space="preserve">tika </w:t>
      </w:r>
      <w:r w:rsidRPr="00DC6F66">
        <w:rPr>
          <w:rFonts w:ascii="Times New Roman" w:hAnsi="Times New Roman" w:cs="Times New Roman"/>
          <w:sz w:val="24"/>
          <w:szCs w:val="24"/>
        </w:rPr>
        <w:t>nodotas saskaņā ar likumu “Par valsts un pašvaldību dzīvojamo māju privatizāciju” veicamās valsts īpašumā esošo un valstij piekritīgo dzīvojamo māju (dzīvokļu īpašumu) privatizācijas un pārvaldīšanas funkcijas</w:t>
      </w:r>
      <w:r w:rsidR="00A452AF" w:rsidRPr="00DC6F66">
        <w:rPr>
          <w:rFonts w:ascii="Times New Roman" w:hAnsi="Times New Roman" w:cs="Times New Roman"/>
          <w:sz w:val="24"/>
          <w:szCs w:val="24"/>
        </w:rPr>
        <w:t>.</w:t>
      </w:r>
    </w:p>
    <w:p w14:paraId="71ADFDEA" w14:textId="77777777" w:rsidR="00D342C5" w:rsidRPr="00DC6F66" w:rsidRDefault="005F673A" w:rsidP="007F7446">
      <w:pPr>
        <w:spacing w:before="120"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Saskaņā ar minēto Ministru kabineta rīkojumu </w:t>
      </w:r>
      <w:r w:rsidR="00A369F6" w:rsidRPr="00DC6F66">
        <w:rPr>
          <w:rFonts w:ascii="Times New Roman" w:hAnsi="Times New Roman" w:cs="Times New Roman"/>
          <w:sz w:val="24"/>
          <w:szCs w:val="24"/>
        </w:rPr>
        <w:t xml:space="preserve">Publiskas personas mantas atsavināšanas likuma </w:t>
      </w:r>
      <w:r w:rsidR="00F074BB" w:rsidRPr="00DC6F66">
        <w:rPr>
          <w:rFonts w:ascii="Times New Roman" w:hAnsi="Times New Roman" w:cs="Times New Roman"/>
          <w:sz w:val="24"/>
          <w:szCs w:val="24"/>
        </w:rPr>
        <w:t xml:space="preserve">(turpmāk – Atsavināšanas likums) </w:t>
      </w:r>
      <w:r w:rsidR="00A369F6" w:rsidRPr="00DC6F66">
        <w:rPr>
          <w:rFonts w:ascii="Times New Roman" w:hAnsi="Times New Roman" w:cs="Times New Roman"/>
          <w:sz w:val="24"/>
          <w:szCs w:val="24"/>
        </w:rPr>
        <w:t>9.panta 1.</w:t>
      </w:r>
      <w:r w:rsidR="00A369F6" w:rsidRPr="00114266">
        <w:rPr>
          <w:rFonts w:ascii="Times New Roman" w:hAnsi="Times New Roman"/>
          <w:sz w:val="24"/>
          <w:vertAlign w:val="superscript"/>
        </w:rPr>
        <w:t>3</w:t>
      </w:r>
      <w:r w:rsidR="00A369F6" w:rsidRPr="00DC6F66">
        <w:rPr>
          <w:rFonts w:ascii="Times New Roman" w:hAnsi="Times New Roman" w:cs="Times New Roman"/>
          <w:sz w:val="24"/>
          <w:szCs w:val="24"/>
        </w:rPr>
        <w:t xml:space="preserve"> daļā noteiktajos gadījumos (ja dzīvojamā māja vai dzīvokļu īpašums atrodas Sabiedrības valdījumā) </w:t>
      </w:r>
      <w:r w:rsidRPr="00DC6F66">
        <w:rPr>
          <w:rFonts w:ascii="Times New Roman" w:hAnsi="Times New Roman" w:cs="Times New Roman"/>
          <w:sz w:val="24"/>
          <w:szCs w:val="24"/>
        </w:rPr>
        <w:t xml:space="preserve">Sabiedrībai tāpat tika nodotas </w:t>
      </w:r>
      <w:r w:rsidR="00A369F6" w:rsidRPr="00DC6F66">
        <w:rPr>
          <w:rFonts w:ascii="Times New Roman" w:hAnsi="Times New Roman" w:cs="Times New Roman"/>
          <w:sz w:val="24"/>
          <w:szCs w:val="24"/>
        </w:rPr>
        <w:t>valsts īpašumā esošo un valstij piekritīgo dzīvojamo māju, to domājamo daļu vai dzīvokļu īpašumu atsavināšanas organizēšanas funkcijas</w:t>
      </w:r>
      <w:r w:rsidR="00D342C5" w:rsidRPr="00DC6F66">
        <w:rPr>
          <w:rFonts w:ascii="Times New Roman" w:hAnsi="Times New Roman" w:cs="Times New Roman"/>
          <w:sz w:val="24"/>
          <w:szCs w:val="24"/>
        </w:rPr>
        <w:t>.</w:t>
      </w:r>
    </w:p>
    <w:p w14:paraId="3AF2E60E" w14:textId="3C3116FD" w:rsidR="005C7F38" w:rsidRPr="00760FDB" w:rsidRDefault="005C7F38" w:rsidP="007F7446">
      <w:pPr>
        <w:spacing w:before="120"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Uz </w:t>
      </w:r>
      <w:r w:rsidRPr="00AB75BC">
        <w:rPr>
          <w:rFonts w:ascii="Times New Roman" w:hAnsi="Times New Roman" w:cs="Times New Roman"/>
          <w:sz w:val="24"/>
          <w:szCs w:val="24"/>
        </w:rPr>
        <w:t xml:space="preserve">2016.gada </w:t>
      </w:r>
      <w:r w:rsidR="001B7DF9" w:rsidRPr="00AB75BC">
        <w:rPr>
          <w:rFonts w:ascii="Times New Roman" w:hAnsi="Times New Roman" w:cs="Times New Roman"/>
          <w:sz w:val="24"/>
          <w:szCs w:val="24"/>
        </w:rPr>
        <w:t>3</w:t>
      </w:r>
      <w:r w:rsidRPr="00AB75BC">
        <w:rPr>
          <w:rFonts w:ascii="Times New Roman" w:hAnsi="Times New Roman" w:cs="Times New Roman"/>
          <w:sz w:val="24"/>
          <w:szCs w:val="24"/>
        </w:rPr>
        <w:t>1.</w:t>
      </w:r>
      <w:r w:rsidR="001B7DF9" w:rsidRPr="00AB75BC">
        <w:rPr>
          <w:rFonts w:ascii="Times New Roman" w:hAnsi="Times New Roman" w:cs="Times New Roman"/>
          <w:sz w:val="24"/>
          <w:szCs w:val="24"/>
        </w:rPr>
        <w:t>decembri</w:t>
      </w:r>
      <w:r w:rsidRPr="00760FDB">
        <w:rPr>
          <w:rFonts w:ascii="Times New Roman" w:hAnsi="Times New Roman" w:cs="Times New Roman"/>
          <w:sz w:val="24"/>
          <w:szCs w:val="24"/>
        </w:rPr>
        <w:t xml:space="preserve"> </w:t>
      </w:r>
      <w:r w:rsidR="009D55A2" w:rsidRPr="00760FDB">
        <w:rPr>
          <w:rFonts w:ascii="Times New Roman" w:hAnsi="Times New Roman" w:cs="Times New Roman"/>
          <w:sz w:val="24"/>
          <w:szCs w:val="24"/>
        </w:rPr>
        <w:t xml:space="preserve">Sabiedrības valdījumā bija </w:t>
      </w:r>
      <w:r w:rsidR="00BC2D21" w:rsidRPr="00760FDB">
        <w:rPr>
          <w:rFonts w:ascii="Times New Roman" w:hAnsi="Times New Roman" w:cs="Times New Roman"/>
          <w:b/>
          <w:sz w:val="24"/>
          <w:szCs w:val="24"/>
        </w:rPr>
        <w:t xml:space="preserve">1 </w:t>
      </w:r>
      <w:r w:rsidR="00867DD1" w:rsidRPr="00760FDB">
        <w:rPr>
          <w:rFonts w:ascii="Times New Roman" w:hAnsi="Times New Roman" w:cs="Times New Roman"/>
          <w:b/>
          <w:sz w:val="24"/>
          <w:szCs w:val="24"/>
        </w:rPr>
        <w:t>087</w:t>
      </w:r>
      <w:r w:rsidR="00867DD1" w:rsidRPr="00760FDB">
        <w:rPr>
          <w:rFonts w:ascii="Times New Roman" w:hAnsi="Times New Roman" w:cs="Times New Roman"/>
          <w:sz w:val="24"/>
          <w:szCs w:val="24"/>
        </w:rPr>
        <w:t xml:space="preserve"> </w:t>
      </w:r>
      <w:r w:rsidR="009D55A2" w:rsidRPr="00AB75BC">
        <w:rPr>
          <w:rFonts w:ascii="Times New Roman" w:hAnsi="Times New Roman" w:cs="Times New Roman"/>
          <w:sz w:val="24"/>
          <w:szCs w:val="24"/>
        </w:rPr>
        <w:t>valsts dzīvokļu īpašumi</w:t>
      </w:r>
      <w:r w:rsidR="00A63DCA" w:rsidRPr="00AB75BC">
        <w:rPr>
          <w:rFonts w:ascii="Times New Roman" w:hAnsi="Times New Roman" w:cs="Times New Roman"/>
          <w:sz w:val="24"/>
          <w:szCs w:val="24"/>
        </w:rPr>
        <w:t xml:space="preserve"> (privatizācijai – </w:t>
      </w:r>
      <w:r w:rsidR="00A63DCA" w:rsidRPr="00760FDB">
        <w:rPr>
          <w:rFonts w:ascii="Times New Roman" w:hAnsi="Times New Roman" w:cs="Times New Roman"/>
          <w:sz w:val="24"/>
          <w:szCs w:val="24"/>
        </w:rPr>
        <w:t xml:space="preserve">41 </w:t>
      </w:r>
      <w:r w:rsidR="00A63DCA" w:rsidRPr="00AB75BC">
        <w:rPr>
          <w:rFonts w:ascii="Times New Roman" w:hAnsi="Times New Roman" w:cs="Times New Roman"/>
          <w:sz w:val="24"/>
          <w:szCs w:val="24"/>
        </w:rPr>
        <w:t>dzīvokļu īpašums, atsavināšanai -</w:t>
      </w:r>
      <w:r w:rsidR="00907967" w:rsidRPr="00AB75BC">
        <w:rPr>
          <w:rFonts w:ascii="Times New Roman" w:hAnsi="Times New Roman" w:cs="Times New Roman"/>
          <w:sz w:val="24"/>
          <w:szCs w:val="24"/>
        </w:rPr>
        <w:t xml:space="preserve"> </w:t>
      </w:r>
      <w:r w:rsidR="00867DD1" w:rsidRPr="00760FDB">
        <w:rPr>
          <w:rFonts w:ascii="Times New Roman" w:hAnsi="Times New Roman" w:cs="Times New Roman"/>
          <w:sz w:val="24"/>
          <w:szCs w:val="24"/>
        </w:rPr>
        <w:t>298</w:t>
      </w:r>
      <w:r w:rsidR="00A63DCA" w:rsidRPr="00760FDB">
        <w:rPr>
          <w:rFonts w:ascii="Times New Roman" w:hAnsi="Times New Roman" w:cs="Times New Roman"/>
          <w:sz w:val="24"/>
          <w:szCs w:val="24"/>
        </w:rPr>
        <w:t xml:space="preserve"> </w:t>
      </w:r>
      <w:r w:rsidR="00A63DCA" w:rsidRPr="00AB75BC">
        <w:rPr>
          <w:rFonts w:ascii="Times New Roman" w:hAnsi="Times New Roman" w:cs="Times New Roman"/>
          <w:sz w:val="24"/>
          <w:szCs w:val="24"/>
        </w:rPr>
        <w:t>dzīvokļu īpašum</w:t>
      </w:r>
      <w:r w:rsidR="00867DD1" w:rsidRPr="00AB75BC">
        <w:rPr>
          <w:rFonts w:ascii="Times New Roman" w:hAnsi="Times New Roman" w:cs="Times New Roman"/>
          <w:sz w:val="24"/>
          <w:szCs w:val="24"/>
        </w:rPr>
        <w:t>i</w:t>
      </w:r>
      <w:r w:rsidR="00A63DCA" w:rsidRPr="00760FDB">
        <w:rPr>
          <w:rFonts w:ascii="Times New Roman" w:hAnsi="Times New Roman" w:cs="Times New Roman"/>
          <w:sz w:val="24"/>
          <w:szCs w:val="24"/>
        </w:rPr>
        <w:t>, nododami īpašumā pašvaldībām – 2</w:t>
      </w:r>
      <w:r w:rsidR="00867DD1" w:rsidRPr="00760FDB">
        <w:rPr>
          <w:rFonts w:ascii="Times New Roman" w:hAnsi="Times New Roman" w:cs="Times New Roman"/>
          <w:sz w:val="24"/>
          <w:szCs w:val="24"/>
        </w:rPr>
        <w:t>4</w:t>
      </w:r>
      <w:r w:rsidR="00A63DCA" w:rsidRPr="00760FDB">
        <w:rPr>
          <w:rFonts w:ascii="Times New Roman" w:hAnsi="Times New Roman" w:cs="Times New Roman"/>
          <w:sz w:val="24"/>
          <w:szCs w:val="24"/>
        </w:rPr>
        <w:t xml:space="preserve"> </w:t>
      </w:r>
      <w:r w:rsidR="00A63DCA" w:rsidRPr="00AB75BC">
        <w:rPr>
          <w:rFonts w:ascii="Times New Roman" w:hAnsi="Times New Roman" w:cs="Times New Roman"/>
          <w:sz w:val="24"/>
          <w:szCs w:val="24"/>
        </w:rPr>
        <w:t>dzīvokļu īpašumi)</w:t>
      </w:r>
      <w:r w:rsidR="009D55A2" w:rsidRPr="00AB75BC">
        <w:rPr>
          <w:rFonts w:ascii="Times New Roman" w:hAnsi="Times New Roman" w:cs="Times New Roman"/>
          <w:sz w:val="24"/>
          <w:szCs w:val="24"/>
        </w:rPr>
        <w:t xml:space="preserve">, savukārt pārvaldīšanā – </w:t>
      </w:r>
      <w:r w:rsidR="009D55A2" w:rsidRPr="00760FDB">
        <w:rPr>
          <w:rFonts w:ascii="Times New Roman" w:hAnsi="Times New Roman" w:cs="Times New Roman"/>
          <w:b/>
          <w:sz w:val="24"/>
          <w:szCs w:val="24"/>
        </w:rPr>
        <w:t>18</w:t>
      </w:r>
      <w:r w:rsidR="00867DD1" w:rsidRPr="00760FDB">
        <w:rPr>
          <w:rFonts w:ascii="Times New Roman" w:hAnsi="Times New Roman" w:cs="Times New Roman"/>
          <w:b/>
          <w:sz w:val="24"/>
          <w:szCs w:val="24"/>
        </w:rPr>
        <w:t>0</w:t>
      </w:r>
      <w:r w:rsidR="009D55A2" w:rsidRPr="00760FDB">
        <w:rPr>
          <w:rFonts w:ascii="Times New Roman" w:hAnsi="Times New Roman" w:cs="Times New Roman"/>
          <w:sz w:val="24"/>
          <w:szCs w:val="24"/>
        </w:rPr>
        <w:t xml:space="preserve"> </w:t>
      </w:r>
      <w:r w:rsidR="009D55A2" w:rsidRPr="00AB75BC">
        <w:rPr>
          <w:rFonts w:ascii="Times New Roman" w:hAnsi="Times New Roman" w:cs="Times New Roman"/>
          <w:sz w:val="24"/>
          <w:szCs w:val="24"/>
        </w:rPr>
        <w:t xml:space="preserve">dzīvojamās mājas (no tām </w:t>
      </w:r>
      <w:r w:rsidR="009D55A2" w:rsidRPr="00760FDB">
        <w:rPr>
          <w:rFonts w:ascii="Times New Roman" w:hAnsi="Times New Roman" w:cs="Times New Roman"/>
          <w:sz w:val="24"/>
          <w:szCs w:val="24"/>
        </w:rPr>
        <w:t>10</w:t>
      </w:r>
      <w:r w:rsidR="00867DD1" w:rsidRPr="00760FDB">
        <w:rPr>
          <w:rFonts w:ascii="Times New Roman" w:hAnsi="Times New Roman" w:cs="Times New Roman"/>
          <w:sz w:val="24"/>
          <w:szCs w:val="24"/>
        </w:rPr>
        <w:t>0</w:t>
      </w:r>
      <w:r w:rsidR="009D55A2" w:rsidRPr="00760FDB">
        <w:rPr>
          <w:rFonts w:ascii="Times New Roman" w:hAnsi="Times New Roman" w:cs="Times New Roman"/>
          <w:sz w:val="24"/>
          <w:szCs w:val="24"/>
        </w:rPr>
        <w:t xml:space="preserve"> </w:t>
      </w:r>
      <w:r w:rsidR="009D55A2" w:rsidRPr="00AB75BC">
        <w:rPr>
          <w:rFonts w:ascii="Times New Roman" w:hAnsi="Times New Roman" w:cs="Times New Roman"/>
          <w:sz w:val="24"/>
          <w:szCs w:val="24"/>
        </w:rPr>
        <w:t>m</w:t>
      </w:r>
      <w:r w:rsidR="00D342C5" w:rsidRPr="00AB75BC">
        <w:rPr>
          <w:rFonts w:ascii="Times New Roman" w:hAnsi="Times New Roman" w:cs="Times New Roman"/>
          <w:sz w:val="24"/>
          <w:szCs w:val="24"/>
        </w:rPr>
        <w:t>ājas -</w:t>
      </w:r>
      <w:r w:rsidR="00907967" w:rsidRPr="00AB75BC">
        <w:rPr>
          <w:rFonts w:ascii="Times New Roman" w:hAnsi="Times New Roman" w:cs="Times New Roman"/>
          <w:sz w:val="24"/>
          <w:szCs w:val="24"/>
        </w:rPr>
        <w:t xml:space="preserve"> </w:t>
      </w:r>
      <w:r w:rsidR="009D55A2" w:rsidRPr="00760FDB">
        <w:rPr>
          <w:rFonts w:ascii="Times New Roman" w:hAnsi="Times New Roman" w:cs="Times New Roman"/>
          <w:sz w:val="24"/>
          <w:szCs w:val="24"/>
        </w:rPr>
        <w:t>100% valsts īpašums).</w:t>
      </w:r>
    </w:p>
    <w:p w14:paraId="13707E3B" w14:textId="77777777" w:rsidR="004E29AB" w:rsidRPr="00DC6F66" w:rsidRDefault="004E29AB" w:rsidP="007F7446">
      <w:pPr>
        <w:spacing w:before="120" w:after="120" w:line="240" w:lineRule="auto"/>
        <w:ind w:firstLine="709"/>
        <w:jc w:val="both"/>
        <w:rPr>
          <w:rFonts w:ascii="Times New Roman" w:hAnsi="Times New Roman" w:cs="Times New Roman"/>
          <w:sz w:val="24"/>
          <w:szCs w:val="24"/>
        </w:rPr>
      </w:pPr>
    </w:p>
    <w:p w14:paraId="5DA75A6C" w14:textId="77777777" w:rsidR="00D342C5" w:rsidRPr="00DC6F66" w:rsidRDefault="00A369F6" w:rsidP="00655F3C">
      <w:pPr>
        <w:pStyle w:val="ListParagraph"/>
        <w:numPr>
          <w:ilvl w:val="0"/>
          <w:numId w:val="4"/>
        </w:numPr>
        <w:spacing w:before="120"/>
        <w:ind w:left="425" w:hanging="425"/>
        <w:contextualSpacing w:val="0"/>
        <w:jc w:val="both"/>
        <w:rPr>
          <w:rFonts w:cs="Times New Roman"/>
          <w:b/>
          <w:i/>
        </w:rPr>
      </w:pPr>
      <w:r w:rsidRPr="00DC6F66">
        <w:rPr>
          <w:rFonts w:cs="Times New Roman"/>
          <w:b/>
          <w:i/>
        </w:rPr>
        <w:t>Valsts kapitāla daļu pārvaldīšana, privatizācija un atsavināšana</w:t>
      </w:r>
    </w:p>
    <w:p w14:paraId="7844DBE4" w14:textId="77777777" w:rsidR="00747979" w:rsidRPr="00DC6F66" w:rsidRDefault="00867AF7" w:rsidP="007F7446">
      <w:pPr>
        <w:spacing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Sabiedrība veic valsts kapitāla daļu pārvaldīšanu un privatizāciju saskaņā ar Privatizācijas likumu un P</w:t>
      </w:r>
      <w:r w:rsidR="00B27E90">
        <w:rPr>
          <w:rFonts w:ascii="Times New Roman" w:hAnsi="Times New Roman" w:cs="Times New Roman"/>
          <w:sz w:val="24"/>
          <w:szCs w:val="24"/>
        </w:rPr>
        <w:t>rivatizācijas p</w:t>
      </w:r>
      <w:r w:rsidRPr="00DC6F66">
        <w:rPr>
          <w:rFonts w:ascii="Times New Roman" w:hAnsi="Times New Roman" w:cs="Times New Roman"/>
          <w:sz w:val="24"/>
          <w:szCs w:val="24"/>
        </w:rPr>
        <w:t xml:space="preserve">abeigšanas </w:t>
      </w:r>
      <w:r w:rsidR="00BA4A23" w:rsidRPr="00DC6F66">
        <w:rPr>
          <w:rFonts w:ascii="Times New Roman" w:hAnsi="Times New Roman" w:cs="Times New Roman"/>
          <w:sz w:val="24"/>
          <w:szCs w:val="24"/>
        </w:rPr>
        <w:t>likumu, savukārt v</w:t>
      </w:r>
      <w:r w:rsidRPr="00DC6F66">
        <w:rPr>
          <w:rFonts w:ascii="Times New Roman" w:hAnsi="Times New Roman" w:cs="Times New Roman"/>
          <w:sz w:val="24"/>
          <w:szCs w:val="24"/>
        </w:rPr>
        <w:t>alsts kapitāla daļu pārvaldīšan</w:t>
      </w:r>
      <w:r w:rsidR="007F503E" w:rsidRPr="00DC6F66">
        <w:rPr>
          <w:rFonts w:ascii="Times New Roman" w:hAnsi="Times New Roman" w:cs="Times New Roman"/>
          <w:sz w:val="24"/>
          <w:szCs w:val="24"/>
        </w:rPr>
        <w:t>u</w:t>
      </w:r>
      <w:r w:rsidRPr="00DC6F66">
        <w:rPr>
          <w:rFonts w:ascii="Times New Roman" w:hAnsi="Times New Roman" w:cs="Times New Roman"/>
          <w:sz w:val="24"/>
          <w:szCs w:val="24"/>
        </w:rPr>
        <w:t xml:space="preserve"> un atsavināšan</w:t>
      </w:r>
      <w:r w:rsidR="007F503E" w:rsidRPr="00DC6F66">
        <w:rPr>
          <w:rFonts w:ascii="Times New Roman" w:hAnsi="Times New Roman" w:cs="Times New Roman"/>
          <w:sz w:val="24"/>
          <w:szCs w:val="24"/>
        </w:rPr>
        <w:t>u</w:t>
      </w:r>
      <w:r w:rsidR="00D342C5" w:rsidRPr="00DC6F66">
        <w:rPr>
          <w:rFonts w:ascii="Times New Roman" w:hAnsi="Times New Roman" w:cs="Times New Roman"/>
          <w:sz w:val="24"/>
          <w:szCs w:val="24"/>
        </w:rPr>
        <w:t xml:space="preserve"> </w:t>
      </w:r>
      <w:r w:rsidR="00BA4A23" w:rsidRPr="00DC6F66">
        <w:rPr>
          <w:rFonts w:ascii="Times New Roman" w:hAnsi="Times New Roman" w:cs="Times New Roman"/>
          <w:sz w:val="24"/>
          <w:szCs w:val="24"/>
        </w:rPr>
        <w:t>-</w:t>
      </w:r>
      <w:r w:rsidRPr="00DC6F66">
        <w:rPr>
          <w:rFonts w:ascii="Times New Roman" w:hAnsi="Times New Roman" w:cs="Times New Roman"/>
          <w:sz w:val="24"/>
          <w:szCs w:val="24"/>
        </w:rPr>
        <w:t xml:space="preserve"> saskaņā ar </w:t>
      </w:r>
      <w:r w:rsidR="00B27E90">
        <w:rPr>
          <w:rFonts w:ascii="Times New Roman" w:hAnsi="Times New Roman" w:cs="Times New Roman"/>
          <w:sz w:val="24"/>
          <w:szCs w:val="24"/>
        </w:rPr>
        <w:t>Kapitālsabiedrību p</w:t>
      </w:r>
      <w:r w:rsidRPr="00DC6F66">
        <w:rPr>
          <w:rFonts w:ascii="Times New Roman" w:hAnsi="Times New Roman" w:cs="Times New Roman"/>
          <w:sz w:val="24"/>
          <w:szCs w:val="24"/>
        </w:rPr>
        <w:t xml:space="preserve">ārvaldības likumu. </w:t>
      </w:r>
      <w:r w:rsidR="00A369F6" w:rsidRPr="00DC6F66">
        <w:rPr>
          <w:rFonts w:ascii="Times New Roman" w:hAnsi="Times New Roman" w:cs="Times New Roman"/>
          <w:sz w:val="24"/>
          <w:szCs w:val="24"/>
        </w:rPr>
        <w:t xml:space="preserve">Valsts kapitāla daļu pārvaldība tiek </w:t>
      </w:r>
      <w:r w:rsidR="003E5939" w:rsidRPr="00DC6F66">
        <w:rPr>
          <w:rFonts w:ascii="Times New Roman" w:hAnsi="Times New Roman" w:cs="Times New Roman"/>
          <w:sz w:val="24"/>
          <w:szCs w:val="24"/>
        </w:rPr>
        <w:t>nodrošināta atbilstoši</w:t>
      </w:r>
      <w:r w:rsidR="00A369F6" w:rsidRPr="00DC6F66">
        <w:rPr>
          <w:rFonts w:ascii="Times New Roman" w:hAnsi="Times New Roman" w:cs="Times New Roman"/>
          <w:sz w:val="24"/>
          <w:szCs w:val="24"/>
        </w:rPr>
        <w:t xml:space="preserve"> Ekonomiskās sadarbības un attīstības organizācijas (OECD) un Baltijas korporatīvās pārvaldības institūta rekomendētajiem korporatīvās pārvaldības principiem un vadlīnijām, ievērojot Komerclikumā, </w:t>
      </w:r>
      <w:r w:rsidR="00B27E90">
        <w:rPr>
          <w:rFonts w:ascii="Times New Roman" w:hAnsi="Times New Roman" w:cs="Times New Roman"/>
          <w:sz w:val="24"/>
          <w:szCs w:val="24"/>
        </w:rPr>
        <w:t>Kapitālsabiedrības p</w:t>
      </w:r>
      <w:r w:rsidR="00A369F6" w:rsidRPr="00DC6F66">
        <w:rPr>
          <w:rFonts w:ascii="Times New Roman" w:hAnsi="Times New Roman" w:cs="Times New Roman"/>
          <w:sz w:val="24"/>
          <w:szCs w:val="24"/>
        </w:rPr>
        <w:t>ārvaldības likumā un citos normatīvajos aktos noteiktās kompetences un nosacījumus</w:t>
      </w:r>
      <w:r w:rsidR="009D55A2" w:rsidRPr="00DC6F66">
        <w:rPr>
          <w:rFonts w:ascii="Times New Roman" w:hAnsi="Times New Roman" w:cs="Times New Roman"/>
          <w:sz w:val="24"/>
          <w:szCs w:val="24"/>
        </w:rPr>
        <w:t>.</w:t>
      </w:r>
      <w:r w:rsidR="009D55A2" w:rsidRPr="00DC6F66">
        <w:rPr>
          <w:rFonts w:ascii="Times New Roman" w:hAnsi="Times New Roman" w:cs="Times New Roman"/>
          <w:sz w:val="24"/>
          <w:szCs w:val="24"/>
        </w:rPr>
        <w:tab/>
      </w:r>
    </w:p>
    <w:p w14:paraId="04B4A0EF" w14:textId="34E148EC" w:rsidR="009D55A2" w:rsidRDefault="009D55A2" w:rsidP="007F7446">
      <w:pPr>
        <w:spacing w:before="120"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Uz 2016.gada </w:t>
      </w:r>
      <w:r w:rsidR="001B7DF9">
        <w:rPr>
          <w:rFonts w:ascii="Times New Roman" w:hAnsi="Times New Roman" w:cs="Times New Roman"/>
          <w:sz w:val="24"/>
          <w:szCs w:val="24"/>
        </w:rPr>
        <w:t>3</w:t>
      </w:r>
      <w:r w:rsidRPr="00DC6F66">
        <w:rPr>
          <w:rFonts w:ascii="Times New Roman" w:hAnsi="Times New Roman" w:cs="Times New Roman"/>
          <w:sz w:val="24"/>
          <w:szCs w:val="24"/>
        </w:rPr>
        <w:t>1.</w:t>
      </w:r>
      <w:r w:rsidR="001B7DF9">
        <w:rPr>
          <w:rFonts w:ascii="Times New Roman" w:hAnsi="Times New Roman" w:cs="Times New Roman"/>
          <w:sz w:val="24"/>
          <w:szCs w:val="24"/>
        </w:rPr>
        <w:t xml:space="preserve">decembri </w:t>
      </w:r>
      <w:r w:rsidRPr="00DC6F66">
        <w:rPr>
          <w:rFonts w:ascii="Times New Roman" w:hAnsi="Times New Roman" w:cs="Times New Roman"/>
          <w:sz w:val="24"/>
          <w:szCs w:val="24"/>
        </w:rPr>
        <w:t xml:space="preserve">Sabiedrības </w:t>
      </w:r>
      <w:r w:rsidR="001D0987" w:rsidRPr="00DC6F66">
        <w:rPr>
          <w:rFonts w:ascii="Times New Roman" w:hAnsi="Times New Roman" w:cs="Times New Roman"/>
          <w:sz w:val="24"/>
          <w:szCs w:val="24"/>
        </w:rPr>
        <w:t>turējumā</w:t>
      </w:r>
      <w:r w:rsidRPr="00DC6F66">
        <w:rPr>
          <w:rFonts w:ascii="Times New Roman" w:hAnsi="Times New Roman" w:cs="Times New Roman"/>
          <w:sz w:val="24"/>
          <w:szCs w:val="24"/>
        </w:rPr>
        <w:t xml:space="preserve"> bija valsts </w:t>
      </w:r>
      <w:r w:rsidRPr="005D5158">
        <w:rPr>
          <w:rFonts w:ascii="Times New Roman" w:hAnsi="Times New Roman" w:cs="Times New Roman"/>
          <w:sz w:val="24"/>
          <w:szCs w:val="24"/>
        </w:rPr>
        <w:t xml:space="preserve">kapitāla daļas </w:t>
      </w:r>
      <w:r w:rsidR="00C97175" w:rsidRPr="00760FDB">
        <w:rPr>
          <w:rFonts w:ascii="Times New Roman" w:hAnsi="Times New Roman" w:cs="Times New Roman"/>
          <w:b/>
          <w:sz w:val="24"/>
          <w:szCs w:val="24"/>
        </w:rPr>
        <w:t>31</w:t>
      </w:r>
      <w:r w:rsidR="001B7DF9" w:rsidRPr="00760FDB">
        <w:rPr>
          <w:rFonts w:ascii="Times New Roman" w:hAnsi="Times New Roman" w:cs="Times New Roman"/>
          <w:b/>
          <w:sz w:val="24"/>
          <w:szCs w:val="24"/>
        </w:rPr>
        <w:t xml:space="preserve"> </w:t>
      </w:r>
      <w:r w:rsidR="001D0987" w:rsidRPr="005D5158">
        <w:rPr>
          <w:rFonts w:ascii="Times New Roman" w:hAnsi="Times New Roman" w:cs="Times New Roman"/>
          <w:sz w:val="24"/>
          <w:szCs w:val="24"/>
        </w:rPr>
        <w:t>kapitā</w:t>
      </w:r>
      <w:r w:rsidR="0000508D" w:rsidRPr="005D5158">
        <w:rPr>
          <w:rFonts w:ascii="Times New Roman" w:hAnsi="Times New Roman" w:cs="Times New Roman"/>
          <w:sz w:val="24"/>
          <w:szCs w:val="24"/>
        </w:rPr>
        <w:t>l</w:t>
      </w:r>
      <w:r w:rsidR="001D0987" w:rsidRPr="005D5158">
        <w:rPr>
          <w:rFonts w:ascii="Times New Roman" w:hAnsi="Times New Roman" w:cs="Times New Roman"/>
          <w:sz w:val="24"/>
          <w:szCs w:val="24"/>
        </w:rPr>
        <w:t>sabiedrībā</w:t>
      </w:r>
      <w:r w:rsidR="00A63DCA" w:rsidRPr="00AB75BC">
        <w:rPr>
          <w:rFonts w:ascii="Times New Roman" w:hAnsi="Times New Roman" w:cs="Times New Roman"/>
          <w:sz w:val="24"/>
          <w:szCs w:val="24"/>
        </w:rPr>
        <w:t xml:space="preserve"> (</w:t>
      </w:r>
      <w:r w:rsidR="00701AC8" w:rsidRPr="00AB75BC">
        <w:rPr>
          <w:rFonts w:ascii="Times New Roman" w:hAnsi="Times New Roman" w:cs="Times New Roman"/>
          <w:sz w:val="24"/>
          <w:szCs w:val="24"/>
        </w:rPr>
        <w:t xml:space="preserve">privatizācijai – valsts kapitāla daļas sabiedrībā ar ierobežotu atbildību “Lattelecom” </w:t>
      </w:r>
      <w:r w:rsidR="00EA06F7" w:rsidRPr="00760FDB">
        <w:rPr>
          <w:rFonts w:ascii="Times New Roman" w:hAnsi="Times New Roman" w:cs="Times New Roman"/>
          <w:sz w:val="24"/>
          <w:szCs w:val="24"/>
        </w:rPr>
        <w:t xml:space="preserve">(turpmāk – Lattelecom) </w:t>
      </w:r>
      <w:r w:rsidR="00701AC8" w:rsidRPr="00760FDB">
        <w:rPr>
          <w:rFonts w:ascii="Times New Roman" w:hAnsi="Times New Roman" w:cs="Times New Roman"/>
          <w:sz w:val="24"/>
          <w:szCs w:val="24"/>
        </w:rPr>
        <w:t>un sabiedrībā ar ierobežotu atbildību “Latvijas Mobilais Telefons”</w:t>
      </w:r>
      <w:r w:rsidR="00EA06F7" w:rsidRPr="00760FDB">
        <w:rPr>
          <w:rFonts w:ascii="Times New Roman" w:hAnsi="Times New Roman" w:cs="Times New Roman"/>
          <w:sz w:val="24"/>
          <w:szCs w:val="24"/>
        </w:rPr>
        <w:t xml:space="preserve"> (turpmāk – LMT)</w:t>
      </w:r>
      <w:r w:rsidR="00701AC8" w:rsidRPr="00760FDB">
        <w:rPr>
          <w:rFonts w:ascii="Times New Roman" w:hAnsi="Times New Roman" w:cs="Times New Roman"/>
          <w:sz w:val="24"/>
          <w:szCs w:val="24"/>
        </w:rPr>
        <w:t>, atsavināšanai – valsts kapitāla daļas 2</w:t>
      </w:r>
      <w:r w:rsidR="001B7DF9" w:rsidRPr="00760FDB">
        <w:rPr>
          <w:rFonts w:ascii="Times New Roman" w:hAnsi="Times New Roman" w:cs="Times New Roman"/>
          <w:sz w:val="24"/>
          <w:szCs w:val="24"/>
        </w:rPr>
        <w:t>2</w:t>
      </w:r>
      <w:r w:rsidR="00701AC8" w:rsidRPr="00760FDB">
        <w:rPr>
          <w:rFonts w:ascii="Times New Roman" w:hAnsi="Times New Roman" w:cs="Times New Roman"/>
          <w:sz w:val="24"/>
          <w:szCs w:val="24"/>
        </w:rPr>
        <w:t xml:space="preserve"> </w:t>
      </w:r>
      <w:r w:rsidR="00701AC8" w:rsidRPr="005D5158">
        <w:rPr>
          <w:rFonts w:ascii="Times New Roman" w:hAnsi="Times New Roman" w:cs="Times New Roman"/>
          <w:sz w:val="24"/>
          <w:szCs w:val="24"/>
        </w:rPr>
        <w:t>kapitālsabiedrībās</w:t>
      </w:r>
      <w:r w:rsidR="00701AC8" w:rsidRPr="00DC6F66">
        <w:rPr>
          <w:rFonts w:ascii="Times New Roman" w:hAnsi="Times New Roman" w:cs="Times New Roman"/>
          <w:sz w:val="24"/>
          <w:szCs w:val="24"/>
        </w:rPr>
        <w:t>, kā arī valsts kapitāla daļas 7 maksātnespējīgās kapitālsabiedrībās)</w:t>
      </w:r>
      <w:r w:rsidR="0000508D" w:rsidRPr="00DC6F66">
        <w:rPr>
          <w:rFonts w:ascii="Times New Roman" w:hAnsi="Times New Roman" w:cs="Times New Roman"/>
          <w:sz w:val="24"/>
          <w:szCs w:val="24"/>
        </w:rPr>
        <w:t>.</w:t>
      </w:r>
    </w:p>
    <w:p w14:paraId="208EA1E8" w14:textId="77777777" w:rsidR="004E29AB" w:rsidRPr="00DC6F66" w:rsidRDefault="004E29AB" w:rsidP="007F7446">
      <w:pPr>
        <w:spacing w:before="120" w:after="120" w:line="240" w:lineRule="auto"/>
        <w:ind w:firstLine="709"/>
        <w:jc w:val="both"/>
        <w:rPr>
          <w:rFonts w:ascii="Times New Roman" w:hAnsi="Times New Roman" w:cs="Times New Roman"/>
          <w:sz w:val="24"/>
          <w:szCs w:val="24"/>
        </w:rPr>
      </w:pPr>
    </w:p>
    <w:p w14:paraId="1AE5F3C9" w14:textId="77777777" w:rsidR="00D342C5" w:rsidRPr="00DC6F66" w:rsidRDefault="00A369F6" w:rsidP="00E920DF">
      <w:pPr>
        <w:pStyle w:val="ListParagraph"/>
        <w:keepNext/>
        <w:numPr>
          <w:ilvl w:val="0"/>
          <w:numId w:val="4"/>
        </w:numPr>
        <w:spacing w:before="120"/>
        <w:ind w:left="425" w:hanging="425"/>
        <w:contextualSpacing w:val="0"/>
        <w:jc w:val="both"/>
        <w:rPr>
          <w:rFonts w:cs="Times New Roman"/>
          <w:b/>
          <w:i/>
        </w:rPr>
      </w:pPr>
      <w:r w:rsidRPr="00DC6F66">
        <w:rPr>
          <w:rFonts w:cs="Times New Roman"/>
          <w:b/>
          <w:i/>
        </w:rPr>
        <w:lastRenderedPageBreak/>
        <w:t>Problemātisko aktīvu pārvaldīšana un atsavināšana</w:t>
      </w:r>
    </w:p>
    <w:p w14:paraId="02C629D5" w14:textId="77777777" w:rsidR="0064386C" w:rsidRPr="00DC6F66" w:rsidRDefault="0064386C" w:rsidP="00E920DF">
      <w:pPr>
        <w:keepNext/>
        <w:spacing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Sabiedrība </w:t>
      </w:r>
      <w:r w:rsidR="00DC25D9" w:rsidRPr="00DC6F66">
        <w:rPr>
          <w:rFonts w:ascii="Times New Roman" w:hAnsi="Times New Roman" w:cs="Times New Roman"/>
          <w:sz w:val="24"/>
          <w:szCs w:val="24"/>
        </w:rPr>
        <w:t>nodrošina problemātisko aktīvu (meitas sabiedrību) pārvaldību un atsavināšanu atbilstoši</w:t>
      </w:r>
      <w:r w:rsidR="00907967">
        <w:rPr>
          <w:rFonts w:ascii="Times New Roman" w:hAnsi="Times New Roman" w:cs="Times New Roman"/>
          <w:sz w:val="24"/>
          <w:szCs w:val="24"/>
        </w:rPr>
        <w:t xml:space="preserve"> </w:t>
      </w:r>
      <w:r w:rsidR="00DC25D9" w:rsidRPr="00DC6F66">
        <w:rPr>
          <w:rFonts w:ascii="Times New Roman" w:hAnsi="Times New Roman" w:cs="Times New Roman"/>
          <w:sz w:val="24"/>
          <w:szCs w:val="24"/>
        </w:rPr>
        <w:t>ar Ministru kabineta un Eiropas Komisijas pieņemtajiem lēmumiem</w:t>
      </w:r>
      <w:r w:rsidR="00747979" w:rsidRPr="00DC6F66">
        <w:rPr>
          <w:rFonts w:ascii="Times New Roman" w:hAnsi="Times New Roman" w:cs="Times New Roman"/>
          <w:sz w:val="24"/>
          <w:szCs w:val="24"/>
        </w:rPr>
        <w:t xml:space="preserve">. Uz 2016.gada 1.novembri Sabiedrībai bija </w:t>
      </w:r>
      <w:r w:rsidR="00747979" w:rsidRPr="00DC6F66">
        <w:rPr>
          <w:rFonts w:ascii="Times New Roman" w:hAnsi="Times New Roman" w:cs="Times New Roman"/>
          <w:b/>
          <w:sz w:val="24"/>
          <w:szCs w:val="24"/>
        </w:rPr>
        <w:t>3</w:t>
      </w:r>
      <w:r w:rsidR="00747979" w:rsidRPr="00DC6F66">
        <w:rPr>
          <w:rFonts w:ascii="Times New Roman" w:hAnsi="Times New Roman" w:cs="Times New Roman"/>
          <w:sz w:val="24"/>
          <w:szCs w:val="24"/>
        </w:rPr>
        <w:t xml:space="preserve"> meitas sabiedrības</w:t>
      </w:r>
      <w:r w:rsidR="00DC25D9" w:rsidRPr="00DC6F66">
        <w:rPr>
          <w:rFonts w:ascii="Times New Roman" w:hAnsi="Times New Roman" w:cs="Times New Roman"/>
          <w:sz w:val="24"/>
          <w:szCs w:val="24"/>
        </w:rPr>
        <w:t>:</w:t>
      </w:r>
    </w:p>
    <w:p w14:paraId="073F929F" w14:textId="77777777" w:rsidR="00A369F6" w:rsidRPr="00DC6F66" w:rsidRDefault="001F75E5" w:rsidP="00655F3C">
      <w:pPr>
        <w:pStyle w:val="ListParagraph"/>
        <w:numPr>
          <w:ilvl w:val="0"/>
          <w:numId w:val="7"/>
        </w:numPr>
        <w:spacing w:before="120" w:after="120"/>
        <w:ind w:left="1066" w:hanging="357"/>
        <w:jc w:val="both"/>
        <w:rPr>
          <w:rFonts w:cs="Times New Roman"/>
        </w:rPr>
      </w:pPr>
      <w:r w:rsidRPr="00DC6F66">
        <w:rPr>
          <w:rFonts w:cs="Times New Roman"/>
        </w:rPr>
        <w:t>s</w:t>
      </w:r>
      <w:r w:rsidR="00A369F6" w:rsidRPr="00DC6F66">
        <w:rPr>
          <w:rFonts w:cs="Times New Roman"/>
        </w:rPr>
        <w:t xml:space="preserve">askaņā ar Ministru kabineta 2009.gada 24.februāra lēmumu Sabiedrība iegādājās </w:t>
      </w:r>
      <w:r w:rsidR="00F074BB" w:rsidRPr="00DC6F66">
        <w:rPr>
          <w:rFonts w:cs="Times New Roman"/>
        </w:rPr>
        <w:t>akciju sabiedrības “</w:t>
      </w:r>
      <w:r w:rsidR="00A369F6" w:rsidRPr="00DC6F66">
        <w:rPr>
          <w:rFonts w:cs="Times New Roman"/>
        </w:rPr>
        <w:t>Parex banka</w:t>
      </w:r>
      <w:r w:rsidR="00F074BB" w:rsidRPr="00DC6F66">
        <w:rPr>
          <w:rFonts w:cs="Times New Roman"/>
        </w:rPr>
        <w:t xml:space="preserve">” (turpmāk – Parex banka) </w:t>
      </w:r>
      <w:r w:rsidR="00A369F6" w:rsidRPr="00DC6F66">
        <w:rPr>
          <w:rFonts w:cs="Times New Roman"/>
        </w:rPr>
        <w:t xml:space="preserve">akcijas ar mērķi nodrošināt kapitāla daļu pārvaldīšanu un akciju pārdošanas organizēšanu. 2010.gadā, uzsākot bankas restrukturizāciju, Parex bankas aktīvi tika sadalīti, kā rezultātā 2010.gada 1.jūnijā tika dibināta jauna kredītiestāde </w:t>
      </w:r>
      <w:r w:rsidR="00F074BB" w:rsidRPr="00DC6F66">
        <w:rPr>
          <w:rFonts w:cs="Times New Roman"/>
        </w:rPr>
        <w:t>–</w:t>
      </w:r>
      <w:r w:rsidR="00A369F6" w:rsidRPr="00DC6F66">
        <w:rPr>
          <w:rFonts w:cs="Times New Roman"/>
        </w:rPr>
        <w:t xml:space="preserve"> </w:t>
      </w:r>
      <w:r w:rsidR="00F074BB" w:rsidRPr="00DC6F66">
        <w:rPr>
          <w:rFonts w:cs="Times New Roman"/>
        </w:rPr>
        <w:t>akciju sabiedrība “</w:t>
      </w:r>
      <w:r w:rsidR="00A369F6" w:rsidRPr="00DC6F66">
        <w:rPr>
          <w:rFonts w:cs="Times New Roman"/>
        </w:rPr>
        <w:t>Citadele banka</w:t>
      </w:r>
      <w:r w:rsidR="00F074BB" w:rsidRPr="00DC6F66">
        <w:rPr>
          <w:rFonts w:cs="Times New Roman"/>
        </w:rPr>
        <w:t>”</w:t>
      </w:r>
      <w:r w:rsidR="00BF318B" w:rsidRPr="00DC6F66">
        <w:rPr>
          <w:rStyle w:val="FootnoteReference"/>
          <w:rFonts w:cs="Times New Roman"/>
        </w:rPr>
        <w:footnoteReference w:id="3"/>
      </w:r>
      <w:r w:rsidR="00F074BB" w:rsidRPr="00DC6F66">
        <w:rPr>
          <w:rFonts w:cs="Times New Roman"/>
        </w:rPr>
        <w:t xml:space="preserve"> (turpmāk – Citadele banka).</w:t>
      </w:r>
      <w:r w:rsidR="00A369F6" w:rsidRPr="00DC6F66">
        <w:rPr>
          <w:rFonts w:cs="Times New Roman"/>
        </w:rPr>
        <w:t xml:space="preserve"> 2012.gada 15.martā Finanšu un kapitāla tirgus komisija atbalstīja Parex bankas lūgumu par labprātīgu atteikšanos no kredītiestādes licences, turpinot darbu kā problemātisko aktīvu pārvaldīšanas</w:t>
      </w:r>
      <w:r w:rsidRPr="00DC6F66">
        <w:rPr>
          <w:rFonts w:cs="Times New Roman"/>
        </w:rPr>
        <w:t xml:space="preserve"> uzņēmums ar nosaukumu </w:t>
      </w:r>
      <w:r w:rsidR="00F074BB" w:rsidRPr="00DC6F66">
        <w:rPr>
          <w:rFonts w:cs="Times New Roman"/>
        </w:rPr>
        <w:t>akciju sabiedrība “</w:t>
      </w:r>
      <w:proofErr w:type="spellStart"/>
      <w:r w:rsidRPr="00DC6F66">
        <w:rPr>
          <w:rFonts w:cs="Times New Roman"/>
        </w:rPr>
        <w:t>Reverta</w:t>
      </w:r>
      <w:proofErr w:type="spellEnd"/>
      <w:r w:rsidR="00F074BB" w:rsidRPr="00DC6F66">
        <w:rPr>
          <w:rFonts w:cs="Times New Roman"/>
        </w:rPr>
        <w:t>”</w:t>
      </w:r>
      <w:r w:rsidR="002057E0" w:rsidRPr="00DC6F66">
        <w:rPr>
          <w:rFonts w:cs="Times New Roman"/>
        </w:rPr>
        <w:t xml:space="preserve"> (turpmāk – </w:t>
      </w:r>
      <w:proofErr w:type="spellStart"/>
      <w:r w:rsidR="002057E0" w:rsidRPr="00DC6F66">
        <w:rPr>
          <w:rFonts w:cs="Times New Roman"/>
        </w:rPr>
        <w:t>Reverta</w:t>
      </w:r>
      <w:proofErr w:type="spellEnd"/>
      <w:r w:rsidR="002057E0" w:rsidRPr="00DC6F66">
        <w:rPr>
          <w:rFonts w:cs="Times New Roman"/>
        </w:rPr>
        <w:t>)</w:t>
      </w:r>
      <w:r w:rsidRPr="00DC6F66">
        <w:rPr>
          <w:rFonts w:cs="Times New Roman"/>
        </w:rPr>
        <w:t>;</w:t>
      </w:r>
    </w:p>
    <w:p w14:paraId="2CE880C2" w14:textId="77777777" w:rsidR="00A369F6" w:rsidRPr="00DC6F66" w:rsidRDefault="001F75E5" w:rsidP="00655F3C">
      <w:pPr>
        <w:pStyle w:val="ListParagraph"/>
        <w:keepNext/>
        <w:numPr>
          <w:ilvl w:val="0"/>
          <w:numId w:val="7"/>
        </w:numPr>
        <w:spacing w:before="120" w:after="120"/>
        <w:ind w:left="1066" w:hanging="357"/>
        <w:jc w:val="both"/>
        <w:rPr>
          <w:rFonts w:cs="Times New Roman"/>
        </w:rPr>
      </w:pPr>
      <w:r w:rsidRPr="00DC6F66">
        <w:rPr>
          <w:rFonts w:cs="Times New Roman"/>
        </w:rPr>
        <w:t>i</w:t>
      </w:r>
      <w:r w:rsidR="00A369F6" w:rsidRPr="00DC6F66">
        <w:rPr>
          <w:rFonts w:cs="Times New Roman"/>
        </w:rPr>
        <w:t xml:space="preserve">zpildot Ministru kabineta </w:t>
      </w:r>
      <w:r w:rsidR="00BF318B" w:rsidRPr="00DC6F66">
        <w:rPr>
          <w:rFonts w:cs="Times New Roman"/>
        </w:rPr>
        <w:t xml:space="preserve">2013.gada 21.maija lēmumu </w:t>
      </w:r>
      <w:r w:rsidR="00A369F6" w:rsidRPr="00DC6F66">
        <w:rPr>
          <w:rFonts w:cs="Times New Roman"/>
        </w:rPr>
        <w:t xml:space="preserve">par sabiedrības ar ierobežotu atbildību “Hipotēku bankas nekustamā īpašuma aģentūra” kapitāla daļu atsavināšanu, 2013.gada 28.jūnijā Sabiedrība kļuva par tās (no 2014.gada 1.oktobra darbojas ar jaunu nosaukumu </w:t>
      </w:r>
      <w:r w:rsidR="00D5257B" w:rsidRPr="00DC6F66">
        <w:rPr>
          <w:rFonts w:cs="Times New Roman"/>
        </w:rPr>
        <w:t>–</w:t>
      </w:r>
      <w:r w:rsidR="00A369F6" w:rsidRPr="00DC6F66">
        <w:rPr>
          <w:rFonts w:cs="Times New Roman"/>
        </w:rPr>
        <w:t xml:space="preserve"> </w:t>
      </w:r>
      <w:r w:rsidR="00D5257B" w:rsidRPr="00DC6F66">
        <w:rPr>
          <w:rFonts w:cs="Times New Roman"/>
        </w:rPr>
        <w:t>sabiedrība ar ierobežotu atbildību “</w:t>
      </w:r>
      <w:proofErr w:type="spellStart"/>
      <w:r w:rsidR="00A369F6" w:rsidRPr="00DC6F66">
        <w:rPr>
          <w:rFonts w:cs="Times New Roman"/>
        </w:rPr>
        <w:t>Hiponia</w:t>
      </w:r>
      <w:proofErr w:type="spellEnd"/>
      <w:r w:rsidR="00D5257B" w:rsidRPr="00DC6F66">
        <w:rPr>
          <w:rFonts w:cs="Times New Roman"/>
        </w:rPr>
        <w:t>”</w:t>
      </w:r>
      <w:r w:rsidR="002057E0" w:rsidRPr="00DC6F66">
        <w:rPr>
          <w:rFonts w:cs="Times New Roman"/>
        </w:rPr>
        <w:t xml:space="preserve"> (turpmāk – </w:t>
      </w:r>
      <w:proofErr w:type="spellStart"/>
      <w:r w:rsidR="002057E0" w:rsidRPr="00DC6F66">
        <w:rPr>
          <w:rFonts w:cs="Times New Roman"/>
        </w:rPr>
        <w:t>Hiponia</w:t>
      </w:r>
      <w:proofErr w:type="spellEnd"/>
      <w:r w:rsidR="002057E0" w:rsidRPr="00DC6F66">
        <w:rPr>
          <w:rFonts w:cs="Times New Roman"/>
        </w:rPr>
        <w:t>)</w:t>
      </w:r>
      <w:r w:rsidR="00A369F6" w:rsidRPr="00DC6F66">
        <w:rPr>
          <w:rFonts w:cs="Times New Roman"/>
        </w:rPr>
        <w:t>) 100% kapitāla daļu īpašnieci</w:t>
      </w:r>
      <w:r w:rsidRPr="00DC6F66">
        <w:rPr>
          <w:rFonts w:cs="Times New Roman"/>
        </w:rPr>
        <w:t>;</w:t>
      </w:r>
    </w:p>
    <w:p w14:paraId="6EA05646" w14:textId="77777777" w:rsidR="00A369F6" w:rsidRDefault="00A369F6" w:rsidP="00655F3C">
      <w:pPr>
        <w:pStyle w:val="ListParagraph"/>
        <w:keepNext/>
        <w:numPr>
          <w:ilvl w:val="0"/>
          <w:numId w:val="7"/>
        </w:numPr>
        <w:spacing w:before="120" w:after="120"/>
        <w:contextualSpacing w:val="0"/>
        <w:jc w:val="both"/>
        <w:rPr>
          <w:rFonts w:cs="Times New Roman"/>
        </w:rPr>
      </w:pPr>
      <w:r w:rsidRPr="00DC6F66">
        <w:rPr>
          <w:rFonts w:cs="Times New Roman"/>
        </w:rPr>
        <w:t xml:space="preserve">2016.gada 1.aprīlī, atbilstoši Ministru kabineta 2016.gada 22.marta lēmumam, tika dibināta sabiedrība </w:t>
      </w:r>
      <w:r w:rsidR="00D5257B" w:rsidRPr="00DC6F66">
        <w:rPr>
          <w:rFonts w:cs="Times New Roman"/>
        </w:rPr>
        <w:t>ar ierobežotu atbildību “</w:t>
      </w:r>
      <w:proofErr w:type="spellStart"/>
      <w:r w:rsidRPr="00DC6F66">
        <w:rPr>
          <w:rFonts w:cs="Times New Roman"/>
        </w:rPr>
        <w:t>FeLM</w:t>
      </w:r>
      <w:proofErr w:type="spellEnd"/>
      <w:r w:rsidR="00D5257B" w:rsidRPr="00DC6F66">
        <w:rPr>
          <w:rFonts w:cs="Times New Roman"/>
        </w:rPr>
        <w:t xml:space="preserve">” (turpmāk – </w:t>
      </w:r>
      <w:proofErr w:type="spellStart"/>
      <w:r w:rsidR="00D5257B" w:rsidRPr="00DC6F66">
        <w:rPr>
          <w:rFonts w:cs="Times New Roman"/>
        </w:rPr>
        <w:t>FeLM</w:t>
      </w:r>
      <w:proofErr w:type="spellEnd"/>
      <w:r w:rsidR="00D5257B" w:rsidRPr="00DC6F66">
        <w:rPr>
          <w:rFonts w:cs="Times New Roman"/>
        </w:rPr>
        <w:t>)</w:t>
      </w:r>
      <w:r w:rsidRPr="00DC6F66">
        <w:rPr>
          <w:rFonts w:cs="Times New Roman"/>
        </w:rPr>
        <w:t xml:space="preserve">, kuras darbības mērķis ir prasījuma pret </w:t>
      </w:r>
      <w:r w:rsidR="00D5257B" w:rsidRPr="00DC6F66">
        <w:rPr>
          <w:rFonts w:cs="Times New Roman"/>
        </w:rPr>
        <w:t>akciju sabiedrību “</w:t>
      </w:r>
      <w:r w:rsidRPr="00DC6F66">
        <w:rPr>
          <w:rFonts w:cs="Times New Roman"/>
        </w:rPr>
        <w:t>KVV Liepājas metalurgs</w:t>
      </w:r>
      <w:r w:rsidR="00D5257B" w:rsidRPr="00DC6F66">
        <w:rPr>
          <w:rFonts w:cs="Times New Roman"/>
        </w:rPr>
        <w:t>”</w:t>
      </w:r>
      <w:r w:rsidRPr="00DC6F66">
        <w:rPr>
          <w:rFonts w:cs="Times New Roman"/>
        </w:rPr>
        <w:t xml:space="preserve"> </w:t>
      </w:r>
      <w:r w:rsidR="00D62222" w:rsidRPr="00DC6F66">
        <w:rPr>
          <w:rFonts w:cs="Times New Roman"/>
        </w:rPr>
        <w:t xml:space="preserve">(turpmāk – KVV Liepājas metalurgs) </w:t>
      </w:r>
      <w:r w:rsidRPr="00DC6F66">
        <w:rPr>
          <w:rFonts w:cs="Times New Roman"/>
        </w:rPr>
        <w:t>pārvaldīšana.</w:t>
      </w:r>
    </w:p>
    <w:p w14:paraId="181ABB26" w14:textId="77777777" w:rsidR="004E29AB" w:rsidRPr="00DC6F66" w:rsidRDefault="004E29AB" w:rsidP="00DF07AF">
      <w:pPr>
        <w:pStyle w:val="ListParagraph"/>
        <w:keepNext/>
        <w:spacing w:before="120" w:after="120"/>
        <w:ind w:left="1069"/>
        <w:contextualSpacing w:val="0"/>
        <w:jc w:val="both"/>
        <w:rPr>
          <w:rFonts w:cs="Times New Roman"/>
        </w:rPr>
      </w:pPr>
    </w:p>
    <w:p w14:paraId="548A587A" w14:textId="77777777" w:rsidR="00932A24" w:rsidRPr="00DC6F66" w:rsidRDefault="00932A24" w:rsidP="00655F3C">
      <w:pPr>
        <w:pStyle w:val="ListParagraph"/>
        <w:keepNext/>
        <w:numPr>
          <w:ilvl w:val="0"/>
          <w:numId w:val="4"/>
        </w:numPr>
        <w:spacing w:before="80"/>
        <w:ind w:left="284" w:hanging="284"/>
        <w:contextualSpacing w:val="0"/>
        <w:jc w:val="both"/>
        <w:rPr>
          <w:rFonts w:cs="Times New Roman"/>
          <w:b/>
          <w:i/>
        </w:rPr>
      </w:pPr>
      <w:r w:rsidRPr="00DC6F66">
        <w:rPr>
          <w:rFonts w:cs="Times New Roman"/>
          <w:b/>
          <w:i/>
        </w:rPr>
        <w:t xml:space="preserve">Līgumu </w:t>
      </w:r>
      <w:r w:rsidR="00943916" w:rsidRPr="00DC6F66">
        <w:rPr>
          <w:rFonts w:cs="Times New Roman"/>
          <w:b/>
          <w:i/>
        </w:rPr>
        <w:t xml:space="preserve">un to nosacījumu </w:t>
      </w:r>
      <w:r w:rsidRPr="00DC6F66">
        <w:rPr>
          <w:rFonts w:cs="Times New Roman"/>
          <w:b/>
          <w:i/>
        </w:rPr>
        <w:t>kontrole</w:t>
      </w:r>
    </w:p>
    <w:p w14:paraId="5A711896" w14:textId="1D452D33" w:rsidR="00932A24" w:rsidRPr="00DC6F66" w:rsidRDefault="00932A24" w:rsidP="00AC1779">
      <w:pPr>
        <w:spacing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Vienlaikus, valsts pārvaldes uzdevumu izpildes ietvaros Sabiedrība nodrošina valsts īpašuma objektu, zemesgabalu un dzīvokļu īpašumu pirkuma līgumos iekļauto privatizācijas un atsavināšanas nosacījumu izpildes kontroli saskaņā ar Privatizācijas likumu, </w:t>
      </w:r>
      <w:r w:rsidR="00B27E90">
        <w:rPr>
          <w:rFonts w:ascii="Times New Roman" w:hAnsi="Times New Roman" w:cs="Times New Roman"/>
          <w:sz w:val="24"/>
          <w:szCs w:val="24"/>
        </w:rPr>
        <w:t>Privatizācijas p</w:t>
      </w:r>
      <w:r w:rsidRPr="00DC6F66">
        <w:rPr>
          <w:rFonts w:ascii="Times New Roman" w:hAnsi="Times New Roman" w:cs="Times New Roman"/>
          <w:sz w:val="24"/>
          <w:szCs w:val="24"/>
        </w:rPr>
        <w:t xml:space="preserve">abeigšanas likumu un Atsavināšanas likumu. Uz 2016.gada </w:t>
      </w:r>
      <w:r w:rsidR="001B7DF9">
        <w:rPr>
          <w:rFonts w:ascii="Times New Roman" w:hAnsi="Times New Roman" w:cs="Times New Roman"/>
          <w:sz w:val="24"/>
          <w:szCs w:val="24"/>
        </w:rPr>
        <w:t>3</w:t>
      </w:r>
      <w:r w:rsidRPr="00DC6F66">
        <w:rPr>
          <w:rFonts w:ascii="Times New Roman" w:hAnsi="Times New Roman" w:cs="Times New Roman"/>
          <w:sz w:val="24"/>
          <w:szCs w:val="24"/>
        </w:rPr>
        <w:t>1.</w:t>
      </w:r>
      <w:r w:rsidR="001B7DF9">
        <w:rPr>
          <w:rFonts w:ascii="Times New Roman" w:hAnsi="Times New Roman" w:cs="Times New Roman"/>
          <w:sz w:val="24"/>
          <w:szCs w:val="24"/>
        </w:rPr>
        <w:t>decembri</w:t>
      </w:r>
      <w:r w:rsidRPr="00DC6F66">
        <w:rPr>
          <w:rFonts w:ascii="Times New Roman" w:hAnsi="Times New Roman" w:cs="Times New Roman"/>
          <w:sz w:val="24"/>
          <w:szCs w:val="24"/>
        </w:rPr>
        <w:t xml:space="preserve"> Sabiedrības kontrolē bija </w:t>
      </w:r>
      <w:r w:rsidRPr="00DC6F66">
        <w:rPr>
          <w:rFonts w:ascii="Times New Roman" w:hAnsi="Times New Roman" w:cs="Times New Roman"/>
          <w:b/>
          <w:sz w:val="24"/>
          <w:szCs w:val="24"/>
        </w:rPr>
        <w:t>1</w:t>
      </w:r>
      <w:r w:rsidR="001B7DF9">
        <w:rPr>
          <w:rFonts w:ascii="Times New Roman" w:hAnsi="Times New Roman" w:cs="Times New Roman"/>
          <w:b/>
          <w:sz w:val="24"/>
          <w:szCs w:val="24"/>
        </w:rPr>
        <w:t>72</w:t>
      </w:r>
      <w:r w:rsidRPr="00DC6F66">
        <w:rPr>
          <w:rFonts w:ascii="Times New Roman" w:hAnsi="Times New Roman" w:cs="Times New Roman"/>
          <w:sz w:val="24"/>
          <w:szCs w:val="24"/>
        </w:rPr>
        <w:t xml:space="preserve"> atsavināšanas līgumi un </w:t>
      </w:r>
      <w:r w:rsidR="001B7DF9">
        <w:rPr>
          <w:rFonts w:ascii="Times New Roman" w:hAnsi="Times New Roman" w:cs="Times New Roman"/>
          <w:b/>
          <w:sz w:val="24"/>
          <w:szCs w:val="24"/>
        </w:rPr>
        <w:t>488</w:t>
      </w:r>
      <w:r w:rsidR="001B7DF9" w:rsidRPr="00DC6F66">
        <w:rPr>
          <w:rFonts w:ascii="Times New Roman" w:hAnsi="Times New Roman" w:cs="Times New Roman"/>
          <w:sz w:val="24"/>
          <w:szCs w:val="24"/>
        </w:rPr>
        <w:t xml:space="preserve"> </w:t>
      </w:r>
      <w:r w:rsidRPr="00DC6F66">
        <w:rPr>
          <w:rFonts w:ascii="Times New Roman" w:hAnsi="Times New Roman" w:cs="Times New Roman"/>
          <w:sz w:val="24"/>
          <w:szCs w:val="24"/>
        </w:rPr>
        <w:t xml:space="preserve">privatizācijas līgumi (kopskaits – </w:t>
      </w:r>
      <w:r w:rsidR="001B7DF9">
        <w:rPr>
          <w:rFonts w:ascii="Times New Roman" w:hAnsi="Times New Roman" w:cs="Times New Roman"/>
          <w:b/>
          <w:sz w:val="24"/>
          <w:szCs w:val="24"/>
        </w:rPr>
        <w:t>660</w:t>
      </w:r>
      <w:r w:rsidR="001B7DF9" w:rsidRPr="00DC6F66">
        <w:rPr>
          <w:rFonts w:ascii="Times New Roman" w:hAnsi="Times New Roman" w:cs="Times New Roman"/>
          <w:sz w:val="24"/>
          <w:szCs w:val="24"/>
        </w:rPr>
        <w:t xml:space="preserve"> </w:t>
      </w:r>
      <w:r w:rsidRPr="00DC6F66">
        <w:rPr>
          <w:rFonts w:ascii="Times New Roman" w:hAnsi="Times New Roman" w:cs="Times New Roman"/>
          <w:sz w:val="24"/>
          <w:szCs w:val="24"/>
        </w:rPr>
        <w:t>līgumi):</w:t>
      </w:r>
    </w:p>
    <w:p w14:paraId="7080D1B2" w14:textId="73CE91E3" w:rsidR="00EB2B1F" w:rsidRPr="00EB2B1F" w:rsidRDefault="00EB2B1F" w:rsidP="00EB2B1F">
      <w:pPr>
        <w:pStyle w:val="ListParagraph"/>
        <w:numPr>
          <w:ilvl w:val="0"/>
          <w:numId w:val="17"/>
        </w:numPr>
        <w:spacing w:before="120" w:after="120"/>
        <w:jc w:val="both"/>
        <w:rPr>
          <w:rFonts w:cs="Times New Roman"/>
        </w:rPr>
      </w:pPr>
      <w:r w:rsidRPr="00EB2B1F">
        <w:rPr>
          <w:rFonts w:cs="Times New Roman"/>
        </w:rPr>
        <w:t>valsts īpašuma objektu privatizācija – 94 līgumi;</w:t>
      </w:r>
    </w:p>
    <w:p w14:paraId="18F9912D" w14:textId="56BF9F62" w:rsidR="00EB2B1F" w:rsidRPr="00EB2B1F" w:rsidRDefault="00EB2B1F" w:rsidP="00EB2B1F">
      <w:pPr>
        <w:pStyle w:val="ListParagraph"/>
        <w:numPr>
          <w:ilvl w:val="0"/>
          <w:numId w:val="17"/>
        </w:numPr>
        <w:spacing w:before="120" w:after="120"/>
        <w:jc w:val="both"/>
        <w:rPr>
          <w:rFonts w:cs="Times New Roman"/>
        </w:rPr>
      </w:pPr>
      <w:r w:rsidRPr="00EB2B1F">
        <w:rPr>
          <w:rFonts w:cs="Times New Roman"/>
        </w:rPr>
        <w:t>valsts zemesgabalu privatizācija – 195 līgumi;</w:t>
      </w:r>
    </w:p>
    <w:p w14:paraId="39433A66" w14:textId="42FD3DAF" w:rsidR="00EB2B1F" w:rsidRPr="00EB2B1F" w:rsidRDefault="00EB2B1F" w:rsidP="00EB2B1F">
      <w:pPr>
        <w:pStyle w:val="ListParagraph"/>
        <w:numPr>
          <w:ilvl w:val="0"/>
          <w:numId w:val="17"/>
        </w:numPr>
        <w:spacing w:before="120" w:after="120"/>
        <w:jc w:val="both"/>
        <w:rPr>
          <w:rFonts w:cs="Times New Roman"/>
        </w:rPr>
      </w:pPr>
      <w:r w:rsidRPr="00EB2B1F">
        <w:rPr>
          <w:rFonts w:cs="Times New Roman"/>
        </w:rPr>
        <w:t>valsts dzīvojamo māju privatizācija un pārvaldīšana un valsts dzīvojamo māju, to domājamo daļu un dzīvokļu īpašumu atsavināšana – 333 līgumi;</w:t>
      </w:r>
    </w:p>
    <w:p w14:paraId="67C1CBED" w14:textId="0834445C" w:rsidR="004E29AB" w:rsidRDefault="00EB2B1F" w:rsidP="00EB2B1F">
      <w:pPr>
        <w:pStyle w:val="ListParagraph"/>
        <w:numPr>
          <w:ilvl w:val="0"/>
          <w:numId w:val="17"/>
        </w:numPr>
        <w:spacing w:before="120" w:after="120"/>
        <w:contextualSpacing w:val="0"/>
        <w:jc w:val="both"/>
        <w:rPr>
          <w:rFonts w:cs="Times New Roman"/>
        </w:rPr>
      </w:pPr>
      <w:r w:rsidRPr="00EB2B1F">
        <w:rPr>
          <w:rFonts w:cs="Times New Roman"/>
        </w:rPr>
        <w:t>valsts kapitāla daļu pārvaldīšana, privatizācija un atsavināšana – 38 līgumi.</w:t>
      </w:r>
    </w:p>
    <w:p w14:paraId="33D2FD6C" w14:textId="77777777" w:rsidR="00243E99" w:rsidRPr="00DC6F66" w:rsidRDefault="00243E99" w:rsidP="00243E99">
      <w:pPr>
        <w:pStyle w:val="ListParagraph"/>
        <w:spacing w:before="120" w:after="120"/>
        <w:ind w:left="1797"/>
        <w:contextualSpacing w:val="0"/>
        <w:jc w:val="both"/>
        <w:rPr>
          <w:rFonts w:cs="Times New Roman"/>
        </w:rPr>
      </w:pPr>
    </w:p>
    <w:p w14:paraId="10B92302" w14:textId="77777777" w:rsidR="00D342C5" w:rsidRPr="00DC6F66" w:rsidRDefault="00A369F6" w:rsidP="00655F3C">
      <w:pPr>
        <w:pStyle w:val="ListParagraph"/>
        <w:keepNext/>
        <w:numPr>
          <w:ilvl w:val="0"/>
          <w:numId w:val="4"/>
        </w:numPr>
        <w:spacing w:before="120"/>
        <w:ind w:left="425" w:hanging="425"/>
        <w:contextualSpacing w:val="0"/>
        <w:jc w:val="both"/>
        <w:rPr>
          <w:rFonts w:cs="Times New Roman"/>
          <w:b/>
          <w:i/>
        </w:rPr>
      </w:pPr>
      <w:r w:rsidRPr="00DC6F66">
        <w:rPr>
          <w:rFonts w:cs="Times New Roman"/>
          <w:b/>
          <w:i/>
        </w:rPr>
        <w:t>Privatizācijas sertifikātu aprites administrēšan</w:t>
      </w:r>
      <w:r w:rsidR="00D342C5" w:rsidRPr="00DC6F66">
        <w:rPr>
          <w:rFonts w:cs="Times New Roman"/>
          <w:b/>
          <w:i/>
        </w:rPr>
        <w:t>a</w:t>
      </w:r>
    </w:p>
    <w:p w14:paraId="4CE0F674" w14:textId="34D5A010" w:rsidR="004E29AB" w:rsidRDefault="00A369F6" w:rsidP="00F7627F">
      <w:pPr>
        <w:spacing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Sabiedrībai ar Ministru kabineta 2014.gada 1.aprīļa noteikumiem</w:t>
      </w:r>
      <w:r w:rsidR="00907967">
        <w:rPr>
          <w:rFonts w:ascii="Times New Roman" w:hAnsi="Times New Roman" w:cs="Times New Roman"/>
          <w:sz w:val="24"/>
          <w:szCs w:val="24"/>
        </w:rPr>
        <w:t xml:space="preserve"> </w:t>
      </w:r>
      <w:r w:rsidRPr="00DC6F66">
        <w:rPr>
          <w:rFonts w:ascii="Times New Roman" w:hAnsi="Times New Roman" w:cs="Times New Roman"/>
          <w:sz w:val="24"/>
          <w:szCs w:val="24"/>
        </w:rPr>
        <w:t xml:space="preserve">Nr.172 “Noteikumi par privatizācijas sertifikātu aprites administrēšanas uzdevuma deleģēšanu” ir deleģēts </w:t>
      </w:r>
      <w:r w:rsidR="00831644" w:rsidRPr="00DC6F66">
        <w:rPr>
          <w:rFonts w:ascii="Times New Roman" w:hAnsi="Times New Roman" w:cs="Times New Roman"/>
          <w:sz w:val="24"/>
          <w:szCs w:val="24"/>
        </w:rPr>
        <w:t xml:space="preserve">valsts </w:t>
      </w:r>
      <w:r w:rsidRPr="00DC6F66">
        <w:rPr>
          <w:rFonts w:ascii="Times New Roman" w:hAnsi="Times New Roman" w:cs="Times New Roman"/>
          <w:sz w:val="24"/>
          <w:szCs w:val="24"/>
        </w:rPr>
        <w:t>pārvaldes uzdevums nodrošināt privatizācijas sertifikātu piešķiršanu, emitēšanu, to izmantošanu un dzēšanu, kā arī citas darbības, kas saistītas ar privatizācijas sertifikātu apgrozības uzraudzību</w:t>
      </w:r>
      <w:r w:rsidR="00890A1F" w:rsidRPr="00DC6F66">
        <w:rPr>
          <w:rFonts w:ascii="Times New Roman" w:hAnsi="Times New Roman" w:cs="Times New Roman"/>
          <w:sz w:val="24"/>
          <w:szCs w:val="24"/>
        </w:rPr>
        <w:t>.</w:t>
      </w:r>
    </w:p>
    <w:p w14:paraId="026A5684" w14:textId="77777777" w:rsidR="00E66A3B" w:rsidRPr="00DC6F66" w:rsidRDefault="00E66A3B" w:rsidP="00F7627F">
      <w:pPr>
        <w:spacing w:after="120" w:line="240" w:lineRule="auto"/>
        <w:ind w:firstLine="709"/>
        <w:jc w:val="both"/>
        <w:rPr>
          <w:rFonts w:ascii="Times New Roman" w:hAnsi="Times New Roman" w:cs="Times New Roman"/>
          <w:sz w:val="24"/>
          <w:szCs w:val="24"/>
        </w:rPr>
      </w:pPr>
    </w:p>
    <w:p w14:paraId="6D5BACB6" w14:textId="77777777" w:rsidR="00D342C5" w:rsidRPr="00DC6F66" w:rsidRDefault="00A369F6" w:rsidP="00F7627F">
      <w:pPr>
        <w:pStyle w:val="ListParagraph"/>
        <w:keepNext/>
        <w:numPr>
          <w:ilvl w:val="0"/>
          <w:numId w:val="4"/>
        </w:numPr>
        <w:spacing w:before="120"/>
        <w:ind w:left="425" w:hanging="425"/>
        <w:contextualSpacing w:val="0"/>
        <w:jc w:val="both"/>
        <w:rPr>
          <w:rFonts w:cs="Times New Roman"/>
          <w:b/>
          <w:i/>
        </w:rPr>
      </w:pPr>
      <w:r w:rsidRPr="00DC6F66">
        <w:rPr>
          <w:rFonts w:cs="Times New Roman"/>
          <w:b/>
          <w:i/>
        </w:rPr>
        <w:t xml:space="preserve">Privatizācijas sertifikātu kontu apkalpošana </w:t>
      </w:r>
      <w:r w:rsidR="00D342C5" w:rsidRPr="00DC6F66">
        <w:rPr>
          <w:rFonts w:cs="Times New Roman"/>
          <w:b/>
          <w:i/>
        </w:rPr>
        <w:tab/>
      </w:r>
    </w:p>
    <w:p w14:paraId="70FDA385" w14:textId="77777777" w:rsidR="00D342C5" w:rsidRPr="00DC6F66" w:rsidRDefault="00A369F6" w:rsidP="00F7627F">
      <w:pPr>
        <w:keepNext/>
        <w:spacing w:after="8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No 2016.gada 1.oktobra Sabiedrība nodrošina visu privatizācijas sertifikātu kontu uzturēšanu, to īpašniekiem sniedzot pakalpojumus, kas saistīti ar privatizācijas sertifikātu apriti. Šis valsts pārvaldes uzdevums Sabiedrībai deleģēts atbilstoši Ministru kabineta 2016.gada 20.septembra noteikumiem Nr.625 “Noteikumi par valsts pārvaldes uzdevuma – privatizācijas </w:t>
      </w:r>
      <w:r w:rsidRPr="00DC6F66">
        <w:rPr>
          <w:rFonts w:ascii="Times New Roman" w:hAnsi="Times New Roman" w:cs="Times New Roman"/>
          <w:sz w:val="24"/>
          <w:szCs w:val="24"/>
        </w:rPr>
        <w:lastRenderedPageBreak/>
        <w:t xml:space="preserve">sertifikātu kontu apkalpošana, kuros veicami maksājumi par dzīvojamo māju privatizācijas objektiem un dzīvokļu, mākslinieka darbnīcu un neapdzīvojamo telpu nodošanu īpašumā līdz dzīvojamās mājas privatizācijai, – deleģēšanu”. Uzdevuma sekmīgai nodrošināšanai, pamatojoties uz 2016.gada 28.septembra līgumu par valsts pārvaldes uzdevumu nodošanu, Sabiedrība pārņēma no akciju sabiedrības “Attīstības finanšu institūcija </w:t>
      </w:r>
      <w:proofErr w:type="spellStart"/>
      <w:r w:rsidRPr="00DC6F66">
        <w:rPr>
          <w:rFonts w:ascii="Times New Roman" w:hAnsi="Times New Roman" w:cs="Times New Roman"/>
          <w:sz w:val="24"/>
          <w:szCs w:val="24"/>
        </w:rPr>
        <w:t>Altum</w:t>
      </w:r>
      <w:proofErr w:type="spellEnd"/>
      <w:r w:rsidRPr="00DC6F66">
        <w:rPr>
          <w:rFonts w:ascii="Times New Roman" w:hAnsi="Times New Roman" w:cs="Times New Roman"/>
          <w:sz w:val="24"/>
          <w:szCs w:val="24"/>
        </w:rPr>
        <w:t xml:space="preserve">” </w:t>
      </w:r>
      <w:r w:rsidR="006D5CB6" w:rsidRPr="00DC6F66">
        <w:rPr>
          <w:rFonts w:ascii="Times New Roman" w:hAnsi="Times New Roman" w:cs="Times New Roman"/>
          <w:sz w:val="24"/>
          <w:szCs w:val="24"/>
        </w:rPr>
        <w:t xml:space="preserve">(turpmāk – </w:t>
      </w:r>
      <w:proofErr w:type="spellStart"/>
      <w:r w:rsidR="006D5CB6" w:rsidRPr="00DC6F66">
        <w:rPr>
          <w:rFonts w:ascii="Times New Roman" w:hAnsi="Times New Roman" w:cs="Times New Roman"/>
          <w:sz w:val="24"/>
          <w:szCs w:val="24"/>
        </w:rPr>
        <w:t>Altum</w:t>
      </w:r>
      <w:proofErr w:type="spellEnd"/>
      <w:r w:rsidR="006D5CB6" w:rsidRPr="00DC6F66">
        <w:rPr>
          <w:rFonts w:ascii="Times New Roman" w:hAnsi="Times New Roman" w:cs="Times New Roman"/>
          <w:sz w:val="24"/>
          <w:szCs w:val="24"/>
        </w:rPr>
        <w:t xml:space="preserve">) </w:t>
      </w:r>
      <w:r w:rsidRPr="00DC6F66">
        <w:rPr>
          <w:rFonts w:ascii="Times New Roman" w:hAnsi="Times New Roman" w:cs="Times New Roman"/>
          <w:sz w:val="24"/>
          <w:szCs w:val="24"/>
        </w:rPr>
        <w:t xml:space="preserve">privatizācijas sertifikātu kontu uzskaites sistēmu un privatizācijas sertifikātu kontu lietu arhīvu. </w:t>
      </w:r>
    </w:p>
    <w:p w14:paraId="4D772A9D" w14:textId="450C77DE" w:rsidR="00890A1F" w:rsidRPr="00DC6F66" w:rsidRDefault="00890A1F" w:rsidP="00AA5339">
      <w:pPr>
        <w:keepNext/>
        <w:spacing w:before="120"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Uz 2016.gada </w:t>
      </w:r>
      <w:r w:rsidR="001B7DF9">
        <w:rPr>
          <w:rFonts w:ascii="Times New Roman" w:hAnsi="Times New Roman" w:cs="Times New Roman"/>
          <w:sz w:val="24"/>
          <w:szCs w:val="24"/>
        </w:rPr>
        <w:t>3</w:t>
      </w:r>
      <w:r w:rsidRPr="00DC6F66">
        <w:rPr>
          <w:rFonts w:ascii="Times New Roman" w:hAnsi="Times New Roman" w:cs="Times New Roman"/>
          <w:sz w:val="24"/>
          <w:szCs w:val="24"/>
        </w:rPr>
        <w:t>1.</w:t>
      </w:r>
      <w:r w:rsidR="001B7DF9">
        <w:rPr>
          <w:rFonts w:ascii="Times New Roman" w:hAnsi="Times New Roman" w:cs="Times New Roman"/>
          <w:sz w:val="24"/>
          <w:szCs w:val="24"/>
        </w:rPr>
        <w:t>decembri</w:t>
      </w:r>
      <w:r w:rsidRPr="00DC6F66">
        <w:rPr>
          <w:rFonts w:ascii="Times New Roman" w:hAnsi="Times New Roman" w:cs="Times New Roman"/>
          <w:sz w:val="24"/>
          <w:szCs w:val="24"/>
        </w:rPr>
        <w:t xml:space="preserve"> </w:t>
      </w:r>
      <w:r w:rsidR="00C9602D" w:rsidRPr="00DC6F66">
        <w:rPr>
          <w:rFonts w:ascii="Times New Roman" w:hAnsi="Times New Roman" w:cs="Times New Roman"/>
          <w:sz w:val="24"/>
          <w:szCs w:val="24"/>
        </w:rPr>
        <w:t xml:space="preserve">kopumā valstī neizmantoti bija </w:t>
      </w:r>
      <w:r w:rsidR="00C9602D" w:rsidRPr="00DC6F66">
        <w:rPr>
          <w:rFonts w:ascii="Times New Roman" w:hAnsi="Times New Roman" w:cs="Times New Roman"/>
          <w:b/>
          <w:sz w:val="24"/>
          <w:szCs w:val="24"/>
        </w:rPr>
        <w:t>2,54 milj.</w:t>
      </w:r>
      <w:r w:rsidR="00C9602D" w:rsidRPr="00DC6F66">
        <w:rPr>
          <w:rFonts w:ascii="Times New Roman" w:hAnsi="Times New Roman" w:cs="Times New Roman"/>
          <w:sz w:val="24"/>
          <w:szCs w:val="24"/>
        </w:rPr>
        <w:t xml:space="preserve"> privatizācijas un īpašuma kompensācijas sertifikāti </w:t>
      </w:r>
      <w:r w:rsidR="00D342C5" w:rsidRPr="00DC6F66">
        <w:rPr>
          <w:rFonts w:ascii="Times New Roman" w:hAnsi="Times New Roman" w:cs="Times New Roman"/>
          <w:b/>
          <w:sz w:val="24"/>
          <w:szCs w:val="24"/>
        </w:rPr>
        <w:t xml:space="preserve">101,34 milj. </w:t>
      </w:r>
      <w:proofErr w:type="spellStart"/>
      <w:r w:rsidR="00D342C5" w:rsidRPr="00DC6F66">
        <w:rPr>
          <w:rFonts w:ascii="Times New Roman" w:hAnsi="Times New Roman" w:cs="Times New Roman"/>
          <w:b/>
          <w:i/>
          <w:sz w:val="24"/>
          <w:szCs w:val="24"/>
        </w:rPr>
        <w:t>euro</w:t>
      </w:r>
      <w:proofErr w:type="spellEnd"/>
      <w:r w:rsidR="00D342C5" w:rsidRPr="00DC6F66">
        <w:rPr>
          <w:rFonts w:ascii="Times New Roman" w:hAnsi="Times New Roman" w:cs="Times New Roman"/>
          <w:b/>
          <w:sz w:val="24"/>
          <w:szCs w:val="24"/>
        </w:rPr>
        <w:t xml:space="preserve"> </w:t>
      </w:r>
      <w:r w:rsidR="00932A24" w:rsidRPr="00DC6F66">
        <w:rPr>
          <w:rFonts w:ascii="Times New Roman" w:hAnsi="Times New Roman" w:cs="Times New Roman"/>
          <w:sz w:val="24"/>
          <w:szCs w:val="24"/>
        </w:rPr>
        <w:t>nomināl</w:t>
      </w:r>
      <w:r w:rsidR="00D342C5" w:rsidRPr="00DC6F66">
        <w:rPr>
          <w:rFonts w:ascii="Times New Roman" w:hAnsi="Times New Roman" w:cs="Times New Roman"/>
          <w:sz w:val="24"/>
          <w:szCs w:val="24"/>
        </w:rPr>
        <w:t xml:space="preserve">vērtībā </w:t>
      </w:r>
      <w:r w:rsidR="00C9602D" w:rsidRPr="00DC6F66">
        <w:rPr>
          <w:rFonts w:ascii="Times New Roman" w:hAnsi="Times New Roman" w:cs="Times New Roman"/>
          <w:sz w:val="24"/>
          <w:szCs w:val="24"/>
        </w:rPr>
        <w:t xml:space="preserve">jeb </w:t>
      </w:r>
      <w:r w:rsidR="00C9602D" w:rsidRPr="00DC6F66">
        <w:rPr>
          <w:rFonts w:ascii="Times New Roman" w:hAnsi="Times New Roman" w:cs="Times New Roman"/>
          <w:b/>
          <w:sz w:val="24"/>
          <w:szCs w:val="24"/>
        </w:rPr>
        <w:t>2,3%</w:t>
      </w:r>
      <w:r w:rsidR="00C9602D" w:rsidRPr="00DC6F66">
        <w:rPr>
          <w:rFonts w:ascii="Times New Roman" w:hAnsi="Times New Roman" w:cs="Times New Roman"/>
          <w:sz w:val="24"/>
          <w:szCs w:val="24"/>
        </w:rPr>
        <w:t xml:space="preserve"> no valstī kopumā piešķirto sertifikātu kopskaita. K</w:t>
      </w:r>
      <w:r w:rsidR="00501D30" w:rsidRPr="00DC6F66">
        <w:rPr>
          <w:rFonts w:ascii="Times New Roman" w:hAnsi="Times New Roman" w:cs="Times New Roman"/>
          <w:sz w:val="24"/>
          <w:szCs w:val="24"/>
        </w:rPr>
        <w:t>opējais kontu skaits, kuros bija privatizācijas sertifikāti (</w:t>
      </w:r>
      <w:r w:rsidR="00C9602D" w:rsidRPr="00DC6F66">
        <w:rPr>
          <w:rFonts w:ascii="Times New Roman" w:hAnsi="Times New Roman" w:cs="Times New Roman"/>
          <w:sz w:val="24"/>
          <w:szCs w:val="24"/>
        </w:rPr>
        <w:t xml:space="preserve">jeb </w:t>
      </w:r>
      <w:r w:rsidR="00501D30" w:rsidRPr="00DC6F66">
        <w:rPr>
          <w:rFonts w:ascii="Times New Roman" w:hAnsi="Times New Roman" w:cs="Times New Roman"/>
          <w:sz w:val="24"/>
          <w:szCs w:val="24"/>
        </w:rPr>
        <w:t xml:space="preserve">aktīvie konti), bija </w:t>
      </w:r>
      <w:r w:rsidR="00501D30" w:rsidRPr="00DC6F66">
        <w:rPr>
          <w:rFonts w:ascii="Times New Roman" w:hAnsi="Times New Roman" w:cs="Times New Roman"/>
          <w:b/>
          <w:sz w:val="24"/>
          <w:szCs w:val="24"/>
        </w:rPr>
        <w:t>381</w:t>
      </w:r>
      <w:r w:rsidR="00F06F5B" w:rsidRPr="00DC6F66">
        <w:rPr>
          <w:rFonts w:ascii="Times New Roman" w:hAnsi="Times New Roman" w:cs="Times New Roman"/>
          <w:b/>
          <w:sz w:val="24"/>
          <w:szCs w:val="24"/>
        </w:rPr>
        <w:t> </w:t>
      </w:r>
      <w:r w:rsidR="001B7DF9">
        <w:rPr>
          <w:rFonts w:ascii="Times New Roman" w:hAnsi="Times New Roman" w:cs="Times New Roman"/>
          <w:b/>
          <w:sz w:val="24"/>
          <w:szCs w:val="24"/>
        </w:rPr>
        <w:t>152</w:t>
      </w:r>
      <w:r w:rsidR="00501D30" w:rsidRPr="00DC6F66">
        <w:rPr>
          <w:rFonts w:ascii="Times New Roman" w:hAnsi="Times New Roman" w:cs="Times New Roman"/>
          <w:sz w:val="24"/>
          <w:szCs w:val="24"/>
        </w:rPr>
        <w:t>.</w:t>
      </w:r>
    </w:p>
    <w:p w14:paraId="6FAAA844" w14:textId="41A8E176" w:rsidR="00986984" w:rsidRPr="00986984" w:rsidRDefault="00F06F5B" w:rsidP="00DA08F6">
      <w:pPr>
        <w:spacing w:before="120" w:after="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Zemāk sniegts pārskats par </w:t>
      </w:r>
      <w:r w:rsidR="00122ABC" w:rsidRPr="00DC6F66">
        <w:rPr>
          <w:rFonts w:ascii="Times New Roman" w:hAnsi="Times New Roman" w:cs="Times New Roman"/>
          <w:sz w:val="24"/>
          <w:szCs w:val="24"/>
        </w:rPr>
        <w:t xml:space="preserve">Sabiedrībai uzdotajiem </w:t>
      </w:r>
      <w:r w:rsidRPr="00DC6F66">
        <w:rPr>
          <w:rFonts w:ascii="Times New Roman" w:hAnsi="Times New Roman" w:cs="Times New Roman"/>
          <w:sz w:val="24"/>
          <w:szCs w:val="24"/>
        </w:rPr>
        <w:t>uzdevumiem</w:t>
      </w:r>
      <w:r w:rsidR="0055429D" w:rsidRPr="00DC6F66">
        <w:rPr>
          <w:rFonts w:ascii="Times New Roman" w:hAnsi="Times New Roman" w:cs="Times New Roman"/>
          <w:sz w:val="24"/>
          <w:szCs w:val="24"/>
        </w:rPr>
        <w:t xml:space="preserve">, vienlaikus konspektīvi atspoguļojot Sabiedrības portfelī esošo vienību skaitu, kas portfeļa izstrādes gaitā var mainīties, </w:t>
      </w:r>
      <w:r w:rsidR="003A087A" w:rsidRPr="00DC6F66">
        <w:rPr>
          <w:rFonts w:ascii="Times New Roman" w:hAnsi="Times New Roman" w:cs="Times New Roman"/>
          <w:sz w:val="24"/>
          <w:szCs w:val="24"/>
        </w:rPr>
        <w:t xml:space="preserve">vienlaikus </w:t>
      </w:r>
      <w:r w:rsidR="0055429D" w:rsidRPr="00DC6F66">
        <w:rPr>
          <w:rFonts w:ascii="Times New Roman" w:hAnsi="Times New Roman" w:cs="Times New Roman"/>
          <w:sz w:val="24"/>
          <w:szCs w:val="24"/>
        </w:rPr>
        <w:t xml:space="preserve">saglabājoties nepieciešamībai tos realizēt (1.attēls). </w:t>
      </w:r>
    </w:p>
    <w:p w14:paraId="010633BD" w14:textId="1D50A649" w:rsidR="007A16F1" w:rsidRDefault="0055429D" w:rsidP="00114266">
      <w:pPr>
        <w:pStyle w:val="Caption"/>
        <w:keepNext/>
        <w:spacing w:before="120" w:after="0"/>
        <w:jc w:val="right"/>
        <w:rPr>
          <w:rFonts w:ascii="Times New Roman" w:hAnsi="Times New Roman" w:cs="Times New Roman"/>
          <w:color w:val="auto"/>
          <w:sz w:val="24"/>
          <w:szCs w:val="24"/>
        </w:rPr>
      </w:pPr>
      <w:r w:rsidRPr="00DC6F66">
        <w:rPr>
          <w:rFonts w:ascii="Times New Roman" w:hAnsi="Times New Roman" w:cs="Times New Roman"/>
          <w:b w:val="0"/>
          <w:i/>
          <w:color w:val="auto"/>
          <w:sz w:val="24"/>
          <w:szCs w:val="24"/>
        </w:rPr>
        <w:fldChar w:fldCharType="begin"/>
      </w:r>
      <w:r w:rsidRPr="00DC6F66">
        <w:rPr>
          <w:rFonts w:ascii="Times New Roman" w:hAnsi="Times New Roman" w:cs="Times New Roman"/>
          <w:b w:val="0"/>
          <w:i/>
          <w:color w:val="auto"/>
          <w:sz w:val="24"/>
          <w:szCs w:val="24"/>
        </w:rPr>
        <w:instrText xml:space="preserve"> SEQ attēls \* ARABIC </w:instrText>
      </w:r>
      <w:r w:rsidRPr="00DC6F66">
        <w:rPr>
          <w:rFonts w:ascii="Times New Roman" w:hAnsi="Times New Roman" w:cs="Times New Roman"/>
          <w:b w:val="0"/>
          <w:i/>
          <w:color w:val="auto"/>
          <w:sz w:val="24"/>
          <w:szCs w:val="24"/>
        </w:rPr>
        <w:fldChar w:fldCharType="separate"/>
      </w:r>
      <w:r w:rsidR="00CD00C1">
        <w:rPr>
          <w:rFonts w:ascii="Times New Roman" w:hAnsi="Times New Roman" w:cs="Times New Roman"/>
          <w:b w:val="0"/>
          <w:i/>
          <w:noProof/>
          <w:color w:val="auto"/>
          <w:sz w:val="24"/>
          <w:szCs w:val="24"/>
        </w:rPr>
        <w:t>1</w:t>
      </w:r>
      <w:r w:rsidRPr="00DC6F66">
        <w:rPr>
          <w:rFonts w:ascii="Times New Roman" w:hAnsi="Times New Roman" w:cs="Times New Roman"/>
          <w:b w:val="0"/>
          <w:i/>
          <w:color w:val="auto"/>
          <w:sz w:val="24"/>
          <w:szCs w:val="24"/>
        </w:rPr>
        <w:fldChar w:fldCharType="end"/>
      </w:r>
      <w:r w:rsidRPr="00DC6F66">
        <w:rPr>
          <w:rFonts w:ascii="Times New Roman" w:hAnsi="Times New Roman" w:cs="Times New Roman"/>
          <w:b w:val="0"/>
          <w:i/>
          <w:color w:val="auto"/>
          <w:sz w:val="24"/>
          <w:szCs w:val="24"/>
        </w:rPr>
        <w:t>.attēls</w:t>
      </w:r>
      <w:r w:rsidR="004E29AB">
        <w:rPr>
          <w:rFonts w:ascii="Times New Roman" w:hAnsi="Times New Roman" w:cs="Times New Roman"/>
          <w:b w:val="0"/>
          <w:i/>
          <w:color w:val="auto"/>
          <w:sz w:val="24"/>
          <w:szCs w:val="24"/>
        </w:rPr>
        <w:t>.</w:t>
      </w:r>
      <w:r w:rsidRPr="00DC6F66">
        <w:rPr>
          <w:rFonts w:ascii="Times New Roman" w:hAnsi="Times New Roman" w:cs="Times New Roman"/>
          <w:b w:val="0"/>
          <w:i/>
          <w:color w:val="auto"/>
          <w:sz w:val="24"/>
          <w:szCs w:val="24"/>
        </w:rPr>
        <w:t xml:space="preserve"> </w:t>
      </w:r>
      <w:r w:rsidR="00EC3DE6" w:rsidRPr="004E29AB">
        <w:rPr>
          <w:rFonts w:ascii="Times New Roman" w:hAnsi="Times New Roman" w:cs="Times New Roman"/>
          <w:color w:val="auto"/>
          <w:sz w:val="24"/>
          <w:szCs w:val="24"/>
        </w:rPr>
        <w:t>U</w:t>
      </w:r>
      <w:r w:rsidRPr="004E29AB">
        <w:rPr>
          <w:rFonts w:ascii="Times New Roman" w:hAnsi="Times New Roman" w:cs="Times New Roman"/>
          <w:color w:val="auto"/>
          <w:sz w:val="24"/>
          <w:szCs w:val="24"/>
        </w:rPr>
        <w:t>zdevumu aktualitātes termiņi</w:t>
      </w:r>
    </w:p>
    <w:tbl>
      <w:tblPr>
        <w:tblStyle w:val="TableGrid"/>
        <w:tblW w:w="148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2"/>
        <w:gridCol w:w="9294"/>
        <w:gridCol w:w="5042"/>
      </w:tblGrid>
      <w:tr w:rsidR="0055429D" w:rsidRPr="00DC6F66" w14:paraId="72935DC3" w14:textId="77777777" w:rsidTr="00BA2102">
        <w:tc>
          <w:tcPr>
            <w:tcW w:w="14818" w:type="dxa"/>
            <w:gridSpan w:val="3"/>
            <w:tcBorders>
              <w:bottom w:val="single" w:sz="4" w:space="0" w:color="D9D9D9" w:themeColor="background1" w:themeShade="D9"/>
            </w:tcBorders>
          </w:tcPr>
          <w:p w14:paraId="1BAA628C" w14:textId="0E37848E" w:rsidR="0055429D" w:rsidRPr="00734292" w:rsidRDefault="00655215" w:rsidP="002929F3">
            <w:pPr>
              <w:keepNext/>
              <w:rPr>
                <w:rFonts w:ascii="Times New Roman" w:hAnsi="Times New Roman" w:cs="Times New Roman"/>
                <w:b/>
                <w:i/>
                <w:sz w:val="20"/>
                <w:szCs w:val="18"/>
                <w:lang w:val="lv-LV"/>
              </w:rPr>
            </w:pPr>
            <w:r>
              <w:rPr>
                <w:noProof/>
                <w:lang w:eastAsia="lv-LV"/>
              </w:rPr>
              <w:drawing>
                <wp:anchor distT="0" distB="0" distL="114300" distR="114300" simplePos="0" relativeHeight="251698176" behindDoc="1" locked="0" layoutInCell="1" allowOverlap="1" wp14:anchorId="32F42402" wp14:editId="5D66BA42">
                  <wp:simplePos x="0" y="0"/>
                  <wp:positionH relativeFrom="column">
                    <wp:posOffset>-62865</wp:posOffset>
                  </wp:positionH>
                  <wp:positionV relativeFrom="paragraph">
                    <wp:posOffset>0</wp:posOffset>
                  </wp:positionV>
                  <wp:extent cx="6047105" cy="3924300"/>
                  <wp:effectExtent l="0" t="0" r="0" b="0"/>
                  <wp:wrapTight wrapText="bothSides">
                    <wp:wrapPolygon edited="0">
                      <wp:start x="0" y="0"/>
                      <wp:lineTo x="0" y="21495"/>
                      <wp:lineTo x="21502" y="21495"/>
                      <wp:lineTo x="2150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47105" cy="3924300"/>
                          </a:xfrm>
                          <a:prstGeom prst="rect">
                            <a:avLst/>
                          </a:prstGeom>
                        </pic:spPr>
                      </pic:pic>
                    </a:graphicData>
                  </a:graphic>
                  <wp14:sizeRelH relativeFrom="margin">
                    <wp14:pctWidth>0</wp14:pctWidth>
                  </wp14:sizeRelH>
                  <wp14:sizeRelV relativeFrom="margin">
                    <wp14:pctHeight>0</wp14:pctHeight>
                  </wp14:sizeRelV>
                </wp:anchor>
              </w:drawing>
            </w:r>
          </w:p>
        </w:tc>
      </w:tr>
      <w:tr w:rsidR="0055429D" w:rsidRPr="00DC6F66" w14:paraId="79B46F45" w14:textId="77777777" w:rsidTr="00AD390A">
        <w:trPr>
          <w:gridAfter w:val="1"/>
          <w:wAfter w:w="5042" w:type="dxa"/>
        </w:trPr>
        <w:tc>
          <w:tcPr>
            <w:tcW w:w="482" w:type="dxa"/>
            <w:tcBorders>
              <w:top w:val="nil"/>
              <w:left w:val="nil"/>
              <w:bottom w:val="nil"/>
              <w:right w:val="nil"/>
            </w:tcBorders>
          </w:tcPr>
          <w:p w14:paraId="49720D2D" w14:textId="77777777" w:rsidR="002929F3" w:rsidRDefault="002929F3" w:rsidP="009A1F2A">
            <w:pPr>
              <w:spacing w:before="20" w:after="20"/>
              <w:jc w:val="both"/>
              <w:rPr>
                <w:rFonts w:ascii="Calibri" w:hAnsi="Calibri" w:cs="Times New Roman"/>
                <w:color w:val="5C0000"/>
                <w:sz w:val="20"/>
                <w:lang w:val="lv-LV"/>
              </w:rPr>
            </w:pPr>
          </w:p>
          <w:p w14:paraId="1A80F7EE" w14:textId="4B71024C" w:rsidR="0055429D" w:rsidRPr="00DC6F66" w:rsidRDefault="0055429D" w:rsidP="009A1F2A">
            <w:pPr>
              <w:spacing w:before="20" w:after="20"/>
              <w:jc w:val="both"/>
              <w:rPr>
                <w:rFonts w:ascii="Times New Roman" w:hAnsi="Times New Roman" w:cs="Times New Roman"/>
                <w:color w:val="5C0000"/>
                <w:sz w:val="20"/>
                <w:lang w:val="lv-LV"/>
              </w:rPr>
            </w:pPr>
            <w:r w:rsidRPr="00DC6F66">
              <w:rPr>
                <w:rFonts w:ascii="Calibri" w:hAnsi="Calibri" w:cs="Times New Roman"/>
                <w:color w:val="5C0000"/>
                <w:sz w:val="20"/>
                <w:lang w:val="lv-LV"/>
              </w:rPr>
              <w:t>❶</w:t>
            </w:r>
          </w:p>
        </w:tc>
        <w:tc>
          <w:tcPr>
            <w:tcW w:w="9294" w:type="dxa"/>
            <w:tcBorders>
              <w:top w:val="nil"/>
              <w:left w:val="nil"/>
              <w:bottom w:val="nil"/>
              <w:right w:val="nil"/>
            </w:tcBorders>
          </w:tcPr>
          <w:p w14:paraId="14ACCF42" w14:textId="0A30A959" w:rsidR="002929F3" w:rsidRDefault="002929F3" w:rsidP="002929F3">
            <w:pPr>
              <w:pStyle w:val="ListParagraph"/>
              <w:ind w:left="229" w:right="175" w:hanging="229"/>
              <w:jc w:val="both"/>
              <w:rPr>
                <w:rFonts w:cs="Times New Roman"/>
                <w:i/>
                <w:sz w:val="18"/>
                <w:lang w:val="lv-LV"/>
              </w:rPr>
            </w:pPr>
            <w:r w:rsidRPr="00734292">
              <w:rPr>
                <w:rFonts w:cs="Times New Roman"/>
                <w:b/>
                <w:i/>
                <w:sz w:val="22"/>
                <w:szCs w:val="18"/>
                <w:lang w:val="lv-LV"/>
              </w:rPr>
              <w:t>Apzīmējumi:</w:t>
            </w:r>
          </w:p>
          <w:p w14:paraId="60B42320" w14:textId="453EC8DE" w:rsidR="0055429D" w:rsidRPr="00DC6F66" w:rsidRDefault="00013805" w:rsidP="00655F3C">
            <w:pPr>
              <w:pStyle w:val="ListParagraph"/>
              <w:numPr>
                <w:ilvl w:val="0"/>
                <w:numId w:val="8"/>
              </w:numPr>
              <w:ind w:left="229" w:right="175" w:hanging="229"/>
              <w:jc w:val="both"/>
              <w:rPr>
                <w:rFonts w:cs="Times New Roman"/>
                <w:i/>
                <w:sz w:val="18"/>
                <w:lang w:val="lv-LV"/>
              </w:rPr>
            </w:pPr>
            <w:r w:rsidRPr="00DC6F66">
              <w:rPr>
                <w:rFonts w:cs="Times New Roman"/>
                <w:i/>
                <w:sz w:val="18"/>
                <w:lang w:val="lv-LV"/>
              </w:rPr>
              <w:t>p</w:t>
            </w:r>
            <w:r w:rsidR="0055429D" w:rsidRPr="00DC6F66">
              <w:rPr>
                <w:rFonts w:cs="Times New Roman"/>
                <w:i/>
                <w:sz w:val="18"/>
                <w:lang w:val="lv-LV"/>
              </w:rPr>
              <w:t>ie nosacījuma, ka tiek pieņemti un spēkā stājas grozījumi likumā “Par valsts un pašvaldību dzīvojamo māju privatizāciju”, atbilstoši kuriem var tikt uzsākta dzīvokļu īpašumu privatizācija un veikts tās process (likumā noteikts, ka lēmumus par dzīvojamo māju privatizācijas uzsākšan</w:t>
            </w:r>
            <w:r w:rsidR="00C40E55">
              <w:rPr>
                <w:rFonts w:cs="Times New Roman"/>
                <w:i/>
                <w:sz w:val="18"/>
                <w:lang w:val="lv-LV"/>
              </w:rPr>
              <w:t>u var pieņemt līdz 31.12.2014.)</w:t>
            </w:r>
          </w:p>
        </w:tc>
      </w:tr>
      <w:tr w:rsidR="0055429D" w:rsidRPr="00DC6F66" w14:paraId="24DA84B1" w14:textId="77777777" w:rsidTr="00AD390A">
        <w:trPr>
          <w:gridAfter w:val="1"/>
          <w:wAfter w:w="5042" w:type="dxa"/>
        </w:trPr>
        <w:tc>
          <w:tcPr>
            <w:tcW w:w="482" w:type="dxa"/>
            <w:tcBorders>
              <w:top w:val="nil"/>
              <w:left w:val="nil"/>
              <w:bottom w:val="nil"/>
              <w:right w:val="nil"/>
            </w:tcBorders>
          </w:tcPr>
          <w:p w14:paraId="1A1D9272" w14:textId="77777777" w:rsidR="0055429D" w:rsidRPr="00DC6F66" w:rsidRDefault="0055429D" w:rsidP="009A1F2A">
            <w:pPr>
              <w:spacing w:before="20" w:after="20"/>
              <w:jc w:val="both"/>
              <w:rPr>
                <w:rFonts w:ascii="Times New Roman" w:hAnsi="Times New Roman" w:cs="Times New Roman"/>
                <w:color w:val="5C0000"/>
                <w:sz w:val="20"/>
                <w:lang w:val="lv-LV"/>
              </w:rPr>
            </w:pPr>
            <w:r w:rsidRPr="00DC6F66">
              <w:rPr>
                <w:rFonts w:ascii="Calibri" w:hAnsi="Calibri" w:cs="Times New Roman"/>
                <w:color w:val="5C0000"/>
                <w:sz w:val="20"/>
                <w:lang w:val="lv-LV"/>
              </w:rPr>
              <w:t>❷</w:t>
            </w:r>
          </w:p>
        </w:tc>
        <w:tc>
          <w:tcPr>
            <w:tcW w:w="9294" w:type="dxa"/>
            <w:tcBorders>
              <w:top w:val="nil"/>
              <w:left w:val="nil"/>
              <w:bottom w:val="nil"/>
              <w:right w:val="nil"/>
            </w:tcBorders>
          </w:tcPr>
          <w:p w14:paraId="7B87D3EF" w14:textId="57775AED" w:rsidR="0055429D" w:rsidRPr="00DC6F66" w:rsidRDefault="00013805" w:rsidP="002B765C">
            <w:pPr>
              <w:pStyle w:val="ListParagraph"/>
              <w:numPr>
                <w:ilvl w:val="0"/>
                <w:numId w:val="8"/>
              </w:numPr>
              <w:ind w:left="229" w:right="175" w:hanging="229"/>
              <w:jc w:val="both"/>
              <w:rPr>
                <w:rFonts w:cs="Times New Roman"/>
                <w:i/>
                <w:sz w:val="18"/>
                <w:lang w:val="lv-LV"/>
              </w:rPr>
            </w:pPr>
            <w:r w:rsidRPr="00DC6F66">
              <w:rPr>
                <w:rFonts w:cs="Times New Roman"/>
                <w:i/>
                <w:sz w:val="18"/>
                <w:lang w:val="lv-LV"/>
              </w:rPr>
              <w:t>l</w:t>
            </w:r>
            <w:r w:rsidR="0055429D" w:rsidRPr="00DC6F66">
              <w:rPr>
                <w:rFonts w:cs="Times New Roman"/>
                <w:i/>
                <w:sz w:val="18"/>
                <w:lang w:val="lv-LV"/>
              </w:rPr>
              <w:t xml:space="preserve">īdz 2018.gada beigām objektu, par kuriem ir bijis privatizācijas ierosinājums un tie nav privatizēti, privatizācija </w:t>
            </w:r>
            <w:r w:rsidR="007F503E" w:rsidRPr="00DC6F66">
              <w:rPr>
                <w:rFonts w:cs="Times New Roman"/>
                <w:i/>
                <w:sz w:val="18"/>
                <w:lang w:val="lv-LV"/>
              </w:rPr>
              <w:t>var tikt izbeigta un</w:t>
            </w:r>
            <w:r w:rsidR="0055429D" w:rsidRPr="00DC6F66">
              <w:rPr>
                <w:rFonts w:cs="Times New Roman"/>
                <w:i/>
                <w:sz w:val="18"/>
                <w:lang w:val="lv-LV"/>
              </w:rPr>
              <w:t xml:space="preserve"> </w:t>
            </w:r>
            <w:r w:rsidR="00967468">
              <w:rPr>
                <w:rFonts w:cs="Times New Roman"/>
                <w:i/>
                <w:sz w:val="18"/>
                <w:lang w:val="lv-LV"/>
              </w:rPr>
              <w:t xml:space="preserve">Sabiedrība veiks tās turējumā esošo </w:t>
            </w:r>
            <w:r w:rsidR="00C40E55">
              <w:rPr>
                <w:rFonts w:cs="Times New Roman"/>
                <w:i/>
                <w:sz w:val="18"/>
                <w:lang w:val="lv-LV"/>
              </w:rPr>
              <w:t xml:space="preserve">zemesgabalu un </w:t>
            </w:r>
            <w:r w:rsidR="00967468">
              <w:rPr>
                <w:rFonts w:cs="Times New Roman"/>
                <w:i/>
                <w:sz w:val="18"/>
                <w:lang w:val="lv-LV"/>
              </w:rPr>
              <w:t>nekustam</w:t>
            </w:r>
            <w:r w:rsidR="00C40E55">
              <w:rPr>
                <w:rFonts w:cs="Times New Roman"/>
                <w:i/>
                <w:sz w:val="18"/>
                <w:lang w:val="lv-LV"/>
              </w:rPr>
              <w:t>ā īpašuma objektu</w:t>
            </w:r>
            <w:r w:rsidR="00967468">
              <w:rPr>
                <w:rFonts w:cs="Times New Roman"/>
                <w:i/>
                <w:sz w:val="18"/>
                <w:lang w:val="lv-LV"/>
              </w:rPr>
              <w:t xml:space="preserve"> </w:t>
            </w:r>
            <w:r w:rsidR="0055429D" w:rsidRPr="00DC6F66">
              <w:rPr>
                <w:rFonts w:cs="Times New Roman"/>
                <w:i/>
                <w:sz w:val="18"/>
                <w:lang w:val="lv-LV"/>
              </w:rPr>
              <w:t>atsavināšan</w:t>
            </w:r>
            <w:r w:rsidR="00967468">
              <w:rPr>
                <w:rFonts w:cs="Times New Roman"/>
                <w:i/>
                <w:sz w:val="18"/>
                <w:lang w:val="lv-LV"/>
              </w:rPr>
              <w:t>u</w:t>
            </w:r>
          </w:p>
        </w:tc>
      </w:tr>
      <w:tr w:rsidR="0055429D" w:rsidRPr="00DC6F66" w14:paraId="2B5CFE28" w14:textId="77777777" w:rsidTr="00AD390A">
        <w:trPr>
          <w:gridAfter w:val="1"/>
          <w:wAfter w:w="5042" w:type="dxa"/>
          <w:trHeight w:val="374"/>
        </w:trPr>
        <w:tc>
          <w:tcPr>
            <w:tcW w:w="482" w:type="dxa"/>
            <w:tcBorders>
              <w:top w:val="nil"/>
              <w:left w:val="nil"/>
              <w:bottom w:val="nil"/>
              <w:right w:val="nil"/>
            </w:tcBorders>
          </w:tcPr>
          <w:p w14:paraId="6E21405B" w14:textId="77777777" w:rsidR="0055429D" w:rsidRPr="00DC6F66" w:rsidRDefault="0055429D" w:rsidP="009A1F2A">
            <w:pPr>
              <w:spacing w:before="20" w:after="20"/>
              <w:jc w:val="both"/>
              <w:rPr>
                <w:rFonts w:ascii="Times New Roman" w:hAnsi="Times New Roman" w:cs="Times New Roman"/>
                <w:color w:val="5C0000"/>
                <w:sz w:val="20"/>
                <w:lang w:val="lv-LV"/>
              </w:rPr>
            </w:pPr>
            <w:r w:rsidRPr="00DC6F66">
              <w:rPr>
                <w:rFonts w:ascii="Calibri" w:hAnsi="Calibri" w:cs="Times New Roman"/>
                <w:color w:val="5C0000"/>
                <w:sz w:val="20"/>
                <w:lang w:val="lv-LV"/>
              </w:rPr>
              <w:t>❸</w:t>
            </w:r>
          </w:p>
        </w:tc>
        <w:tc>
          <w:tcPr>
            <w:tcW w:w="9294" w:type="dxa"/>
            <w:tcBorders>
              <w:top w:val="nil"/>
              <w:left w:val="nil"/>
              <w:bottom w:val="nil"/>
              <w:right w:val="nil"/>
            </w:tcBorders>
          </w:tcPr>
          <w:p w14:paraId="0CAEDCE5" w14:textId="5CEDB343" w:rsidR="0055429D" w:rsidRPr="00DC6F66" w:rsidRDefault="00013805" w:rsidP="00655F3C">
            <w:pPr>
              <w:pStyle w:val="ListParagraph"/>
              <w:numPr>
                <w:ilvl w:val="0"/>
                <w:numId w:val="8"/>
              </w:numPr>
              <w:ind w:left="229" w:right="175" w:hanging="229"/>
              <w:jc w:val="both"/>
              <w:rPr>
                <w:rFonts w:cs="Times New Roman"/>
                <w:i/>
                <w:sz w:val="18"/>
                <w:lang w:val="lv-LV"/>
              </w:rPr>
            </w:pPr>
            <w:r w:rsidRPr="00DC6F66">
              <w:rPr>
                <w:rFonts w:cs="Times New Roman"/>
                <w:i/>
                <w:sz w:val="18"/>
                <w:lang w:val="lv-LV"/>
              </w:rPr>
              <w:t>p</w:t>
            </w:r>
            <w:r w:rsidR="0055429D" w:rsidRPr="00DC6F66">
              <w:rPr>
                <w:rFonts w:cs="Times New Roman"/>
                <w:i/>
                <w:sz w:val="18"/>
                <w:lang w:val="lv-LV"/>
              </w:rPr>
              <w:t xml:space="preserve">ie nosacījuma, ka tiek veikti grozījumi normatīvajos aktos, </w:t>
            </w:r>
            <w:r w:rsidR="000914AE" w:rsidRPr="00DC6F66">
              <w:rPr>
                <w:rFonts w:cs="Times New Roman"/>
                <w:i/>
                <w:sz w:val="18"/>
                <w:lang w:val="lv-LV"/>
              </w:rPr>
              <w:t>samazinot nomaksas līgumu maksimālo termiņu no 10 uz 5 gadiem</w:t>
            </w:r>
            <w:r w:rsidR="0055429D" w:rsidRPr="00DC6F66">
              <w:rPr>
                <w:rFonts w:cs="Times New Roman"/>
                <w:i/>
                <w:sz w:val="18"/>
                <w:lang w:val="lv-LV"/>
              </w:rPr>
              <w:t>.</w:t>
            </w:r>
          </w:p>
        </w:tc>
      </w:tr>
      <w:tr w:rsidR="0055429D" w:rsidRPr="00DC6F66" w14:paraId="7D9CEB6F" w14:textId="77777777" w:rsidTr="00AD390A">
        <w:trPr>
          <w:gridAfter w:val="1"/>
          <w:wAfter w:w="5042" w:type="dxa"/>
        </w:trPr>
        <w:tc>
          <w:tcPr>
            <w:tcW w:w="482" w:type="dxa"/>
            <w:tcBorders>
              <w:top w:val="nil"/>
              <w:left w:val="nil"/>
              <w:bottom w:val="nil"/>
              <w:right w:val="nil"/>
            </w:tcBorders>
            <w:shd w:val="clear" w:color="auto" w:fill="FFC000"/>
          </w:tcPr>
          <w:p w14:paraId="298F0A84" w14:textId="77777777" w:rsidR="0055429D" w:rsidRPr="00DC6F66" w:rsidRDefault="0055429D" w:rsidP="009A1F2A">
            <w:pPr>
              <w:spacing w:before="20" w:after="20"/>
              <w:jc w:val="both"/>
              <w:rPr>
                <w:rFonts w:ascii="Calibri" w:hAnsi="Calibri" w:cs="Times New Roman"/>
                <w:color w:val="5C0000"/>
                <w:sz w:val="18"/>
                <w:szCs w:val="18"/>
                <w:lang w:val="lv-LV"/>
              </w:rPr>
            </w:pPr>
          </w:p>
        </w:tc>
        <w:tc>
          <w:tcPr>
            <w:tcW w:w="9294" w:type="dxa"/>
            <w:tcBorders>
              <w:top w:val="nil"/>
              <w:left w:val="nil"/>
              <w:bottom w:val="nil"/>
              <w:right w:val="nil"/>
            </w:tcBorders>
          </w:tcPr>
          <w:p w14:paraId="6F933674" w14:textId="77777777" w:rsidR="0055429D" w:rsidRPr="00DC6F66" w:rsidRDefault="00013805" w:rsidP="00655F3C">
            <w:pPr>
              <w:pStyle w:val="ListParagraph"/>
              <w:numPr>
                <w:ilvl w:val="0"/>
                <w:numId w:val="8"/>
              </w:numPr>
              <w:ind w:left="229" w:right="175" w:hanging="229"/>
              <w:jc w:val="both"/>
              <w:rPr>
                <w:rFonts w:cs="Times New Roman"/>
                <w:i/>
                <w:sz w:val="18"/>
                <w:szCs w:val="18"/>
                <w:lang w:val="lv-LV"/>
              </w:rPr>
            </w:pPr>
            <w:r w:rsidRPr="00DC6F66">
              <w:rPr>
                <w:rFonts w:cs="Times New Roman"/>
                <w:i/>
                <w:sz w:val="18"/>
                <w:szCs w:val="18"/>
                <w:lang w:val="lv-LV"/>
              </w:rPr>
              <w:t>obligāti veicama</w:t>
            </w:r>
          </w:p>
        </w:tc>
      </w:tr>
      <w:tr w:rsidR="00013805" w:rsidRPr="00DC6F66" w14:paraId="42E2749E" w14:textId="77777777" w:rsidTr="00AD390A">
        <w:trPr>
          <w:gridAfter w:val="1"/>
          <w:wAfter w:w="5042" w:type="dxa"/>
        </w:trPr>
        <w:tc>
          <w:tcPr>
            <w:tcW w:w="482" w:type="dxa"/>
            <w:tcBorders>
              <w:top w:val="nil"/>
              <w:left w:val="nil"/>
              <w:bottom w:val="nil"/>
              <w:right w:val="nil"/>
            </w:tcBorders>
            <w:shd w:val="clear" w:color="auto" w:fill="FFF2CC" w:themeFill="accent4" w:themeFillTint="33"/>
          </w:tcPr>
          <w:p w14:paraId="080105BA" w14:textId="77777777" w:rsidR="00013805" w:rsidRPr="00DC6F66" w:rsidRDefault="00013805" w:rsidP="009A1F2A">
            <w:pPr>
              <w:spacing w:before="20" w:after="20"/>
              <w:jc w:val="both"/>
              <w:rPr>
                <w:rFonts w:ascii="Calibri" w:hAnsi="Calibri" w:cs="Times New Roman"/>
                <w:color w:val="5C0000"/>
                <w:sz w:val="18"/>
                <w:szCs w:val="18"/>
                <w:lang w:val="lv-LV"/>
              </w:rPr>
            </w:pPr>
          </w:p>
        </w:tc>
        <w:tc>
          <w:tcPr>
            <w:tcW w:w="9294" w:type="dxa"/>
            <w:tcBorders>
              <w:top w:val="nil"/>
              <w:left w:val="nil"/>
              <w:bottom w:val="nil"/>
              <w:right w:val="nil"/>
            </w:tcBorders>
          </w:tcPr>
          <w:p w14:paraId="2A45628D" w14:textId="77777777" w:rsidR="00013805" w:rsidRPr="00DC6F66" w:rsidRDefault="00013805" w:rsidP="00655F3C">
            <w:pPr>
              <w:pStyle w:val="ListParagraph"/>
              <w:numPr>
                <w:ilvl w:val="0"/>
                <w:numId w:val="8"/>
              </w:numPr>
              <w:ind w:left="229" w:right="175" w:hanging="229"/>
              <w:jc w:val="both"/>
              <w:rPr>
                <w:rFonts w:cs="Times New Roman"/>
                <w:i/>
                <w:sz w:val="18"/>
                <w:szCs w:val="18"/>
                <w:lang w:val="lv-LV"/>
              </w:rPr>
            </w:pPr>
            <w:r w:rsidRPr="00DC6F66">
              <w:rPr>
                <w:rFonts w:cs="Times New Roman"/>
                <w:i/>
                <w:iCs/>
                <w:color w:val="000000"/>
                <w:sz w:val="18"/>
                <w:szCs w:val="18"/>
                <w:lang w:val="lv-LV"/>
              </w:rPr>
              <w:t>termiņš nav nosakāms</w:t>
            </w:r>
          </w:p>
        </w:tc>
      </w:tr>
      <w:tr w:rsidR="00785CD4" w:rsidRPr="00DC6F66" w14:paraId="312AFD1E" w14:textId="77777777" w:rsidTr="00AD390A">
        <w:trPr>
          <w:gridAfter w:val="1"/>
          <w:wAfter w:w="5042" w:type="dxa"/>
        </w:trPr>
        <w:tc>
          <w:tcPr>
            <w:tcW w:w="482" w:type="dxa"/>
            <w:tcBorders>
              <w:top w:val="nil"/>
              <w:left w:val="nil"/>
              <w:bottom w:val="nil"/>
              <w:right w:val="nil"/>
            </w:tcBorders>
            <w:shd w:val="clear" w:color="auto" w:fill="FFFFFF" w:themeFill="background1"/>
          </w:tcPr>
          <w:p w14:paraId="04A0B07D" w14:textId="77777777" w:rsidR="00785CD4" w:rsidRPr="00DC6F66" w:rsidRDefault="00785CD4" w:rsidP="009A1F2A">
            <w:pPr>
              <w:spacing w:before="20" w:after="20"/>
              <w:jc w:val="both"/>
              <w:rPr>
                <w:rFonts w:ascii="Calibri" w:hAnsi="Calibri" w:cs="Times New Roman"/>
                <w:sz w:val="18"/>
                <w:szCs w:val="18"/>
                <w:lang w:val="lv-LV"/>
              </w:rPr>
            </w:pPr>
            <w:r w:rsidRPr="00DC6F66">
              <w:rPr>
                <w:rFonts w:ascii="Calibri" w:hAnsi="Calibri" w:cs="Times New Roman"/>
                <w:sz w:val="18"/>
                <w:szCs w:val="18"/>
                <w:lang w:val="lv-LV"/>
              </w:rPr>
              <w:t>*</w:t>
            </w:r>
          </w:p>
        </w:tc>
        <w:tc>
          <w:tcPr>
            <w:tcW w:w="9294" w:type="dxa"/>
            <w:tcBorders>
              <w:top w:val="nil"/>
              <w:left w:val="nil"/>
              <w:bottom w:val="nil"/>
              <w:right w:val="nil"/>
            </w:tcBorders>
          </w:tcPr>
          <w:p w14:paraId="239F4BC8" w14:textId="77777777" w:rsidR="00785CD4" w:rsidRPr="00DC6F66" w:rsidRDefault="00785CD4" w:rsidP="00655F3C">
            <w:pPr>
              <w:pStyle w:val="ListParagraph"/>
              <w:numPr>
                <w:ilvl w:val="0"/>
                <w:numId w:val="8"/>
              </w:numPr>
              <w:ind w:left="229" w:right="175" w:hanging="229"/>
              <w:jc w:val="both"/>
              <w:rPr>
                <w:rFonts w:cs="Times New Roman"/>
                <w:i/>
                <w:iCs/>
                <w:sz w:val="18"/>
                <w:szCs w:val="18"/>
                <w:lang w:val="lv-LV"/>
              </w:rPr>
            </w:pPr>
            <w:r w:rsidRPr="00DC6F66">
              <w:rPr>
                <w:rFonts w:cs="Times New Roman"/>
                <w:i/>
                <w:iCs/>
                <w:color w:val="000000"/>
                <w:sz w:val="18"/>
                <w:szCs w:val="18"/>
                <w:lang w:val="lv-LV"/>
              </w:rPr>
              <w:t>kontu skaits</w:t>
            </w:r>
          </w:p>
        </w:tc>
      </w:tr>
    </w:tbl>
    <w:p w14:paraId="593D29FC" w14:textId="399E9B87" w:rsidR="009975F6" w:rsidRPr="00DC6F66" w:rsidRDefault="009975F6">
      <w:pPr>
        <w:pStyle w:val="Heading2"/>
      </w:pPr>
      <w:bookmarkStart w:id="22" w:name="_Toc468974759"/>
      <w:bookmarkStart w:id="23" w:name="_Toc482084436"/>
      <w:bookmarkStart w:id="24" w:name="_Toc482084600"/>
      <w:bookmarkStart w:id="25" w:name="_Toc482084635"/>
      <w:bookmarkStart w:id="26" w:name="_Toc482084670"/>
      <w:bookmarkStart w:id="27" w:name="_Toc482084798"/>
      <w:bookmarkStart w:id="28" w:name="_Toc478473147"/>
      <w:r w:rsidRPr="00DC6F66">
        <w:t>Pārvaldāmais portfelis</w:t>
      </w:r>
      <w:bookmarkEnd w:id="22"/>
      <w:bookmarkEnd w:id="23"/>
      <w:bookmarkEnd w:id="24"/>
      <w:bookmarkEnd w:id="25"/>
      <w:bookmarkEnd w:id="26"/>
      <w:bookmarkEnd w:id="27"/>
      <w:bookmarkEnd w:id="28"/>
    </w:p>
    <w:p w14:paraId="1A808A55" w14:textId="1ADACF86" w:rsidR="009975F6" w:rsidRPr="00DC6F66" w:rsidRDefault="009975F6" w:rsidP="00EA06F7">
      <w:pPr>
        <w:spacing w:before="120"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Sabiedrība veic šī informatīvā ziņojuma 1.1.sadaļā </w:t>
      </w:r>
      <w:r w:rsidR="003301FE" w:rsidRPr="00DC6F66">
        <w:rPr>
          <w:rFonts w:ascii="Times New Roman" w:hAnsi="Times New Roman" w:cs="Times New Roman"/>
          <w:sz w:val="24"/>
          <w:szCs w:val="24"/>
        </w:rPr>
        <w:t>aprakstītos</w:t>
      </w:r>
      <w:r w:rsidRPr="00DC6F66">
        <w:rPr>
          <w:rFonts w:ascii="Times New Roman" w:hAnsi="Times New Roman" w:cs="Times New Roman"/>
          <w:sz w:val="24"/>
          <w:szCs w:val="24"/>
        </w:rPr>
        <w:t xml:space="preserve"> uzdevumus</w:t>
      </w:r>
      <w:r w:rsidR="00890A1F" w:rsidRPr="00DC6F66">
        <w:rPr>
          <w:rFonts w:ascii="Times New Roman" w:hAnsi="Times New Roman" w:cs="Times New Roman"/>
          <w:sz w:val="24"/>
          <w:szCs w:val="24"/>
        </w:rPr>
        <w:t>, ku</w:t>
      </w:r>
      <w:r w:rsidR="00367204" w:rsidRPr="00DC6F66">
        <w:rPr>
          <w:rFonts w:ascii="Times New Roman" w:hAnsi="Times New Roman" w:cs="Times New Roman"/>
          <w:sz w:val="24"/>
          <w:szCs w:val="24"/>
        </w:rPr>
        <w:t xml:space="preserve">ri tās </w:t>
      </w:r>
      <w:r w:rsidR="003301FE" w:rsidRPr="00DC6F66">
        <w:rPr>
          <w:rFonts w:ascii="Times New Roman" w:hAnsi="Times New Roman" w:cs="Times New Roman"/>
          <w:sz w:val="24"/>
          <w:szCs w:val="24"/>
        </w:rPr>
        <w:t xml:space="preserve">ikdienas </w:t>
      </w:r>
      <w:r w:rsidR="00367204" w:rsidRPr="00DC6F66">
        <w:rPr>
          <w:rFonts w:ascii="Times New Roman" w:hAnsi="Times New Roman" w:cs="Times New Roman"/>
          <w:sz w:val="24"/>
          <w:szCs w:val="24"/>
        </w:rPr>
        <w:t xml:space="preserve">darbības ietvaros tiek </w:t>
      </w:r>
      <w:r w:rsidR="00890A1F" w:rsidRPr="00DC6F66">
        <w:rPr>
          <w:rFonts w:ascii="Times New Roman" w:hAnsi="Times New Roman" w:cs="Times New Roman"/>
          <w:sz w:val="24"/>
          <w:szCs w:val="24"/>
        </w:rPr>
        <w:t>grupēti biznesa līnijās</w:t>
      </w:r>
      <w:r w:rsidR="00EA06F7" w:rsidRPr="00DC6F66">
        <w:rPr>
          <w:rFonts w:ascii="Times New Roman" w:hAnsi="Times New Roman" w:cs="Times New Roman"/>
          <w:sz w:val="24"/>
          <w:szCs w:val="24"/>
        </w:rPr>
        <w:t xml:space="preserve"> ar mērķi efektīvāk pārvaldīt portfeli, t.sk. labāk </w:t>
      </w:r>
      <w:r w:rsidR="00EA06F7" w:rsidRPr="00DC6F66">
        <w:rPr>
          <w:rFonts w:ascii="Times New Roman" w:hAnsi="Times New Roman" w:cs="Times New Roman"/>
          <w:sz w:val="24"/>
          <w:szCs w:val="24"/>
        </w:rPr>
        <w:lastRenderedPageBreak/>
        <w:t>uzskaitīt un kontrolēt ar to izstrādi saistītās izmaksas</w:t>
      </w:r>
      <w:r w:rsidRPr="00DC6F66">
        <w:rPr>
          <w:rFonts w:ascii="Times New Roman" w:hAnsi="Times New Roman" w:cs="Times New Roman"/>
          <w:sz w:val="24"/>
          <w:szCs w:val="24"/>
        </w:rPr>
        <w:t xml:space="preserve">. </w:t>
      </w:r>
      <w:r w:rsidR="00F638E1" w:rsidRPr="00DC6F66">
        <w:rPr>
          <w:rFonts w:ascii="Times New Roman" w:hAnsi="Times New Roman" w:cs="Times New Roman"/>
          <w:sz w:val="24"/>
          <w:szCs w:val="24"/>
        </w:rPr>
        <w:t xml:space="preserve">Sabiedrības portfeļa stāvoklis ir dinamisks - tas samazinās, veicot īpašuma objektu privatizāciju un atsavināšanu, bet vienlaikus Sabiedrības portfeli papildina īpašumi, kurus tā pārņem savā valdījumā vai turējumā atbilstoši normatīvajam regulējumam un Ministru kabineta lēmumiem no Valsts ieņēmumu dienesta (turpmāk – VID) un citām institūcijām. </w:t>
      </w:r>
      <w:r w:rsidR="00932A24" w:rsidRPr="00DC6F66">
        <w:rPr>
          <w:rFonts w:ascii="Times New Roman" w:hAnsi="Times New Roman" w:cs="Times New Roman"/>
          <w:sz w:val="24"/>
          <w:szCs w:val="24"/>
        </w:rPr>
        <w:t>Kopējā Sabiedrības turējumā, valdījumā un īpašumā esošā portfeļa vērtība</w:t>
      </w:r>
      <w:r w:rsidR="00EA06F7" w:rsidRPr="00DC6F66">
        <w:rPr>
          <w:rStyle w:val="FootnoteReference"/>
          <w:rFonts w:ascii="Times New Roman" w:hAnsi="Times New Roman" w:cs="Times New Roman"/>
          <w:sz w:val="24"/>
          <w:szCs w:val="24"/>
        </w:rPr>
        <w:footnoteReference w:id="4"/>
      </w:r>
      <w:r w:rsidR="00EA06F7" w:rsidRPr="00DC6F66">
        <w:rPr>
          <w:rFonts w:ascii="Times New Roman" w:hAnsi="Times New Roman" w:cs="Times New Roman"/>
          <w:sz w:val="24"/>
          <w:szCs w:val="24"/>
        </w:rPr>
        <w:t>, neskaitot meitas sabiedrības,</w:t>
      </w:r>
      <w:r w:rsidR="00932A24" w:rsidRPr="00DC6F66">
        <w:rPr>
          <w:rFonts w:ascii="Times New Roman" w:hAnsi="Times New Roman" w:cs="Times New Roman"/>
          <w:sz w:val="24"/>
          <w:szCs w:val="24"/>
        </w:rPr>
        <w:t xml:space="preserve"> ir aptuveni </w:t>
      </w:r>
      <w:r w:rsidR="00932A24" w:rsidRPr="00DC6F66">
        <w:rPr>
          <w:rFonts w:ascii="Times New Roman" w:hAnsi="Times New Roman" w:cs="Times New Roman"/>
          <w:b/>
          <w:sz w:val="24"/>
          <w:szCs w:val="24"/>
        </w:rPr>
        <w:t>15</w:t>
      </w:r>
      <w:r w:rsidR="00957FA9">
        <w:rPr>
          <w:rFonts w:ascii="Times New Roman" w:hAnsi="Times New Roman" w:cs="Times New Roman"/>
          <w:b/>
          <w:sz w:val="24"/>
          <w:szCs w:val="24"/>
        </w:rPr>
        <w:t>2</w:t>
      </w:r>
      <w:r w:rsidR="00932A24" w:rsidRPr="00DC6F66">
        <w:rPr>
          <w:rFonts w:ascii="Times New Roman" w:hAnsi="Times New Roman" w:cs="Times New Roman"/>
          <w:b/>
          <w:sz w:val="24"/>
          <w:szCs w:val="24"/>
        </w:rPr>
        <w:t xml:space="preserve"> milj. </w:t>
      </w:r>
      <w:proofErr w:type="spellStart"/>
      <w:r w:rsidR="00932A24" w:rsidRPr="00DC6F66">
        <w:rPr>
          <w:rFonts w:ascii="Times New Roman" w:hAnsi="Times New Roman" w:cs="Times New Roman"/>
          <w:b/>
          <w:i/>
          <w:sz w:val="24"/>
          <w:szCs w:val="24"/>
        </w:rPr>
        <w:t>euro</w:t>
      </w:r>
      <w:proofErr w:type="spellEnd"/>
      <w:r w:rsidR="00932A24" w:rsidRPr="00DC6F66">
        <w:rPr>
          <w:rFonts w:ascii="Times New Roman" w:hAnsi="Times New Roman" w:cs="Times New Roman"/>
          <w:sz w:val="24"/>
          <w:szCs w:val="24"/>
        </w:rPr>
        <w:t>.</w:t>
      </w:r>
      <w:r w:rsidR="00EA06F7" w:rsidRPr="00DC6F66">
        <w:rPr>
          <w:rFonts w:ascii="Times New Roman" w:hAnsi="Times New Roman" w:cs="Times New Roman"/>
          <w:sz w:val="24"/>
          <w:szCs w:val="24"/>
        </w:rPr>
        <w:t xml:space="preserve"> </w:t>
      </w:r>
      <w:r w:rsidR="00122ABC" w:rsidRPr="00DC6F66">
        <w:rPr>
          <w:rFonts w:ascii="Times New Roman" w:hAnsi="Times New Roman" w:cs="Times New Roman"/>
          <w:sz w:val="24"/>
          <w:szCs w:val="24"/>
        </w:rPr>
        <w:t>Sabiedrībai uzdoto</w:t>
      </w:r>
      <w:r w:rsidR="003301FE" w:rsidRPr="00DC6F66">
        <w:rPr>
          <w:rFonts w:ascii="Times New Roman" w:hAnsi="Times New Roman" w:cs="Times New Roman"/>
          <w:sz w:val="24"/>
          <w:szCs w:val="24"/>
        </w:rPr>
        <w:t xml:space="preserve"> uzdevumu</w:t>
      </w:r>
      <w:r w:rsidRPr="00DC6F66">
        <w:rPr>
          <w:rFonts w:ascii="Times New Roman" w:hAnsi="Times New Roman" w:cs="Times New Roman"/>
          <w:sz w:val="24"/>
          <w:szCs w:val="24"/>
        </w:rPr>
        <w:t xml:space="preserve"> izpildes nodrošināšanas kontekstā jāuzsver, ka jo īpaši pēdējos gados Sabiedrības ikdienas darbībā ir būtiski palielinājies ar pārvaldību saistīto funkciju īpatsvars, kas izskaidrojam</w:t>
      </w:r>
      <w:r w:rsidR="00A155A0" w:rsidRPr="00DC6F66">
        <w:rPr>
          <w:rFonts w:ascii="Times New Roman" w:hAnsi="Times New Roman" w:cs="Times New Roman"/>
          <w:sz w:val="24"/>
          <w:szCs w:val="24"/>
        </w:rPr>
        <w:t>s</w:t>
      </w:r>
      <w:r w:rsidRPr="00DC6F66">
        <w:rPr>
          <w:rFonts w:ascii="Times New Roman" w:hAnsi="Times New Roman" w:cs="Times New Roman"/>
          <w:sz w:val="24"/>
          <w:szCs w:val="24"/>
        </w:rPr>
        <w:t xml:space="preserve"> ar realizējamo īpašumu specifiku, t.sk. zemo likviditāti (neapmierinošs tehniskais stāvoklis, ģeogrāfiskā atrašanās vieta</w:t>
      </w:r>
      <w:r w:rsidR="003301FE" w:rsidRPr="00DC6F66">
        <w:rPr>
          <w:rFonts w:ascii="Times New Roman" w:hAnsi="Times New Roman" w:cs="Times New Roman"/>
          <w:sz w:val="24"/>
          <w:szCs w:val="24"/>
        </w:rPr>
        <w:t>, apgrūtinājumi</w:t>
      </w:r>
      <w:r w:rsidRPr="00DC6F66">
        <w:rPr>
          <w:rFonts w:ascii="Times New Roman" w:hAnsi="Times New Roman" w:cs="Times New Roman"/>
          <w:sz w:val="24"/>
          <w:szCs w:val="24"/>
        </w:rPr>
        <w:t>). Atsevišķu valsts kapitāla daļu realizācija ir pakārtota Ministru kabineta lēmumiem, savukārt lielākā daļa Sabiedrības restrukturizējamo aktīvu (meitas sabiedrības) vispār nav paredzēti realizācijai, bet gan restrukturizācijai. Pārskats par darbībām, kuras Sabiedrība veic tās biznesa līniju ietvaros, sniegts 1.tabulā.</w:t>
      </w:r>
    </w:p>
    <w:p w14:paraId="504793ED" w14:textId="21240FDA" w:rsidR="009975F6" w:rsidRPr="00DC6F66" w:rsidRDefault="009975F6" w:rsidP="009975F6">
      <w:pPr>
        <w:pStyle w:val="Caption"/>
        <w:keepNext/>
        <w:spacing w:before="40" w:after="40"/>
        <w:ind w:left="1077"/>
        <w:jc w:val="right"/>
        <w:rPr>
          <w:rFonts w:ascii="Times New Roman" w:hAnsi="Times New Roman" w:cs="Times New Roman"/>
          <w:color w:val="auto"/>
          <w:sz w:val="24"/>
          <w:szCs w:val="22"/>
        </w:rPr>
      </w:pPr>
      <w:r w:rsidRPr="00DC6F66">
        <w:rPr>
          <w:rFonts w:ascii="Times New Roman" w:hAnsi="Times New Roman" w:cs="Times New Roman"/>
          <w:b w:val="0"/>
          <w:i/>
          <w:color w:val="auto"/>
          <w:sz w:val="24"/>
          <w:szCs w:val="22"/>
        </w:rPr>
        <w:fldChar w:fldCharType="begin"/>
      </w:r>
      <w:r w:rsidRPr="00DC6F66">
        <w:rPr>
          <w:rFonts w:ascii="Times New Roman" w:hAnsi="Times New Roman" w:cs="Times New Roman"/>
          <w:b w:val="0"/>
          <w:i/>
          <w:color w:val="auto"/>
          <w:sz w:val="24"/>
          <w:szCs w:val="22"/>
        </w:rPr>
        <w:instrText xml:space="preserve"> SEQ Tabula \* ARABIC </w:instrText>
      </w:r>
      <w:r w:rsidRPr="00DC6F66">
        <w:rPr>
          <w:rFonts w:ascii="Times New Roman" w:hAnsi="Times New Roman" w:cs="Times New Roman"/>
          <w:b w:val="0"/>
          <w:i/>
          <w:color w:val="auto"/>
          <w:sz w:val="24"/>
          <w:szCs w:val="22"/>
        </w:rPr>
        <w:fldChar w:fldCharType="separate"/>
      </w:r>
      <w:r w:rsidR="00CD00C1">
        <w:rPr>
          <w:rFonts w:ascii="Times New Roman" w:hAnsi="Times New Roman" w:cs="Times New Roman"/>
          <w:b w:val="0"/>
          <w:i/>
          <w:noProof/>
          <w:color w:val="auto"/>
          <w:sz w:val="24"/>
          <w:szCs w:val="22"/>
        </w:rPr>
        <w:t>1</w:t>
      </w:r>
      <w:r w:rsidRPr="00DC6F66">
        <w:rPr>
          <w:rFonts w:ascii="Times New Roman" w:hAnsi="Times New Roman" w:cs="Times New Roman"/>
          <w:b w:val="0"/>
          <w:i/>
          <w:color w:val="auto"/>
          <w:sz w:val="24"/>
          <w:szCs w:val="22"/>
        </w:rPr>
        <w:fldChar w:fldCharType="end"/>
      </w:r>
      <w:r w:rsidRPr="00DC6F66">
        <w:rPr>
          <w:rFonts w:ascii="Times New Roman" w:hAnsi="Times New Roman" w:cs="Times New Roman"/>
          <w:b w:val="0"/>
          <w:i/>
          <w:color w:val="auto"/>
          <w:sz w:val="24"/>
          <w:szCs w:val="22"/>
        </w:rPr>
        <w:t xml:space="preserve">.tabula. </w:t>
      </w:r>
      <w:r w:rsidRPr="00DC6F66">
        <w:rPr>
          <w:rFonts w:ascii="Times New Roman" w:hAnsi="Times New Roman" w:cs="Times New Roman"/>
          <w:color w:val="auto"/>
          <w:sz w:val="24"/>
          <w:szCs w:val="22"/>
        </w:rPr>
        <w:t>Sabiedrības biznesa līnijas</w:t>
      </w:r>
    </w:p>
    <w:tbl>
      <w:tblPr>
        <w:tblStyle w:val="TableGrid"/>
        <w:tblW w:w="909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988"/>
        <w:gridCol w:w="284"/>
        <w:gridCol w:w="1417"/>
        <w:gridCol w:w="284"/>
        <w:gridCol w:w="1417"/>
        <w:gridCol w:w="284"/>
        <w:gridCol w:w="1417"/>
      </w:tblGrid>
      <w:tr w:rsidR="009975F6" w:rsidRPr="00DC6F66" w14:paraId="4FB50661" w14:textId="77777777" w:rsidTr="00BA2102">
        <w:tc>
          <w:tcPr>
            <w:tcW w:w="3988" w:type="dxa"/>
            <w:vMerge w:val="restart"/>
            <w:tcBorders>
              <w:left w:val="single" w:sz="12" w:space="0" w:color="404040" w:themeColor="text1" w:themeTint="BF"/>
            </w:tcBorders>
            <w:shd w:val="clear" w:color="auto" w:fill="262626" w:themeFill="text1" w:themeFillTint="D9"/>
            <w:vAlign w:val="center"/>
          </w:tcPr>
          <w:p w14:paraId="6502DC03" w14:textId="77777777" w:rsidR="009975F6" w:rsidRPr="00DC6F66" w:rsidRDefault="009975F6" w:rsidP="00C9602D">
            <w:pPr>
              <w:keepNext/>
              <w:rPr>
                <w:rFonts w:ascii="Times New Roman" w:hAnsi="Times New Roman" w:cs="Times New Roman"/>
                <w:color w:val="FFFFFF" w:themeColor="background1"/>
                <w:sz w:val="20"/>
                <w:szCs w:val="22"/>
                <w:lang w:val="lv-LV"/>
              </w:rPr>
            </w:pPr>
            <w:r w:rsidRPr="00DC6F66">
              <w:rPr>
                <w:rFonts w:ascii="Times New Roman" w:hAnsi="Times New Roman" w:cs="Times New Roman"/>
                <w:color w:val="FFFFFF" w:themeColor="background1"/>
                <w:sz w:val="20"/>
                <w:szCs w:val="22"/>
                <w:lang w:val="lv-LV"/>
              </w:rPr>
              <w:t>BIZNESA LĪNIJAS</w:t>
            </w:r>
          </w:p>
        </w:tc>
        <w:tc>
          <w:tcPr>
            <w:tcW w:w="284" w:type="dxa"/>
            <w:vMerge w:val="restart"/>
            <w:tcBorders>
              <w:right w:val="single" w:sz="12" w:space="0" w:color="404040" w:themeColor="text1" w:themeTint="BF"/>
            </w:tcBorders>
            <w:vAlign w:val="center"/>
          </w:tcPr>
          <w:p w14:paraId="39BF5507" w14:textId="77777777" w:rsidR="009975F6" w:rsidRPr="00DC6F66" w:rsidRDefault="009975F6" w:rsidP="00C9602D">
            <w:pPr>
              <w:keepNext/>
              <w:rPr>
                <w:rFonts w:ascii="Times New Roman" w:hAnsi="Times New Roman" w:cs="Times New Roman"/>
                <w:color w:val="FFFFFF" w:themeColor="background1"/>
                <w:sz w:val="20"/>
                <w:szCs w:val="22"/>
                <w:lang w:val="lv-LV"/>
              </w:rPr>
            </w:pPr>
          </w:p>
        </w:tc>
        <w:tc>
          <w:tcPr>
            <w:tcW w:w="1417" w:type="dxa"/>
            <w:vMerge w:val="restart"/>
            <w:tcBorders>
              <w:left w:val="single" w:sz="12" w:space="0" w:color="404040" w:themeColor="text1" w:themeTint="BF"/>
              <w:right w:val="single" w:sz="12" w:space="0" w:color="404040" w:themeColor="text1" w:themeTint="BF"/>
            </w:tcBorders>
            <w:shd w:val="clear" w:color="auto" w:fill="262626" w:themeFill="text1" w:themeFillTint="D9"/>
            <w:vAlign w:val="center"/>
          </w:tcPr>
          <w:p w14:paraId="7C2DC3A2" w14:textId="77777777" w:rsidR="009975F6" w:rsidRPr="00DC6F66" w:rsidRDefault="009975F6" w:rsidP="00C9602D">
            <w:pPr>
              <w:keepNext/>
              <w:rPr>
                <w:rFonts w:ascii="Times New Roman" w:hAnsi="Times New Roman" w:cs="Times New Roman"/>
                <w:color w:val="FFFFFF" w:themeColor="background1"/>
                <w:sz w:val="20"/>
                <w:szCs w:val="22"/>
                <w:lang w:val="lv-LV"/>
              </w:rPr>
            </w:pPr>
            <w:r w:rsidRPr="00DC6F66">
              <w:rPr>
                <w:rFonts w:ascii="Times New Roman" w:hAnsi="Times New Roman" w:cs="Times New Roman"/>
                <w:color w:val="FFFFFF" w:themeColor="background1"/>
                <w:sz w:val="18"/>
                <w:szCs w:val="22"/>
                <w:lang w:val="lv-LV"/>
              </w:rPr>
              <w:t>PĀRVALDĪBA</w:t>
            </w:r>
          </w:p>
        </w:tc>
        <w:tc>
          <w:tcPr>
            <w:tcW w:w="284" w:type="dxa"/>
            <w:vMerge w:val="restart"/>
            <w:tcBorders>
              <w:left w:val="single" w:sz="12" w:space="0" w:color="404040" w:themeColor="text1" w:themeTint="BF"/>
              <w:right w:val="single" w:sz="12" w:space="0" w:color="404040" w:themeColor="text1" w:themeTint="BF"/>
            </w:tcBorders>
            <w:vAlign w:val="center"/>
          </w:tcPr>
          <w:p w14:paraId="02B712BE" w14:textId="77777777" w:rsidR="009975F6" w:rsidRPr="00DC6F66" w:rsidRDefault="009975F6" w:rsidP="00C9602D">
            <w:pPr>
              <w:keepNext/>
              <w:rPr>
                <w:rFonts w:ascii="Times New Roman" w:hAnsi="Times New Roman" w:cs="Times New Roman"/>
                <w:color w:val="FFFFFF" w:themeColor="background1"/>
                <w:sz w:val="22"/>
                <w:szCs w:val="22"/>
                <w:lang w:val="lv-LV"/>
              </w:rPr>
            </w:pPr>
          </w:p>
        </w:tc>
        <w:tc>
          <w:tcPr>
            <w:tcW w:w="3118" w:type="dxa"/>
            <w:gridSpan w:val="3"/>
            <w:tcBorders>
              <w:left w:val="single" w:sz="12" w:space="0" w:color="404040" w:themeColor="text1" w:themeTint="BF"/>
              <w:right w:val="single" w:sz="12" w:space="0" w:color="404040" w:themeColor="text1" w:themeTint="BF"/>
            </w:tcBorders>
            <w:shd w:val="clear" w:color="auto" w:fill="262626" w:themeFill="text1" w:themeFillTint="D9"/>
            <w:vAlign w:val="center"/>
          </w:tcPr>
          <w:p w14:paraId="4456C449" w14:textId="77777777" w:rsidR="009975F6" w:rsidRPr="00DC6F66" w:rsidRDefault="009975F6" w:rsidP="00C9602D">
            <w:pPr>
              <w:keepNext/>
              <w:spacing w:before="40" w:after="40"/>
              <w:jc w:val="center"/>
              <w:rPr>
                <w:rFonts w:ascii="Times New Roman" w:hAnsi="Times New Roman" w:cs="Times New Roman"/>
                <w:color w:val="FFFFFF" w:themeColor="background1"/>
                <w:sz w:val="22"/>
                <w:szCs w:val="22"/>
                <w:lang w:val="lv-LV"/>
              </w:rPr>
            </w:pPr>
            <w:r w:rsidRPr="00DC6F66">
              <w:rPr>
                <w:rFonts w:ascii="Times New Roman" w:hAnsi="Times New Roman" w:cs="Times New Roman"/>
                <w:color w:val="FFFFFF" w:themeColor="background1"/>
                <w:sz w:val="18"/>
                <w:szCs w:val="22"/>
                <w:lang w:val="lv-LV"/>
              </w:rPr>
              <w:t>REALIZĀCIJA</w:t>
            </w:r>
          </w:p>
        </w:tc>
      </w:tr>
      <w:tr w:rsidR="009975F6" w:rsidRPr="00DC6F66" w14:paraId="527F0AF3" w14:textId="77777777" w:rsidTr="00BA2102">
        <w:tc>
          <w:tcPr>
            <w:tcW w:w="3988" w:type="dxa"/>
            <w:vMerge/>
            <w:tcBorders>
              <w:left w:val="single" w:sz="12" w:space="0" w:color="404040" w:themeColor="text1" w:themeTint="BF"/>
              <w:bottom w:val="single" w:sz="4" w:space="0" w:color="FFFFFF" w:themeColor="background1"/>
            </w:tcBorders>
            <w:shd w:val="clear" w:color="auto" w:fill="262626" w:themeFill="text1" w:themeFillTint="D9"/>
            <w:vAlign w:val="center"/>
          </w:tcPr>
          <w:p w14:paraId="6EC28A42" w14:textId="77777777" w:rsidR="009975F6" w:rsidRPr="00DC6F66" w:rsidRDefault="009975F6" w:rsidP="00C9602D">
            <w:pPr>
              <w:rPr>
                <w:rFonts w:ascii="Times New Roman" w:hAnsi="Times New Roman" w:cs="Times New Roman"/>
                <w:color w:val="FFFFFF" w:themeColor="background1"/>
                <w:sz w:val="22"/>
                <w:szCs w:val="22"/>
                <w:lang w:val="lv-LV"/>
              </w:rPr>
            </w:pPr>
          </w:p>
        </w:tc>
        <w:tc>
          <w:tcPr>
            <w:tcW w:w="284" w:type="dxa"/>
            <w:vMerge/>
            <w:tcBorders>
              <w:bottom w:val="single" w:sz="4" w:space="0" w:color="FFFFFF" w:themeColor="background1"/>
              <w:right w:val="single" w:sz="12" w:space="0" w:color="404040" w:themeColor="text1" w:themeTint="BF"/>
            </w:tcBorders>
            <w:vAlign w:val="center"/>
          </w:tcPr>
          <w:p w14:paraId="383EE9B5" w14:textId="77777777" w:rsidR="009975F6" w:rsidRPr="00DC6F66" w:rsidRDefault="009975F6" w:rsidP="00C9602D">
            <w:pPr>
              <w:rPr>
                <w:rFonts w:ascii="Times New Roman" w:hAnsi="Times New Roman" w:cs="Times New Roman"/>
                <w:color w:val="FFFFFF" w:themeColor="background1"/>
                <w:sz w:val="22"/>
                <w:szCs w:val="22"/>
                <w:lang w:val="lv-LV"/>
              </w:rPr>
            </w:pPr>
          </w:p>
        </w:tc>
        <w:tc>
          <w:tcPr>
            <w:tcW w:w="1417" w:type="dxa"/>
            <w:vMerge/>
            <w:tcBorders>
              <w:left w:val="single" w:sz="12" w:space="0" w:color="404040" w:themeColor="text1" w:themeTint="BF"/>
              <w:bottom w:val="single" w:sz="4" w:space="0" w:color="FFFFFF" w:themeColor="background1"/>
              <w:right w:val="single" w:sz="12" w:space="0" w:color="404040" w:themeColor="text1" w:themeTint="BF"/>
            </w:tcBorders>
            <w:shd w:val="clear" w:color="auto" w:fill="262626" w:themeFill="text1" w:themeFillTint="D9"/>
            <w:vAlign w:val="center"/>
          </w:tcPr>
          <w:p w14:paraId="6098959A" w14:textId="77777777" w:rsidR="009975F6" w:rsidRPr="00DC6F66" w:rsidRDefault="009975F6" w:rsidP="00C9602D">
            <w:pPr>
              <w:rPr>
                <w:rFonts w:ascii="Times New Roman" w:hAnsi="Times New Roman" w:cs="Times New Roman"/>
                <w:color w:val="FFFFFF" w:themeColor="background1"/>
                <w:sz w:val="22"/>
                <w:szCs w:val="22"/>
                <w:lang w:val="lv-LV"/>
              </w:rPr>
            </w:pPr>
          </w:p>
        </w:tc>
        <w:tc>
          <w:tcPr>
            <w:tcW w:w="284" w:type="dxa"/>
            <w:vMerge/>
            <w:tcBorders>
              <w:left w:val="single" w:sz="12" w:space="0" w:color="404040" w:themeColor="text1" w:themeTint="BF"/>
              <w:bottom w:val="single" w:sz="4" w:space="0" w:color="FFFFFF" w:themeColor="background1"/>
              <w:right w:val="single" w:sz="12" w:space="0" w:color="404040" w:themeColor="text1" w:themeTint="BF"/>
            </w:tcBorders>
            <w:vAlign w:val="center"/>
          </w:tcPr>
          <w:p w14:paraId="58B00E69" w14:textId="77777777" w:rsidR="009975F6" w:rsidRPr="00DC6F66" w:rsidRDefault="009975F6" w:rsidP="00C9602D">
            <w:pPr>
              <w:rPr>
                <w:rFonts w:ascii="Times New Roman" w:hAnsi="Times New Roman" w:cs="Times New Roman"/>
                <w:color w:val="FFFFFF" w:themeColor="background1"/>
                <w:sz w:val="22"/>
                <w:szCs w:val="22"/>
                <w:lang w:val="lv-LV"/>
              </w:rPr>
            </w:pPr>
          </w:p>
        </w:tc>
        <w:tc>
          <w:tcPr>
            <w:tcW w:w="1417" w:type="dxa"/>
            <w:tcBorders>
              <w:left w:val="single" w:sz="12" w:space="0" w:color="404040" w:themeColor="text1" w:themeTint="BF"/>
              <w:bottom w:val="single" w:sz="4" w:space="0" w:color="FFFFFF" w:themeColor="background1"/>
            </w:tcBorders>
            <w:shd w:val="clear" w:color="auto" w:fill="767171" w:themeFill="background2" w:themeFillShade="80"/>
            <w:vAlign w:val="center"/>
          </w:tcPr>
          <w:p w14:paraId="7525A756" w14:textId="77777777" w:rsidR="009975F6" w:rsidRPr="00DC6F66" w:rsidRDefault="009975F6" w:rsidP="00C9602D">
            <w:pPr>
              <w:spacing w:after="40"/>
              <w:jc w:val="center"/>
              <w:rPr>
                <w:rFonts w:ascii="Times New Roman" w:hAnsi="Times New Roman" w:cs="Times New Roman"/>
                <w:color w:val="FFFFFF" w:themeColor="background1"/>
                <w:sz w:val="18"/>
                <w:szCs w:val="22"/>
                <w:lang w:val="lv-LV"/>
              </w:rPr>
            </w:pPr>
            <w:r w:rsidRPr="00DC6F66">
              <w:rPr>
                <w:rFonts w:ascii="Times New Roman" w:hAnsi="Times New Roman" w:cs="Times New Roman"/>
                <w:color w:val="FFFFFF" w:themeColor="background1"/>
                <w:sz w:val="18"/>
                <w:szCs w:val="22"/>
                <w:lang w:val="lv-LV"/>
              </w:rPr>
              <w:t>Privatizācija</w:t>
            </w:r>
          </w:p>
        </w:tc>
        <w:tc>
          <w:tcPr>
            <w:tcW w:w="284" w:type="dxa"/>
            <w:tcBorders>
              <w:bottom w:val="single" w:sz="4" w:space="0" w:color="FFFFFF" w:themeColor="background1"/>
              <w:right w:val="nil"/>
            </w:tcBorders>
            <w:vAlign w:val="center"/>
          </w:tcPr>
          <w:p w14:paraId="40917C3D" w14:textId="77777777" w:rsidR="009975F6" w:rsidRPr="00DC6F66" w:rsidRDefault="009975F6" w:rsidP="00C9602D">
            <w:pPr>
              <w:spacing w:after="40"/>
              <w:jc w:val="center"/>
              <w:rPr>
                <w:rFonts w:ascii="Times New Roman" w:hAnsi="Times New Roman" w:cs="Times New Roman"/>
                <w:color w:val="FFFFFF" w:themeColor="background1"/>
                <w:sz w:val="18"/>
                <w:szCs w:val="22"/>
                <w:lang w:val="lv-LV"/>
              </w:rPr>
            </w:pPr>
          </w:p>
        </w:tc>
        <w:tc>
          <w:tcPr>
            <w:tcW w:w="1417" w:type="dxa"/>
            <w:tcBorders>
              <w:top w:val="nil"/>
              <w:left w:val="nil"/>
              <w:bottom w:val="single" w:sz="4" w:space="0" w:color="FFFFFF" w:themeColor="background1"/>
              <w:right w:val="single" w:sz="12" w:space="0" w:color="404040" w:themeColor="text1" w:themeTint="BF"/>
            </w:tcBorders>
            <w:shd w:val="clear" w:color="auto" w:fill="767171" w:themeFill="background2" w:themeFillShade="80"/>
            <w:vAlign w:val="center"/>
          </w:tcPr>
          <w:p w14:paraId="2857FC84" w14:textId="77777777" w:rsidR="009975F6" w:rsidRPr="00DC6F66" w:rsidRDefault="009975F6" w:rsidP="00C9602D">
            <w:pPr>
              <w:spacing w:after="40"/>
              <w:jc w:val="center"/>
              <w:rPr>
                <w:rFonts w:ascii="Times New Roman" w:hAnsi="Times New Roman" w:cs="Times New Roman"/>
                <w:color w:val="FFFFFF" w:themeColor="background1"/>
                <w:sz w:val="18"/>
                <w:szCs w:val="22"/>
                <w:lang w:val="lv-LV"/>
              </w:rPr>
            </w:pPr>
            <w:r w:rsidRPr="00DC6F66">
              <w:rPr>
                <w:rFonts w:ascii="Times New Roman" w:hAnsi="Times New Roman" w:cs="Times New Roman"/>
                <w:color w:val="FFFFFF" w:themeColor="background1"/>
                <w:sz w:val="18"/>
                <w:szCs w:val="22"/>
                <w:lang w:val="lv-LV"/>
              </w:rPr>
              <w:t>Atsavināšana</w:t>
            </w:r>
          </w:p>
        </w:tc>
      </w:tr>
      <w:tr w:rsidR="009975F6" w:rsidRPr="00DC6F66" w14:paraId="540D091A" w14:textId="77777777" w:rsidTr="00BA2102">
        <w:trPr>
          <w:trHeight w:val="49"/>
        </w:trPr>
        <w:tc>
          <w:tcPr>
            <w:tcW w:w="9091" w:type="dxa"/>
            <w:gridSpan w:val="7"/>
            <w:tcBorders>
              <w:left w:val="single" w:sz="12" w:space="0" w:color="404040" w:themeColor="text1" w:themeTint="BF"/>
            </w:tcBorders>
            <w:shd w:val="clear" w:color="auto" w:fill="auto"/>
            <w:vAlign w:val="center"/>
          </w:tcPr>
          <w:p w14:paraId="6ED3F28D" w14:textId="77777777" w:rsidR="009975F6" w:rsidRPr="00DC6F66" w:rsidRDefault="009975F6" w:rsidP="00C9602D">
            <w:pPr>
              <w:spacing w:after="40"/>
              <w:jc w:val="center"/>
              <w:rPr>
                <w:rFonts w:ascii="Times New Roman" w:hAnsi="Times New Roman" w:cs="Times New Roman"/>
                <w:color w:val="FFFFFF" w:themeColor="background1"/>
                <w:sz w:val="2"/>
                <w:lang w:val="lv-LV"/>
              </w:rPr>
            </w:pPr>
          </w:p>
        </w:tc>
      </w:tr>
      <w:tr w:rsidR="009975F6" w:rsidRPr="00DC6F66" w14:paraId="048DD7FD" w14:textId="77777777" w:rsidTr="00BA2102">
        <w:tc>
          <w:tcPr>
            <w:tcW w:w="3988" w:type="dxa"/>
            <w:tcBorders>
              <w:left w:val="single" w:sz="12" w:space="0" w:color="404040" w:themeColor="text1" w:themeTint="BF"/>
            </w:tcBorders>
          </w:tcPr>
          <w:p w14:paraId="13230A48" w14:textId="77777777" w:rsidR="009975F6" w:rsidRPr="00DC6F66" w:rsidRDefault="009975F6" w:rsidP="00C9602D">
            <w:pPr>
              <w:rPr>
                <w:rFonts w:ascii="Times New Roman" w:hAnsi="Times New Roman" w:cs="Times New Roman"/>
                <w:sz w:val="20"/>
                <w:szCs w:val="20"/>
                <w:lang w:val="lv-LV"/>
              </w:rPr>
            </w:pPr>
            <w:r w:rsidRPr="00DC6F66">
              <w:rPr>
                <w:rFonts w:ascii="Times New Roman" w:hAnsi="Times New Roman" w:cs="Times New Roman"/>
                <w:sz w:val="20"/>
                <w:szCs w:val="20"/>
                <w:lang w:val="lv-LV"/>
              </w:rPr>
              <w:t>Nekustamā īpašuma objekti un zemesgabali</w:t>
            </w:r>
          </w:p>
        </w:tc>
        <w:tc>
          <w:tcPr>
            <w:tcW w:w="284" w:type="dxa"/>
            <w:tcBorders>
              <w:right w:val="thinThickSmallGap" w:sz="24" w:space="0" w:color="00642D"/>
            </w:tcBorders>
          </w:tcPr>
          <w:p w14:paraId="424E2BD8" w14:textId="77777777" w:rsidR="009975F6" w:rsidRPr="00DC6F66" w:rsidRDefault="009975F6" w:rsidP="00C9602D">
            <w:pPr>
              <w:rPr>
                <w:rFonts w:ascii="Times New Roman" w:hAnsi="Times New Roman" w:cs="Times New Roman"/>
                <w:sz w:val="22"/>
                <w:szCs w:val="22"/>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4BF4E671" w14:textId="77777777" w:rsidR="009975F6" w:rsidRPr="00DC6F66" w:rsidRDefault="009975F6" w:rsidP="00C9602D">
            <w:pPr>
              <w:jc w:val="center"/>
              <w:rPr>
                <w:rFonts w:ascii="Times New Roman" w:hAnsi="Times New Roman" w:cs="Times New Roman"/>
                <w:color w:val="00642D"/>
                <w:sz w:val="20"/>
                <w:szCs w:val="20"/>
                <w:lang w:val="lv-LV"/>
              </w:rPr>
            </w:pPr>
            <w:r w:rsidRPr="00DC6F66">
              <w:rPr>
                <w:rFonts w:ascii="Times New Roman" w:hAnsi="Times New Roman" w:cs="Times New Roman"/>
                <w:b/>
                <w:i/>
                <w:color w:val="00642D"/>
                <w:sz w:val="22"/>
                <w:szCs w:val="20"/>
                <w:lang w:val="lv-LV"/>
              </w:rPr>
              <w:t>√</w:t>
            </w:r>
          </w:p>
        </w:tc>
        <w:tc>
          <w:tcPr>
            <w:tcW w:w="284" w:type="dxa"/>
            <w:tcBorders>
              <w:left w:val="thickThinSmallGap" w:sz="24" w:space="0" w:color="00642D"/>
              <w:right w:val="thinThickSmallGap" w:sz="24" w:space="0" w:color="00642D"/>
            </w:tcBorders>
          </w:tcPr>
          <w:p w14:paraId="0D396940" w14:textId="77777777" w:rsidR="009975F6" w:rsidRPr="00DC6F66" w:rsidRDefault="009975F6" w:rsidP="00C9602D">
            <w:pPr>
              <w:rPr>
                <w:rFonts w:ascii="Times New Roman" w:hAnsi="Times New Roman" w:cs="Times New Roman"/>
                <w:sz w:val="20"/>
                <w:szCs w:val="20"/>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6E877AD0" w14:textId="77777777" w:rsidR="009975F6" w:rsidRPr="00DC6F66" w:rsidRDefault="009975F6" w:rsidP="00C9602D">
            <w:pPr>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4" w:type="dxa"/>
            <w:tcBorders>
              <w:left w:val="thickThinSmallGap" w:sz="24" w:space="0" w:color="00642D"/>
              <w:right w:val="wave" w:sz="6" w:space="0" w:color="C00000"/>
            </w:tcBorders>
          </w:tcPr>
          <w:p w14:paraId="5E7F711A" w14:textId="77777777" w:rsidR="009975F6" w:rsidRPr="00DC6F66" w:rsidRDefault="009975F6" w:rsidP="00C9602D">
            <w:pPr>
              <w:rPr>
                <w:rFonts w:ascii="Times New Roman" w:hAnsi="Times New Roman" w:cs="Times New Roman"/>
                <w:sz w:val="20"/>
                <w:szCs w:val="20"/>
                <w:lang w:val="lv-LV"/>
              </w:rPr>
            </w:pPr>
          </w:p>
        </w:tc>
        <w:tc>
          <w:tcPr>
            <w:tcW w:w="1417" w:type="dxa"/>
            <w:tcBorders>
              <w:top w:val="wave" w:sz="6" w:space="0" w:color="C00000"/>
              <w:left w:val="wave" w:sz="6" w:space="0" w:color="C00000"/>
              <w:bottom w:val="wave" w:sz="6" w:space="0" w:color="C00000"/>
              <w:right w:val="wave" w:sz="6" w:space="0" w:color="C00000"/>
            </w:tcBorders>
          </w:tcPr>
          <w:p w14:paraId="5A22CFE1" w14:textId="77777777" w:rsidR="009975F6" w:rsidRPr="00DC6F66" w:rsidRDefault="009975F6" w:rsidP="00C9602D">
            <w:pPr>
              <w:jc w:val="center"/>
              <w:rPr>
                <w:rFonts w:ascii="Times New Roman" w:hAnsi="Times New Roman" w:cs="Times New Roman"/>
                <w:color w:val="C00000"/>
                <w:sz w:val="20"/>
                <w:szCs w:val="20"/>
                <w:lang w:val="lv-LV"/>
              </w:rPr>
            </w:pPr>
            <w:r w:rsidRPr="00DC6F66">
              <w:rPr>
                <w:rFonts w:ascii="Times New Roman" w:hAnsi="Times New Roman" w:cs="Times New Roman"/>
                <w:color w:val="C00000"/>
                <w:sz w:val="20"/>
                <w:szCs w:val="20"/>
                <w:lang w:val="lv-LV"/>
              </w:rPr>
              <w:t xml:space="preserve"> X*</w:t>
            </w:r>
          </w:p>
        </w:tc>
      </w:tr>
      <w:tr w:rsidR="009975F6" w:rsidRPr="00DC6F66" w14:paraId="32EE4AC3" w14:textId="77777777" w:rsidTr="00BA2102">
        <w:trPr>
          <w:trHeight w:val="51"/>
        </w:trPr>
        <w:tc>
          <w:tcPr>
            <w:tcW w:w="9091" w:type="dxa"/>
            <w:gridSpan w:val="7"/>
            <w:tcBorders>
              <w:left w:val="single" w:sz="12" w:space="0" w:color="404040" w:themeColor="text1" w:themeTint="BF"/>
            </w:tcBorders>
          </w:tcPr>
          <w:p w14:paraId="50A3B1F1" w14:textId="77777777" w:rsidR="009975F6" w:rsidRPr="00DC6F66" w:rsidRDefault="009975F6" w:rsidP="00C9602D">
            <w:pPr>
              <w:jc w:val="center"/>
              <w:rPr>
                <w:rFonts w:ascii="Times New Roman" w:hAnsi="Times New Roman" w:cs="Times New Roman"/>
                <w:sz w:val="8"/>
                <w:szCs w:val="22"/>
                <w:lang w:val="lv-LV"/>
              </w:rPr>
            </w:pPr>
          </w:p>
        </w:tc>
      </w:tr>
      <w:tr w:rsidR="009975F6" w:rsidRPr="00DC6F66" w14:paraId="0A00F9F2" w14:textId="77777777" w:rsidTr="00BA2102">
        <w:tc>
          <w:tcPr>
            <w:tcW w:w="3988" w:type="dxa"/>
            <w:tcBorders>
              <w:left w:val="single" w:sz="12" w:space="0" w:color="404040" w:themeColor="text1" w:themeTint="BF"/>
            </w:tcBorders>
          </w:tcPr>
          <w:p w14:paraId="7AB6D701" w14:textId="77777777" w:rsidR="009975F6" w:rsidRPr="00DC6F66" w:rsidRDefault="009975F6" w:rsidP="00C9602D">
            <w:pPr>
              <w:rPr>
                <w:rFonts w:ascii="Times New Roman" w:hAnsi="Times New Roman" w:cs="Times New Roman"/>
                <w:sz w:val="20"/>
                <w:szCs w:val="20"/>
                <w:lang w:val="lv-LV"/>
              </w:rPr>
            </w:pPr>
            <w:r w:rsidRPr="00DC6F66">
              <w:rPr>
                <w:rFonts w:ascii="Times New Roman" w:hAnsi="Times New Roman" w:cs="Times New Roman"/>
                <w:sz w:val="20"/>
                <w:szCs w:val="20"/>
                <w:lang w:val="lv-LV"/>
              </w:rPr>
              <w:t>Dzīvojamās mājas un dzīvokļu īpašumi</w:t>
            </w:r>
          </w:p>
        </w:tc>
        <w:tc>
          <w:tcPr>
            <w:tcW w:w="284" w:type="dxa"/>
            <w:tcBorders>
              <w:right w:val="thinThickSmallGap" w:sz="24" w:space="0" w:color="00642D"/>
            </w:tcBorders>
          </w:tcPr>
          <w:p w14:paraId="53633C18" w14:textId="77777777" w:rsidR="009975F6" w:rsidRPr="00DC6F66" w:rsidRDefault="009975F6" w:rsidP="00C9602D">
            <w:pPr>
              <w:rPr>
                <w:rFonts w:ascii="Times New Roman" w:hAnsi="Times New Roman" w:cs="Times New Roman"/>
                <w:sz w:val="22"/>
                <w:szCs w:val="22"/>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210552F1" w14:textId="77777777" w:rsidR="009975F6" w:rsidRPr="00DC6F66" w:rsidRDefault="009975F6" w:rsidP="00C9602D">
            <w:pPr>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4" w:type="dxa"/>
            <w:tcBorders>
              <w:left w:val="thickThinSmallGap" w:sz="24" w:space="0" w:color="00642D"/>
              <w:right w:val="thinThickSmallGap" w:sz="24" w:space="0" w:color="00642D"/>
            </w:tcBorders>
          </w:tcPr>
          <w:p w14:paraId="644BA271" w14:textId="77777777" w:rsidR="009975F6" w:rsidRPr="00DC6F66" w:rsidRDefault="009975F6" w:rsidP="00C9602D">
            <w:pPr>
              <w:rPr>
                <w:rFonts w:ascii="Times New Roman" w:hAnsi="Times New Roman" w:cs="Times New Roman"/>
                <w:sz w:val="20"/>
                <w:szCs w:val="20"/>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44A3C069" w14:textId="77777777" w:rsidR="009975F6" w:rsidRPr="00DC6F66" w:rsidRDefault="009975F6" w:rsidP="00C9602D">
            <w:pPr>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4" w:type="dxa"/>
            <w:tcBorders>
              <w:left w:val="thickThinSmallGap" w:sz="24" w:space="0" w:color="00642D"/>
              <w:right w:val="thinThickSmallGap" w:sz="24" w:space="0" w:color="00642D"/>
            </w:tcBorders>
          </w:tcPr>
          <w:p w14:paraId="5919638B" w14:textId="77777777" w:rsidR="009975F6" w:rsidRPr="00DC6F66" w:rsidRDefault="009975F6" w:rsidP="00C9602D">
            <w:pPr>
              <w:rPr>
                <w:rFonts w:ascii="Times New Roman" w:hAnsi="Times New Roman" w:cs="Times New Roman"/>
                <w:sz w:val="20"/>
                <w:szCs w:val="20"/>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3E0CBED0" w14:textId="77777777" w:rsidR="009975F6" w:rsidRPr="00DC6F66" w:rsidRDefault="009975F6" w:rsidP="00C9602D">
            <w:pPr>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 xml:space="preserve">  √**</w:t>
            </w:r>
          </w:p>
        </w:tc>
      </w:tr>
      <w:tr w:rsidR="009975F6" w:rsidRPr="00DC6F66" w14:paraId="4BDA1B33" w14:textId="77777777" w:rsidTr="00BA2102">
        <w:tc>
          <w:tcPr>
            <w:tcW w:w="3988" w:type="dxa"/>
            <w:tcBorders>
              <w:left w:val="single" w:sz="12" w:space="0" w:color="404040" w:themeColor="text1" w:themeTint="BF"/>
              <w:bottom w:val="single" w:sz="12" w:space="0" w:color="FFFFFF" w:themeColor="background1"/>
            </w:tcBorders>
          </w:tcPr>
          <w:p w14:paraId="62817E39" w14:textId="77777777" w:rsidR="009975F6" w:rsidRPr="00DC6F66" w:rsidRDefault="009975F6" w:rsidP="00C9602D">
            <w:pPr>
              <w:rPr>
                <w:rFonts w:ascii="Times New Roman" w:hAnsi="Times New Roman" w:cs="Times New Roman"/>
                <w:sz w:val="8"/>
                <w:szCs w:val="22"/>
                <w:lang w:val="lv-LV"/>
              </w:rPr>
            </w:pPr>
          </w:p>
        </w:tc>
        <w:tc>
          <w:tcPr>
            <w:tcW w:w="284" w:type="dxa"/>
            <w:tcBorders>
              <w:bottom w:val="single" w:sz="12" w:space="0" w:color="FFFFFF" w:themeColor="background1"/>
            </w:tcBorders>
          </w:tcPr>
          <w:p w14:paraId="1CD42B39" w14:textId="77777777" w:rsidR="009975F6" w:rsidRPr="00DC6F66" w:rsidRDefault="009975F6" w:rsidP="00C9602D">
            <w:pPr>
              <w:rPr>
                <w:rFonts w:ascii="Times New Roman" w:hAnsi="Times New Roman" w:cs="Times New Roman"/>
                <w:sz w:val="8"/>
                <w:szCs w:val="22"/>
                <w:lang w:val="lv-LV"/>
              </w:rPr>
            </w:pPr>
          </w:p>
        </w:tc>
        <w:tc>
          <w:tcPr>
            <w:tcW w:w="1417" w:type="dxa"/>
            <w:tcBorders>
              <w:bottom w:val="single" w:sz="12" w:space="0" w:color="FFFFFF" w:themeColor="background1"/>
            </w:tcBorders>
          </w:tcPr>
          <w:p w14:paraId="128AED5F" w14:textId="77777777" w:rsidR="009975F6" w:rsidRPr="00DC6F66" w:rsidRDefault="009975F6" w:rsidP="00C9602D">
            <w:pPr>
              <w:jc w:val="center"/>
              <w:rPr>
                <w:rFonts w:ascii="Times New Roman" w:hAnsi="Times New Roman" w:cs="Times New Roman"/>
                <w:sz w:val="8"/>
                <w:szCs w:val="22"/>
                <w:lang w:val="lv-LV"/>
              </w:rPr>
            </w:pPr>
          </w:p>
        </w:tc>
        <w:tc>
          <w:tcPr>
            <w:tcW w:w="284" w:type="dxa"/>
            <w:tcBorders>
              <w:bottom w:val="single" w:sz="12" w:space="0" w:color="FFFFFF" w:themeColor="background1"/>
            </w:tcBorders>
          </w:tcPr>
          <w:p w14:paraId="76C109CF" w14:textId="77777777" w:rsidR="009975F6" w:rsidRPr="00DC6F66" w:rsidRDefault="009975F6" w:rsidP="00C9602D">
            <w:pPr>
              <w:rPr>
                <w:rFonts w:ascii="Times New Roman" w:hAnsi="Times New Roman" w:cs="Times New Roman"/>
                <w:sz w:val="8"/>
                <w:szCs w:val="22"/>
                <w:lang w:val="lv-LV"/>
              </w:rPr>
            </w:pPr>
          </w:p>
        </w:tc>
        <w:tc>
          <w:tcPr>
            <w:tcW w:w="1417" w:type="dxa"/>
            <w:tcBorders>
              <w:bottom w:val="single" w:sz="12" w:space="0" w:color="FFFFFF" w:themeColor="background1"/>
            </w:tcBorders>
          </w:tcPr>
          <w:p w14:paraId="66A24228" w14:textId="77777777" w:rsidR="009975F6" w:rsidRPr="00DC6F66" w:rsidRDefault="009975F6" w:rsidP="00C9602D">
            <w:pPr>
              <w:jc w:val="center"/>
              <w:rPr>
                <w:rFonts w:ascii="Times New Roman" w:hAnsi="Times New Roman" w:cs="Times New Roman"/>
                <w:sz w:val="8"/>
                <w:szCs w:val="22"/>
                <w:lang w:val="lv-LV"/>
              </w:rPr>
            </w:pPr>
          </w:p>
        </w:tc>
        <w:tc>
          <w:tcPr>
            <w:tcW w:w="284" w:type="dxa"/>
            <w:tcBorders>
              <w:bottom w:val="single" w:sz="12" w:space="0" w:color="FFFFFF" w:themeColor="background1"/>
            </w:tcBorders>
          </w:tcPr>
          <w:p w14:paraId="79D0F163" w14:textId="77777777" w:rsidR="009975F6" w:rsidRPr="00DC6F66" w:rsidRDefault="009975F6" w:rsidP="00C9602D">
            <w:pPr>
              <w:rPr>
                <w:rFonts w:ascii="Times New Roman" w:hAnsi="Times New Roman" w:cs="Times New Roman"/>
                <w:sz w:val="8"/>
                <w:szCs w:val="22"/>
                <w:lang w:val="lv-LV"/>
              </w:rPr>
            </w:pPr>
          </w:p>
        </w:tc>
        <w:tc>
          <w:tcPr>
            <w:tcW w:w="1417" w:type="dxa"/>
            <w:tcBorders>
              <w:bottom w:val="single" w:sz="12" w:space="0" w:color="FFFFFF" w:themeColor="background1"/>
            </w:tcBorders>
          </w:tcPr>
          <w:p w14:paraId="5FC962A4" w14:textId="77777777" w:rsidR="009975F6" w:rsidRPr="00DC6F66" w:rsidRDefault="009975F6" w:rsidP="00C9602D">
            <w:pPr>
              <w:jc w:val="center"/>
              <w:rPr>
                <w:rFonts w:ascii="Times New Roman" w:hAnsi="Times New Roman" w:cs="Times New Roman"/>
                <w:sz w:val="8"/>
                <w:szCs w:val="22"/>
                <w:lang w:val="lv-LV"/>
              </w:rPr>
            </w:pPr>
          </w:p>
        </w:tc>
      </w:tr>
      <w:tr w:rsidR="00EA06F7" w:rsidRPr="00DC6F66" w14:paraId="416BB158" w14:textId="77777777" w:rsidTr="00BA2102">
        <w:tc>
          <w:tcPr>
            <w:tcW w:w="3988" w:type="dxa"/>
            <w:tcBorders>
              <w:top w:val="single" w:sz="12" w:space="0" w:color="FFFFFF" w:themeColor="background1"/>
              <w:left w:val="single" w:sz="12" w:space="0" w:color="404040" w:themeColor="text1" w:themeTint="BF"/>
              <w:bottom w:val="single" w:sz="12" w:space="0" w:color="FFFFFF" w:themeColor="background1"/>
              <w:right w:val="single" w:sz="12" w:space="0" w:color="FFFFFF" w:themeColor="background1"/>
            </w:tcBorders>
          </w:tcPr>
          <w:p w14:paraId="09524368" w14:textId="77777777" w:rsidR="00EA06F7" w:rsidRPr="00DC6F66" w:rsidRDefault="00EA06F7" w:rsidP="00C9602D">
            <w:pPr>
              <w:rPr>
                <w:rFonts w:ascii="Times New Roman" w:hAnsi="Times New Roman" w:cs="Times New Roman"/>
                <w:sz w:val="20"/>
                <w:szCs w:val="20"/>
                <w:lang w:val="lv-LV"/>
              </w:rPr>
            </w:pPr>
            <w:r w:rsidRPr="00DC6F66">
              <w:rPr>
                <w:rFonts w:ascii="Times New Roman" w:hAnsi="Times New Roman" w:cs="Times New Roman"/>
                <w:sz w:val="20"/>
                <w:szCs w:val="20"/>
                <w:lang w:val="lv-LV"/>
              </w:rPr>
              <w:t>Kapitāla daļas un problemātiskie aktīvi</w:t>
            </w:r>
          </w:p>
        </w:tc>
        <w:tc>
          <w:tcPr>
            <w:tcW w:w="2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3F09206" w14:textId="77777777" w:rsidR="00EA06F7" w:rsidRPr="00DC6F66" w:rsidRDefault="00EA06F7" w:rsidP="00C9602D">
            <w:pPr>
              <w:rPr>
                <w:rFonts w:ascii="Times New Roman" w:hAnsi="Times New Roman" w:cs="Times New Roman"/>
                <w:lang w:val="lv-LV"/>
              </w:rPr>
            </w:pPr>
          </w:p>
        </w:tc>
        <w:tc>
          <w:tcPr>
            <w:tcW w:w="1417" w:type="dxa"/>
            <w:tcBorders>
              <w:top w:val="single" w:sz="12" w:space="0" w:color="FFFFFF" w:themeColor="background1"/>
              <w:left w:val="single" w:sz="12" w:space="0" w:color="FFFFFF" w:themeColor="background1"/>
              <w:bottom w:val="thinThickSmallGap" w:sz="24" w:space="0" w:color="00642D"/>
              <w:right w:val="single" w:sz="12" w:space="0" w:color="FFFFFF" w:themeColor="background1"/>
            </w:tcBorders>
          </w:tcPr>
          <w:p w14:paraId="2F1EAE39" w14:textId="77777777" w:rsidR="00EA06F7" w:rsidRPr="00DC6F66" w:rsidRDefault="00EA06F7" w:rsidP="00C9602D">
            <w:pPr>
              <w:jc w:val="center"/>
              <w:rPr>
                <w:rFonts w:ascii="Times New Roman" w:hAnsi="Times New Roman" w:cs="Times New Roman"/>
                <w:b/>
                <w:i/>
                <w:color w:val="00642D"/>
                <w:szCs w:val="20"/>
                <w:lang w:val="lv-LV"/>
              </w:rPr>
            </w:pPr>
          </w:p>
        </w:tc>
        <w:tc>
          <w:tcPr>
            <w:tcW w:w="2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70E8378" w14:textId="77777777" w:rsidR="00EA06F7" w:rsidRPr="00DC6F66" w:rsidRDefault="00EA06F7" w:rsidP="00C9602D">
            <w:pPr>
              <w:rPr>
                <w:rFonts w:ascii="Times New Roman" w:hAnsi="Times New Roman" w:cs="Times New Roman"/>
                <w:sz w:val="20"/>
                <w:szCs w:val="20"/>
                <w:lang w:val="lv-LV"/>
              </w:rPr>
            </w:pPr>
          </w:p>
        </w:tc>
        <w:tc>
          <w:tcPr>
            <w:tcW w:w="1417" w:type="dxa"/>
            <w:tcBorders>
              <w:top w:val="single" w:sz="12" w:space="0" w:color="FFFFFF" w:themeColor="background1"/>
              <w:left w:val="single" w:sz="12" w:space="0" w:color="FFFFFF" w:themeColor="background1"/>
              <w:bottom w:val="thinThickSmallGap" w:sz="24" w:space="0" w:color="00642D"/>
              <w:right w:val="single" w:sz="12" w:space="0" w:color="FFFFFF" w:themeColor="background1"/>
            </w:tcBorders>
          </w:tcPr>
          <w:p w14:paraId="12D6665E" w14:textId="77777777" w:rsidR="00EA06F7" w:rsidRPr="00DC6F66" w:rsidRDefault="00EA06F7" w:rsidP="00C9602D">
            <w:pPr>
              <w:jc w:val="center"/>
              <w:rPr>
                <w:rFonts w:ascii="Times New Roman" w:hAnsi="Times New Roman" w:cs="Times New Roman"/>
                <w:b/>
                <w:i/>
                <w:color w:val="00642D"/>
                <w:szCs w:val="20"/>
                <w:lang w:val="lv-LV"/>
              </w:rPr>
            </w:pPr>
          </w:p>
        </w:tc>
        <w:tc>
          <w:tcPr>
            <w:tcW w:w="2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621DA79" w14:textId="77777777" w:rsidR="00EA06F7" w:rsidRPr="00DC6F66" w:rsidRDefault="00EA06F7" w:rsidP="00C9602D">
            <w:pPr>
              <w:rPr>
                <w:rFonts w:ascii="Times New Roman" w:hAnsi="Times New Roman" w:cs="Times New Roman"/>
                <w:sz w:val="20"/>
                <w:szCs w:val="20"/>
                <w:lang w:val="lv-LV"/>
              </w:rPr>
            </w:pPr>
          </w:p>
        </w:tc>
        <w:tc>
          <w:tcPr>
            <w:tcW w:w="1417" w:type="dxa"/>
            <w:tcBorders>
              <w:top w:val="single" w:sz="12" w:space="0" w:color="FFFFFF" w:themeColor="background1"/>
              <w:left w:val="single" w:sz="12" w:space="0" w:color="FFFFFF" w:themeColor="background1"/>
              <w:bottom w:val="thinThickSmallGap" w:sz="24" w:space="0" w:color="00642D"/>
              <w:right w:val="single" w:sz="12" w:space="0" w:color="FFFFFF" w:themeColor="background1"/>
            </w:tcBorders>
          </w:tcPr>
          <w:p w14:paraId="1BC721E3" w14:textId="77777777" w:rsidR="00EA06F7" w:rsidRPr="00DC6F66" w:rsidRDefault="00EA06F7" w:rsidP="00C9602D">
            <w:pPr>
              <w:jc w:val="center"/>
              <w:rPr>
                <w:rFonts w:ascii="Times New Roman" w:hAnsi="Times New Roman" w:cs="Times New Roman"/>
                <w:b/>
                <w:i/>
                <w:color w:val="00642D"/>
                <w:szCs w:val="20"/>
                <w:lang w:val="lv-LV"/>
              </w:rPr>
            </w:pPr>
          </w:p>
        </w:tc>
      </w:tr>
      <w:tr w:rsidR="009975F6" w:rsidRPr="00DC6F66" w14:paraId="78D0D1B1" w14:textId="77777777" w:rsidTr="00BA2102">
        <w:tc>
          <w:tcPr>
            <w:tcW w:w="3988" w:type="dxa"/>
            <w:tcBorders>
              <w:top w:val="single" w:sz="12" w:space="0" w:color="FFFFFF" w:themeColor="background1"/>
              <w:left w:val="single" w:sz="12" w:space="0" w:color="404040" w:themeColor="text1" w:themeTint="BF"/>
            </w:tcBorders>
          </w:tcPr>
          <w:p w14:paraId="5B7F596E" w14:textId="77777777" w:rsidR="009975F6" w:rsidRPr="00DC6F66" w:rsidRDefault="009975F6" w:rsidP="00EA06F7">
            <w:pPr>
              <w:ind w:left="720"/>
              <w:rPr>
                <w:rFonts w:ascii="Times New Roman" w:hAnsi="Times New Roman" w:cs="Times New Roman"/>
                <w:i/>
                <w:lang w:val="lv-LV"/>
              </w:rPr>
            </w:pPr>
            <w:r w:rsidRPr="00DC6F66">
              <w:rPr>
                <w:rFonts w:ascii="Times New Roman" w:hAnsi="Times New Roman" w:cs="Times New Roman"/>
                <w:i/>
                <w:sz w:val="20"/>
                <w:szCs w:val="20"/>
                <w:lang w:val="lv-LV"/>
              </w:rPr>
              <w:t>Kapitāla daļas</w:t>
            </w:r>
          </w:p>
        </w:tc>
        <w:tc>
          <w:tcPr>
            <w:tcW w:w="284" w:type="dxa"/>
            <w:tcBorders>
              <w:top w:val="single" w:sz="12" w:space="0" w:color="FFFFFF" w:themeColor="background1"/>
              <w:right w:val="thinThickSmallGap" w:sz="24" w:space="0" w:color="00642D"/>
            </w:tcBorders>
          </w:tcPr>
          <w:p w14:paraId="3F96B058" w14:textId="77777777" w:rsidR="009975F6" w:rsidRPr="00DC6F66" w:rsidRDefault="009975F6" w:rsidP="00C9602D">
            <w:pPr>
              <w:rPr>
                <w:rFonts w:ascii="Times New Roman" w:hAnsi="Times New Roman" w:cs="Times New Roman"/>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12F80294" w14:textId="77777777" w:rsidR="009975F6" w:rsidRPr="00DC6F66" w:rsidRDefault="009975F6" w:rsidP="00C9602D">
            <w:pPr>
              <w:jc w:val="center"/>
              <w:rPr>
                <w:rFonts w:ascii="Times New Roman" w:hAnsi="Times New Roman" w:cs="Times New Roman"/>
                <w:b/>
                <w:i/>
                <w:color w:val="00642D"/>
                <w:sz w:val="22"/>
                <w:szCs w:val="20"/>
                <w:lang w:val="lv-LV"/>
              </w:rPr>
            </w:pPr>
            <w:r w:rsidRPr="00DC6F66">
              <w:rPr>
                <w:rFonts w:ascii="Times New Roman" w:hAnsi="Times New Roman" w:cs="Times New Roman"/>
                <w:b/>
                <w:i/>
                <w:color w:val="00642D"/>
                <w:sz w:val="22"/>
                <w:szCs w:val="20"/>
                <w:lang w:val="lv-LV"/>
              </w:rPr>
              <w:t>√</w:t>
            </w:r>
          </w:p>
        </w:tc>
        <w:tc>
          <w:tcPr>
            <w:tcW w:w="284" w:type="dxa"/>
            <w:tcBorders>
              <w:top w:val="single" w:sz="12" w:space="0" w:color="FFFFFF" w:themeColor="background1"/>
              <w:left w:val="thickThinSmallGap" w:sz="24" w:space="0" w:color="00642D"/>
              <w:right w:val="thinThickSmallGap" w:sz="24" w:space="0" w:color="00642D"/>
            </w:tcBorders>
          </w:tcPr>
          <w:p w14:paraId="4F879CBD" w14:textId="77777777" w:rsidR="009975F6" w:rsidRPr="00DC6F66" w:rsidRDefault="009975F6" w:rsidP="00C9602D">
            <w:pPr>
              <w:rPr>
                <w:rFonts w:ascii="Times New Roman" w:hAnsi="Times New Roman" w:cs="Times New Roman"/>
                <w:sz w:val="20"/>
                <w:szCs w:val="20"/>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2094E89C" w14:textId="77777777" w:rsidR="009975F6" w:rsidRPr="00DC6F66" w:rsidRDefault="009975F6" w:rsidP="00C9602D">
            <w:pPr>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r w:rsidR="00EA06F7" w:rsidRPr="00DC6F66">
              <w:rPr>
                <w:rFonts w:ascii="Times New Roman" w:hAnsi="Times New Roman" w:cs="Times New Roman"/>
                <w:b/>
                <w:i/>
                <w:color w:val="00642D"/>
                <w:sz w:val="22"/>
                <w:szCs w:val="20"/>
                <w:lang w:val="lv-LV"/>
              </w:rPr>
              <w:t>***</w:t>
            </w:r>
          </w:p>
        </w:tc>
        <w:tc>
          <w:tcPr>
            <w:tcW w:w="284" w:type="dxa"/>
            <w:tcBorders>
              <w:top w:val="single" w:sz="12" w:space="0" w:color="FFFFFF" w:themeColor="background1"/>
              <w:left w:val="thickThinSmallGap" w:sz="24" w:space="0" w:color="00642D"/>
              <w:right w:val="thinThickSmallGap" w:sz="24" w:space="0" w:color="00642D"/>
            </w:tcBorders>
          </w:tcPr>
          <w:p w14:paraId="0BAC7C5F" w14:textId="77777777" w:rsidR="009975F6" w:rsidRPr="00DC6F66" w:rsidRDefault="009975F6" w:rsidP="00C9602D">
            <w:pPr>
              <w:rPr>
                <w:rFonts w:ascii="Times New Roman" w:hAnsi="Times New Roman" w:cs="Times New Roman"/>
                <w:sz w:val="20"/>
                <w:szCs w:val="20"/>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732BF7DD" w14:textId="77777777" w:rsidR="009975F6" w:rsidRPr="00DC6F66" w:rsidRDefault="009975F6" w:rsidP="00C9602D">
            <w:pPr>
              <w:jc w:val="center"/>
              <w:rPr>
                <w:rFonts w:ascii="Times New Roman" w:hAnsi="Times New Roman" w:cs="Times New Roman"/>
                <w:color w:val="00642D"/>
                <w:sz w:val="20"/>
                <w:szCs w:val="20"/>
                <w:lang w:val="lv-LV"/>
              </w:rPr>
            </w:pPr>
            <w:r w:rsidRPr="00DC6F66">
              <w:rPr>
                <w:rFonts w:ascii="Times New Roman" w:hAnsi="Times New Roman" w:cs="Times New Roman"/>
                <w:b/>
                <w:i/>
                <w:color w:val="00642D"/>
                <w:sz w:val="22"/>
                <w:szCs w:val="20"/>
                <w:lang w:val="lv-LV"/>
              </w:rPr>
              <w:t>√</w:t>
            </w:r>
          </w:p>
        </w:tc>
      </w:tr>
      <w:tr w:rsidR="009975F6" w:rsidRPr="00DC6F66" w14:paraId="0927590D" w14:textId="77777777" w:rsidTr="00BA2102">
        <w:tc>
          <w:tcPr>
            <w:tcW w:w="3988" w:type="dxa"/>
            <w:tcBorders>
              <w:left w:val="single" w:sz="12" w:space="0" w:color="404040" w:themeColor="text1" w:themeTint="BF"/>
            </w:tcBorders>
          </w:tcPr>
          <w:p w14:paraId="7E096F9A" w14:textId="77777777" w:rsidR="009975F6" w:rsidRPr="00DC6F66" w:rsidRDefault="009975F6" w:rsidP="00C9602D">
            <w:pPr>
              <w:rPr>
                <w:rFonts w:ascii="Times New Roman" w:hAnsi="Times New Roman" w:cs="Times New Roman"/>
                <w:i/>
                <w:sz w:val="8"/>
                <w:szCs w:val="22"/>
                <w:lang w:val="lv-LV"/>
              </w:rPr>
            </w:pPr>
          </w:p>
        </w:tc>
        <w:tc>
          <w:tcPr>
            <w:tcW w:w="284" w:type="dxa"/>
          </w:tcPr>
          <w:p w14:paraId="4B0B7456" w14:textId="77777777" w:rsidR="009975F6" w:rsidRPr="00DC6F66" w:rsidRDefault="009975F6" w:rsidP="00C9602D">
            <w:pPr>
              <w:rPr>
                <w:rFonts w:ascii="Times New Roman" w:hAnsi="Times New Roman" w:cs="Times New Roman"/>
                <w:sz w:val="8"/>
                <w:szCs w:val="22"/>
                <w:lang w:val="lv-LV"/>
              </w:rPr>
            </w:pPr>
          </w:p>
        </w:tc>
        <w:tc>
          <w:tcPr>
            <w:tcW w:w="1417" w:type="dxa"/>
            <w:tcBorders>
              <w:top w:val="thickThinSmallGap" w:sz="24" w:space="0" w:color="00642D"/>
              <w:bottom w:val="thinThickSmallGap" w:sz="24" w:space="0" w:color="00642D"/>
            </w:tcBorders>
          </w:tcPr>
          <w:p w14:paraId="117AD7CB" w14:textId="77777777" w:rsidR="009975F6" w:rsidRPr="00DC6F66" w:rsidRDefault="009975F6" w:rsidP="00C9602D">
            <w:pPr>
              <w:jc w:val="center"/>
              <w:rPr>
                <w:rFonts w:ascii="Times New Roman" w:hAnsi="Times New Roman" w:cs="Times New Roman"/>
                <w:sz w:val="8"/>
                <w:szCs w:val="22"/>
                <w:lang w:val="lv-LV"/>
              </w:rPr>
            </w:pPr>
          </w:p>
        </w:tc>
        <w:tc>
          <w:tcPr>
            <w:tcW w:w="284" w:type="dxa"/>
          </w:tcPr>
          <w:p w14:paraId="30B54457" w14:textId="77777777" w:rsidR="009975F6" w:rsidRPr="00DC6F66" w:rsidRDefault="009975F6" w:rsidP="00C9602D">
            <w:pPr>
              <w:rPr>
                <w:rFonts w:ascii="Times New Roman" w:hAnsi="Times New Roman" w:cs="Times New Roman"/>
                <w:sz w:val="8"/>
                <w:szCs w:val="22"/>
                <w:lang w:val="lv-LV"/>
              </w:rPr>
            </w:pPr>
          </w:p>
        </w:tc>
        <w:tc>
          <w:tcPr>
            <w:tcW w:w="1417" w:type="dxa"/>
            <w:tcBorders>
              <w:top w:val="thickThinSmallGap" w:sz="24" w:space="0" w:color="00642D"/>
            </w:tcBorders>
          </w:tcPr>
          <w:p w14:paraId="350B7CEC" w14:textId="77777777" w:rsidR="009975F6" w:rsidRPr="00DC6F66" w:rsidRDefault="009975F6" w:rsidP="00C9602D">
            <w:pPr>
              <w:jc w:val="center"/>
              <w:rPr>
                <w:rFonts w:ascii="Times New Roman" w:hAnsi="Times New Roman" w:cs="Times New Roman"/>
                <w:sz w:val="8"/>
                <w:szCs w:val="22"/>
                <w:lang w:val="lv-LV"/>
              </w:rPr>
            </w:pPr>
          </w:p>
        </w:tc>
        <w:tc>
          <w:tcPr>
            <w:tcW w:w="284" w:type="dxa"/>
          </w:tcPr>
          <w:p w14:paraId="14C42FDF" w14:textId="77777777" w:rsidR="009975F6" w:rsidRPr="00DC6F66" w:rsidRDefault="009975F6" w:rsidP="00C9602D">
            <w:pPr>
              <w:rPr>
                <w:rFonts w:ascii="Times New Roman" w:hAnsi="Times New Roman" w:cs="Times New Roman"/>
                <w:sz w:val="8"/>
                <w:szCs w:val="22"/>
                <w:lang w:val="lv-LV"/>
              </w:rPr>
            </w:pPr>
          </w:p>
        </w:tc>
        <w:tc>
          <w:tcPr>
            <w:tcW w:w="1417" w:type="dxa"/>
            <w:tcBorders>
              <w:top w:val="thickThinSmallGap" w:sz="24" w:space="0" w:color="00642D"/>
              <w:bottom w:val="dotted" w:sz="18" w:space="0" w:color="00642D"/>
            </w:tcBorders>
          </w:tcPr>
          <w:p w14:paraId="456D3216" w14:textId="77777777" w:rsidR="009975F6" w:rsidRPr="00DC6F66" w:rsidRDefault="009975F6" w:rsidP="00C9602D">
            <w:pPr>
              <w:jc w:val="center"/>
              <w:rPr>
                <w:rFonts w:ascii="Times New Roman" w:hAnsi="Times New Roman" w:cs="Times New Roman"/>
                <w:sz w:val="8"/>
                <w:szCs w:val="22"/>
                <w:lang w:val="lv-LV"/>
              </w:rPr>
            </w:pPr>
          </w:p>
        </w:tc>
      </w:tr>
      <w:tr w:rsidR="009975F6" w:rsidRPr="00DC6F66" w14:paraId="0A158469" w14:textId="77777777" w:rsidTr="00BA2102">
        <w:tc>
          <w:tcPr>
            <w:tcW w:w="3988" w:type="dxa"/>
            <w:tcBorders>
              <w:left w:val="single" w:sz="12" w:space="0" w:color="404040" w:themeColor="text1" w:themeTint="BF"/>
            </w:tcBorders>
          </w:tcPr>
          <w:p w14:paraId="45900025" w14:textId="77777777" w:rsidR="009975F6" w:rsidRPr="00DC6F66" w:rsidRDefault="009975F6" w:rsidP="00EA06F7">
            <w:pPr>
              <w:ind w:left="720"/>
              <w:rPr>
                <w:rFonts w:ascii="Times New Roman" w:hAnsi="Times New Roman" w:cs="Times New Roman"/>
                <w:i/>
                <w:lang w:val="lv-LV"/>
              </w:rPr>
            </w:pPr>
            <w:r w:rsidRPr="00DC6F66">
              <w:rPr>
                <w:rFonts w:ascii="Times New Roman" w:hAnsi="Times New Roman" w:cs="Times New Roman"/>
                <w:i/>
                <w:sz w:val="20"/>
                <w:szCs w:val="20"/>
                <w:lang w:val="lv-LV"/>
              </w:rPr>
              <w:t>Problemātiskie aktīvi</w:t>
            </w:r>
          </w:p>
        </w:tc>
        <w:tc>
          <w:tcPr>
            <w:tcW w:w="284" w:type="dxa"/>
            <w:tcBorders>
              <w:right w:val="thinThickSmallGap" w:sz="24" w:space="0" w:color="00642D"/>
            </w:tcBorders>
          </w:tcPr>
          <w:p w14:paraId="40625CAA" w14:textId="77777777" w:rsidR="009975F6" w:rsidRPr="00DC6F66" w:rsidRDefault="009975F6" w:rsidP="00C9602D">
            <w:pPr>
              <w:rPr>
                <w:rFonts w:ascii="Times New Roman" w:hAnsi="Times New Roman" w:cs="Times New Roman"/>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1889BBB4" w14:textId="77777777" w:rsidR="009975F6" w:rsidRPr="00DC6F66" w:rsidRDefault="009975F6" w:rsidP="00C9602D">
            <w:pPr>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4" w:type="dxa"/>
            <w:tcBorders>
              <w:left w:val="thickThinSmallGap" w:sz="24" w:space="0" w:color="00642D"/>
            </w:tcBorders>
          </w:tcPr>
          <w:p w14:paraId="76F2A8FA" w14:textId="77777777" w:rsidR="009975F6" w:rsidRPr="00DC6F66" w:rsidRDefault="009975F6" w:rsidP="00C9602D">
            <w:pPr>
              <w:rPr>
                <w:rFonts w:ascii="Times New Roman" w:hAnsi="Times New Roman" w:cs="Times New Roman"/>
                <w:sz w:val="20"/>
                <w:szCs w:val="20"/>
                <w:lang w:val="lv-LV"/>
              </w:rPr>
            </w:pPr>
          </w:p>
        </w:tc>
        <w:tc>
          <w:tcPr>
            <w:tcW w:w="1417" w:type="dxa"/>
          </w:tcPr>
          <w:p w14:paraId="56496EB0" w14:textId="77777777" w:rsidR="009975F6" w:rsidRPr="00DC6F66" w:rsidRDefault="009E016F" w:rsidP="00C9602D">
            <w:pPr>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4" w:type="dxa"/>
            <w:tcBorders>
              <w:right w:val="dotted" w:sz="18" w:space="0" w:color="00642D"/>
            </w:tcBorders>
          </w:tcPr>
          <w:p w14:paraId="5A28371E" w14:textId="77777777" w:rsidR="009975F6" w:rsidRPr="00DC6F66" w:rsidRDefault="009975F6" w:rsidP="00C9602D">
            <w:pPr>
              <w:rPr>
                <w:rFonts w:ascii="Times New Roman" w:hAnsi="Times New Roman" w:cs="Times New Roman"/>
                <w:sz w:val="20"/>
                <w:szCs w:val="20"/>
                <w:lang w:val="lv-LV"/>
              </w:rPr>
            </w:pPr>
          </w:p>
        </w:tc>
        <w:tc>
          <w:tcPr>
            <w:tcW w:w="1417" w:type="dxa"/>
            <w:tcBorders>
              <w:top w:val="dotted" w:sz="18" w:space="0" w:color="00642D"/>
              <w:left w:val="dotted" w:sz="18" w:space="0" w:color="00642D"/>
              <w:bottom w:val="dotted" w:sz="18" w:space="0" w:color="00642D"/>
              <w:right w:val="dotted" w:sz="18" w:space="0" w:color="00642D"/>
            </w:tcBorders>
          </w:tcPr>
          <w:p w14:paraId="53D76A4A" w14:textId="77777777" w:rsidR="009975F6" w:rsidRPr="00DC6F66" w:rsidRDefault="009E016F" w:rsidP="00C9602D">
            <w:pPr>
              <w:jc w:val="center"/>
              <w:rPr>
                <w:rFonts w:ascii="Times New Roman" w:hAnsi="Times New Roman" w:cs="Times New Roman"/>
                <w:sz w:val="20"/>
                <w:szCs w:val="20"/>
                <w:lang w:val="lv-LV"/>
              </w:rPr>
            </w:pPr>
            <w:r w:rsidRPr="00DC6F66">
              <w:rPr>
                <w:rFonts w:ascii="Times New Roman" w:hAnsi="Times New Roman" w:cs="Times New Roman"/>
                <w:color w:val="00642D"/>
                <w:sz w:val="20"/>
                <w:szCs w:val="20"/>
                <w:lang w:val="lv-LV"/>
              </w:rPr>
              <w:t xml:space="preserve"> </w:t>
            </w:r>
            <w:r w:rsidRPr="00DC6F66">
              <w:rPr>
                <w:rFonts w:ascii="Times New Roman" w:hAnsi="Times New Roman" w:cs="Times New Roman"/>
                <w:b/>
                <w:i/>
                <w:color w:val="00642D"/>
                <w:sz w:val="22"/>
                <w:szCs w:val="20"/>
                <w:lang w:val="lv-LV"/>
              </w:rPr>
              <w:t xml:space="preserve">√ </w:t>
            </w:r>
          </w:p>
        </w:tc>
      </w:tr>
      <w:tr w:rsidR="009975F6" w:rsidRPr="00DC6F66" w14:paraId="6C4FF555" w14:textId="77777777" w:rsidTr="00BA2102">
        <w:tc>
          <w:tcPr>
            <w:tcW w:w="3988" w:type="dxa"/>
            <w:tcBorders>
              <w:left w:val="single" w:sz="12" w:space="0" w:color="404040" w:themeColor="text1" w:themeTint="BF"/>
            </w:tcBorders>
          </w:tcPr>
          <w:p w14:paraId="7685565B" w14:textId="77777777" w:rsidR="009975F6" w:rsidRPr="00DC6F66" w:rsidRDefault="009975F6" w:rsidP="00C9602D">
            <w:pPr>
              <w:rPr>
                <w:rFonts w:ascii="Times New Roman" w:hAnsi="Times New Roman" w:cs="Times New Roman"/>
                <w:sz w:val="8"/>
                <w:szCs w:val="22"/>
                <w:lang w:val="lv-LV"/>
              </w:rPr>
            </w:pPr>
          </w:p>
        </w:tc>
        <w:tc>
          <w:tcPr>
            <w:tcW w:w="284" w:type="dxa"/>
          </w:tcPr>
          <w:p w14:paraId="744ED352" w14:textId="77777777" w:rsidR="009975F6" w:rsidRPr="00DC6F66" w:rsidRDefault="009975F6" w:rsidP="00C9602D">
            <w:pPr>
              <w:rPr>
                <w:rFonts w:ascii="Times New Roman" w:hAnsi="Times New Roman" w:cs="Times New Roman"/>
                <w:sz w:val="8"/>
                <w:szCs w:val="22"/>
                <w:lang w:val="lv-LV"/>
              </w:rPr>
            </w:pPr>
          </w:p>
        </w:tc>
        <w:tc>
          <w:tcPr>
            <w:tcW w:w="1417" w:type="dxa"/>
            <w:tcBorders>
              <w:top w:val="thickThinSmallGap" w:sz="24" w:space="0" w:color="00642D"/>
              <w:bottom w:val="thinThickSmallGap" w:sz="24" w:space="0" w:color="00642D"/>
            </w:tcBorders>
          </w:tcPr>
          <w:p w14:paraId="0F0DF125" w14:textId="77777777" w:rsidR="009975F6" w:rsidRPr="00DC6F66" w:rsidRDefault="009975F6" w:rsidP="00C9602D">
            <w:pPr>
              <w:jc w:val="center"/>
              <w:rPr>
                <w:rFonts w:ascii="Times New Roman" w:hAnsi="Times New Roman" w:cs="Times New Roman"/>
                <w:sz w:val="8"/>
                <w:szCs w:val="22"/>
                <w:lang w:val="lv-LV"/>
              </w:rPr>
            </w:pPr>
          </w:p>
        </w:tc>
        <w:tc>
          <w:tcPr>
            <w:tcW w:w="284" w:type="dxa"/>
          </w:tcPr>
          <w:p w14:paraId="24E8D1C3" w14:textId="77777777" w:rsidR="009975F6" w:rsidRPr="00DC6F66" w:rsidRDefault="009975F6" w:rsidP="00C9602D">
            <w:pPr>
              <w:rPr>
                <w:rFonts w:ascii="Times New Roman" w:hAnsi="Times New Roman" w:cs="Times New Roman"/>
                <w:sz w:val="8"/>
                <w:szCs w:val="22"/>
                <w:lang w:val="lv-LV"/>
              </w:rPr>
            </w:pPr>
          </w:p>
        </w:tc>
        <w:tc>
          <w:tcPr>
            <w:tcW w:w="1417" w:type="dxa"/>
          </w:tcPr>
          <w:p w14:paraId="12C3FDF5" w14:textId="77777777" w:rsidR="009975F6" w:rsidRPr="00DC6F66" w:rsidRDefault="009975F6" w:rsidP="00C9602D">
            <w:pPr>
              <w:jc w:val="center"/>
              <w:rPr>
                <w:rFonts w:ascii="Times New Roman" w:hAnsi="Times New Roman" w:cs="Times New Roman"/>
                <w:sz w:val="8"/>
                <w:szCs w:val="22"/>
                <w:lang w:val="lv-LV"/>
              </w:rPr>
            </w:pPr>
          </w:p>
        </w:tc>
        <w:tc>
          <w:tcPr>
            <w:tcW w:w="284" w:type="dxa"/>
          </w:tcPr>
          <w:p w14:paraId="03F26ADC" w14:textId="77777777" w:rsidR="009975F6" w:rsidRPr="00DC6F66" w:rsidRDefault="009975F6" w:rsidP="00C9602D">
            <w:pPr>
              <w:rPr>
                <w:rFonts w:ascii="Times New Roman" w:hAnsi="Times New Roman" w:cs="Times New Roman"/>
                <w:sz w:val="8"/>
                <w:szCs w:val="22"/>
                <w:lang w:val="lv-LV"/>
              </w:rPr>
            </w:pPr>
          </w:p>
        </w:tc>
        <w:tc>
          <w:tcPr>
            <w:tcW w:w="1417" w:type="dxa"/>
            <w:tcBorders>
              <w:top w:val="dotted" w:sz="18" w:space="0" w:color="00642D"/>
            </w:tcBorders>
          </w:tcPr>
          <w:p w14:paraId="05FA3F02" w14:textId="77777777" w:rsidR="009975F6" w:rsidRPr="00DC6F66" w:rsidRDefault="009975F6" w:rsidP="00C9602D">
            <w:pPr>
              <w:jc w:val="center"/>
              <w:rPr>
                <w:rFonts w:ascii="Times New Roman" w:hAnsi="Times New Roman" w:cs="Times New Roman"/>
                <w:sz w:val="8"/>
                <w:szCs w:val="22"/>
                <w:lang w:val="lv-LV"/>
              </w:rPr>
            </w:pPr>
          </w:p>
        </w:tc>
      </w:tr>
      <w:tr w:rsidR="009975F6" w:rsidRPr="00DC6F66" w14:paraId="44E1C35A" w14:textId="77777777" w:rsidTr="00BA2102">
        <w:tc>
          <w:tcPr>
            <w:tcW w:w="3988" w:type="dxa"/>
            <w:tcBorders>
              <w:left w:val="single" w:sz="12" w:space="0" w:color="404040" w:themeColor="text1" w:themeTint="BF"/>
              <w:bottom w:val="single" w:sz="4" w:space="0" w:color="FFFFFF" w:themeColor="background1"/>
            </w:tcBorders>
          </w:tcPr>
          <w:p w14:paraId="5283B444" w14:textId="77777777" w:rsidR="009975F6" w:rsidRPr="00DC6F66" w:rsidRDefault="009975F6" w:rsidP="00C9602D">
            <w:pPr>
              <w:rPr>
                <w:rFonts w:ascii="Times New Roman" w:hAnsi="Times New Roman" w:cs="Times New Roman"/>
                <w:sz w:val="20"/>
                <w:szCs w:val="20"/>
                <w:lang w:val="lv-LV"/>
              </w:rPr>
            </w:pPr>
            <w:r w:rsidRPr="00DC6F66">
              <w:rPr>
                <w:rFonts w:ascii="Times New Roman" w:hAnsi="Times New Roman" w:cs="Times New Roman"/>
                <w:sz w:val="20"/>
                <w:szCs w:val="20"/>
                <w:lang w:val="lv-LV"/>
              </w:rPr>
              <w:t>Līgumu un to nosacījumu izpildes kontrole</w:t>
            </w:r>
          </w:p>
        </w:tc>
        <w:tc>
          <w:tcPr>
            <w:tcW w:w="284" w:type="dxa"/>
            <w:tcBorders>
              <w:right w:val="thinThickSmallGap" w:sz="24" w:space="0" w:color="00642D"/>
            </w:tcBorders>
          </w:tcPr>
          <w:p w14:paraId="21A76E3F" w14:textId="77777777" w:rsidR="009975F6" w:rsidRPr="00DC6F66" w:rsidRDefault="009975F6" w:rsidP="00C9602D">
            <w:pPr>
              <w:rPr>
                <w:rFonts w:ascii="Times New Roman" w:hAnsi="Times New Roman" w:cs="Times New Roman"/>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2F3D1CB0" w14:textId="77777777" w:rsidR="009975F6" w:rsidRPr="00DC6F66" w:rsidRDefault="009975F6" w:rsidP="00C9602D">
            <w:pPr>
              <w:jc w:val="center"/>
              <w:rPr>
                <w:rFonts w:ascii="Times New Roman" w:hAnsi="Times New Roman" w:cs="Times New Roman"/>
                <w:color w:val="00642D"/>
                <w:sz w:val="20"/>
                <w:szCs w:val="20"/>
                <w:lang w:val="lv-LV"/>
              </w:rPr>
            </w:pPr>
            <w:r w:rsidRPr="00DC6F66">
              <w:rPr>
                <w:rFonts w:ascii="Times New Roman" w:hAnsi="Times New Roman" w:cs="Times New Roman"/>
                <w:b/>
                <w:i/>
                <w:color w:val="00642D"/>
                <w:sz w:val="22"/>
                <w:szCs w:val="20"/>
                <w:lang w:val="lv-LV"/>
              </w:rPr>
              <w:t>√</w:t>
            </w:r>
          </w:p>
        </w:tc>
        <w:tc>
          <w:tcPr>
            <w:tcW w:w="284" w:type="dxa"/>
            <w:tcBorders>
              <w:left w:val="thickThinSmallGap" w:sz="24" w:space="0" w:color="00642D"/>
              <w:bottom w:val="single" w:sz="6" w:space="0" w:color="FFFFFF" w:themeColor="background1"/>
            </w:tcBorders>
          </w:tcPr>
          <w:p w14:paraId="56824F72" w14:textId="77777777" w:rsidR="009975F6" w:rsidRPr="00DC6F66" w:rsidRDefault="009975F6" w:rsidP="00C9602D">
            <w:pPr>
              <w:rPr>
                <w:rFonts w:ascii="Times New Roman" w:hAnsi="Times New Roman" w:cs="Times New Roman"/>
                <w:sz w:val="20"/>
                <w:szCs w:val="20"/>
                <w:lang w:val="lv-LV"/>
              </w:rPr>
            </w:pPr>
          </w:p>
        </w:tc>
        <w:tc>
          <w:tcPr>
            <w:tcW w:w="1417" w:type="dxa"/>
          </w:tcPr>
          <w:p w14:paraId="602EBB81" w14:textId="77777777" w:rsidR="009975F6" w:rsidRPr="00DC6F66" w:rsidRDefault="009E016F" w:rsidP="00C9602D">
            <w:pPr>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4" w:type="dxa"/>
          </w:tcPr>
          <w:p w14:paraId="7BDC1DB3" w14:textId="77777777" w:rsidR="009975F6" w:rsidRPr="00DC6F66" w:rsidRDefault="009975F6" w:rsidP="00C9602D">
            <w:pPr>
              <w:rPr>
                <w:rFonts w:ascii="Times New Roman" w:hAnsi="Times New Roman" w:cs="Times New Roman"/>
                <w:sz w:val="20"/>
                <w:szCs w:val="20"/>
                <w:lang w:val="lv-LV"/>
              </w:rPr>
            </w:pPr>
          </w:p>
        </w:tc>
        <w:tc>
          <w:tcPr>
            <w:tcW w:w="1417" w:type="dxa"/>
          </w:tcPr>
          <w:p w14:paraId="466C5410" w14:textId="77777777" w:rsidR="009975F6" w:rsidRPr="00DC6F66" w:rsidRDefault="009E016F" w:rsidP="00C9602D">
            <w:pPr>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r>
      <w:tr w:rsidR="009975F6" w:rsidRPr="00DC6F66" w14:paraId="19B72143" w14:textId="77777777" w:rsidTr="00BA2102">
        <w:tc>
          <w:tcPr>
            <w:tcW w:w="3988" w:type="dxa"/>
            <w:tcBorders>
              <w:top w:val="single" w:sz="4" w:space="0" w:color="FFFFFF" w:themeColor="background1"/>
              <w:left w:val="single" w:sz="12" w:space="0" w:color="404040" w:themeColor="text1" w:themeTint="BF"/>
              <w:bottom w:val="single" w:sz="4" w:space="0" w:color="FFFFFF" w:themeColor="background1"/>
              <w:right w:val="single" w:sz="4" w:space="0" w:color="FFFFFF" w:themeColor="background1"/>
            </w:tcBorders>
          </w:tcPr>
          <w:p w14:paraId="24102FDC" w14:textId="77777777" w:rsidR="009975F6" w:rsidRPr="00DC6F66" w:rsidRDefault="009975F6" w:rsidP="00C9602D">
            <w:pPr>
              <w:rPr>
                <w:rFonts w:ascii="Times New Roman" w:hAnsi="Times New Roman" w:cs="Times New Roman"/>
                <w:sz w:val="8"/>
                <w:szCs w:val="22"/>
                <w:lang w:val="lv-LV"/>
              </w:rPr>
            </w:pPr>
          </w:p>
        </w:tc>
        <w:tc>
          <w:tcPr>
            <w:tcW w:w="284" w:type="dxa"/>
            <w:tcBorders>
              <w:left w:val="single" w:sz="4" w:space="0" w:color="FFFFFF" w:themeColor="background1"/>
              <w:right w:val="nil"/>
            </w:tcBorders>
          </w:tcPr>
          <w:p w14:paraId="1C08CE6F" w14:textId="77777777" w:rsidR="009975F6" w:rsidRPr="00DC6F66" w:rsidRDefault="009975F6" w:rsidP="00C9602D">
            <w:pPr>
              <w:rPr>
                <w:rFonts w:ascii="Times New Roman" w:hAnsi="Times New Roman" w:cs="Times New Roman"/>
                <w:sz w:val="8"/>
                <w:szCs w:val="22"/>
                <w:lang w:val="lv-LV"/>
              </w:rPr>
            </w:pPr>
          </w:p>
        </w:tc>
        <w:tc>
          <w:tcPr>
            <w:tcW w:w="1417" w:type="dxa"/>
            <w:tcBorders>
              <w:top w:val="thickThinSmallGap" w:sz="24" w:space="0" w:color="00642D"/>
              <w:left w:val="nil"/>
              <w:bottom w:val="thinThickSmallGap" w:sz="24" w:space="0" w:color="00642D"/>
              <w:right w:val="single" w:sz="6" w:space="0" w:color="FFFFFF" w:themeColor="background1"/>
            </w:tcBorders>
          </w:tcPr>
          <w:p w14:paraId="18E4450E" w14:textId="77777777" w:rsidR="009975F6" w:rsidRPr="00DC6F66" w:rsidRDefault="009975F6" w:rsidP="00C9602D">
            <w:pPr>
              <w:rPr>
                <w:rFonts w:ascii="Times New Roman" w:hAnsi="Times New Roman" w:cs="Times New Roman"/>
                <w:sz w:val="8"/>
                <w:szCs w:val="22"/>
                <w:lang w:val="lv-LV"/>
              </w:rPr>
            </w:pPr>
          </w:p>
        </w:tc>
        <w:tc>
          <w:tcPr>
            <w:tcW w:w="2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839DD91" w14:textId="77777777" w:rsidR="009975F6" w:rsidRPr="00DC6F66" w:rsidRDefault="009975F6" w:rsidP="00C9602D">
            <w:pPr>
              <w:rPr>
                <w:rFonts w:ascii="Times New Roman" w:hAnsi="Times New Roman" w:cs="Times New Roman"/>
                <w:sz w:val="8"/>
                <w:szCs w:val="22"/>
                <w:lang w:val="lv-LV"/>
              </w:rPr>
            </w:pPr>
          </w:p>
        </w:tc>
        <w:tc>
          <w:tcPr>
            <w:tcW w:w="1417" w:type="dxa"/>
            <w:tcBorders>
              <w:left w:val="single" w:sz="6" w:space="0" w:color="FFFFFF" w:themeColor="background1"/>
            </w:tcBorders>
          </w:tcPr>
          <w:p w14:paraId="2EF5AEFC" w14:textId="77777777" w:rsidR="009975F6" w:rsidRPr="00DC6F66" w:rsidRDefault="009975F6" w:rsidP="00C9602D">
            <w:pPr>
              <w:rPr>
                <w:rFonts w:ascii="Times New Roman" w:hAnsi="Times New Roman" w:cs="Times New Roman"/>
                <w:sz w:val="8"/>
                <w:szCs w:val="22"/>
                <w:lang w:val="lv-LV"/>
              </w:rPr>
            </w:pPr>
          </w:p>
        </w:tc>
        <w:tc>
          <w:tcPr>
            <w:tcW w:w="284" w:type="dxa"/>
          </w:tcPr>
          <w:p w14:paraId="2246D2F0" w14:textId="77777777" w:rsidR="009975F6" w:rsidRPr="00DC6F66" w:rsidRDefault="009975F6" w:rsidP="00C9602D">
            <w:pPr>
              <w:rPr>
                <w:rFonts w:ascii="Times New Roman" w:hAnsi="Times New Roman" w:cs="Times New Roman"/>
                <w:sz w:val="8"/>
                <w:szCs w:val="22"/>
                <w:lang w:val="lv-LV"/>
              </w:rPr>
            </w:pPr>
          </w:p>
        </w:tc>
        <w:tc>
          <w:tcPr>
            <w:tcW w:w="1417" w:type="dxa"/>
          </w:tcPr>
          <w:p w14:paraId="12170F6A" w14:textId="77777777" w:rsidR="009975F6" w:rsidRPr="00DC6F66" w:rsidRDefault="009975F6" w:rsidP="00C9602D">
            <w:pPr>
              <w:rPr>
                <w:rFonts w:ascii="Times New Roman" w:hAnsi="Times New Roman" w:cs="Times New Roman"/>
                <w:sz w:val="8"/>
                <w:szCs w:val="22"/>
                <w:lang w:val="lv-LV"/>
              </w:rPr>
            </w:pPr>
          </w:p>
        </w:tc>
      </w:tr>
      <w:tr w:rsidR="009975F6" w:rsidRPr="00DC6F66" w14:paraId="02EAE169" w14:textId="77777777" w:rsidTr="00BA2102">
        <w:tc>
          <w:tcPr>
            <w:tcW w:w="3988" w:type="dxa"/>
            <w:tcBorders>
              <w:top w:val="single" w:sz="4" w:space="0" w:color="FFFFFF" w:themeColor="background1"/>
              <w:left w:val="single" w:sz="12" w:space="0" w:color="404040" w:themeColor="text1" w:themeTint="BF"/>
            </w:tcBorders>
          </w:tcPr>
          <w:p w14:paraId="2183D352" w14:textId="77777777" w:rsidR="009975F6" w:rsidRPr="00DC6F66" w:rsidRDefault="009975F6" w:rsidP="00C9602D">
            <w:pPr>
              <w:rPr>
                <w:rFonts w:ascii="Times New Roman" w:hAnsi="Times New Roman" w:cs="Times New Roman"/>
                <w:sz w:val="20"/>
                <w:szCs w:val="20"/>
                <w:lang w:val="lv-LV"/>
              </w:rPr>
            </w:pPr>
            <w:r w:rsidRPr="00DC6F66">
              <w:rPr>
                <w:rFonts w:ascii="Times New Roman" w:hAnsi="Times New Roman" w:cs="Times New Roman"/>
                <w:sz w:val="20"/>
                <w:szCs w:val="20"/>
                <w:lang w:val="lv-LV"/>
              </w:rPr>
              <w:t>Sertifikātu uzskaites un norēķinu sistēma</w:t>
            </w:r>
          </w:p>
        </w:tc>
        <w:tc>
          <w:tcPr>
            <w:tcW w:w="284" w:type="dxa"/>
            <w:tcBorders>
              <w:right w:val="thinThickSmallGap" w:sz="24" w:space="0" w:color="00642D"/>
            </w:tcBorders>
          </w:tcPr>
          <w:p w14:paraId="594EAB4F" w14:textId="77777777" w:rsidR="009975F6" w:rsidRPr="00DC6F66" w:rsidRDefault="009975F6" w:rsidP="00C9602D">
            <w:pPr>
              <w:rPr>
                <w:rFonts w:ascii="Times New Roman" w:hAnsi="Times New Roman" w:cs="Times New Roman"/>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3A0ECA38" w14:textId="77777777" w:rsidR="009975F6" w:rsidRPr="00DC6F66" w:rsidRDefault="009975F6" w:rsidP="00C9602D">
            <w:pPr>
              <w:jc w:val="center"/>
              <w:rPr>
                <w:rFonts w:ascii="Times New Roman" w:hAnsi="Times New Roman" w:cs="Times New Roman"/>
                <w:b/>
                <w:i/>
                <w:color w:val="00642D"/>
                <w:sz w:val="20"/>
                <w:szCs w:val="20"/>
                <w:lang w:val="lv-LV"/>
              </w:rPr>
            </w:pPr>
            <w:r w:rsidRPr="00DC6F66">
              <w:rPr>
                <w:rFonts w:ascii="Times New Roman" w:hAnsi="Times New Roman" w:cs="Times New Roman"/>
                <w:b/>
                <w:i/>
                <w:color w:val="00642D"/>
                <w:sz w:val="22"/>
                <w:szCs w:val="20"/>
                <w:lang w:val="lv-LV"/>
              </w:rPr>
              <w:t>√</w:t>
            </w:r>
          </w:p>
        </w:tc>
        <w:tc>
          <w:tcPr>
            <w:tcW w:w="284" w:type="dxa"/>
            <w:tcBorders>
              <w:top w:val="single" w:sz="6" w:space="0" w:color="FFFFFF" w:themeColor="background1"/>
              <w:left w:val="thickThinSmallGap" w:sz="24" w:space="0" w:color="00642D"/>
            </w:tcBorders>
          </w:tcPr>
          <w:p w14:paraId="64709BFC" w14:textId="77777777" w:rsidR="009975F6" w:rsidRPr="00DC6F66" w:rsidRDefault="009975F6" w:rsidP="00C9602D">
            <w:pPr>
              <w:rPr>
                <w:rFonts w:ascii="Times New Roman" w:hAnsi="Times New Roman" w:cs="Times New Roman"/>
                <w:sz w:val="20"/>
                <w:szCs w:val="20"/>
                <w:lang w:val="lv-LV"/>
              </w:rPr>
            </w:pPr>
          </w:p>
        </w:tc>
        <w:tc>
          <w:tcPr>
            <w:tcW w:w="1417" w:type="dxa"/>
          </w:tcPr>
          <w:p w14:paraId="4F1D03FD" w14:textId="77777777" w:rsidR="009975F6" w:rsidRPr="00DC6F66" w:rsidRDefault="009E016F" w:rsidP="00C9602D">
            <w:pPr>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4" w:type="dxa"/>
          </w:tcPr>
          <w:p w14:paraId="272EDAE7" w14:textId="77777777" w:rsidR="009975F6" w:rsidRPr="00DC6F66" w:rsidRDefault="009975F6" w:rsidP="00C9602D">
            <w:pPr>
              <w:rPr>
                <w:rFonts w:ascii="Times New Roman" w:hAnsi="Times New Roman" w:cs="Times New Roman"/>
                <w:sz w:val="20"/>
                <w:szCs w:val="20"/>
                <w:lang w:val="lv-LV"/>
              </w:rPr>
            </w:pPr>
          </w:p>
        </w:tc>
        <w:tc>
          <w:tcPr>
            <w:tcW w:w="1417" w:type="dxa"/>
          </w:tcPr>
          <w:p w14:paraId="4B90892A" w14:textId="77777777" w:rsidR="009975F6" w:rsidRPr="00DC6F66" w:rsidRDefault="009E016F" w:rsidP="00C9602D">
            <w:pPr>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r>
    </w:tbl>
    <w:p w14:paraId="07D621C2" w14:textId="77777777" w:rsidR="009975F6" w:rsidRPr="00DC6F66" w:rsidRDefault="009975F6" w:rsidP="009975F6">
      <w:pPr>
        <w:spacing w:line="240" w:lineRule="auto"/>
        <w:rPr>
          <w:rFonts w:ascii="Times New Roman" w:hAnsi="Times New Roman" w:cs="Times New Roman"/>
          <w:sz w:val="2"/>
          <w:lang w:eastAsia="zh-CN"/>
        </w:rPr>
      </w:pPr>
    </w:p>
    <w:p w14:paraId="3CD9D430" w14:textId="77777777" w:rsidR="009975F6" w:rsidRPr="00DC6F66" w:rsidRDefault="009975F6" w:rsidP="00BA2102">
      <w:pPr>
        <w:keepNext/>
        <w:pBdr>
          <w:top w:val="single" w:sz="12" w:space="1" w:color="FFFFFF" w:themeColor="background1"/>
        </w:pBdr>
        <w:spacing w:after="40" w:line="240" w:lineRule="auto"/>
        <w:rPr>
          <w:rFonts w:eastAsiaTheme="minorEastAsia"/>
          <w:b/>
          <w:i/>
          <w:sz w:val="18"/>
          <w:szCs w:val="24"/>
          <w:lang w:eastAsia="zh-CN"/>
        </w:rPr>
      </w:pPr>
      <w:bookmarkStart w:id="29" w:name="_Toc453663788"/>
      <w:r w:rsidRPr="00DC6F66">
        <w:rPr>
          <w:rFonts w:eastAsiaTheme="minorEastAsia"/>
          <w:b/>
          <w:i/>
          <w:sz w:val="18"/>
          <w:szCs w:val="24"/>
          <w:lang w:eastAsia="zh-CN"/>
        </w:rPr>
        <w:t>Apzīmējumi un piezīmes:</w:t>
      </w:r>
    </w:p>
    <w:tbl>
      <w:tblPr>
        <w:tblStyle w:val="TableGrid"/>
        <w:tblW w:w="9091" w:type="dxa"/>
        <w:tblInd w:w="108" w:type="dxa"/>
        <w:tblBorders>
          <w:top w:val="dotted" w:sz="18" w:space="0" w:color="FFFFFF" w:themeColor="background1"/>
          <w:left w:val="dotted" w:sz="18" w:space="0" w:color="FFFFFF" w:themeColor="background1"/>
          <w:bottom w:val="dotted" w:sz="18" w:space="0" w:color="FFFFFF" w:themeColor="background1"/>
          <w:right w:val="dotted" w:sz="18" w:space="0" w:color="FFFFFF" w:themeColor="background1"/>
          <w:insideH w:val="dotted" w:sz="18" w:space="0" w:color="FFFFFF" w:themeColor="background1"/>
          <w:insideV w:val="dotted" w:sz="18" w:space="0" w:color="FFFFFF" w:themeColor="background1"/>
        </w:tblBorders>
        <w:tblLook w:val="04A0" w:firstRow="1" w:lastRow="0" w:firstColumn="1" w:lastColumn="0" w:noHBand="0" w:noVBand="1"/>
      </w:tblPr>
      <w:tblGrid>
        <w:gridCol w:w="981"/>
        <w:gridCol w:w="153"/>
        <w:gridCol w:w="1276"/>
        <w:gridCol w:w="981"/>
        <w:gridCol w:w="1418"/>
        <w:gridCol w:w="992"/>
        <w:gridCol w:w="3290"/>
      </w:tblGrid>
      <w:tr w:rsidR="00DB6539" w:rsidRPr="00DC6F66" w14:paraId="5865520B" w14:textId="77777777" w:rsidTr="00BA2102">
        <w:trPr>
          <w:trHeight w:val="202"/>
        </w:trPr>
        <w:tc>
          <w:tcPr>
            <w:tcW w:w="1134" w:type="dxa"/>
            <w:gridSpan w:val="2"/>
            <w:tcBorders>
              <w:top w:val="thinThickSmallGap" w:sz="24" w:space="0" w:color="00642D"/>
              <w:left w:val="thinThickSmallGap" w:sz="24" w:space="0" w:color="00642D"/>
              <w:bottom w:val="thickThinSmallGap" w:sz="24" w:space="0" w:color="00642D"/>
              <w:right w:val="thickThinSmallGap" w:sz="24" w:space="0" w:color="00642D"/>
            </w:tcBorders>
          </w:tcPr>
          <w:p w14:paraId="0BAE1591" w14:textId="77777777" w:rsidR="009975F6" w:rsidRPr="00DC6F66" w:rsidRDefault="009975F6" w:rsidP="00EA06F7">
            <w:pPr>
              <w:keepNext/>
              <w:jc w:val="center"/>
              <w:rPr>
                <w:rFonts w:ascii="Times New Roman" w:hAnsi="Times New Roman" w:cs="Times New Roman"/>
                <w:b/>
                <w:i/>
                <w:color w:val="404040" w:themeColor="text1" w:themeTint="BF"/>
                <w:sz w:val="18"/>
                <w:szCs w:val="16"/>
                <w:lang w:val="lv-LV"/>
              </w:rPr>
            </w:pPr>
            <w:r w:rsidRPr="00DC6F66">
              <w:rPr>
                <w:rFonts w:ascii="Times New Roman" w:hAnsi="Times New Roman" w:cs="Times New Roman"/>
                <w:b/>
                <w:i/>
                <w:color w:val="00642D"/>
                <w:sz w:val="18"/>
                <w:szCs w:val="16"/>
                <w:lang w:val="lv-LV"/>
              </w:rPr>
              <w:t>√</w:t>
            </w:r>
          </w:p>
        </w:tc>
        <w:tc>
          <w:tcPr>
            <w:tcW w:w="1276" w:type="dxa"/>
            <w:tcBorders>
              <w:left w:val="thickThinSmallGap" w:sz="24" w:space="0" w:color="00642D"/>
              <w:right w:val="wave" w:sz="6" w:space="0" w:color="C00000"/>
            </w:tcBorders>
          </w:tcPr>
          <w:p w14:paraId="307E0197" w14:textId="77777777" w:rsidR="009975F6" w:rsidRPr="00DC6F66" w:rsidRDefault="009975F6" w:rsidP="00EA06F7">
            <w:pPr>
              <w:keepNext/>
              <w:rPr>
                <w:rFonts w:ascii="Times New Roman" w:hAnsi="Times New Roman" w:cs="Times New Roman"/>
                <w:b/>
                <w:i/>
                <w:color w:val="404040" w:themeColor="text1" w:themeTint="BF"/>
                <w:sz w:val="18"/>
                <w:szCs w:val="16"/>
                <w:lang w:val="lv-LV"/>
              </w:rPr>
            </w:pPr>
            <w:r w:rsidRPr="00DC6F66">
              <w:rPr>
                <w:rFonts w:ascii="Times New Roman" w:hAnsi="Times New Roman" w:cs="Times New Roman"/>
                <w:i/>
                <w:sz w:val="18"/>
                <w:szCs w:val="16"/>
                <w:lang w:val="lv-LV"/>
              </w:rPr>
              <w:t>- tiek īstenota</w:t>
            </w:r>
          </w:p>
        </w:tc>
        <w:tc>
          <w:tcPr>
            <w:tcW w:w="981" w:type="dxa"/>
            <w:tcBorders>
              <w:top w:val="wave" w:sz="6" w:space="0" w:color="C00000"/>
              <w:left w:val="wave" w:sz="6" w:space="0" w:color="C00000"/>
              <w:bottom w:val="wave" w:sz="6" w:space="0" w:color="C00000"/>
              <w:right w:val="wave" w:sz="6" w:space="0" w:color="C00000"/>
            </w:tcBorders>
          </w:tcPr>
          <w:p w14:paraId="6D0FD43F" w14:textId="77777777" w:rsidR="009975F6" w:rsidRPr="00DC6F66" w:rsidRDefault="009975F6" w:rsidP="00EA06F7">
            <w:pPr>
              <w:keepNext/>
              <w:jc w:val="center"/>
              <w:rPr>
                <w:rFonts w:ascii="Times New Roman" w:hAnsi="Times New Roman" w:cs="Times New Roman"/>
                <w:b/>
                <w:i/>
                <w:color w:val="404040" w:themeColor="text1" w:themeTint="BF"/>
                <w:sz w:val="18"/>
                <w:szCs w:val="16"/>
                <w:lang w:val="lv-LV"/>
              </w:rPr>
            </w:pPr>
            <w:r w:rsidRPr="00DC6F66">
              <w:rPr>
                <w:rFonts w:ascii="Times New Roman" w:hAnsi="Times New Roman" w:cs="Times New Roman"/>
                <w:color w:val="C00000"/>
                <w:sz w:val="18"/>
                <w:lang w:val="lv-LV"/>
              </w:rPr>
              <w:t>X</w:t>
            </w:r>
          </w:p>
        </w:tc>
        <w:tc>
          <w:tcPr>
            <w:tcW w:w="1418" w:type="dxa"/>
            <w:tcBorders>
              <w:left w:val="wave" w:sz="6" w:space="0" w:color="C00000"/>
              <w:right w:val="dotted" w:sz="18" w:space="0" w:color="00642D"/>
            </w:tcBorders>
          </w:tcPr>
          <w:p w14:paraId="134E5F4A" w14:textId="77777777" w:rsidR="009975F6" w:rsidRPr="00DC6F66" w:rsidRDefault="009975F6" w:rsidP="00EA06F7">
            <w:pPr>
              <w:keepNext/>
              <w:rPr>
                <w:rFonts w:ascii="Times New Roman" w:hAnsi="Times New Roman" w:cs="Times New Roman"/>
                <w:b/>
                <w:i/>
                <w:color w:val="404040" w:themeColor="text1" w:themeTint="BF"/>
                <w:sz w:val="18"/>
                <w:szCs w:val="16"/>
                <w:lang w:val="lv-LV"/>
              </w:rPr>
            </w:pPr>
            <w:r w:rsidRPr="00DC6F66">
              <w:rPr>
                <w:rFonts w:ascii="Times New Roman" w:hAnsi="Times New Roman" w:cs="Times New Roman"/>
                <w:i/>
                <w:sz w:val="18"/>
                <w:szCs w:val="20"/>
                <w:lang w:val="lv-LV"/>
              </w:rPr>
              <w:t>- netiek īstenota</w:t>
            </w:r>
          </w:p>
        </w:tc>
        <w:tc>
          <w:tcPr>
            <w:tcW w:w="992" w:type="dxa"/>
            <w:tcBorders>
              <w:top w:val="dotted" w:sz="18" w:space="0" w:color="00642D"/>
              <w:left w:val="dotted" w:sz="18" w:space="0" w:color="00642D"/>
              <w:bottom w:val="dotted" w:sz="18" w:space="0" w:color="00642D"/>
              <w:right w:val="dotted" w:sz="18" w:space="0" w:color="00642D"/>
            </w:tcBorders>
          </w:tcPr>
          <w:p w14:paraId="40AA4AA9" w14:textId="77777777" w:rsidR="009975F6" w:rsidRPr="00DC6F66" w:rsidRDefault="009975F6" w:rsidP="00EA06F7">
            <w:pPr>
              <w:keepNext/>
              <w:jc w:val="center"/>
              <w:rPr>
                <w:rFonts w:ascii="Times New Roman" w:hAnsi="Times New Roman" w:cs="Times New Roman"/>
                <w:sz w:val="20"/>
                <w:szCs w:val="20"/>
                <w:lang w:val="lv-LV"/>
              </w:rPr>
            </w:pPr>
          </w:p>
        </w:tc>
        <w:tc>
          <w:tcPr>
            <w:tcW w:w="3290" w:type="dxa"/>
            <w:tcBorders>
              <w:left w:val="dotted" w:sz="18" w:space="0" w:color="00642D"/>
            </w:tcBorders>
          </w:tcPr>
          <w:p w14:paraId="5FFF18BF" w14:textId="77777777" w:rsidR="00066236" w:rsidRPr="00DC6F66" w:rsidRDefault="00591BFB" w:rsidP="00EA06F7">
            <w:pPr>
              <w:keepNext/>
              <w:rPr>
                <w:rFonts w:ascii="Times New Roman" w:hAnsi="Times New Roman" w:cs="Times New Roman"/>
                <w:i/>
                <w:sz w:val="18"/>
                <w:szCs w:val="20"/>
                <w:lang w:val="lv-LV"/>
              </w:rPr>
            </w:pPr>
            <w:r w:rsidRPr="00DC6F66">
              <w:rPr>
                <w:rFonts w:ascii="Times New Roman" w:hAnsi="Times New Roman" w:cs="Times New Roman"/>
                <w:i/>
                <w:sz w:val="18"/>
                <w:szCs w:val="20"/>
                <w:lang w:val="lv-LV"/>
              </w:rPr>
              <w:t>-v</w:t>
            </w:r>
            <w:r w:rsidR="009975F6" w:rsidRPr="00DC6F66">
              <w:rPr>
                <w:rFonts w:ascii="Times New Roman" w:hAnsi="Times New Roman" w:cs="Times New Roman"/>
                <w:i/>
                <w:sz w:val="18"/>
                <w:szCs w:val="20"/>
                <w:lang w:val="lv-LV"/>
              </w:rPr>
              <w:t>ar tikt atsavināti atsevišķos gadījumos</w:t>
            </w:r>
          </w:p>
        </w:tc>
      </w:tr>
      <w:tr w:rsidR="009975F6" w:rsidRPr="00DC6F66" w14:paraId="0DFBBA8C" w14:textId="77777777" w:rsidTr="00BA2102">
        <w:tc>
          <w:tcPr>
            <w:tcW w:w="981" w:type="dxa"/>
            <w:tcBorders>
              <w:top w:val="thickThinSmallGap" w:sz="24" w:space="0" w:color="00642D"/>
            </w:tcBorders>
          </w:tcPr>
          <w:p w14:paraId="42095719" w14:textId="77777777" w:rsidR="009975F6" w:rsidRPr="00DC6F66" w:rsidRDefault="009975F6" w:rsidP="007F03BD">
            <w:pPr>
              <w:spacing w:before="120" w:after="40"/>
              <w:rPr>
                <w:rFonts w:ascii="Times New Roman" w:hAnsi="Times New Roman" w:cs="Times New Roman"/>
                <w:b/>
                <w:i/>
                <w:color w:val="005828"/>
                <w:sz w:val="18"/>
                <w:szCs w:val="22"/>
                <w:lang w:val="lv-LV"/>
              </w:rPr>
            </w:pPr>
            <w:r w:rsidRPr="00DC6F66">
              <w:rPr>
                <w:rFonts w:ascii="Times New Roman" w:hAnsi="Times New Roman" w:cs="Times New Roman"/>
                <w:i/>
                <w:color w:val="005828"/>
                <w:sz w:val="18"/>
                <w:szCs w:val="22"/>
                <w:lang w:val="lv-LV"/>
              </w:rPr>
              <w:t>*</w:t>
            </w:r>
          </w:p>
        </w:tc>
        <w:tc>
          <w:tcPr>
            <w:tcW w:w="8110" w:type="dxa"/>
            <w:gridSpan w:val="6"/>
          </w:tcPr>
          <w:p w14:paraId="7B5F3185" w14:textId="51612659" w:rsidR="009975F6" w:rsidRPr="00DC6F66" w:rsidRDefault="009975F6" w:rsidP="00A155A0">
            <w:pPr>
              <w:spacing w:before="120"/>
              <w:jc w:val="both"/>
              <w:rPr>
                <w:rFonts w:ascii="Times New Roman" w:hAnsi="Times New Roman" w:cs="Times New Roman"/>
                <w:i/>
                <w:sz w:val="18"/>
                <w:szCs w:val="22"/>
                <w:lang w:val="lv-LV"/>
              </w:rPr>
            </w:pPr>
            <w:r w:rsidRPr="0075426D">
              <w:rPr>
                <w:rFonts w:ascii="Times New Roman" w:hAnsi="Times New Roman" w:cs="Times New Roman"/>
                <w:i/>
                <w:sz w:val="18"/>
                <w:szCs w:val="22"/>
                <w:lang w:val="lv-LV"/>
              </w:rPr>
              <w:t xml:space="preserve">Nekustamā īpašuma objekti un zemesgabali, kuru privatizācija ir izbeigta, šobrīd tiek nodoti atsavināšanai valsts akciju sabiedrībai “Valsts nekustamie </w:t>
            </w:r>
            <w:proofErr w:type="spellStart"/>
            <w:r w:rsidRPr="0075426D">
              <w:rPr>
                <w:rFonts w:ascii="Times New Roman" w:hAnsi="Times New Roman" w:cs="Times New Roman"/>
                <w:i/>
                <w:sz w:val="18"/>
                <w:szCs w:val="22"/>
                <w:lang w:val="lv-LV"/>
              </w:rPr>
              <w:t>īpašumi”</w:t>
            </w:r>
            <w:r w:rsidR="00412A17" w:rsidRPr="0075426D">
              <w:rPr>
                <w:rFonts w:ascii="Times New Roman" w:hAnsi="Times New Roman" w:cs="Times New Roman"/>
                <w:i/>
                <w:sz w:val="18"/>
                <w:szCs w:val="22"/>
                <w:lang w:val="lv-LV"/>
              </w:rPr>
              <w:t>.</w:t>
            </w:r>
            <w:r w:rsidRPr="0075426D">
              <w:rPr>
                <w:rFonts w:ascii="Times New Roman" w:hAnsi="Times New Roman" w:cs="Times New Roman"/>
                <w:i/>
                <w:sz w:val="18"/>
                <w:szCs w:val="22"/>
                <w:lang w:val="lv-LV"/>
              </w:rPr>
              <w:t>s</w:t>
            </w:r>
            <w:proofErr w:type="spellEnd"/>
            <w:r w:rsidRPr="0075426D">
              <w:rPr>
                <w:rFonts w:ascii="Times New Roman" w:hAnsi="Times New Roman" w:cs="Times New Roman"/>
                <w:i/>
                <w:sz w:val="18"/>
                <w:szCs w:val="22"/>
                <w:lang w:val="lv-LV"/>
              </w:rPr>
              <w:t>.</w:t>
            </w:r>
          </w:p>
        </w:tc>
      </w:tr>
      <w:tr w:rsidR="009975F6" w:rsidRPr="00DC6F66" w14:paraId="42E38E58" w14:textId="77777777" w:rsidTr="00BA2102">
        <w:tc>
          <w:tcPr>
            <w:tcW w:w="981" w:type="dxa"/>
          </w:tcPr>
          <w:p w14:paraId="0D3050D3" w14:textId="77777777" w:rsidR="009975F6" w:rsidRPr="00DC6F66" w:rsidRDefault="009975F6" w:rsidP="00A155A0">
            <w:pPr>
              <w:rPr>
                <w:rFonts w:ascii="Times New Roman" w:hAnsi="Times New Roman" w:cs="Times New Roman"/>
                <w:b/>
                <w:i/>
                <w:color w:val="005828"/>
                <w:sz w:val="18"/>
                <w:szCs w:val="22"/>
                <w:lang w:val="lv-LV"/>
              </w:rPr>
            </w:pPr>
            <w:r w:rsidRPr="00DC6F66">
              <w:rPr>
                <w:rFonts w:ascii="Times New Roman" w:hAnsi="Times New Roman" w:cs="Times New Roman"/>
                <w:b/>
                <w:i/>
                <w:color w:val="005828"/>
                <w:sz w:val="18"/>
                <w:szCs w:val="22"/>
                <w:lang w:val="lv-LV"/>
              </w:rPr>
              <w:t>**</w:t>
            </w:r>
          </w:p>
        </w:tc>
        <w:tc>
          <w:tcPr>
            <w:tcW w:w="8110" w:type="dxa"/>
            <w:gridSpan w:val="6"/>
          </w:tcPr>
          <w:p w14:paraId="11995877" w14:textId="77777777" w:rsidR="009975F6" w:rsidRPr="00DC6F66" w:rsidRDefault="009975F6" w:rsidP="00A155A0">
            <w:pPr>
              <w:rPr>
                <w:rFonts w:ascii="Times New Roman" w:hAnsi="Times New Roman" w:cs="Times New Roman"/>
                <w:i/>
                <w:sz w:val="18"/>
                <w:szCs w:val="22"/>
                <w:lang w:val="lv-LV"/>
              </w:rPr>
            </w:pPr>
            <w:r w:rsidRPr="00DC6F66">
              <w:rPr>
                <w:rFonts w:ascii="Times New Roman" w:hAnsi="Times New Roman" w:cs="Times New Roman"/>
                <w:i/>
                <w:sz w:val="18"/>
                <w:szCs w:val="22"/>
                <w:lang w:val="lv-LV"/>
              </w:rPr>
              <w:t>Atsavināšanas likuma 9.panta 1.</w:t>
            </w:r>
            <w:r w:rsidRPr="00DC6F66">
              <w:rPr>
                <w:rFonts w:ascii="Times New Roman" w:hAnsi="Times New Roman" w:cs="Times New Roman"/>
                <w:i/>
                <w:sz w:val="18"/>
                <w:vertAlign w:val="superscript"/>
                <w:lang w:val="lv-LV"/>
              </w:rPr>
              <w:t>3</w:t>
            </w:r>
            <w:r w:rsidRPr="00DC6F66">
              <w:rPr>
                <w:rFonts w:ascii="Times New Roman" w:hAnsi="Times New Roman" w:cs="Times New Roman"/>
                <w:i/>
                <w:sz w:val="18"/>
                <w:szCs w:val="22"/>
                <w:lang w:val="lv-LV"/>
              </w:rPr>
              <w:t xml:space="preserve"> daļā noteiktajos gadījumos.</w:t>
            </w:r>
          </w:p>
        </w:tc>
      </w:tr>
      <w:tr w:rsidR="00EA06F7" w:rsidRPr="00DC6F66" w14:paraId="6452529F" w14:textId="77777777" w:rsidTr="00BA2102">
        <w:tc>
          <w:tcPr>
            <w:tcW w:w="981" w:type="dxa"/>
          </w:tcPr>
          <w:p w14:paraId="2ED899E4" w14:textId="77777777" w:rsidR="00EA06F7" w:rsidRPr="00DC6F66" w:rsidRDefault="00EA06F7" w:rsidP="00A155A0">
            <w:pPr>
              <w:rPr>
                <w:rFonts w:ascii="Times New Roman" w:hAnsi="Times New Roman" w:cs="Times New Roman"/>
                <w:b/>
                <w:i/>
                <w:color w:val="005828"/>
                <w:sz w:val="18"/>
                <w:lang w:val="lv-LV"/>
              </w:rPr>
            </w:pPr>
            <w:r w:rsidRPr="00DC6F66">
              <w:rPr>
                <w:rFonts w:ascii="Times New Roman" w:hAnsi="Times New Roman" w:cs="Times New Roman"/>
                <w:b/>
                <w:i/>
                <w:color w:val="005828"/>
                <w:sz w:val="18"/>
                <w:lang w:val="lv-LV"/>
              </w:rPr>
              <w:t>***</w:t>
            </w:r>
          </w:p>
        </w:tc>
        <w:tc>
          <w:tcPr>
            <w:tcW w:w="8110" w:type="dxa"/>
            <w:gridSpan w:val="6"/>
          </w:tcPr>
          <w:p w14:paraId="46948416" w14:textId="77777777" w:rsidR="00EA06F7" w:rsidRDefault="00EA06F7" w:rsidP="00A155A0">
            <w:pPr>
              <w:rPr>
                <w:rFonts w:ascii="Times New Roman" w:hAnsi="Times New Roman" w:cs="Times New Roman"/>
                <w:i/>
                <w:sz w:val="18"/>
                <w:lang w:val="lv-LV"/>
              </w:rPr>
            </w:pPr>
            <w:r w:rsidRPr="00DC6F66">
              <w:rPr>
                <w:rFonts w:ascii="Times New Roman" w:hAnsi="Times New Roman" w:cs="Times New Roman"/>
                <w:i/>
                <w:sz w:val="18"/>
                <w:lang w:val="lv-LV"/>
              </w:rPr>
              <w:t>Tikai Lattelecom un LMT.</w:t>
            </w:r>
          </w:p>
          <w:p w14:paraId="450427C2" w14:textId="77777777" w:rsidR="004E29AB" w:rsidRDefault="004E29AB" w:rsidP="00A155A0">
            <w:pPr>
              <w:rPr>
                <w:rFonts w:ascii="Times New Roman" w:hAnsi="Times New Roman" w:cs="Times New Roman"/>
                <w:i/>
                <w:sz w:val="18"/>
                <w:lang w:val="lv-LV"/>
              </w:rPr>
            </w:pPr>
          </w:p>
          <w:p w14:paraId="4A9C2C0A" w14:textId="77777777" w:rsidR="001F313A" w:rsidRPr="00DC6F66" w:rsidRDefault="001F313A" w:rsidP="00A155A0">
            <w:pPr>
              <w:rPr>
                <w:rFonts w:ascii="Times New Roman" w:hAnsi="Times New Roman" w:cs="Times New Roman"/>
                <w:i/>
                <w:sz w:val="18"/>
                <w:lang w:val="lv-LV"/>
              </w:rPr>
            </w:pPr>
          </w:p>
        </w:tc>
      </w:tr>
    </w:tbl>
    <w:p w14:paraId="4B7615E4" w14:textId="294240CC" w:rsidR="001F313A" w:rsidRPr="0069155A" w:rsidRDefault="008456EB" w:rsidP="00360172">
      <w:pPr>
        <w:pStyle w:val="Heading1"/>
        <w:keepLines w:val="0"/>
        <w:numPr>
          <w:ilvl w:val="0"/>
          <w:numId w:val="2"/>
        </w:numPr>
        <w:spacing w:line="240" w:lineRule="auto"/>
        <w:ind w:left="714" w:hanging="357"/>
        <w:jc w:val="center"/>
        <w:rPr>
          <w:rFonts w:ascii="Times New Roman" w:hAnsi="Times New Roman" w:cs="Times New Roman"/>
          <w:b/>
          <w:color w:val="auto"/>
          <w:sz w:val="28"/>
        </w:rPr>
      </w:pPr>
      <w:bookmarkStart w:id="30" w:name="_Toc482084437"/>
      <w:bookmarkStart w:id="31" w:name="_Toc482084601"/>
      <w:bookmarkStart w:id="32" w:name="_Toc482084636"/>
      <w:bookmarkStart w:id="33" w:name="_Toc482084671"/>
      <w:bookmarkStart w:id="34" w:name="_Toc482084799"/>
      <w:bookmarkStart w:id="35" w:name="_Toc478473148"/>
      <w:bookmarkEnd w:id="29"/>
      <w:r w:rsidRPr="0003425A">
        <w:rPr>
          <w:rStyle w:val="Heading1Char"/>
          <w:rFonts w:ascii="Times New Roman" w:hAnsi="Times New Roman" w:cs="Times New Roman"/>
          <w:b/>
          <w:color w:val="auto"/>
          <w:sz w:val="28"/>
        </w:rPr>
        <w:t>Valsts līdzdalība</w:t>
      </w:r>
      <w:r w:rsidR="00FA2E6A" w:rsidRPr="0003425A">
        <w:rPr>
          <w:rStyle w:val="Heading1Char"/>
          <w:rFonts w:ascii="Times New Roman" w:hAnsi="Times New Roman" w:cs="Times New Roman"/>
          <w:b/>
          <w:color w:val="auto"/>
          <w:sz w:val="28"/>
        </w:rPr>
        <w:t xml:space="preserve"> un </w:t>
      </w:r>
      <w:r w:rsidR="00755F59">
        <w:rPr>
          <w:rStyle w:val="Heading1Char"/>
          <w:rFonts w:ascii="Times New Roman" w:hAnsi="Times New Roman" w:cs="Times New Roman"/>
          <w:b/>
          <w:color w:val="auto"/>
          <w:sz w:val="28"/>
        </w:rPr>
        <w:t>vispārējais stratēģiskais mērķis</w:t>
      </w:r>
      <w:bookmarkEnd w:id="30"/>
      <w:bookmarkEnd w:id="31"/>
      <w:bookmarkEnd w:id="32"/>
      <w:bookmarkEnd w:id="33"/>
      <w:bookmarkEnd w:id="34"/>
      <w:bookmarkEnd w:id="35"/>
    </w:p>
    <w:p w14:paraId="27674609" w14:textId="77777777" w:rsidR="00663BBC" w:rsidRDefault="00663BBC" w:rsidP="00360172">
      <w:pPr>
        <w:keepNext/>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Sabiedrība ir valsts kapitālsabiedrība (valstij pieder visas balsstiesīgās akcijas), kura kā privāto tiesību subjekts darbojas atbilstoši Komerclikumam un </w:t>
      </w:r>
      <w:r w:rsidR="00B27E90">
        <w:rPr>
          <w:rFonts w:ascii="Times New Roman" w:hAnsi="Times New Roman"/>
          <w:color w:val="000000" w:themeColor="text1"/>
          <w:sz w:val="24"/>
        </w:rPr>
        <w:t>Kapitālsabiedrību p</w:t>
      </w:r>
      <w:r w:rsidRPr="00114266">
        <w:rPr>
          <w:rFonts w:ascii="Times New Roman" w:hAnsi="Times New Roman"/>
          <w:color w:val="000000" w:themeColor="text1"/>
          <w:sz w:val="24"/>
        </w:rPr>
        <w:t xml:space="preserve">ārvaldības likumam. Saskaņā ar Privatizācijas likuma 9.panta ceturto un piekto daļu, Sabiedrības akciju turētājs ir Ekonomikas ministrija, un ekonomikas ministrs ir Sabiedrības akciju turētāja pārstāvis. </w:t>
      </w:r>
      <w:r w:rsidRPr="00114266">
        <w:rPr>
          <w:rFonts w:ascii="Times New Roman" w:hAnsi="Times New Roman"/>
          <w:color w:val="000000" w:themeColor="text1"/>
          <w:sz w:val="24"/>
        </w:rPr>
        <w:lastRenderedPageBreak/>
        <w:t xml:space="preserve">Pamatojoties uz </w:t>
      </w:r>
      <w:r w:rsidR="00B27E90">
        <w:rPr>
          <w:rFonts w:ascii="Times New Roman" w:hAnsi="Times New Roman"/>
          <w:color w:val="000000" w:themeColor="text1"/>
          <w:sz w:val="24"/>
        </w:rPr>
        <w:t>Kapitālsabiedrību p</w:t>
      </w:r>
      <w:r w:rsidRPr="00114266">
        <w:rPr>
          <w:rFonts w:ascii="Times New Roman" w:hAnsi="Times New Roman"/>
          <w:color w:val="000000" w:themeColor="text1"/>
          <w:sz w:val="24"/>
        </w:rPr>
        <w:t xml:space="preserve">ārvaldības likuma 93.panta otro daļu, ekonomikas ministrs pilda Sabiedrības akcionāru sapulces funkcijas. </w:t>
      </w:r>
    </w:p>
    <w:p w14:paraId="3FF68742" w14:textId="1F7CD89C" w:rsidR="00692AE5" w:rsidRPr="00692AE5" w:rsidRDefault="000C2D80">
      <w:pPr>
        <w:pStyle w:val="Heading2"/>
      </w:pPr>
      <w:bookmarkStart w:id="36" w:name="_Toc482084438"/>
      <w:bookmarkStart w:id="37" w:name="_Toc482084602"/>
      <w:bookmarkStart w:id="38" w:name="_Toc482084637"/>
      <w:bookmarkStart w:id="39" w:name="_Toc482084672"/>
      <w:bookmarkStart w:id="40" w:name="_Toc482084800"/>
      <w:bookmarkStart w:id="41" w:name="_Toc478473149"/>
      <w:r w:rsidRPr="00DC6F66">
        <w:t>Valsts līdzdalības pamatojums</w:t>
      </w:r>
      <w:bookmarkEnd w:id="36"/>
      <w:bookmarkEnd w:id="37"/>
      <w:bookmarkEnd w:id="38"/>
      <w:bookmarkEnd w:id="39"/>
      <w:bookmarkEnd w:id="40"/>
      <w:bookmarkEnd w:id="41"/>
    </w:p>
    <w:p w14:paraId="6FAFCD75" w14:textId="77777777" w:rsidR="000C2D80" w:rsidRPr="00114266" w:rsidRDefault="000C2D80" w:rsidP="00114266">
      <w:pPr>
        <w:spacing w:before="80" w:after="80" w:line="240" w:lineRule="auto"/>
        <w:ind w:firstLine="709"/>
        <w:jc w:val="both"/>
        <w:rPr>
          <w:rFonts w:ascii="Times New Roman" w:hAnsi="Times New Roman"/>
          <w:color w:val="000000" w:themeColor="text1"/>
          <w:sz w:val="24"/>
        </w:rPr>
      </w:pPr>
      <w:r w:rsidRPr="00BC6B7D">
        <w:rPr>
          <w:rFonts w:ascii="Times New Roman" w:hAnsi="Times New Roman" w:cs="Times New Roman"/>
          <w:color w:val="000000" w:themeColor="text1"/>
          <w:sz w:val="24"/>
          <w:szCs w:val="24"/>
        </w:rPr>
        <w:t xml:space="preserve">Valsts kapitālsabiedrību pārvaldības reformas ietvaros tika izstrādāti un ar 2016.gada 1.janvāri spēkā stājās grozījumi Valsts pārvaldes iekārtas likumā, </w:t>
      </w:r>
      <w:r w:rsidRPr="00114266">
        <w:rPr>
          <w:rFonts w:ascii="Times New Roman" w:hAnsi="Times New Roman"/>
          <w:color w:val="000000" w:themeColor="text1"/>
          <w:sz w:val="24"/>
        </w:rPr>
        <w:t xml:space="preserve">nosakot, ka publiska persona savu funkciju efektīvai izpildei var dibināt kapitālsabiedrību vai iegūt līdzdalību esošā kapitālsabiedrībā, ja īstenojas viens no šādiem nosacījumiem: </w:t>
      </w:r>
    </w:p>
    <w:p w14:paraId="466A0394" w14:textId="77777777" w:rsidR="000C2D80" w:rsidRPr="00DC6F66" w:rsidRDefault="000C2D80" w:rsidP="00655F3C">
      <w:pPr>
        <w:pStyle w:val="ListParagraph"/>
        <w:numPr>
          <w:ilvl w:val="0"/>
          <w:numId w:val="5"/>
        </w:numPr>
        <w:spacing w:before="120" w:after="120"/>
        <w:jc w:val="both"/>
        <w:rPr>
          <w:rFonts w:cs="Times New Roman"/>
        </w:rPr>
      </w:pPr>
      <w:r w:rsidRPr="00DC6F66">
        <w:rPr>
          <w:rFonts w:cs="Times New Roman"/>
        </w:rPr>
        <w:t xml:space="preserve">tiek novērsta tirgus nepilnība — situācija, kad tirgus nav spējīgs nodrošināt sabiedrības interešu īstenošanu attiecīgajā jomā; </w:t>
      </w:r>
    </w:p>
    <w:p w14:paraId="6C182B31" w14:textId="77777777" w:rsidR="000C2D80" w:rsidRPr="00DC6F66" w:rsidRDefault="000C2D80" w:rsidP="00655F3C">
      <w:pPr>
        <w:pStyle w:val="ListParagraph"/>
        <w:numPr>
          <w:ilvl w:val="0"/>
          <w:numId w:val="5"/>
        </w:numPr>
        <w:spacing w:before="120" w:after="120"/>
        <w:jc w:val="both"/>
        <w:rPr>
          <w:rFonts w:cs="Times New Roman"/>
        </w:rPr>
      </w:pPr>
      <w:r w:rsidRPr="00DC6F66">
        <w:rPr>
          <w:rFonts w:cs="Times New Roman"/>
        </w:rPr>
        <w:t xml:space="preserve">publiskas personas kapitālsabiedrības vai publisku personu kontrolētas kapitālsabiedrības darbības rezultātā tiek radītas preces vai pakalpojumi, kas ir stratēģiski svarīgi valsts vai pašvaldības administratīvās teritorijas attīstībai vai valsts drošībai; </w:t>
      </w:r>
    </w:p>
    <w:p w14:paraId="763DDC40" w14:textId="77777777" w:rsidR="000C2D80" w:rsidRPr="00DC6F66" w:rsidRDefault="000C2D80" w:rsidP="00655F3C">
      <w:pPr>
        <w:pStyle w:val="ListParagraph"/>
        <w:numPr>
          <w:ilvl w:val="0"/>
          <w:numId w:val="5"/>
        </w:numPr>
        <w:spacing w:before="120" w:after="120"/>
        <w:jc w:val="both"/>
        <w:rPr>
          <w:rFonts w:cs="Times New Roman"/>
        </w:rPr>
      </w:pPr>
      <w:r w:rsidRPr="00DC6F66">
        <w:rPr>
          <w:rFonts w:cs="Times New Roman"/>
        </w:rPr>
        <w:t>tiek pārvaldīti tādi īpašumi, kas ir stratēģiski svarīgi valsts vai pašvaldības administratīvās teritorijas attīstībai vai valsts drošībai.</w:t>
      </w:r>
      <w:r>
        <w:rPr>
          <w:rStyle w:val="FootnoteReference"/>
          <w:rFonts w:cs="Times New Roman"/>
        </w:rPr>
        <w:footnoteReference w:id="5"/>
      </w:r>
    </w:p>
    <w:p w14:paraId="3E37815B" w14:textId="77777777" w:rsidR="000C2D80" w:rsidRDefault="000C2D80" w:rsidP="00BC6B7D">
      <w:pPr>
        <w:spacing w:before="80" w:after="80" w:line="240" w:lineRule="auto"/>
        <w:ind w:firstLine="709"/>
        <w:jc w:val="both"/>
        <w:rPr>
          <w:rFonts w:ascii="Times New Roman" w:hAnsi="Times New Roman" w:cs="Times New Roman"/>
          <w:color w:val="000000" w:themeColor="text1"/>
          <w:sz w:val="24"/>
          <w:szCs w:val="24"/>
        </w:rPr>
      </w:pPr>
      <w:r w:rsidRPr="00BC6B7D">
        <w:rPr>
          <w:rFonts w:ascii="Times New Roman" w:hAnsi="Times New Roman" w:cs="Times New Roman"/>
          <w:color w:val="000000" w:themeColor="text1"/>
          <w:sz w:val="24"/>
          <w:szCs w:val="24"/>
        </w:rPr>
        <w:t>Valsts līdzdalība Sabiedrībā ir izvērtēta</w:t>
      </w:r>
      <w:r w:rsidR="00EC63D6">
        <w:rPr>
          <w:rFonts w:ascii="Times New Roman" w:hAnsi="Times New Roman" w:cs="Times New Roman"/>
          <w:color w:val="000000" w:themeColor="text1"/>
          <w:sz w:val="24"/>
          <w:szCs w:val="24"/>
        </w:rPr>
        <w:t>, analizējot Sabiedrības darbības jomas un veicamos uzdevumus, kas tai ir nodoti papildus valsts pārvaldes uzdevumu izpildei</w:t>
      </w:r>
      <w:r w:rsidRPr="00BC6B7D">
        <w:rPr>
          <w:rFonts w:ascii="Times New Roman" w:hAnsi="Times New Roman" w:cs="Times New Roman"/>
          <w:color w:val="000000" w:themeColor="text1"/>
          <w:sz w:val="24"/>
          <w:szCs w:val="24"/>
        </w:rPr>
        <w:t xml:space="preserve">, proti, vai pastāv Valsts pārvaldes iekārtas likuma 88.panta </w:t>
      </w:r>
      <w:r w:rsidR="00EC63D6">
        <w:rPr>
          <w:rFonts w:ascii="Times New Roman" w:hAnsi="Times New Roman" w:cs="Times New Roman"/>
          <w:color w:val="000000" w:themeColor="text1"/>
          <w:sz w:val="24"/>
          <w:szCs w:val="24"/>
        </w:rPr>
        <w:t xml:space="preserve">pirmajā </w:t>
      </w:r>
      <w:r w:rsidRPr="00BC6B7D">
        <w:rPr>
          <w:rFonts w:ascii="Times New Roman" w:hAnsi="Times New Roman" w:cs="Times New Roman"/>
          <w:color w:val="000000" w:themeColor="text1"/>
          <w:sz w:val="24"/>
          <w:szCs w:val="24"/>
        </w:rPr>
        <w:t>daļā minētie priekšnosacījumi valsts līdzdalības saglabāšanai.</w:t>
      </w:r>
    </w:p>
    <w:p w14:paraId="726A4E81" w14:textId="77777777" w:rsidR="00680BEF" w:rsidRPr="00204044" w:rsidRDefault="00680BEF" w:rsidP="00680BEF">
      <w:pPr>
        <w:spacing w:before="80" w:after="80" w:line="240" w:lineRule="auto"/>
        <w:ind w:firstLine="709"/>
        <w:jc w:val="both"/>
        <w:rPr>
          <w:rFonts w:ascii="Times New Roman" w:hAnsi="Times New Roman" w:cs="Times New Roman"/>
          <w:sz w:val="24"/>
          <w:szCs w:val="24"/>
        </w:rPr>
      </w:pPr>
      <w:r w:rsidRPr="00204044">
        <w:rPr>
          <w:rFonts w:ascii="Times New Roman" w:hAnsi="Times New Roman"/>
          <w:sz w:val="24"/>
        </w:rPr>
        <w:t>No juridiskā viedokļa tirgus nepilnības termins ir uzskatāms par nenoteikto tiesību jēdzienu, kas analīzes rezultātā piepildāms ar konkrētu saturu attiecīgā gadījumā. Katrā konkrētajā gadījumā tiesību piemērotājam ir nepieciešams pamatot, kādēļ attiecīgā situācija ir uzskatāma par tirgus nepilnību, un institūcijai, kas pieņem lēmumu par valsts līdzdalības nepieciešamību kapitālsabiedrībā, izvērtējot saņemto tirgus nepilnības pamatojumu, jāpieņem lēmums</w:t>
      </w:r>
      <w:r w:rsidR="005C6C26">
        <w:rPr>
          <w:rFonts w:ascii="Times New Roman" w:hAnsi="Times New Roman"/>
          <w:sz w:val="24"/>
        </w:rPr>
        <w:t>,</w:t>
      </w:r>
      <w:r w:rsidRPr="00204044">
        <w:rPr>
          <w:rFonts w:ascii="Times New Roman" w:hAnsi="Times New Roman"/>
          <w:sz w:val="24"/>
        </w:rPr>
        <w:t xml:space="preserve"> vai konkrētais gadījums ir uzskatāms par tirgus nepilnības situāciju. Ja konstatēta tirgus nepilnības situācija, tad pirms lēmuma pieņemšanas lēmuma pieņēmējam jāpārliecinās, vai tirgus nepilnības situāciju nav iespējams novērst citā publiskas personas iesaistes veidā un vai šāda veida iesaiste būs efektīvākais sabiedrības labklājības uzlabošanas veids.</w:t>
      </w:r>
    </w:p>
    <w:p w14:paraId="7352B1E2" w14:textId="77777777" w:rsidR="004807C6" w:rsidRDefault="008B223D" w:rsidP="008B223D">
      <w:pPr>
        <w:spacing w:before="80" w:after="80" w:line="240" w:lineRule="auto"/>
        <w:ind w:firstLine="709"/>
        <w:jc w:val="both"/>
        <w:rPr>
          <w:rFonts w:ascii="Times New Roman" w:hAnsi="Times New Roman"/>
          <w:color w:val="000000" w:themeColor="text1"/>
          <w:sz w:val="24"/>
        </w:rPr>
      </w:pPr>
      <w:r w:rsidRPr="008B223D">
        <w:rPr>
          <w:rFonts w:ascii="Times New Roman" w:hAnsi="Times New Roman"/>
          <w:color w:val="000000" w:themeColor="text1"/>
          <w:sz w:val="24"/>
        </w:rPr>
        <w:t xml:space="preserve">Sabiedrībai, papildus tai deleģētajiem valsts pārvaldes uzdevumiem, kas tai uzdoti ar likumu (valsts īpašuma objektu, valsts zemesgabalu, dzīvokļu īpašumu un valsts kapitāla daļu privatizācija, dzīvojamo māju, to domājamo daļu vai dzīvokļu īpašumu atsavināšana u.c.), ar Ministru kabineta lēmumiem ir uzdoti arī </w:t>
      </w:r>
      <w:r w:rsidRPr="006E2CEB">
        <w:rPr>
          <w:rFonts w:ascii="Times New Roman" w:hAnsi="Times New Roman"/>
          <w:color w:val="000000" w:themeColor="text1"/>
          <w:sz w:val="24"/>
          <w:u w:val="single"/>
        </w:rPr>
        <w:t>specifiski un valstisk</w:t>
      </w:r>
      <w:r w:rsidR="005274A8" w:rsidRPr="006E2CEB">
        <w:rPr>
          <w:rFonts w:ascii="Times New Roman" w:hAnsi="Times New Roman"/>
          <w:color w:val="000000" w:themeColor="text1"/>
          <w:sz w:val="24"/>
          <w:u w:val="single"/>
        </w:rPr>
        <w:t>i</w:t>
      </w:r>
      <w:r w:rsidR="005274A8" w:rsidRPr="005274A8">
        <w:rPr>
          <w:rFonts w:ascii="Times New Roman" w:hAnsi="Times New Roman"/>
          <w:color w:val="000000" w:themeColor="text1"/>
          <w:sz w:val="24"/>
          <w:u w:val="single"/>
        </w:rPr>
        <w:t xml:space="preserve"> īpaši svarīgi uzdevumi</w:t>
      </w:r>
      <w:r w:rsidR="006E2CEB">
        <w:rPr>
          <w:rFonts w:ascii="Times New Roman" w:hAnsi="Times New Roman"/>
          <w:color w:val="000000" w:themeColor="text1"/>
          <w:sz w:val="24"/>
        </w:rPr>
        <w:t xml:space="preserve"> (problemātisko aktīvu pārvaldība)</w:t>
      </w:r>
      <w:r w:rsidRPr="008B223D">
        <w:rPr>
          <w:rFonts w:ascii="Times New Roman" w:hAnsi="Times New Roman"/>
          <w:color w:val="000000" w:themeColor="text1"/>
          <w:sz w:val="24"/>
        </w:rPr>
        <w:t xml:space="preserve">. </w:t>
      </w:r>
    </w:p>
    <w:p w14:paraId="467F113B" w14:textId="77777777" w:rsidR="004807C6" w:rsidRPr="00680BEF" w:rsidRDefault="004807C6" w:rsidP="004807C6">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V</w:t>
      </w:r>
      <w:r w:rsidRPr="00680BEF">
        <w:rPr>
          <w:rFonts w:ascii="Times New Roman" w:hAnsi="Times New Roman"/>
          <w:color w:val="000000" w:themeColor="text1"/>
          <w:sz w:val="24"/>
        </w:rPr>
        <w:t xml:space="preserve">ērā ņemams, ka Sabiedrības meitas sabiedrībās (problemātiskajos aktīvos) ir ieguldīti ievērojami valsts līdzekļi, tādēļ Ministru kabinets tiek regulāri informēts par šo projektu īstenošanas statusu informētu lēmumu pieņemšanai. Lielākajā daļā gadījumu šo restrukturizācijas projektu īstenošana ir saistīta ar valsts atbalstu, kas ir ierobežots laikā (piem., Parex bankai un tās restrukturizācijas rezultātā izveidotajām Citadele bankai un </w:t>
      </w:r>
      <w:proofErr w:type="spellStart"/>
      <w:r w:rsidRPr="00680BEF">
        <w:rPr>
          <w:rFonts w:ascii="Times New Roman" w:hAnsi="Times New Roman"/>
          <w:color w:val="000000" w:themeColor="text1"/>
          <w:sz w:val="24"/>
        </w:rPr>
        <w:t>Reverta</w:t>
      </w:r>
      <w:proofErr w:type="spellEnd"/>
      <w:r>
        <w:rPr>
          <w:rFonts w:ascii="Times New Roman" w:hAnsi="Times New Roman"/>
          <w:color w:val="000000" w:themeColor="text1"/>
          <w:sz w:val="24"/>
        </w:rPr>
        <w:t xml:space="preserve">, kā arī </w:t>
      </w:r>
      <w:proofErr w:type="spellStart"/>
      <w:r>
        <w:rPr>
          <w:rFonts w:ascii="Times New Roman" w:hAnsi="Times New Roman"/>
          <w:color w:val="000000" w:themeColor="text1"/>
          <w:sz w:val="24"/>
        </w:rPr>
        <w:t>Hiponia</w:t>
      </w:r>
      <w:proofErr w:type="spellEnd"/>
      <w:r>
        <w:rPr>
          <w:rFonts w:ascii="Times New Roman" w:hAnsi="Times New Roman"/>
          <w:color w:val="000000" w:themeColor="text1"/>
          <w:sz w:val="24"/>
        </w:rPr>
        <w:t xml:space="preserve"> un </w:t>
      </w:r>
      <w:proofErr w:type="spellStart"/>
      <w:r>
        <w:rPr>
          <w:rFonts w:ascii="Times New Roman" w:hAnsi="Times New Roman"/>
          <w:color w:val="000000" w:themeColor="text1"/>
          <w:sz w:val="24"/>
        </w:rPr>
        <w:t>FeLM</w:t>
      </w:r>
      <w:proofErr w:type="spellEnd"/>
      <w:r>
        <w:rPr>
          <w:rFonts w:ascii="Times New Roman" w:hAnsi="Times New Roman"/>
          <w:color w:val="000000" w:themeColor="text1"/>
          <w:sz w:val="24"/>
        </w:rPr>
        <w:t>)</w:t>
      </w:r>
      <w:r w:rsidRPr="00680BEF">
        <w:rPr>
          <w:rFonts w:ascii="Times New Roman" w:hAnsi="Times New Roman"/>
          <w:color w:val="000000" w:themeColor="text1"/>
          <w:sz w:val="24"/>
        </w:rPr>
        <w:t xml:space="preserve">. </w:t>
      </w:r>
      <w:r>
        <w:rPr>
          <w:rFonts w:ascii="Times New Roman" w:hAnsi="Times New Roman"/>
          <w:color w:val="000000" w:themeColor="text1"/>
          <w:sz w:val="24"/>
        </w:rPr>
        <w:t>Šāds v</w:t>
      </w:r>
      <w:r w:rsidRPr="00680BEF">
        <w:rPr>
          <w:rFonts w:ascii="Times New Roman" w:hAnsi="Times New Roman"/>
          <w:color w:val="000000" w:themeColor="text1"/>
          <w:sz w:val="24"/>
        </w:rPr>
        <w:t xml:space="preserve">alsts atbalsts, atbilstoši Eiropas Komisijas līguma nosacījumiem, ir sniedzams likviditātes problēmu risināšanai un kapitāla nepietiekamības novēršanai, vienlaikus mazinot konkurences kropļošanu. </w:t>
      </w:r>
      <w:r>
        <w:rPr>
          <w:rFonts w:ascii="Times New Roman" w:hAnsi="Times New Roman"/>
          <w:color w:val="000000" w:themeColor="text1"/>
          <w:sz w:val="24"/>
        </w:rPr>
        <w:t>A</w:t>
      </w:r>
      <w:r w:rsidRPr="00680BEF">
        <w:rPr>
          <w:rFonts w:ascii="Times New Roman" w:hAnsi="Times New Roman"/>
          <w:color w:val="000000" w:themeColor="text1"/>
          <w:sz w:val="24"/>
        </w:rPr>
        <w:t>r problemātisko aktīvu pārvaldību saistītu projektu īstenošana ietver regulāru komunikāciju ar</w:t>
      </w:r>
      <w:r w:rsidR="006E2CEB">
        <w:rPr>
          <w:rFonts w:ascii="Times New Roman" w:hAnsi="Times New Roman"/>
          <w:color w:val="000000" w:themeColor="text1"/>
          <w:sz w:val="24"/>
        </w:rPr>
        <w:t>ī ar</w:t>
      </w:r>
      <w:r w:rsidRPr="00680BEF">
        <w:rPr>
          <w:rFonts w:ascii="Times New Roman" w:hAnsi="Times New Roman"/>
          <w:color w:val="000000" w:themeColor="text1"/>
          <w:sz w:val="24"/>
        </w:rPr>
        <w:t xml:space="preserve"> Eiropas Komisiju, informējot par valsts atbalsta atgūšanas gaitu, t.sk. izaic</w:t>
      </w:r>
      <w:r>
        <w:rPr>
          <w:rFonts w:ascii="Times New Roman" w:hAnsi="Times New Roman"/>
          <w:color w:val="000000" w:themeColor="text1"/>
          <w:sz w:val="24"/>
        </w:rPr>
        <w:t xml:space="preserve">inājumiem un </w:t>
      </w:r>
      <w:proofErr w:type="spellStart"/>
      <w:r>
        <w:rPr>
          <w:rFonts w:ascii="Times New Roman" w:hAnsi="Times New Roman"/>
          <w:color w:val="000000" w:themeColor="text1"/>
          <w:sz w:val="24"/>
        </w:rPr>
        <w:t>problēmjautājumiem</w:t>
      </w:r>
      <w:proofErr w:type="spellEnd"/>
      <w:r>
        <w:rPr>
          <w:rFonts w:ascii="Times New Roman" w:hAnsi="Times New Roman"/>
          <w:color w:val="000000" w:themeColor="text1"/>
          <w:sz w:val="24"/>
        </w:rPr>
        <w:t>, kā arī pastāvīga</w:t>
      </w:r>
      <w:r w:rsidR="006E2CEB">
        <w:rPr>
          <w:rFonts w:ascii="Times New Roman" w:hAnsi="Times New Roman"/>
          <w:color w:val="000000" w:themeColor="text1"/>
          <w:sz w:val="24"/>
        </w:rPr>
        <w:t>s</w:t>
      </w:r>
      <w:r w:rsidRPr="008B223D">
        <w:rPr>
          <w:rFonts w:ascii="Times New Roman" w:hAnsi="Times New Roman"/>
          <w:color w:val="000000" w:themeColor="text1"/>
          <w:sz w:val="24"/>
        </w:rPr>
        <w:t xml:space="preserve"> aktuālās informācijas</w:t>
      </w:r>
      <w:r>
        <w:rPr>
          <w:rFonts w:ascii="Times New Roman" w:hAnsi="Times New Roman"/>
          <w:color w:val="000000" w:themeColor="text1"/>
          <w:sz w:val="24"/>
        </w:rPr>
        <w:t xml:space="preserve"> plūsma</w:t>
      </w:r>
      <w:r w:rsidR="006E2CEB">
        <w:rPr>
          <w:rFonts w:ascii="Times New Roman" w:hAnsi="Times New Roman"/>
          <w:color w:val="000000" w:themeColor="text1"/>
          <w:sz w:val="24"/>
        </w:rPr>
        <w:t>s nodrošināšanu</w:t>
      </w:r>
      <w:r>
        <w:rPr>
          <w:rFonts w:ascii="Times New Roman" w:hAnsi="Times New Roman"/>
          <w:color w:val="000000" w:themeColor="text1"/>
          <w:sz w:val="24"/>
        </w:rPr>
        <w:t xml:space="preserve"> citām </w:t>
      </w:r>
      <w:r w:rsidRPr="008B223D">
        <w:rPr>
          <w:rFonts w:ascii="Times New Roman" w:hAnsi="Times New Roman"/>
          <w:color w:val="000000" w:themeColor="text1"/>
          <w:sz w:val="24"/>
        </w:rPr>
        <w:t>būtiskām ieinteresētajām pusēm, t.sk. Fin</w:t>
      </w:r>
      <w:r>
        <w:rPr>
          <w:rFonts w:ascii="Times New Roman" w:hAnsi="Times New Roman"/>
          <w:color w:val="000000" w:themeColor="text1"/>
          <w:sz w:val="24"/>
        </w:rPr>
        <w:t>anšu ministrijai, Valsts kasei,</w:t>
      </w:r>
      <w:r w:rsidR="006E2CEB">
        <w:rPr>
          <w:rFonts w:ascii="Times New Roman" w:hAnsi="Times New Roman"/>
          <w:color w:val="000000" w:themeColor="text1"/>
          <w:sz w:val="24"/>
        </w:rPr>
        <w:t xml:space="preserve"> un to iesaisti</w:t>
      </w:r>
      <w:r w:rsidRPr="008B223D">
        <w:rPr>
          <w:rFonts w:ascii="Times New Roman" w:hAnsi="Times New Roman"/>
          <w:color w:val="000000" w:themeColor="text1"/>
          <w:sz w:val="24"/>
        </w:rPr>
        <w:t>.</w:t>
      </w:r>
    </w:p>
    <w:p w14:paraId="13C4CE17" w14:textId="77777777" w:rsidR="006E2CEB" w:rsidRDefault="00680BEF" w:rsidP="006E2CEB">
      <w:pPr>
        <w:spacing w:before="80" w:after="80" w:line="240" w:lineRule="auto"/>
        <w:ind w:firstLine="709"/>
        <w:jc w:val="both"/>
        <w:rPr>
          <w:rFonts w:ascii="Times New Roman" w:hAnsi="Times New Roman"/>
          <w:color w:val="000000" w:themeColor="text1"/>
          <w:sz w:val="24"/>
        </w:rPr>
      </w:pPr>
      <w:r w:rsidRPr="00680BEF">
        <w:rPr>
          <w:rFonts w:ascii="Times New Roman" w:hAnsi="Times New Roman"/>
          <w:color w:val="000000" w:themeColor="text1"/>
          <w:sz w:val="24"/>
        </w:rPr>
        <w:lastRenderedPageBreak/>
        <w:t xml:space="preserve">Atzīmējams, ka Ministru kabinets pirms katra lēmuma pieņemšanas (attiecībā uz atļaujas sniegšanu Sabiedrībai iegūt līdzdalību citā kapitālsabiedrībā un nodrošināt tās turpmāku pārvaldību) jau iepriekš ir izvērtējis arī citas iespējas, kā risināt ar šāda veida, ar problemātisko aktīvu pārvaldību saistītus jautājumus, taču </w:t>
      </w:r>
      <w:r w:rsidRPr="006E2CEB">
        <w:rPr>
          <w:rFonts w:ascii="Times New Roman" w:hAnsi="Times New Roman"/>
          <w:color w:val="000000" w:themeColor="text1"/>
          <w:sz w:val="24"/>
          <w:u w:val="single"/>
        </w:rPr>
        <w:t>vairākkārt ir atzinis S</w:t>
      </w:r>
      <w:r w:rsidR="004807C6" w:rsidRPr="006E2CEB">
        <w:rPr>
          <w:rFonts w:ascii="Times New Roman" w:hAnsi="Times New Roman"/>
          <w:color w:val="000000" w:themeColor="text1"/>
          <w:sz w:val="24"/>
          <w:u w:val="single"/>
        </w:rPr>
        <w:t>abiedrību par labāko risinājumu</w:t>
      </w:r>
      <w:r w:rsidRPr="006E2CEB">
        <w:rPr>
          <w:rFonts w:ascii="Times New Roman" w:hAnsi="Times New Roman"/>
          <w:color w:val="000000" w:themeColor="text1"/>
          <w:sz w:val="24"/>
          <w:u w:val="single"/>
        </w:rPr>
        <w:t xml:space="preserve">, kam nodot attiecīgo uzdevumu izpildi. </w:t>
      </w:r>
      <w:r w:rsidR="006E2CEB">
        <w:rPr>
          <w:rFonts w:ascii="Times New Roman" w:hAnsi="Times New Roman"/>
          <w:color w:val="000000" w:themeColor="text1"/>
          <w:sz w:val="24"/>
        </w:rPr>
        <w:t>Vienlaikus jāuzsver, ka jebkurā gadījumā š</w:t>
      </w:r>
      <w:r w:rsidR="006E2CEB" w:rsidRPr="008B223D">
        <w:rPr>
          <w:rFonts w:ascii="Times New Roman" w:hAnsi="Times New Roman"/>
          <w:color w:val="000000" w:themeColor="text1"/>
          <w:sz w:val="24"/>
        </w:rPr>
        <w:t xml:space="preserve">ādas īpašas specifikas uzdevumu </w:t>
      </w:r>
      <w:r w:rsidR="006E2CEB">
        <w:rPr>
          <w:rFonts w:ascii="Times New Roman" w:hAnsi="Times New Roman"/>
          <w:color w:val="000000" w:themeColor="text1"/>
          <w:sz w:val="24"/>
        </w:rPr>
        <w:t xml:space="preserve">(problemātisko aktīvu pārvaldība) </w:t>
      </w:r>
      <w:r w:rsidR="006E2CEB" w:rsidRPr="008B223D">
        <w:rPr>
          <w:rFonts w:ascii="Times New Roman" w:hAnsi="Times New Roman"/>
          <w:color w:val="000000" w:themeColor="text1"/>
          <w:sz w:val="24"/>
        </w:rPr>
        <w:t>izpildi privātpersona (privāta kapitālsabiedrība) neuzņemtos, jo meitas sabiedrību pārvaldīšana rada būtiskas izmaksas un zaudējumus, bet nenodrošina ieņēmumus.</w:t>
      </w:r>
    </w:p>
    <w:p w14:paraId="0023110A" w14:textId="77777777" w:rsidR="006E2CEB" w:rsidRDefault="006E2CEB" w:rsidP="006E2CEB">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u w:val="single"/>
        </w:rPr>
        <w:t>Tādējādi secināms, ka šo</w:t>
      </w:r>
      <w:r w:rsidR="00680BEF" w:rsidRPr="004807C6">
        <w:rPr>
          <w:rFonts w:ascii="Times New Roman" w:hAnsi="Times New Roman"/>
          <w:color w:val="000000" w:themeColor="text1"/>
          <w:sz w:val="24"/>
          <w:u w:val="single"/>
        </w:rPr>
        <w:t xml:space="preserve">brīd valstī nav citas institūcijas, kura būtu spējīga nodrošināt šādas stratēģiskas nozīmes uzdevumu izpildi, kas Sabiedrībai uzdoti ar Ministru kabineta lēmumiem attiecībā uz </w:t>
      </w:r>
      <w:proofErr w:type="spellStart"/>
      <w:r w:rsidR="00680BEF" w:rsidRPr="004807C6">
        <w:rPr>
          <w:rFonts w:ascii="Times New Roman" w:hAnsi="Times New Roman"/>
          <w:color w:val="000000" w:themeColor="text1"/>
          <w:sz w:val="24"/>
          <w:u w:val="single"/>
        </w:rPr>
        <w:t>Reverta</w:t>
      </w:r>
      <w:proofErr w:type="spellEnd"/>
      <w:r w:rsidR="00680BEF" w:rsidRPr="004807C6">
        <w:rPr>
          <w:rFonts w:ascii="Times New Roman" w:hAnsi="Times New Roman"/>
          <w:color w:val="000000" w:themeColor="text1"/>
          <w:sz w:val="24"/>
          <w:u w:val="single"/>
        </w:rPr>
        <w:t xml:space="preserve">, </w:t>
      </w:r>
      <w:proofErr w:type="spellStart"/>
      <w:r w:rsidR="00680BEF" w:rsidRPr="004807C6">
        <w:rPr>
          <w:rFonts w:ascii="Times New Roman" w:hAnsi="Times New Roman"/>
          <w:color w:val="000000" w:themeColor="text1"/>
          <w:sz w:val="24"/>
          <w:u w:val="single"/>
        </w:rPr>
        <w:t>Hiponia</w:t>
      </w:r>
      <w:proofErr w:type="spellEnd"/>
      <w:r w:rsidR="00680BEF" w:rsidRPr="004807C6">
        <w:rPr>
          <w:rFonts w:ascii="Times New Roman" w:hAnsi="Times New Roman"/>
          <w:color w:val="000000" w:themeColor="text1"/>
          <w:sz w:val="24"/>
          <w:u w:val="single"/>
        </w:rPr>
        <w:t xml:space="preserve"> pārvaldību, kā arī ar valsts prasījuma pret KVV Liepājas metalurgs pārvaldību un citiem nākotnes projektiem, kuru realizācijā Sabiedrība var tikt izmantota kā instruments</w:t>
      </w:r>
      <w:r w:rsidR="00680BEF" w:rsidRPr="00680BEF">
        <w:rPr>
          <w:rFonts w:ascii="Times New Roman" w:hAnsi="Times New Roman"/>
          <w:color w:val="000000" w:themeColor="text1"/>
          <w:sz w:val="24"/>
        </w:rPr>
        <w:t xml:space="preserve">. </w:t>
      </w:r>
      <w:r>
        <w:rPr>
          <w:rFonts w:ascii="Times New Roman" w:hAnsi="Times New Roman"/>
          <w:color w:val="000000" w:themeColor="text1"/>
          <w:sz w:val="24"/>
        </w:rPr>
        <w:t>Nozīmīgi</w:t>
      </w:r>
      <w:r w:rsidR="00680BEF" w:rsidRPr="00680BEF">
        <w:rPr>
          <w:rFonts w:ascii="Times New Roman" w:hAnsi="Times New Roman"/>
          <w:color w:val="000000" w:themeColor="text1"/>
          <w:sz w:val="24"/>
        </w:rPr>
        <w:t xml:space="preserve">, ka </w:t>
      </w:r>
      <w:r>
        <w:rPr>
          <w:rFonts w:ascii="Times New Roman" w:hAnsi="Times New Roman"/>
          <w:color w:val="000000" w:themeColor="text1"/>
          <w:sz w:val="24"/>
        </w:rPr>
        <w:t xml:space="preserve">tuvākajā nākotnē </w:t>
      </w:r>
      <w:r w:rsidR="00680BEF" w:rsidRPr="00680BEF">
        <w:rPr>
          <w:rFonts w:ascii="Times New Roman" w:hAnsi="Times New Roman"/>
          <w:color w:val="000000" w:themeColor="text1"/>
          <w:sz w:val="24"/>
        </w:rPr>
        <w:t xml:space="preserve">ir paredzēta Sabiedrības </w:t>
      </w:r>
      <w:r w:rsidR="00680BEF" w:rsidRPr="006E2CEB">
        <w:rPr>
          <w:rFonts w:ascii="Times New Roman" w:hAnsi="Times New Roman"/>
          <w:color w:val="000000" w:themeColor="text1"/>
          <w:sz w:val="24"/>
          <w:u w:val="single"/>
        </w:rPr>
        <w:t>problemātisko aktīvu portfeļa izvēršana</w:t>
      </w:r>
      <w:r w:rsidR="00680BEF" w:rsidRPr="00680BEF">
        <w:rPr>
          <w:rFonts w:ascii="Times New Roman" w:hAnsi="Times New Roman"/>
          <w:color w:val="000000" w:themeColor="text1"/>
          <w:sz w:val="24"/>
        </w:rPr>
        <w:t xml:space="preserve"> atbilstoši Ministru kabineta 201</w:t>
      </w:r>
      <w:r w:rsidR="00E75DFA">
        <w:rPr>
          <w:rFonts w:ascii="Times New Roman" w:hAnsi="Times New Roman"/>
          <w:color w:val="000000" w:themeColor="text1"/>
          <w:sz w:val="24"/>
        </w:rPr>
        <w:t>6</w:t>
      </w:r>
      <w:r w:rsidR="00680BEF" w:rsidRPr="00680BEF">
        <w:rPr>
          <w:rFonts w:ascii="Times New Roman" w:hAnsi="Times New Roman"/>
          <w:color w:val="000000" w:themeColor="text1"/>
          <w:sz w:val="24"/>
        </w:rPr>
        <w:t>.gada 14.jūnija sēdē lemtajam (protokols Nr.29 68.§</w:t>
      </w:r>
      <w:r w:rsidR="003A40AF">
        <w:rPr>
          <w:rFonts w:ascii="Times New Roman" w:hAnsi="Times New Roman"/>
          <w:color w:val="000000" w:themeColor="text1"/>
          <w:sz w:val="24"/>
        </w:rPr>
        <w:t xml:space="preserve"> 7.punkts</w:t>
      </w:r>
      <w:r w:rsidR="00680BEF" w:rsidRPr="00680BEF">
        <w:rPr>
          <w:rFonts w:ascii="Times New Roman" w:hAnsi="Times New Roman"/>
          <w:color w:val="000000" w:themeColor="text1"/>
          <w:sz w:val="24"/>
        </w:rPr>
        <w:t>; klasificēta kā informācija dienesta vajadzībām).</w:t>
      </w:r>
      <w:r w:rsidRPr="006E2CEB">
        <w:rPr>
          <w:rFonts w:ascii="Times New Roman" w:hAnsi="Times New Roman"/>
          <w:color w:val="000000" w:themeColor="text1"/>
          <w:sz w:val="24"/>
        </w:rPr>
        <w:t xml:space="preserve"> </w:t>
      </w:r>
    </w:p>
    <w:p w14:paraId="5C516773" w14:textId="6BEF5829" w:rsidR="008B223D" w:rsidRPr="00680BEF" w:rsidRDefault="006E2CEB" w:rsidP="008B223D">
      <w:pPr>
        <w:spacing w:before="80" w:after="80" w:line="240" w:lineRule="auto"/>
        <w:ind w:firstLine="709"/>
        <w:jc w:val="both"/>
        <w:rPr>
          <w:rFonts w:ascii="Times New Roman" w:hAnsi="Times New Roman"/>
          <w:sz w:val="24"/>
        </w:rPr>
      </w:pPr>
      <w:r>
        <w:rPr>
          <w:rFonts w:ascii="Times New Roman" w:hAnsi="Times New Roman"/>
          <w:sz w:val="24"/>
        </w:rPr>
        <w:t>Izrietoši, t</w:t>
      </w:r>
      <w:r w:rsidR="008B223D" w:rsidRPr="00680BEF">
        <w:rPr>
          <w:rFonts w:ascii="Times New Roman" w:hAnsi="Times New Roman"/>
          <w:sz w:val="24"/>
        </w:rPr>
        <w:t>ā kā tirgus nav spējīgs nodrošināt sabiedrības interešu īstenošanu attiecībā uz š</w:t>
      </w:r>
      <w:r w:rsidR="003A40AF">
        <w:rPr>
          <w:rFonts w:ascii="Times New Roman" w:hAnsi="Times New Roman"/>
          <w:sz w:val="24"/>
        </w:rPr>
        <w:t>iem</w:t>
      </w:r>
      <w:r w:rsidR="008B223D" w:rsidRPr="00680BEF">
        <w:rPr>
          <w:rFonts w:ascii="Times New Roman" w:hAnsi="Times New Roman"/>
          <w:sz w:val="24"/>
        </w:rPr>
        <w:t xml:space="preserve"> </w:t>
      </w:r>
      <w:r w:rsidR="00680BEF" w:rsidRPr="00680BEF">
        <w:rPr>
          <w:rFonts w:ascii="Times New Roman" w:hAnsi="Times New Roman"/>
          <w:sz w:val="24"/>
        </w:rPr>
        <w:t>speciālajiem</w:t>
      </w:r>
      <w:r w:rsidR="008B223D" w:rsidRPr="00680BEF">
        <w:rPr>
          <w:rFonts w:ascii="Times New Roman" w:hAnsi="Times New Roman"/>
          <w:sz w:val="24"/>
        </w:rPr>
        <w:t xml:space="preserve"> uzdevumiem (tirgus n</w:t>
      </w:r>
      <w:r w:rsidR="00680BEF" w:rsidRPr="00680BEF">
        <w:rPr>
          <w:rFonts w:ascii="Times New Roman" w:hAnsi="Times New Roman"/>
          <w:sz w:val="24"/>
        </w:rPr>
        <w:t xml:space="preserve">epilnība), </w:t>
      </w:r>
      <w:r w:rsidR="0059187B">
        <w:rPr>
          <w:rFonts w:ascii="Times New Roman" w:hAnsi="Times New Roman"/>
          <w:sz w:val="24"/>
        </w:rPr>
        <w:t xml:space="preserve">jo šobrīd tirgū nav identificēti citi komersanti, kuri būtu spējīgi uzņemties problemātisko aktīvu pārvaldību, </w:t>
      </w:r>
      <w:r w:rsidR="00680BEF" w:rsidRPr="00680BEF">
        <w:rPr>
          <w:rFonts w:ascii="Times New Roman" w:hAnsi="Times New Roman"/>
          <w:sz w:val="24"/>
        </w:rPr>
        <w:t>to</w:t>
      </w:r>
      <w:r w:rsidR="008B223D" w:rsidRPr="00680BEF">
        <w:rPr>
          <w:rFonts w:ascii="Times New Roman" w:hAnsi="Times New Roman"/>
          <w:sz w:val="24"/>
        </w:rPr>
        <w:t xml:space="preserve"> </w:t>
      </w:r>
      <w:r w:rsidR="00680BEF" w:rsidRPr="00680BEF">
        <w:rPr>
          <w:rFonts w:ascii="Times New Roman" w:hAnsi="Times New Roman"/>
          <w:sz w:val="24"/>
        </w:rPr>
        <w:t>izpilde jāturpina nodrošināt</w:t>
      </w:r>
      <w:r w:rsidR="008B223D" w:rsidRPr="00680BEF">
        <w:rPr>
          <w:rFonts w:ascii="Times New Roman" w:hAnsi="Times New Roman"/>
          <w:sz w:val="24"/>
        </w:rPr>
        <w:t xml:space="preserve"> </w:t>
      </w:r>
      <w:r w:rsidR="00680BEF" w:rsidRPr="00680BEF">
        <w:rPr>
          <w:rFonts w:ascii="Times New Roman" w:hAnsi="Times New Roman"/>
          <w:sz w:val="24"/>
        </w:rPr>
        <w:t>Sabiedrībai</w:t>
      </w:r>
      <w:r w:rsidR="008B223D" w:rsidRPr="00680BEF">
        <w:rPr>
          <w:rFonts w:ascii="Times New Roman" w:hAnsi="Times New Roman"/>
          <w:sz w:val="24"/>
        </w:rPr>
        <w:t xml:space="preserve">, kurai ir nepieciešamās </w:t>
      </w:r>
      <w:r>
        <w:rPr>
          <w:rFonts w:ascii="Times New Roman" w:hAnsi="Times New Roman"/>
          <w:sz w:val="24"/>
        </w:rPr>
        <w:t xml:space="preserve">iestrādnes, </w:t>
      </w:r>
      <w:r w:rsidR="00680BEF" w:rsidRPr="00680BEF">
        <w:rPr>
          <w:rFonts w:ascii="Times New Roman" w:hAnsi="Times New Roman"/>
          <w:sz w:val="24"/>
        </w:rPr>
        <w:t xml:space="preserve">specifiskās </w:t>
      </w:r>
      <w:r w:rsidR="005E43DA">
        <w:rPr>
          <w:rFonts w:ascii="Times New Roman" w:hAnsi="Times New Roman"/>
          <w:sz w:val="24"/>
        </w:rPr>
        <w:t xml:space="preserve">zināšanas un </w:t>
      </w:r>
      <w:r w:rsidR="008B223D" w:rsidRPr="00680BEF">
        <w:rPr>
          <w:rFonts w:ascii="Times New Roman" w:hAnsi="Times New Roman"/>
          <w:sz w:val="24"/>
        </w:rPr>
        <w:t>kompetences</w:t>
      </w:r>
      <w:r w:rsidR="005E43DA">
        <w:rPr>
          <w:rFonts w:ascii="Times New Roman" w:hAnsi="Times New Roman"/>
          <w:sz w:val="24"/>
        </w:rPr>
        <w:t>, kā arī</w:t>
      </w:r>
      <w:r w:rsidR="008B223D" w:rsidRPr="00680BEF">
        <w:rPr>
          <w:rFonts w:ascii="Times New Roman" w:hAnsi="Times New Roman"/>
          <w:sz w:val="24"/>
        </w:rPr>
        <w:t xml:space="preserve"> resursi.</w:t>
      </w:r>
    </w:p>
    <w:p w14:paraId="39FA972C" w14:textId="77777777" w:rsidR="00680BEF" w:rsidRDefault="00680BEF" w:rsidP="00680BEF">
      <w:pPr>
        <w:spacing w:before="80" w:after="80" w:line="240" w:lineRule="auto"/>
        <w:ind w:firstLine="709"/>
        <w:jc w:val="both"/>
        <w:rPr>
          <w:rFonts w:ascii="Times New Roman" w:hAnsi="Times New Roman" w:cs="Times New Roman"/>
          <w:color w:val="000000" w:themeColor="text1"/>
          <w:sz w:val="24"/>
          <w:szCs w:val="24"/>
        </w:rPr>
      </w:pPr>
      <w:r>
        <w:rPr>
          <w:rFonts w:ascii="Times New Roman" w:hAnsi="Times New Roman"/>
          <w:color w:val="000000" w:themeColor="text1"/>
          <w:sz w:val="24"/>
        </w:rPr>
        <w:t>Turklāt, a</w:t>
      </w:r>
      <w:r w:rsidRPr="00114266">
        <w:rPr>
          <w:rFonts w:ascii="Times New Roman" w:hAnsi="Times New Roman"/>
          <w:color w:val="000000" w:themeColor="text1"/>
          <w:sz w:val="24"/>
        </w:rPr>
        <w:t>tsavināšanai un privatizācijai nodotie un Sabiedrības turējumā un valdījumā esošie aktīvi</w:t>
      </w:r>
      <w:r w:rsidRPr="00BC6B7D">
        <w:rPr>
          <w:rFonts w:ascii="Times New Roman" w:hAnsi="Times New Roman" w:cs="Times New Roman"/>
          <w:color w:val="000000" w:themeColor="text1"/>
          <w:sz w:val="24"/>
          <w:szCs w:val="24"/>
        </w:rPr>
        <w:t>, t.i.</w:t>
      </w:r>
      <w:r w:rsidR="003A40AF">
        <w:rPr>
          <w:rFonts w:ascii="Times New Roman" w:hAnsi="Times New Roman" w:cs="Times New Roman"/>
          <w:color w:val="000000" w:themeColor="text1"/>
          <w:sz w:val="24"/>
          <w:szCs w:val="24"/>
        </w:rPr>
        <w:t>,</w:t>
      </w:r>
      <w:r w:rsidRPr="00BC6B7D">
        <w:rPr>
          <w:rFonts w:ascii="Times New Roman" w:hAnsi="Times New Roman" w:cs="Times New Roman"/>
          <w:color w:val="000000" w:themeColor="text1"/>
          <w:sz w:val="24"/>
          <w:szCs w:val="24"/>
        </w:rPr>
        <w:t xml:space="preserve"> </w:t>
      </w:r>
      <w:r w:rsidRPr="00114266">
        <w:rPr>
          <w:rFonts w:ascii="Times New Roman" w:hAnsi="Times New Roman"/>
          <w:color w:val="000000" w:themeColor="text1"/>
          <w:sz w:val="24"/>
        </w:rPr>
        <w:t>valsts īpašuma objekti, zemesgabali, dzīvojamās mājas, to domājamās daļas un dzīvokļu īpašumi</w:t>
      </w:r>
      <w:r w:rsidRPr="00BC6B7D">
        <w:rPr>
          <w:rFonts w:ascii="Times New Roman" w:hAnsi="Times New Roman" w:cs="Times New Roman"/>
          <w:color w:val="000000" w:themeColor="text1"/>
          <w:sz w:val="24"/>
          <w:szCs w:val="24"/>
        </w:rPr>
        <w:t>,</w:t>
      </w:r>
      <w:r w:rsidRPr="00114266">
        <w:rPr>
          <w:rFonts w:ascii="Times New Roman" w:hAnsi="Times New Roman"/>
          <w:color w:val="000000" w:themeColor="text1"/>
          <w:sz w:val="24"/>
        </w:rPr>
        <w:t xml:space="preserve"> pieder valstij, un </w:t>
      </w:r>
      <w:r w:rsidRPr="00BC6B7D">
        <w:rPr>
          <w:rFonts w:ascii="Times New Roman" w:hAnsi="Times New Roman" w:cs="Times New Roman"/>
          <w:color w:val="000000" w:themeColor="text1"/>
          <w:sz w:val="24"/>
          <w:szCs w:val="24"/>
        </w:rPr>
        <w:t>to likviditāte, ņemot vērā sastāvu, stāvokli, ģeogrāfisko</w:t>
      </w:r>
      <w:r w:rsidRPr="00114266">
        <w:rPr>
          <w:rFonts w:ascii="Times New Roman" w:hAnsi="Times New Roman"/>
          <w:color w:val="000000" w:themeColor="text1"/>
          <w:sz w:val="24"/>
        </w:rPr>
        <w:t xml:space="preserve"> atrašanās </w:t>
      </w:r>
      <w:r w:rsidRPr="00BC6B7D">
        <w:rPr>
          <w:rFonts w:ascii="Times New Roman" w:hAnsi="Times New Roman" w:cs="Times New Roman"/>
          <w:color w:val="000000" w:themeColor="text1"/>
          <w:sz w:val="24"/>
          <w:szCs w:val="24"/>
        </w:rPr>
        <w:t>vietu, kā arī apgrūtinājumus, ir zema. Tomēr, neatkarīgi</w:t>
      </w:r>
      <w:r w:rsidRPr="00114266">
        <w:rPr>
          <w:rFonts w:ascii="Times New Roman" w:hAnsi="Times New Roman"/>
          <w:color w:val="000000" w:themeColor="text1"/>
          <w:sz w:val="24"/>
        </w:rPr>
        <w:t xml:space="preserve"> no Sabiedrības </w:t>
      </w:r>
      <w:r w:rsidRPr="00BC6B7D">
        <w:rPr>
          <w:rFonts w:ascii="Times New Roman" w:hAnsi="Times New Roman" w:cs="Times New Roman"/>
          <w:color w:val="000000" w:themeColor="text1"/>
          <w:sz w:val="24"/>
          <w:szCs w:val="24"/>
        </w:rPr>
        <w:t>portfelī esošo īpašuma objektu</w:t>
      </w:r>
      <w:r w:rsidRPr="00114266">
        <w:rPr>
          <w:rFonts w:ascii="Times New Roman" w:hAnsi="Times New Roman"/>
          <w:color w:val="000000" w:themeColor="text1"/>
          <w:sz w:val="24"/>
        </w:rPr>
        <w:t xml:space="preserve"> kvalitātes un likviditātes, valstij </w:t>
      </w:r>
      <w:r w:rsidRPr="00BC6B7D">
        <w:rPr>
          <w:rFonts w:ascii="Times New Roman" w:hAnsi="Times New Roman" w:cs="Times New Roman"/>
          <w:color w:val="000000" w:themeColor="text1"/>
          <w:sz w:val="24"/>
          <w:szCs w:val="24"/>
        </w:rPr>
        <w:t>šie aktīvi ir jāpārvalda</w:t>
      </w:r>
      <w:r>
        <w:rPr>
          <w:rFonts w:ascii="Times New Roman" w:hAnsi="Times New Roman" w:cs="Times New Roman"/>
          <w:color w:val="000000" w:themeColor="text1"/>
          <w:sz w:val="24"/>
          <w:szCs w:val="24"/>
        </w:rPr>
        <w:t xml:space="preserve"> un jāprivatizē/jāatsavina</w:t>
      </w:r>
      <w:r w:rsidRPr="00BC6B7D">
        <w:rPr>
          <w:rFonts w:ascii="Times New Roman" w:hAnsi="Times New Roman" w:cs="Times New Roman"/>
          <w:color w:val="000000" w:themeColor="text1"/>
          <w:sz w:val="24"/>
          <w:szCs w:val="24"/>
        </w:rPr>
        <w:t xml:space="preserve">. </w:t>
      </w:r>
    </w:p>
    <w:p w14:paraId="5D864687" w14:textId="77777777" w:rsidR="00680BEF" w:rsidRPr="00114266" w:rsidRDefault="00680BEF" w:rsidP="00680BEF">
      <w:pPr>
        <w:spacing w:before="80" w:after="80" w:line="240" w:lineRule="auto"/>
        <w:ind w:firstLine="709"/>
        <w:jc w:val="both"/>
        <w:rPr>
          <w:rFonts w:ascii="Times New Roman" w:hAnsi="Times New Roman"/>
          <w:color w:val="FF0000"/>
          <w:sz w:val="24"/>
        </w:rPr>
      </w:pPr>
      <w:r w:rsidRPr="00BC6B7D">
        <w:rPr>
          <w:rFonts w:ascii="Times New Roman" w:hAnsi="Times New Roman" w:cs="Times New Roman"/>
          <w:color w:val="000000" w:themeColor="text1"/>
          <w:sz w:val="24"/>
          <w:szCs w:val="24"/>
        </w:rPr>
        <w:t xml:space="preserve">Savukārt </w:t>
      </w:r>
      <w:r w:rsidRPr="00114266">
        <w:rPr>
          <w:rFonts w:ascii="Times New Roman" w:hAnsi="Times New Roman"/>
          <w:color w:val="000000" w:themeColor="text1"/>
          <w:sz w:val="24"/>
        </w:rPr>
        <w:t xml:space="preserve">Sabiedrības turējumā </w:t>
      </w:r>
      <w:r w:rsidRPr="00BC6B7D">
        <w:rPr>
          <w:rFonts w:ascii="Times New Roman" w:hAnsi="Times New Roman" w:cs="Times New Roman"/>
          <w:color w:val="000000" w:themeColor="text1"/>
          <w:sz w:val="24"/>
          <w:szCs w:val="24"/>
        </w:rPr>
        <w:t>esoš</w:t>
      </w:r>
      <w:r>
        <w:rPr>
          <w:rFonts w:ascii="Times New Roman" w:hAnsi="Times New Roman" w:cs="Times New Roman"/>
          <w:color w:val="000000" w:themeColor="text1"/>
          <w:sz w:val="24"/>
          <w:szCs w:val="24"/>
        </w:rPr>
        <w:t>ais</w:t>
      </w:r>
      <w:r w:rsidRPr="00114266">
        <w:rPr>
          <w:rFonts w:ascii="Times New Roman" w:hAnsi="Times New Roman"/>
          <w:color w:val="000000" w:themeColor="text1"/>
          <w:sz w:val="24"/>
        </w:rPr>
        <w:t xml:space="preserve"> valsts kapitāla </w:t>
      </w:r>
      <w:r>
        <w:rPr>
          <w:rFonts w:ascii="Times New Roman" w:hAnsi="Times New Roman" w:cs="Times New Roman"/>
          <w:color w:val="000000" w:themeColor="text1"/>
          <w:sz w:val="24"/>
          <w:szCs w:val="24"/>
        </w:rPr>
        <w:t>daļu portfelis</w:t>
      </w:r>
      <w:r w:rsidRPr="00BC6B7D">
        <w:rPr>
          <w:rFonts w:ascii="Times New Roman" w:hAnsi="Times New Roman" w:cs="Times New Roman"/>
          <w:color w:val="000000" w:themeColor="text1"/>
          <w:sz w:val="24"/>
          <w:szCs w:val="24"/>
        </w:rPr>
        <w:t xml:space="preserve"> </w:t>
      </w:r>
      <w:r w:rsidRPr="00114266">
        <w:rPr>
          <w:rFonts w:ascii="Times New Roman" w:hAnsi="Times New Roman"/>
          <w:color w:val="000000" w:themeColor="text1"/>
          <w:sz w:val="24"/>
        </w:rPr>
        <w:t xml:space="preserve">ir izteikti </w:t>
      </w:r>
      <w:r>
        <w:rPr>
          <w:rFonts w:ascii="Times New Roman" w:hAnsi="Times New Roman" w:cs="Times New Roman"/>
          <w:color w:val="000000" w:themeColor="text1"/>
          <w:sz w:val="24"/>
          <w:szCs w:val="24"/>
        </w:rPr>
        <w:t>dažād</w:t>
      </w:r>
      <w:r w:rsidR="003A40AF">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s</w:t>
      </w:r>
      <w:r w:rsidRPr="00114266">
        <w:rPr>
          <w:rFonts w:ascii="Times New Roman" w:hAnsi="Times New Roman"/>
          <w:color w:val="000000" w:themeColor="text1"/>
          <w:sz w:val="24"/>
        </w:rPr>
        <w:t xml:space="preserve"> vērtības, stratēģiskā nozīmīguma un pievilcīguma potenciālajiem investoriem ziņā. No vienas puses, Sabiedrības turējumā ir Lattelecom un </w:t>
      </w:r>
      <w:r w:rsidRPr="00BC6B7D">
        <w:rPr>
          <w:rFonts w:ascii="Times New Roman" w:hAnsi="Times New Roman" w:cs="Times New Roman"/>
          <w:color w:val="000000" w:themeColor="text1"/>
          <w:sz w:val="24"/>
          <w:szCs w:val="24"/>
        </w:rPr>
        <w:t>LMT</w:t>
      </w:r>
      <w:r w:rsidRPr="00114266">
        <w:rPr>
          <w:rFonts w:ascii="Times New Roman" w:hAnsi="Times New Roman"/>
          <w:color w:val="000000" w:themeColor="text1"/>
          <w:sz w:val="24"/>
        </w:rPr>
        <w:t xml:space="preserve"> valsts kapitāla daļas, kuras ir ekonomiski un valstiski ļoti būtiskas, tādēļ svarīgi ir nodrošināt pietiekamu valsts kontroli </w:t>
      </w:r>
      <w:r w:rsidRPr="00BC6B7D">
        <w:rPr>
          <w:rFonts w:ascii="Times New Roman" w:hAnsi="Times New Roman" w:cs="Times New Roman"/>
          <w:color w:val="000000" w:themeColor="text1"/>
          <w:sz w:val="24"/>
          <w:szCs w:val="24"/>
        </w:rPr>
        <w:t xml:space="preserve">- </w:t>
      </w:r>
      <w:r w:rsidRPr="00114266">
        <w:rPr>
          <w:rFonts w:ascii="Times New Roman" w:hAnsi="Times New Roman"/>
          <w:color w:val="000000" w:themeColor="text1"/>
          <w:sz w:val="24"/>
        </w:rPr>
        <w:t>sabiedrības interešu īstenošanu</w:t>
      </w:r>
      <w:r w:rsidRPr="00BC6B7D">
        <w:rPr>
          <w:rFonts w:ascii="Times New Roman" w:hAnsi="Times New Roman" w:cs="Times New Roman"/>
          <w:color w:val="000000" w:themeColor="text1"/>
          <w:sz w:val="24"/>
          <w:szCs w:val="24"/>
        </w:rPr>
        <w:t>.</w:t>
      </w:r>
      <w:r w:rsidRPr="00114266">
        <w:rPr>
          <w:rFonts w:ascii="Times New Roman" w:hAnsi="Times New Roman"/>
          <w:color w:val="000000" w:themeColor="text1"/>
          <w:sz w:val="24"/>
        </w:rPr>
        <w:t xml:space="preserve"> No otras puses, Sabiedrības turējumā ir mazākuma kapitāla daļu paketes kapitālsabiedrībās, par kurām potenciālo investoru interese ir vērtējama kā zema</w:t>
      </w:r>
      <w:r w:rsidRPr="00BC6B7D">
        <w:rPr>
          <w:rFonts w:ascii="Times New Roman" w:hAnsi="Times New Roman" w:cs="Times New Roman"/>
          <w:color w:val="000000" w:themeColor="text1"/>
          <w:sz w:val="24"/>
          <w:szCs w:val="24"/>
        </w:rPr>
        <w:t>. Visu</w:t>
      </w:r>
      <w:r w:rsidRPr="00114266">
        <w:rPr>
          <w:rFonts w:ascii="Times New Roman" w:hAnsi="Times New Roman"/>
          <w:color w:val="000000" w:themeColor="text1"/>
          <w:sz w:val="24"/>
        </w:rPr>
        <w:t xml:space="preserve"> Sabiedrības turējumā esošo valsts kapitāla daļu pārvaldība ir gan laika, gan resursu ietilpīgs process, kam nepieciešamas atbilstošas zināšanas, kompetences un pieredze.</w:t>
      </w:r>
      <w:r w:rsidRPr="00BC6B7D">
        <w:rPr>
          <w:rFonts w:ascii="Times New Roman" w:hAnsi="Times New Roman" w:cs="Times New Roman"/>
          <w:color w:val="000000" w:themeColor="text1"/>
          <w:sz w:val="24"/>
          <w:szCs w:val="24"/>
        </w:rPr>
        <w:t xml:space="preserve"> Proti, cita starpā, ir jānodrošina akcionāra/dalībnieka pienākumu izpilde, t.sk. dalība kapitālsabiedrību dalībnieku/akcionāru sapulcēs, lēmumu pieņemšana saistībā ar ikdienas pārvaldības jautājumiem un pārvaldes institūcijām, uzraudzības/kontroles nodrošināšana pār sabiedrības darbību, informācijas par kapitālsabiedrības darbību un </w:t>
      </w:r>
      <w:proofErr w:type="spellStart"/>
      <w:r w:rsidRPr="00BC6B7D">
        <w:rPr>
          <w:rFonts w:ascii="Times New Roman" w:hAnsi="Times New Roman" w:cs="Times New Roman"/>
          <w:color w:val="000000" w:themeColor="text1"/>
          <w:sz w:val="24"/>
          <w:szCs w:val="24"/>
        </w:rPr>
        <w:t>problēmjautājumiem</w:t>
      </w:r>
      <w:proofErr w:type="spellEnd"/>
      <w:r w:rsidRPr="00BC6B7D">
        <w:rPr>
          <w:rFonts w:ascii="Times New Roman" w:hAnsi="Times New Roman" w:cs="Times New Roman"/>
          <w:color w:val="000000" w:themeColor="text1"/>
          <w:sz w:val="24"/>
          <w:szCs w:val="24"/>
        </w:rPr>
        <w:t xml:space="preserve">, kur nepieciešama akcionāra/dalībnieka rīcība, saņemšana un apkopošana u.c. </w:t>
      </w:r>
    </w:p>
    <w:p w14:paraId="034C9731" w14:textId="77777777" w:rsidR="000C2D80" w:rsidRPr="00BC6B7D" w:rsidRDefault="000C2D80" w:rsidP="00BC6B7D">
      <w:pPr>
        <w:spacing w:before="80" w:after="80" w:line="240" w:lineRule="auto"/>
        <w:ind w:firstLine="709"/>
        <w:jc w:val="both"/>
        <w:rPr>
          <w:rFonts w:ascii="Times New Roman" w:hAnsi="Times New Roman" w:cs="Times New Roman"/>
          <w:color w:val="000000" w:themeColor="text1"/>
          <w:sz w:val="24"/>
          <w:szCs w:val="24"/>
        </w:rPr>
      </w:pPr>
      <w:r w:rsidRPr="00BC6B7D">
        <w:rPr>
          <w:rFonts w:ascii="Times New Roman" w:hAnsi="Times New Roman" w:cs="Times New Roman"/>
          <w:color w:val="000000" w:themeColor="text1"/>
          <w:sz w:val="24"/>
          <w:szCs w:val="24"/>
        </w:rPr>
        <w:t xml:space="preserve">Ņemot vērā Sabiedrības turējumā un valdījumā esošā portfeļa struktūru, tā nodošana </w:t>
      </w:r>
      <w:r w:rsidR="00164843" w:rsidRPr="00BC6B7D">
        <w:rPr>
          <w:rFonts w:ascii="Times New Roman" w:hAnsi="Times New Roman" w:cs="Times New Roman"/>
          <w:color w:val="000000" w:themeColor="text1"/>
          <w:sz w:val="24"/>
          <w:szCs w:val="24"/>
        </w:rPr>
        <w:t xml:space="preserve">pārvaldībai un </w:t>
      </w:r>
      <w:r w:rsidRPr="00BC6B7D">
        <w:rPr>
          <w:rFonts w:ascii="Times New Roman" w:hAnsi="Times New Roman" w:cs="Times New Roman"/>
          <w:color w:val="000000" w:themeColor="text1"/>
          <w:sz w:val="24"/>
          <w:szCs w:val="24"/>
        </w:rPr>
        <w:t xml:space="preserve">realizācijai privātiem komersantiem </w:t>
      </w:r>
      <w:r w:rsidR="00164843" w:rsidRPr="00BC6B7D">
        <w:rPr>
          <w:rFonts w:ascii="Times New Roman" w:hAnsi="Times New Roman" w:cs="Times New Roman"/>
          <w:color w:val="000000" w:themeColor="text1"/>
          <w:sz w:val="24"/>
          <w:szCs w:val="24"/>
        </w:rPr>
        <w:t>nav iespējama</w:t>
      </w:r>
      <w:r w:rsidR="00724E39">
        <w:rPr>
          <w:rFonts w:ascii="Times New Roman" w:hAnsi="Times New Roman" w:cs="Times New Roman"/>
          <w:color w:val="000000" w:themeColor="text1"/>
          <w:sz w:val="24"/>
          <w:szCs w:val="24"/>
        </w:rPr>
        <w:t>,</w:t>
      </w:r>
      <w:r w:rsidR="00164843" w:rsidRPr="00BC6B7D">
        <w:rPr>
          <w:rFonts w:ascii="Times New Roman" w:hAnsi="Times New Roman" w:cs="Times New Roman"/>
          <w:color w:val="000000" w:themeColor="text1"/>
          <w:sz w:val="24"/>
          <w:szCs w:val="24"/>
        </w:rPr>
        <w:t xml:space="preserve"> ņemot vērā </w:t>
      </w:r>
      <w:r w:rsidR="000A4285" w:rsidRPr="00BC6B7D">
        <w:rPr>
          <w:rFonts w:ascii="Times New Roman" w:hAnsi="Times New Roman" w:cs="Times New Roman"/>
          <w:color w:val="000000" w:themeColor="text1"/>
          <w:sz w:val="24"/>
          <w:szCs w:val="24"/>
        </w:rPr>
        <w:t xml:space="preserve">to nepietiekamu ekonomisko ieinteresētību, </w:t>
      </w:r>
      <w:r w:rsidR="00A0736E" w:rsidRPr="00BC6B7D">
        <w:rPr>
          <w:rFonts w:ascii="Times New Roman" w:hAnsi="Times New Roman" w:cs="Times New Roman"/>
          <w:color w:val="000000" w:themeColor="text1"/>
          <w:sz w:val="24"/>
          <w:szCs w:val="24"/>
        </w:rPr>
        <w:t>kā arī</w:t>
      </w:r>
      <w:r w:rsidR="000A4285" w:rsidRPr="00BC6B7D">
        <w:rPr>
          <w:rFonts w:ascii="Times New Roman" w:hAnsi="Times New Roman" w:cs="Times New Roman"/>
          <w:color w:val="000000" w:themeColor="text1"/>
          <w:sz w:val="24"/>
          <w:szCs w:val="24"/>
        </w:rPr>
        <w:t xml:space="preserve"> </w:t>
      </w:r>
      <w:r w:rsidR="000B40CF" w:rsidRPr="00BC6B7D">
        <w:rPr>
          <w:rFonts w:ascii="Times New Roman" w:hAnsi="Times New Roman" w:cs="Times New Roman"/>
          <w:color w:val="000000" w:themeColor="text1"/>
          <w:sz w:val="24"/>
          <w:szCs w:val="24"/>
        </w:rPr>
        <w:t xml:space="preserve">atsevišķos </w:t>
      </w:r>
      <w:r w:rsidR="009A6712" w:rsidRPr="00BC6B7D">
        <w:rPr>
          <w:rFonts w:ascii="Times New Roman" w:hAnsi="Times New Roman" w:cs="Times New Roman"/>
          <w:color w:val="000000" w:themeColor="text1"/>
          <w:sz w:val="24"/>
          <w:szCs w:val="24"/>
        </w:rPr>
        <w:t xml:space="preserve">Sabiedrības turējumā esošo valsts kapitāla daļu konkrētās kapitālsabiedrībās </w:t>
      </w:r>
      <w:r w:rsidR="000B40CF" w:rsidRPr="00BC6B7D">
        <w:rPr>
          <w:rFonts w:ascii="Times New Roman" w:hAnsi="Times New Roman" w:cs="Times New Roman"/>
          <w:color w:val="000000" w:themeColor="text1"/>
          <w:sz w:val="24"/>
          <w:szCs w:val="24"/>
        </w:rPr>
        <w:t xml:space="preserve">gadījumos - </w:t>
      </w:r>
      <w:r w:rsidR="00164843" w:rsidRPr="00BC6B7D">
        <w:rPr>
          <w:rFonts w:ascii="Times New Roman" w:hAnsi="Times New Roman" w:cs="Times New Roman"/>
          <w:color w:val="000000" w:themeColor="text1"/>
          <w:sz w:val="24"/>
          <w:szCs w:val="24"/>
        </w:rPr>
        <w:t xml:space="preserve">nepieciešamību nodrošināt </w:t>
      </w:r>
      <w:r w:rsidR="000B40CF" w:rsidRPr="00BC6B7D">
        <w:rPr>
          <w:rFonts w:ascii="Times New Roman" w:hAnsi="Times New Roman" w:cs="Times New Roman"/>
          <w:color w:val="000000" w:themeColor="text1"/>
          <w:sz w:val="24"/>
          <w:szCs w:val="24"/>
        </w:rPr>
        <w:t xml:space="preserve">atbilstošu </w:t>
      </w:r>
      <w:r w:rsidR="00164843" w:rsidRPr="00BC6B7D">
        <w:rPr>
          <w:rFonts w:ascii="Times New Roman" w:hAnsi="Times New Roman" w:cs="Times New Roman"/>
          <w:color w:val="000000" w:themeColor="text1"/>
          <w:sz w:val="24"/>
          <w:szCs w:val="24"/>
        </w:rPr>
        <w:t>valsts interešu pārstāvību (sabiedrības interešu īstenošanu</w:t>
      </w:r>
      <w:r w:rsidR="000A4285" w:rsidRPr="00BC6B7D">
        <w:rPr>
          <w:rFonts w:ascii="Times New Roman" w:hAnsi="Times New Roman" w:cs="Times New Roman"/>
          <w:color w:val="000000" w:themeColor="text1"/>
          <w:sz w:val="24"/>
          <w:szCs w:val="24"/>
        </w:rPr>
        <w:t>)</w:t>
      </w:r>
      <w:r w:rsidRPr="00BC6B7D">
        <w:rPr>
          <w:rFonts w:ascii="Times New Roman" w:hAnsi="Times New Roman" w:cs="Times New Roman"/>
          <w:color w:val="000000" w:themeColor="text1"/>
          <w:sz w:val="24"/>
          <w:szCs w:val="24"/>
        </w:rPr>
        <w:t>.</w:t>
      </w:r>
    </w:p>
    <w:p w14:paraId="2C50E6BA" w14:textId="77777777" w:rsidR="00A9039A" w:rsidRDefault="008B0FF5" w:rsidP="00C53130">
      <w:pPr>
        <w:spacing w:before="80" w:after="8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Izrietoši, </w:t>
      </w:r>
      <w:r w:rsidR="000C2D80" w:rsidRPr="00725278">
        <w:rPr>
          <w:rFonts w:ascii="Times New Roman" w:hAnsi="Times New Roman" w:cs="Times New Roman"/>
          <w:b/>
          <w:color w:val="000000" w:themeColor="text1"/>
          <w:sz w:val="24"/>
          <w:szCs w:val="24"/>
        </w:rPr>
        <w:t xml:space="preserve">valsts līdzdalība Sabiedrībā </w:t>
      </w:r>
      <w:r w:rsidR="003A40AF">
        <w:rPr>
          <w:rFonts w:ascii="Times New Roman" w:hAnsi="Times New Roman" w:cs="Times New Roman"/>
          <w:b/>
          <w:color w:val="000000" w:themeColor="text1"/>
          <w:sz w:val="24"/>
          <w:szCs w:val="24"/>
        </w:rPr>
        <w:t>ir saglabājama, pamatojoties uz Valsts pārvaldes iekārtas likuma 88.panta pirmās daļas 1.punktu, proti, ar valsts līdzdalību Sabiedrībā tiek novērsta tirgus nepilnība</w:t>
      </w:r>
      <w:r w:rsidR="000C2D80" w:rsidRPr="00BC6B7D">
        <w:rPr>
          <w:rFonts w:ascii="Times New Roman" w:hAnsi="Times New Roman" w:cs="Times New Roman"/>
          <w:color w:val="000000" w:themeColor="text1"/>
          <w:sz w:val="24"/>
          <w:szCs w:val="24"/>
        </w:rPr>
        <w:t xml:space="preserve">. </w:t>
      </w:r>
    </w:p>
    <w:p w14:paraId="36B042B1" w14:textId="77777777" w:rsidR="003A40AF" w:rsidRDefault="003A40AF" w:rsidP="00C53130">
      <w:pPr>
        <w:spacing w:before="80" w:after="8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Papildus Valsts pārvaldes iekārtas likuma 88.panta otrajā daļā ir noteikts, ka veicot </w:t>
      </w:r>
      <w:proofErr w:type="spellStart"/>
      <w:r>
        <w:rPr>
          <w:rFonts w:ascii="Times New Roman" w:hAnsi="Times New Roman" w:cs="Times New Roman"/>
          <w:color w:val="000000" w:themeColor="text1"/>
          <w:sz w:val="24"/>
          <w:szCs w:val="24"/>
        </w:rPr>
        <w:t>izvērtējumu</w:t>
      </w:r>
      <w:proofErr w:type="spellEnd"/>
      <w:r>
        <w:rPr>
          <w:rFonts w:ascii="Times New Roman" w:hAnsi="Times New Roman" w:cs="Times New Roman"/>
          <w:color w:val="000000" w:themeColor="text1"/>
          <w:sz w:val="24"/>
          <w:szCs w:val="24"/>
        </w:rPr>
        <w:t>, kas pamatotu, ka citādā veidā nav iespējams efektīvi sasniegt šī</w:t>
      </w:r>
      <w:r w:rsidR="000B37E7">
        <w:rPr>
          <w:rFonts w:ascii="Times New Roman" w:hAnsi="Times New Roman" w:cs="Times New Roman"/>
          <w:color w:val="000000" w:themeColor="text1"/>
          <w:sz w:val="24"/>
          <w:szCs w:val="24"/>
        </w:rPr>
        <w:t xml:space="preserve"> likuma 88.panta pirmajā daļā noteiktos mērķus, publiska persona konsultējas ar kompetentajām institūcijām konkurences aizsardzības jomā un komersantus pārstāvošām biedrībām vai nodibinājumiem. </w:t>
      </w:r>
      <w:r w:rsidR="000B37E7">
        <w:rPr>
          <w:rFonts w:ascii="Times New Roman" w:hAnsi="Times New Roman" w:cs="Times New Roman"/>
          <w:color w:val="000000" w:themeColor="text1"/>
          <w:sz w:val="24"/>
          <w:szCs w:val="24"/>
        </w:rPr>
        <w:lastRenderedPageBreak/>
        <w:t>Atzīmējams, ka tā kā tirgū nav komersantu, kuri būtu specializējušies tik daudzveidīga portfeļa, kāds ir Sabiedrības turējumā, pārvaldīšanā, it īpaši, problemātisko aktīvu pārvaldīšanā un atsavināšanā, šādas konsultācijas nav veiktas.</w:t>
      </w:r>
    </w:p>
    <w:p w14:paraId="22FB57F8" w14:textId="20B453A6" w:rsidR="00A96373" w:rsidRPr="00DC6F66" w:rsidRDefault="0003425A">
      <w:pPr>
        <w:pStyle w:val="Heading2"/>
      </w:pPr>
      <w:bookmarkStart w:id="42" w:name="_Toc482084439"/>
      <w:bookmarkStart w:id="43" w:name="_Toc482084603"/>
      <w:bookmarkStart w:id="44" w:name="_Toc482084638"/>
      <w:bookmarkStart w:id="45" w:name="_Toc482084673"/>
      <w:bookmarkStart w:id="46" w:name="_Toc482084801"/>
      <w:bookmarkStart w:id="47" w:name="_Toc478473150"/>
      <w:r>
        <w:t>V</w:t>
      </w:r>
      <w:r w:rsidR="00A96373" w:rsidRPr="00DC6F66">
        <w:t>ispārējais stratēģiskais mērķis</w:t>
      </w:r>
      <w:bookmarkEnd w:id="42"/>
      <w:bookmarkEnd w:id="43"/>
      <w:bookmarkEnd w:id="44"/>
      <w:bookmarkEnd w:id="45"/>
      <w:bookmarkEnd w:id="46"/>
      <w:bookmarkEnd w:id="47"/>
    </w:p>
    <w:p w14:paraId="1F6A8C81" w14:textId="5A4E9487" w:rsidR="00754D55" w:rsidRPr="00BC6B7D" w:rsidRDefault="00754D55" w:rsidP="00BC6B7D">
      <w:pPr>
        <w:spacing w:before="80" w:after="80" w:line="240" w:lineRule="auto"/>
        <w:ind w:firstLine="709"/>
        <w:jc w:val="both"/>
        <w:rPr>
          <w:rFonts w:ascii="Times New Roman" w:hAnsi="Times New Roman" w:cs="Times New Roman"/>
          <w:color w:val="000000" w:themeColor="text1"/>
          <w:sz w:val="24"/>
          <w:szCs w:val="24"/>
        </w:rPr>
      </w:pPr>
      <w:r w:rsidRPr="00BC6B7D">
        <w:rPr>
          <w:rFonts w:ascii="Times New Roman" w:hAnsi="Times New Roman" w:cs="Times New Roman"/>
          <w:color w:val="000000" w:themeColor="text1"/>
          <w:sz w:val="24"/>
          <w:szCs w:val="24"/>
        </w:rPr>
        <w:t xml:space="preserve">Lēmumu par valsts līdzdalību valsts kapitālsabiedrībā saskaņā ar </w:t>
      </w:r>
      <w:r w:rsidR="00297202">
        <w:rPr>
          <w:rFonts w:ascii="Times New Roman" w:hAnsi="Times New Roman" w:cs="Times New Roman"/>
          <w:color w:val="000000" w:themeColor="text1"/>
          <w:sz w:val="24"/>
          <w:szCs w:val="24"/>
        </w:rPr>
        <w:t>Kapitālsabiedrību p</w:t>
      </w:r>
      <w:r w:rsidRPr="00BC6B7D">
        <w:rPr>
          <w:rFonts w:ascii="Times New Roman" w:hAnsi="Times New Roman" w:cs="Times New Roman"/>
          <w:color w:val="000000" w:themeColor="text1"/>
          <w:sz w:val="24"/>
          <w:szCs w:val="24"/>
        </w:rPr>
        <w:t>ārvaldības likumā noteikto kārtību pieņem Ministru kabinets, nosakot līdzdalības mērķi saskaņā ar Valsts pārvaldes iekārtas likumu.</w:t>
      </w:r>
    </w:p>
    <w:p w14:paraId="559CE84F" w14:textId="77777777" w:rsidR="00A96373" w:rsidRPr="00114266" w:rsidRDefault="00A96373" w:rsidP="00114266">
      <w:pPr>
        <w:spacing w:before="80" w:after="80" w:line="240" w:lineRule="auto"/>
        <w:ind w:firstLine="709"/>
        <w:jc w:val="both"/>
        <w:rPr>
          <w:rFonts w:ascii="Times New Roman" w:hAnsi="Times New Roman"/>
          <w:color w:val="000000" w:themeColor="text1"/>
          <w:sz w:val="24"/>
        </w:rPr>
      </w:pPr>
      <w:r w:rsidRPr="00BC6B7D">
        <w:rPr>
          <w:rFonts w:ascii="Times New Roman" w:hAnsi="Times New Roman" w:cs="Times New Roman"/>
          <w:color w:val="000000" w:themeColor="text1"/>
          <w:sz w:val="24"/>
          <w:szCs w:val="24"/>
        </w:rPr>
        <w:t>Sabiedrība</w:t>
      </w:r>
      <w:r w:rsidR="00FD5CDB">
        <w:rPr>
          <w:rFonts w:ascii="Times New Roman" w:hAnsi="Times New Roman" w:cs="Times New Roman"/>
          <w:color w:val="000000" w:themeColor="text1"/>
          <w:sz w:val="24"/>
          <w:szCs w:val="24"/>
        </w:rPr>
        <w:t>, likumā noteiktajā kārtībā un</w:t>
      </w:r>
      <w:r w:rsidRPr="00114266">
        <w:rPr>
          <w:rFonts w:ascii="Times New Roman" w:hAnsi="Times New Roman"/>
          <w:color w:val="000000" w:themeColor="text1"/>
          <w:sz w:val="24"/>
        </w:rPr>
        <w:t xml:space="preserve"> ievērojot likumā noteiktās tiesības un pienākumus, pārvalda un savas kompetences ietvaros rīkojas ar tai turējumā un valdījumā nodotajiem valstij piederošiem īpašuma objektiem - sagatavo valsts īpašuma objektus, slēdz un kontrolē jau noslēgtos nomas līgumus, organizē un veic valsts īpašuma objektu novērtēšanu, rīko un vada izsoles, izvērtē potenciālo valsts īpašuma objektu pircēju piedāvājumus, valsts vārdā slēdz līgumus par Sabiedrībai nodoto valsts īpašuma objektu pārdošanu, kontrolē noslēgto līgumu izpildi, veic likumos un līgumos noteiktās darbības līgumu izpildes nodrošināšanai un var izbeigt līgumus, ja subjekts nepilda līguma noteikumus. </w:t>
      </w:r>
    </w:p>
    <w:p w14:paraId="7F89086B" w14:textId="77777777" w:rsidR="00A96373" w:rsidRPr="00114266" w:rsidRDefault="00A96373"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Sabiedrībai ir ilgstoša pieredze atsavināšanā un privatizācijā, valsts aktīvu realizācijas procesā piemērojot dažādas metodes (pārdošana, privātā kapitāla piesaistīšana, parādu kapitalizācija, reorganizācija, u.c.). Vēl jo vairāk, Sabiedrība ir vienīgā valsts kapitālsabiedrība, kura ir specializējusies valsts kapitāla daļu realizācijā, t.sk. sadarbojoties ar starptautiskām investīciju bankām un akciju sabiedrību "</w:t>
      </w:r>
      <w:proofErr w:type="spellStart"/>
      <w:r w:rsidRPr="00114266">
        <w:rPr>
          <w:rFonts w:ascii="Times New Roman" w:hAnsi="Times New Roman"/>
          <w:color w:val="000000" w:themeColor="text1"/>
          <w:sz w:val="24"/>
        </w:rPr>
        <w:t>Nasdaq</w:t>
      </w:r>
      <w:proofErr w:type="spellEnd"/>
      <w:r w:rsidRPr="00114266">
        <w:rPr>
          <w:rFonts w:ascii="Times New Roman" w:hAnsi="Times New Roman"/>
          <w:color w:val="000000" w:themeColor="text1"/>
          <w:sz w:val="24"/>
        </w:rPr>
        <w:t xml:space="preserve"> </w:t>
      </w:r>
      <w:proofErr w:type="spellStart"/>
      <w:r w:rsidRPr="00114266">
        <w:rPr>
          <w:rFonts w:ascii="Times New Roman" w:hAnsi="Times New Roman"/>
          <w:color w:val="000000" w:themeColor="text1"/>
          <w:sz w:val="24"/>
        </w:rPr>
        <w:t>Riga</w:t>
      </w:r>
      <w:proofErr w:type="spellEnd"/>
      <w:r w:rsidRPr="00114266">
        <w:rPr>
          <w:rFonts w:ascii="Times New Roman" w:hAnsi="Times New Roman"/>
          <w:color w:val="000000" w:themeColor="text1"/>
          <w:sz w:val="24"/>
        </w:rPr>
        <w:t xml:space="preserve">”. </w:t>
      </w:r>
    </w:p>
    <w:p w14:paraId="4714FC63" w14:textId="37FE524E" w:rsidR="00A96373" w:rsidRPr="00DC6F66" w:rsidRDefault="00A96373" w:rsidP="00114266">
      <w:pPr>
        <w:spacing w:before="80" w:after="80" w:line="240" w:lineRule="auto"/>
        <w:ind w:firstLine="709"/>
        <w:jc w:val="both"/>
        <w:rPr>
          <w:rFonts w:ascii="Times New Roman" w:hAnsi="Times New Roman" w:cs="Times New Roman"/>
          <w:sz w:val="24"/>
          <w:szCs w:val="24"/>
        </w:rPr>
      </w:pPr>
      <w:r w:rsidRPr="00114266">
        <w:rPr>
          <w:rFonts w:ascii="Times New Roman" w:hAnsi="Times New Roman"/>
          <w:color w:val="000000" w:themeColor="text1"/>
          <w:sz w:val="24"/>
        </w:rPr>
        <w:t xml:space="preserve">Turklāt Sabiedrībai ir uzkrāta vērienīga pieredze atbilstoši Komerclikumā, </w:t>
      </w:r>
      <w:r w:rsidR="002C4979">
        <w:rPr>
          <w:rFonts w:ascii="Times New Roman" w:hAnsi="Times New Roman"/>
          <w:color w:val="000000" w:themeColor="text1"/>
          <w:sz w:val="24"/>
        </w:rPr>
        <w:t>Kapitālsabiedrību p</w:t>
      </w:r>
      <w:r w:rsidRPr="00114266">
        <w:rPr>
          <w:rFonts w:ascii="Times New Roman" w:hAnsi="Times New Roman"/>
          <w:color w:val="000000" w:themeColor="text1"/>
          <w:sz w:val="24"/>
        </w:rPr>
        <w:t>ārvaldības likumā un citos normatīvajos aktos noteiktajām kompetencēm un nosacījumiem, nodrošinot tās turējumā esošo valsts kapitāla daļu un meitas sabiedrību pārvaldību, t.sk. īstenojot akcionāra/dalībnieka pienākumus (dalība kapitālsabiedrību dalībnieku/akcionāru sapulcēs, lēmumu saistībā ar ikdienas pārvaldības jautājumiem un pārvaldes institūcijām pieņemšana, uzraudzības/kontroles pār sabiedrību darbību nodrošināšana, informācijas par kapitālsabiedrību darbību saņemšana un apkopošana utt.). Sabiedrības korporatīvās pārvaldīšanas praksi ir atzinīgi novērtējusi OECD.</w:t>
      </w:r>
      <w:r w:rsidRPr="00114266">
        <w:rPr>
          <w:color w:val="000000" w:themeColor="text1"/>
          <w:vertAlign w:val="superscript"/>
        </w:rPr>
        <w:footnoteReference w:id="6"/>
      </w:r>
      <w:r w:rsidRPr="00114266">
        <w:rPr>
          <w:rFonts w:ascii="Times New Roman" w:hAnsi="Times New Roman"/>
          <w:color w:val="000000" w:themeColor="text1"/>
          <w:sz w:val="24"/>
          <w:vertAlign w:val="superscript"/>
        </w:rPr>
        <w:t xml:space="preserve"> </w:t>
      </w:r>
      <w:r w:rsidRPr="00114266">
        <w:rPr>
          <w:rFonts w:ascii="Times New Roman" w:hAnsi="Times New Roman"/>
          <w:color w:val="000000" w:themeColor="text1"/>
          <w:sz w:val="24"/>
        </w:rPr>
        <w:t>Ņemot vērā, ka atsevišķas Sabiedrības turējumā esošās valsts kapitāla daļas ir ekonomiski ļoti būtiskas, savukārt meitas sabiedrības ir saistītas</w:t>
      </w:r>
      <w:r w:rsidRPr="00DC6F66">
        <w:rPr>
          <w:rFonts w:ascii="Times New Roman" w:hAnsi="Times New Roman" w:cs="Times New Roman"/>
          <w:sz w:val="24"/>
          <w:szCs w:val="24"/>
        </w:rPr>
        <w:t xml:space="preserve"> ar valsts finansējumu un valsts atbalstu, Sabiedrība regulāri informē augstāko lēmējinstitūciju - Ministru kabinetu un izstrādā visu nepieciešamo informāciju lēmumu pieņemšanai. </w:t>
      </w:r>
    </w:p>
    <w:p w14:paraId="0B234433" w14:textId="77777777" w:rsidR="00A96373" w:rsidRPr="00114266" w:rsidRDefault="00A96373"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Vienlaikus, Sabiedrība ir pierādījusi savas profesionālās kompetences un kapacitātes īstenot izteikti specifiskus uzdevumus, apliecinot elastīgumu un </w:t>
      </w:r>
      <w:proofErr w:type="spellStart"/>
      <w:r w:rsidRPr="00114266">
        <w:rPr>
          <w:rFonts w:ascii="Times New Roman" w:hAnsi="Times New Roman"/>
          <w:color w:val="000000" w:themeColor="text1"/>
          <w:sz w:val="24"/>
        </w:rPr>
        <w:t>reaģētspēju</w:t>
      </w:r>
      <w:proofErr w:type="spellEnd"/>
      <w:r w:rsidRPr="00114266">
        <w:rPr>
          <w:rFonts w:ascii="Times New Roman" w:hAnsi="Times New Roman"/>
          <w:color w:val="000000" w:themeColor="text1"/>
          <w:sz w:val="24"/>
        </w:rPr>
        <w:t xml:space="preserve"> uzņemties projektus, kuros ir nepieciešami operatīvi risinājumi valsts interešu pārstāvības nodrošināšanai. Uzdoto valsts pārvaldes uzdevumu izpildes ietvaros Sabiedrība regulāri sadarbojas ar dažādām starptautiskā</w:t>
      </w:r>
      <w:r w:rsidR="0095544B" w:rsidRPr="00114266">
        <w:rPr>
          <w:rFonts w:ascii="Times New Roman" w:hAnsi="Times New Roman"/>
          <w:color w:val="000000" w:themeColor="text1"/>
          <w:sz w:val="24"/>
        </w:rPr>
        <w:t xml:space="preserve">m organizācijām, t.sk. </w:t>
      </w:r>
      <w:r w:rsidR="0095544B" w:rsidRPr="00BC6B7D">
        <w:rPr>
          <w:rFonts w:ascii="Times New Roman" w:hAnsi="Times New Roman" w:cs="Times New Roman"/>
          <w:color w:val="000000" w:themeColor="text1"/>
          <w:sz w:val="24"/>
          <w:szCs w:val="24"/>
        </w:rPr>
        <w:t>Eiropas K</w:t>
      </w:r>
      <w:r w:rsidRPr="00BC6B7D">
        <w:rPr>
          <w:rFonts w:ascii="Times New Roman" w:hAnsi="Times New Roman" w:cs="Times New Roman"/>
          <w:color w:val="000000" w:themeColor="text1"/>
          <w:sz w:val="24"/>
          <w:szCs w:val="24"/>
        </w:rPr>
        <w:t>omisiju, OECD, investoriem, konsultantiem, kā arī valsts pārvaldes iestādēm un institūcijām viena un vairāku resoru ietvaros (Finanšu ministriju, Labklājības ministriju, Valsts kasi u.c.) un citām</w:t>
      </w:r>
      <w:r w:rsidRPr="00114266">
        <w:rPr>
          <w:rFonts w:ascii="Times New Roman" w:hAnsi="Times New Roman"/>
          <w:color w:val="000000" w:themeColor="text1"/>
          <w:sz w:val="24"/>
        </w:rPr>
        <w:t xml:space="preserve"> ieinteresētajām pusēm</w:t>
      </w:r>
      <w:r w:rsidRPr="00BC6B7D">
        <w:rPr>
          <w:rFonts w:ascii="Times New Roman" w:hAnsi="Times New Roman" w:cs="Times New Roman"/>
          <w:color w:val="000000" w:themeColor="text1"/>
          <w:sz w:val="24"/>
          <w:szCs w:val="24"/>
        </w:rPr>
        <w:t xml:space="preserve"> Latvijā. </w:t>
      </w:r>
    </w:p>
    <w:p w14:paraId="62FC1105" w14:textId="4D5FC9C6" w:rsidR="00A96373" w:rsidRPr="00BC6B7D" w:rsidRDefault="00A96373" w:rsidP="00BC6B7D">
      <w:pPr>
        <w:spacing w:before="80" w:after="80" w:line="240" w:lineRule="auto"/>
        <w:ind w:firstLine="709"/>
        <w:jc w:val="both"/>
        <w:rPr>
          <w:rFonts w:ascii="Times New Roman" w:hAnsi="Times New Roman" w:cs="Times New Roman"/>
          <w:color w:val="000000" w:themeColor="text1"/>
          <w:sz w:val="24"/>
          <w:szCs w:val="24"/>
        </w:rPr>
      </w:pPr>
      <w:r w:rsidRPr="00BC6B7D">
        <w:rPr>
          <w:rFonts w:ascii="Times New Roman" w:hAnsi="Times New Roman" w:cs="Times New Roman"/>
          <w:color w:val="000000" w:themeColor="text1"/>
          <w:sz w:val="24"/>
          <w:szCs w:val="24"/>
        </w:rPr>
        <w:t xml:space="preserve">Nolūkā skaidri noteikt Sabiedrības turpmākās darbības perspektīvu, nodrošinot iespēju strukturēti un plānveidīgi pieņemt lēmumus un veikt nepieciešamās darbības, vienlaikus neapdraudot Sabiedrībai uzdoto uzdevumu izpildes kvalitāti un nepārtrauktību, </w:t>
      </w:r>
      <w:r w:rsidR="00CC4C5C">
        <w:rPr>
          <w:rFonts w:ascii="Times New Roman" w:hAnsi="Times New Roman" w:cs="Times New Roman"/>
          <w:color w:val="000000" w:themeColor="text1"/>
          <w:sz w:val="24"/>
          <w:szCs w:val="24"/>
        </w:rPr>
        <w:t xml:space="preserve">ir nepieciešams pieņemt lēmumu </w:t>
      </w:r>
      <w:r w:rsidRPr="00BC6B7D">
        <w:rPr>
          <w:rFonts w:ascii="Times New Roman" w:hAnsi="Times New Roman" w:cs="Times New Roman"/>
          <w:color w:val="000000" w:themeColor="text1"/>
          <w:sz w:val="24"/>
          <w:szCs w:val="24"/>
        </w:rPr>
        <w:t xml:space="preserve">par Sabiedrības vispārējo stratēģisko mērķi un turpmāko darbību, nosakot, ka Sabiedrības darbība tiek turpināta, izmantojot tās </w:t>
      </w:r>
      <w:proofErr w:type="spellStart"/>
      <w:r w:rsidRPr="00BC6B7D">
        <w:rPr>
          <w:rFonts w:ascii="Times New Roman" w:hAnsi="Times New Roman" w:cs="Times New Roman"/>
          <w:color w:val="000000" w:themeColor="text1"/>
          <w:sz w:val="24"/>
          <w:szCs w:val="24"/>
        </w:rPr>
        <w:t>pamatkompetences</w:t>
      </w:r>
      <w:proofErr w:type="spellEnd"/>
      <w:r w:rsidRPr="00BC6B7D">
        <w:rPr>
          <w:rFonts w:ascii="Times New Roman" w:hAnsi="Times New Roman" w:cs="Times New Roman"/>
          <w:color w:val="000000" w:themeColor="text1"/>
          <w:sz w:val="24"/>
          <w:szCs w:val="24"/>
        </w:rPr>
        <w:t xml:space="preserve"> </w:t>
      </w:r>
      <w:r w:rsidR="00E472CA">
        <w:rPr>
          <w:rFonts w:ascii="Times New Roman" w:hAnsi="Times New Roman" w:cs="Times New Roman"/>
          <w:color w:val="000000" w:themeColor="text1"/>
          <w:sz w:val="24"/>
          <w:szCs w:val="24"/>
        </w:rPr>
        <w:t xml:space="preserve">tās turējumā esošo </w:t>
      </w:r>
      <w:r w:rsidRPr="00BC6B7D">
        <w:rPr>
          <w:rFonts w:ascii="Times New Roman" w:hAnsi="Times New Roman" w:cs="Times New Roman"/>
          <w:color w:val="000000" w:themeColor="text1"/>
          <w:sz w:val="24"/>
          <w:szCs w:val="24"/>
        </w:rPr>
        <w:t>valsts aktīvu realizācijā (privatizācijā, atsavināšanā) un pārvaldīšanā</w:t>
      </w:r>
      <w:r w:rsidR="00E04964">
        <w:rPr>
          <w:rFonts w:ascii="Times New Roman" w:hAnsi="Times New Roman" w:cs="Times New Roman"/>
          <w:color w:val="000000" w:themeColor="text1"/>
          <w:sz w:val="24"/>
          <w:szCs w:val="24"/>
        </w:rPr>
        <w:t>.</w:t>
      </w:r>
    </w:p>
    <w:p w14:paraId="7B25EB5E" w14:textId="045CF0E8" w:rsidR="00A96373" w:rsidRPr="00114266" w:rsidRDefault="00CC4C5C" w:rsidP="003F2215">
      <w:pPr>
        <w:spacing w:before="80" w:after="120" w:line="240" w:lineRule="auto"/>
        <w:ind w:firstLine="709"/>
        <w:jc w:val="both"/>
        <w:rPr>
          <w:rFonts w:ascii="Times New Roman" w:hAnsi="Times New Roman"/>
          <w:b/>
          <w:color w:val="000000" w:themeColor="text1"/>
          <w:sz w:val="24"/>
        </w:rPr>
      </w:pPr>
      <w:r>
        <w:rPr>
          <w:rFonts w:ascii="Times New Roman" w:hAnsi="Times New Roman" w:cs="Times New Roman"/>
          <w:color w:val="000000" w:themeColor="text1"/>
          <w:sz w:val="24"/>
          <w:szCs w:val="24"/>
        </w:rPr>
        <w:lastRenderedPageBreak/>
        <w:t>V</w:t>
      </w:r>
      <w:r w:rsidR="00A96373" w:rsidRPr="00BC6B7D">
        <w:rPr>
          <w:rFonts w:ascii="Times New Roman" w:hAnsi="Times New Roman" w:cs="Times New Roman"/>
          <w:color w:val="000000" w:themeColor="text1"/>
          <w:sz w:val="24"/>
          <w:szCs w:val="24"/>
        </w:rPr>
        <w:t>ērā</w:t>
      </w:r>
      <w:r w:rsidR="00A96373" w:rsidRPr="00114266">
        <w:rPr>
          <w:rFonts w:ascii="Times New Roman" w:hAnsi="Times New Roman"/>
          <w:color w:val="000000" w:themeColor="text1"/>
          <w:sz w:val="24"/>
        </w:rPr>
        <w:t xml:space="preserve"> ņemams, ka pieejamā infrastruktūra, materiāli tehniskā bāze un finanšu līdzekļi ļauj optimizēt </w:t>
      </w:r>
      <w:r w:rsidR="00D94628">
        <w:rPr>
          <w:rFonts w:ascii="Times New Roman" w:hAnsi="Times New Roman"/>
          <w:color w:val="000000" w:themeColor="text1"/>
          <w:sz w:val="24"/>
        </w:rPr>
        <w:t xml:space="preserve">Sabiedrības turējumā esošo </w:t>
      </w:r>
      <w:r w:rsidR="00A96373" w:rsidRPr="00114266">
        <w:rPr>
          <w:rFonts w:ascii="Times New Roman" w:hAnsi="Times New Roman"/>
          <w:color w:val="000000" w:themeColor="text1"/>
          <w:sz w:val="24"/>
        </w:rPr>
        <w:t xml:space="preserve">aktīvu, kas nav nepieciešami valsts funkciju veikšanai, pārvaldību un realizāciju, kā arī problemātisko aktīvu pārvaldību. Pilna cikla pakalpojumu sniegšana vienas kapitālsabiedrības ietvaros nodrošinās, ka valsts aktīvu realizācijas process ir efektīvāks, mēroga efekta rezultātā mazinot kopējās, ar aktīvu realizāciju saistītās izmaksas un kopējo, ar šo procesu saistīto administratīvo slogu. Ņemot vērā Sabiedrības </w:t>
      </w:r>
      <w:proofErr w:type="spellStart"/>
      <w:r w:rsidR="00A96373" w:rsidRPr="00114266">
        <w:rPr>
          <w:rFonts w:ascii="Times New Roman" w:hAnsi="Times New Roman"/>
          <w:color w:val="000000" w:themeColor="text1"/>
          <w:sz w:val="24"/>
        </w:rPr>
        <w:t>pamatkompetences</w:t>
      </w:r>
      <w:proofErr w:type="spellEnd"/>
      <w:r w:rsidR="00A96373" w:rsidRPr="00114266">
        <w:rPr>
          <w:rFonts w:ascii="Times New Roman" w:hAnsi="Times New Roman"/>
          <w:color w:val="000000" w:themeColor="text1"/>
          <w:sz w:val="24"/>
        </w:rPr>
        <w:t xml:space="preserve"> (spēcīgās puses), kā arī nolūkā sekmēt valsts pārvaldes uzdevumu izpildes efektivitāti, </w:t>
      </w:r>
      <w:r w:rsidR="00A96373" w:rsidRPr="00114266">
        <w:rPr>
          <w:rFonts w:ascii="Times New Roman" w:hAnsi="Times New Roman"/>
          <w:b/>
          <w:color w:val="000000" w:themeColor="text1"/>
          <w:sz w:val="24"/>
        </w:rPr>
        <w:t>Sabiedrības vispārējais stratēģiskais mērķis formulējams šādi:</w:t>
      </w:r>
    </w:p>
    <w:tbl>
      <w:tblPr>
        <w:tblStyle w:val="TableGrid"/>
        <w:tblW w:w="946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shd w:val="clear" w:color="auto" w:fill="F2F2F2" w:themeFill="background1" w:themeFillShade="F2"/>
        <w:tblLook w:val="04A0" w:firstRow="1" w:lastRow="0" w:firstColumn="1" w:lastColumn="0" w:noHBand="0" w:noVBand="1"/>
      </w:tblPr>
      <w:tblGrid>
        <w:gridCol w:w="9464"/>
      </w:tblGrid>
      <w:tr w:rsidR="00A96373" w:rsidRPr="00DC6F66" w14:paraId="7C463D34" w14:textId="77777777" w:rsidTr="001D28BD">
        <w:tc>
          <w:tcPr>
            <w:tcW w:w="9464" w:type="dxa"/>
            <w:shd w:val="clear" w:color="auto" w:fill="F2F2F2" w:themeFill="background1" w:themeFillShade="F2"/>
          </w:tcPr>
          <w:p w14:paraId="78C36D55" w14:textId="6B3E3B88" w:rsidR="00A96373" w:rsidRPr="00DC6F66" w:rsidRDefault="00A96373" w:rsidP="00E0497F">
            <w:pPr>
              <w:spacing w:before="240" w:after="240"/>
              <w:jc w:val="center"/>
              <w:rPr>
                <w:rFonts w:ascii="Times New Roman" w:hAnsi="Times New Roman" w:cs="Times New Roman"/>
                <w:lang w:val="lv-LV"/>
              </w:rPr>
            </w:pPr>
            <w:r w:rsidRPr="00DC6F66">
              <w:rPr>
                <w:rFonts w:ascii="Times New Roman" w:hAnsi="Times New Roman" w:cs="Times New Roman"/>
                <w:b/>
                <w:i/>
                <w:lang w:val="lv-LV"/>
              </w:rPr>
              <w:t xml:space="preserve">“Nodrošināt profesionālu valsts kapitāla daļu un problemātisko aktīvu pārvaldību, kā arī </w:t>
            </w:r>
            <w:r w:rsidR="006E7F27">
              <w:rPr>
                <w:rFonts w:ascii="Times New Roman" w:hAnsi="Times New Roman" w:cs="Times New Roman"/>
                <w:b/>
                <w:i/>
                <w:lang w:val="lv-LV"/>
              </w:rPr>
              <w:t xml:space="preserve">valsts akciju sabiedrības “Privatizācijas aģentūra” </w:t>
            </w:r>
            <w:r w:rsidR="00674AF7">
              <w:rPr>
                <w:rFonts w:ascii="Times New Roman" w:hAnsi="Times New Roman" w:cs="Times New Roman"/>
                <w:b/>
                <w:i/>
                <w:lang w:val="lv-LV"/>
              </w:rPr>
              <w:t xml:space="preserve">turējumā esošo </w:t>
            </w:r>
            <w:r w:rsidRPr="00DC6F66">
              <w:rPr>
                <w:rFonts w:ascii="Times New Roman" w:hAnsi="Times New Roman" w:cs="Times New Roman"/>
                <w:b/>
                <w:i/>
                <w:lang w:val="lv-LV"/>
              </w:rPr>
              <w:t>aktīvu, kas nav nepieciešami valsts funkciju īstenošanai, atsavināšanu un privatizāciju”.</w:t>
            </w:r>
          </w:p>
        </w:tc>
      </w:tr>
    </w:tbl>
    <w:p w14:paraId="2DA6E050" w14:textId="32A85A2C" w:rsidR="00A96373" w:rsidRPr="00114266" w:rsidRDefault="00A96373"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Pēc vispārējā stratēģiskā mērķa apstiprināšanas tiks izstrādāta Sabiedrības vidēja termiņa darbības stratēģija, kura tiks virzīta </w:t>
      </w:r>
      <w:r w:rsidR="002C4979">
        <w:rPr>
          <w:rFonts w:ascii="Times New Roman" w:hAnsi="Times New Roman"/>
          <w:color w:val="000000" w:themeColor="text1"/>
          <w:sz w:val="24"/>
        </w:rPr>
        <w:t>Kapitālsabiedrību p</w:t>
      </w:r>
      <w:r w:rsidRPr="00114266">
        <w:rPr>
          <w:rFonts w:ascii="Times New Roman" w:hAnsi="Times New Roman"/>
          <w:color w:val="000000" w:themeColor="text1"/>
          <w:sz w:val="24"/>
        </w:rPr>
        <w:t xml:space="preserve">ārvaldības likumā noteiktajā kārtībā apstiprināšanai Sabiedrības akcionāru sapulcē. Stratēģijā, atbilstoši Ministru kabineta apstiprinātajam vispārējam stratēģiskajam mērķim, tiks definēti no tā izrietoši </w:t>
      </w:r>
      <w:proofErr w:type="spellStart"/>
      <w:r w:rsidRPr="00114266">
        <w:rPr>
          <w:rFonts w:ascii="Times New Roman" w:hAnsi="Times New Roman"/>
          <w:color w:val="000000" w:themeColor="text1"/>
          <w:sz w:val="24"/>
        </w:rPr>
        <w:t>nefinanšu</w:t>
      </w:r>
      <w:proofErr w:type="spellEnd"/>
      <w:r w:rsidRPr="00114266">
        <w:rPr>
          <w:rFonts w:ascii="Times New Roman" w:hAnsi="Times New Roman"/>
          <w:color w:val="000000" w:themeColor="text1"/>
          <w:sz w:val="24"/>
        </w:rPr>
        <w:t xml:space="preserve"> mērķi, kuri būs saistīti ar Sabiedrībai uzdoto uzdevumu izpildes nodrošināšanu.</w:t>
      </w:r>
    </w:p>
    <w:p w14:paraId="75F8309B" w14:textId="77777777" w:rsidR="00C0327F" w:rsidRPr="00692AE5" w:rsidRDefault="00C0327F">
      <w:pPr>
        <w:pStyle w:val="Heading2"/>
      </w:pPr>
      <w:bookmarkStart w:id="48" w:name="_Toc482084440"/>
      <w:bookmarkStart w:id="49" w:name="_Toc482084604"/>
      <w:bookmarkStart w:id="50" w:name="_Toc482084639"/>
      <w:bookmarkStart w:id="51" w:name="_Toc482084674"/>
      <w:bookmarkStart w:id="52" w:name="_Toc482084802"/>
      <w:bookmarkStart w:id="53" w:name="_Toc478473151"/>
      <w:bookmarkStart w:id="54" w:name="_Toc468974762"/>
      <w:r>
        <w:t>Juridiskā forma</w:t>
      </w:r>
      <w:bookmarkEnd w:id="48"/>
      <w:bookmarkEnd w:id="49"/>
      <w:bookmarkEnd w:id="50"/>
      <w:bookmarkEnd w:id="51"/>
      <w:bookmarkEnd w:id="52"/>
      <w:bookmarkEnd w:id="53"/>
    </w:p>
    <w:p w14:paraId="4D6D9874" w14:textId="77777777" w:rsidR="00C0327F" w:rsidRDefault="00C0327F" w:rsidP="00C0327F">
      <w:pPr>
        <w:spacing w:before="80" w:after="8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937BC0">
        <w:rPr>
          <w:rFonts w:ascii="Times New Roman" w:hAnsi="Times New Roman" w:cs="Times New Roman"/>
          <w:color w:val="000000" w:themeColor="text1"/>
          <w:sz w:val="24"/>
          <w:szCs w:val="24"/>
        </w:rPr>
        <w:t>aļa no Sabiedrības īstenotajiem darbības veidiem ir tai deleģēto valsts pārvaldes uzdevumu izpilde)</w:t>
      </w:r>
      <w:r>
        <w:rPr>
          <w:rFonts w:ascii="Times New Roman" w:hAnsi="Times New Roman" w:cs="Times New Roman"/>
          <w:color w:val="000000" w:themeColor="text1"/>
          <w:sz w:val="24"/>
          <w:szCs w:val="24"/>
        </w:rPr>
        <w:t xml:space="preserve">, vienlaikus Sabiedrībai ar Ministru kabineta lēmumiem tiek uzdoti citi, ar valsts pārvaldes uzdevumu deleģējumu nesaistīti pienākumi </w:t>
      </w:r>
      <w:r w:rsidRPr="00937BC0">
        <w:rPr>
          <w:rFonts w:ascii="Times New Roman" w:hAnsi="Times New Roman" w:cs="Times New Roman"/>
          <w:color w:val="000000" w:themeColor="text1"/>
          <w:sz w:val="24"/>
          <w:szCs w:val="24"/>
        </w:rPr>
        <w:t>(</w:t>
      </w:r>
      <w:r w:rsidR="00CF08BD">
        <w:rPr>
          <w:rFonts w:ascii="Times New Roman" w:hAnsi="Times New Roman" w:cs="Times New Roman"/>
          <w:color w:val="000000" w:themeColor="text1"/>
          <w:sz w:val="24"/>
          <w:szCs w:val="24"/>
        </w:rPr>
        <w:t>speciālo uzdevumu izpilde</w:t>
      </w:r>
      <w:r>
        <w:rPr>
          <w:rFonts w:ascii="Times New Roman" w:hAnsi="Times New Roman" w:cs="Times New Roman"/>
          <w:color w:val="000000" w:themeColor="text1"/>
          <w:sz w:val="24"/>
          <w:szCs w:val="24"/>
        </w:rPr>
        <w:t>).</w:t>
      </w:r>
    </w:p>
    <w:p w14:paraId="007E7495" w14:textId="77777777" w:rsidR="00C0327F" w:rsidRDefault="00C0327F" w:rsidP="00C0327F">
      <w:pPr>
        <w:spacing w:before="80" w:after="8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Saskaņā ar </w:t>
      </w:r>
      <w:r w:rsidRPr="00937BC0">
        <w:rPr>
          <w:rFonts w:ascii="Times New Roman" w:hAnsi="Times New Roman" w:cs="Times New Roman"/>
          <w:color w:val="000000" w:themeColor="text1"/>
          <w:sz w:val="24"/>
          <w:szCs w:val="24"/>
        </w:rPr>
        <w:t xml:space="preserve">Valsts pārvaldes iekārtas likuma 41.panta panta pirmajā daļā </w:t>
      </w:r>
      <w:r>
        <w:rPr>
          <w:rFonts w:ascii="Times New Roman" w:hAnsi="Times New Roman" w:cs="Times New Roman"/>
          <w:color w:val="000000" w:themeColor="text1"/>
          <w:sz w:val="24"/>
          <w:szCs w:val="24"/>
        </w:rPr>
        <w:t>noteikto</w:t>
      </w:r>
      <w:r w:rsidRPr="00937BC0">
        <w:rPr>
          <w:rFonts w:ascii="Times New Roman" w:hAnsi="Times New Roman" w:cs="Times New Roman"/>
          <w:color w:val="000000" w:themeColor="text1"/>
          <w:sz w:val="24"/>
          <w:szCs w:val="24"/>
        </w:rPr>
        <w:t xml:space="preserve"> </w:t>
      </w:r>
      <w:r w:rsidRPr="00937BC0">
        <w:rPr>
          <w:rFonts w:ascii="Times New Roman" w:hAnsi="Times New Roman" w:cs="Times New Roman"/>
          <w:i/>
          <w:color w:val="000000" w:themeColor="text1"/>
          <w:sz w:val="24"/>
          <w:szCs w:val="24"/>
        </w:rPr>
        <w:t xml:space="preserve">“Publiska persona var deleģēt pārvaldes uzdevumus, kuru izpilde ietilpst šīs publiskās personas vai tās iestādes kompetencē. Deleģējot pārvaldes uzdevumus, par funkcijas izpildi kopumā atbild attiecīgā publiskā persona”. </w:t>
      </w:r>
      <w:r>
        <w:rPr>
          <w:rFonts w:ascii="Times New Roman" w:hAnsi="Times New Roman" w:cs="Times New Roman"/>
          <w:color w:val="000000" w:themeColor="text1"/>
          <w:sz w:val="24"/>
          <w:szCs w:val="24"/>
        </w:rPr>
        <w:t>Tādējādi attiecībā uz Sabiedrībai deleģēto valsts pārvaldes uzdevumu izpildi</w:t>
      </w:r>
      <w:r w:rsidRPr="00937BC0">
        <w:rPr>
          <w:rFonts w:ascii="Times New Roman" w:hAnsi="Times New Roman" w:cs="Times New Roman"/>
          <w:color w:val="000000" w:themeColor="text1"/>
          <w:sz w:val="24"/>
          <w:szCs w:val="24"/>
        </w:rPr>
        <w:t xml:space="preserve"> valsts atbildība netiek ierobežo</w:t>
      </w:r>
      <w:r>
        <w:rPr>
          <w:rFonts w:ascii="Times New Roman" w:hAnsi="Times New Roman" w:cs="Times New Roman"/>
          <w:color w:val="000000" w:themeColor="text1"/>
          <w:sz w:val="24"/>
          <w:szCs w:val="24"/>
        </w:rPr>
        <w:t>ta.</w:t>
      </w:r>
    </w:p>
    <w:p w14:paraId="0E4B34D3" w14:textId="77777777" w:rsidR="00C0327F" w:rsidRDefault="00C0327F" w:rsidP="00C0327F">
      <w:pPr>
        <w:spacing w:before="80" w:after="80" w:line="240" w:lineRule="auto"/>
        <w:ind w:firstLine="709"/>
        <w:jc w:val="both"/>
        <w:rPr>
          <w:rFonts w:ascii="Times New Roman" w:hAnsi="Times New Roman" w:cs="Times New Roman"/>
          <w:sz w:val="24"/>
          <w:szCs w:val="24"/>
        </w:rPr>
      </w:pPr>
      <w:r w:rsidRPr="00937BC0">
        <w:rPr>
          <w:rFonts w:ascii="Times New Roman" w:hAnsi="Times New Roman" w:cs="Times New Roman"/>
          <w:color w:val="000000" w:themeColor="text1"/>
          <w:sz w:val="24"/>
          <w:szCs w:val="24"/>
        </w:rPr>
        <w:t>Savukārt</w:t>
      </w:r>
      <w:r>
        <w:rPr>
          <w:rFonts w:ascii="Times New Roman" w:hAnsi="Times New Roman" w:cs="Times New Roman"/>
          <w:color w:val="000000" w:themeColor="text1"/>
          <w:sz w:val="24"/>
          <w:szCs w:val="24"/>
        </w:rPr>
        <w:t xml:space="preserve"> attiecībā uz </w:t>
      </w:r>
      <w:r>
        <w:rPr>
          <w:rFonts w:ascii="Times New Roman" w:hAnsi="Times New Roman" w:cs="Times New Roman"/>
          <w:sz w:val="24"/>
          <w:szCs w:val="24"/>
        </w:rPr>
        <w:t xml:space="preserve">speciālajiem uzdevumiem (problemātisko aktīvu restrukturizācija – </w:t>
      </w:r>
      <w:proofErr w:type="spellStart"/>
      <w:r>
        <w:rPr>
          <w:rFonts w:ascii="Times New Roman" w:hAnsi="Times New Roman" w:cs="Times New Roman"/>
          <w:sz w:val="24"/>
          <w:szCs w:val="24"/>
        </w:rPr>
        <w:t>Reverta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FeLM</w:t>
      </w:r>
      <w:proofErr w:type="spellEnd"/>
      <w:r>
        <w:rPr>
          <w:rFonts w:ascii="Times New Roman" w:hAnsi="Times New Roman" w:cs="Times New Roman"/>
          <w:sz w:val="24"/>
          <w:szCs w:val="24"/>
        </w:rPr>
        <w:t xml:space="preserve">), kas Sabiedrībai uzdoti ar atsevišķiem Ministru kabineta lēmumiem, ir attiecināms </w:t>
      </w:r>
      <w:r w:rsidRPr="00DC6F66">
        <w:rPr>
          <w:rFonts w:ascii="Times New Roman" w:hAnsi="Times New Roman" w:cs="Times New Roman"/>
          <w:sz w:val="24"/>
          <w:szCs w:val="24"/>
        </w:rPr>
        <w:t>Komerclikuma 137.pants</w:t>
      </w:r>
      <w:r>
        <w:rPr>
          <w:rFonts w:ascii="Times New Roman" w:hAnsi="Times New Roman" w:cs="Times New Roman"/>
          <w:sz w:val="24"/>
          <w:szCs w:val="24"/>
        </w:rPr>
        <w:t>, kas</w:t>
      </w:r>
      <w:r w:rsidRPr="00DC6F66">
        <w:rPr>
          <w:rFonts w:ascii="Times New Roman" w:hAnsi="Times New Roman" w:cs="Times New Roman"/>
          <w:sz w:val="24"/>
          <w:szCs w:val="24"/>
        </w:rPr>
        <w:t xml:space="preserve"> nosaka kapitālsabiedrības atbildības norobežošanu, t.i., kapitālsabiedrība par savām saistībām atbild ar visu savu mantu. </w:t>
      </w:r>
      <w:r>
        <w:rPr>
          <w:rFonts w:ascii="Times New Roman" w:hAnsi="Times New Roman" w:cs="Times New Roman"/>
          <w:sz w:val="24"/>
          <w:szCs w:val="24"/>
        </w:rPr>
        <w:t>K</w:t>
      </w:r>
      <w:r w:rsidRPr="00DC6F66">
        <w:rPr>
          <w:rFonts w:ascii="Times New Roman" w:hAnsi="Times New Roman" w:cs="Times New Roman"/>
          <w:sz w:val="24"/>
          <w:szCs w:val="24"/>
        </w:rPr>
        <w:t xml:space="preserve">apitālsabiedrība neatbild par dalībnieka saistībām, un </w:t>
      </w:r>
      <w:r w:rsidRPr="00C02038">
        <w:rPr>
          <w:rFonts w:ascii="Times New Roman" w:hAnsi="Times New Roman" w:cs="Times New Roman"/>
          <w:b/>
          <w:sz w:val="24"/>
          <w:szCs w:val="24"/>
        </w:rPr>
        <w:t xml:space="preserve">dalībnieks </w:t>
      </w:r>
      <w:r w:rsidRPr="00C02038">
        <w:rPr>
          <w:rFonts w:ascii="Times New Roman" w:hAnsi="Times New Roman" w:cs="Times New Roman"/>
          <w:sz w:val="24"/>
          <w:szCs w:val="24"/>
        </w:rPr>
        <w:t xml:space="preserve">(Sabiedrības gadījumā – valsts) </w:t>
      </w:r>
      <w:r w:rsidRPr="00C02038">
        <w:rPr>
          <w:rFonts w:ascii="Times New Roman" w:hAnsi="Times New Roman" w:cs="Times New Roman"/>
          <w:b/>
          <w:sz w:val="24"/>
          <w:szCs w:val="24"/>
        </w:rPr>
        <w:t>neatbild par sabiedrības saistībām</w:t>
      </w:r>
      <w:r w:rsidRPr="00DC6F66">
        <w:rPr>
          <w:rFonts w:ascii="Times New Roman" w:hAnsi="Times New Roman" w:cs="Times New Roman"/>
          <w:sz w:val="24"/>
          <w:szCs w:val="24"/>
        </w:rPr>
        <w:t xml:space="preserve">. </w:t>
      </w:r>
      <w:r>
        <w:rPr>
          <w:rFonts w:ascii="Times New Roman" w:hAnsi="Times New Roman" w:cs="Times New Roman"/>
          <w:sz w:val="24"/>
          <w:szCs w:val="24"/>
        </w:rPr>
        <w:t>Tieši juridiskais statuss, kas nodrošina kapitālsabiedrības atbildības norobežošanu, jo īpaši ņemot vērā iesaistīto finanšu līdzekļu apmēru, bija viens no argumentiem, Ministru kabinetam uzdodot šādu speciālu projektu īstenošanu tieši Sabiedrībai.</w:t>
      </w:r>
      <w:r w:rsidRPr="005F7C0F">
        <w:rPr>
          <w:rFonts w:ascii="Times New Roman" w:hAnsi="Times New Roman" w:cs="Times New Roman"/>
          <w:sz w:val="24"/>
          <w:szCs w:val="24"/>
        </w:rPr>
        <w:t xml:space="preserve"> </w:t>
      </w:r>
    </w:p>
    <w:p w14:paraId="76363B12" w14:textId="77777777" w:rsidR="00C0327F" w:rsidRDefault="00C0327F" w:rsidP="00C0327F">
      <w:pPr>
        <w:spacing w:before="80"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Papildus, k</w:t>
      </w:r>
      <w:r w:rsidRPr="004C4589">
        <w:rPr>
          <w:rFonts w:ascii="Times New Roman" w:hAnsi="Times New Roman" w:cs="Times New Roman"/>
          <w:sz w:val="24"/>
          <w:szCs w:val="24"/>
        </w:rPr>
        <w:t>apitālsabiedrības statuss nodrošina elastīgāku finansēšanas modeli un kontrolētu tā ietekmi uz valsts budžetu, kā rezultātā tiek mazināti finansiālie un fiskālie riski.</w:t>
      </w:r>
      <w:r>
        <w:rPr>
          <w:rFonts w:ascii="Times New Roman" w:hAnsi="Times New Roman" w:cs="Times New Roman"/>
          <w:sz w:val="24"/>
          <w:szCs w:val="24"/>
        </w:rPr>
        <w:t xml:space="preserve"> </w:t>
      </w:r>
    </w:p>
    <w:p w14:paraId="198524A1" w14:textId="77777777" w:rsidR="00C0327F" w:rsidRDefault="00C0327F" w:rsidP="00C0327F">
      <w:pPr>
        <w:spacing w:before="80" w:after="80" w:line="240" w:lineRule="auto"/>
        <w:ind w:firstLine="709"/>
        <w:jc w:val="both"/>
        <w:rPr>
          <w:rFonts w:ascii="Times New Roman" w:hAnsi="Times New Roman" w:cs="Times New Roman"/>
          <w:b/>
          <w:sz w:val="24"/>
          <w:szCs w:val="24"/>
        </w:rPr>
      </w:pPr>
      <w:r w:rsidRPr="004C4589">
        <w:rPr>
          <w:rFonts w:ascii="Times New Roman" w:hAnsi="Times New Roman" w:cs="Times New Roman"/>
          <w:b/>
          <w:sz w:val="24"/>
          <w:szCs w:val="24"/>
        </w:rPr>
        <w:t>Ņemot vērā nepieciešamību nodrošināt valstī instrumentu īpašu</w:t>
      </w:r>
      <w:r w:rsidRPr="00142014">
        <w:rPr>
          <w:rFonts w:ascii="Times New Roman" w:hAnsi="Times New Roman" w:cs="Times New Roman"/>
          <w:b/>
          <w:sz w:val="24"/>
          <w:szCs w:val="24"/>
        </w:rPr>
        <w:t xml:space="preserve"> (specifisku) uzdevumu, kuros ir iesaistīti ievērojami valsts finanšu līdzekļi, iz</w:t>
      </w:r>
      <w:r>
        <w:rPr>
          <w:rFonts w:ascii="Times New Roman" w:hAnsi="Times New Roman" w:cs="Times New Roman"/>
          <w:b/>
          <w:sz w:val="24"/>
          <w:szCs w:val="24"/>
        </w:rPr>
        <w:t xml:space="preserve">pildei, nodrošinot, ka </w:t>
      </w:r>
      <w:r w:rsidRPr="00142014">
        <w:rPr>
          <w:rFonts w:ascii="Times New Roman" w:hAnsi="Times New Roman" w:cs="Times New Roman"/>
          <w:b/>
          <w:sz w:val="24"/>
          <w:szCs w:val="24"/>
        </w:rPr>
        <w:t>uzdoto uzdevumu izpildē iespējamie riski, tajā skaitā finansiālie un juridiskie riski, tiek nodalīti no riskiem valstij, ir saglabājama līdzšinējā Sabiedrības juridiskā forma (kapitālsabiedrība).</w:t>
      </w:r>
    </w:p>
    <w:p w14:paraId="23DAF2C1" w14:textId="02C3A0DE" w:rsidR="004A7458" w:rsidRPr="00DC6F66" w:rsidRDefault="004A7458" w:rsidP="000C7D21">
      <w:pPr>
        <w:pStyle w:val="Heading1"/>
        <w:numPr>
          <w:ilvl w:val="0"/>
          <w:numId w:val="2"/>
        </w:numPr>
        <w:spacing w:before="360" w:line="240" w:lineRule="auto"/>
        <w:ind w:left="714" w:hanging="357"/>
        <w:jc w:val="center"/>
        <w:rPr>
          <w:rStyle w:val="Heading1Char"/>
          <w:rFonts w:ascii="Times New Roman" w:hAnsi="Times New Roman" w:cs="Times New Roman"/>
          <w:b/>
          <w:color w:val="auto"/>
          <w:sz w:val="28"/>
        </w:rPr>
      </w:pPr>
      <w:bookmarkStart w:id="55" w:name="_Toc482084441"/>
      <w:bookmarkStart w:id="56" w:name="_Toc482084605"/>
      <w:bookmarkStart w:id="57" w:name="_Toc482084640"/>
      <w:bookmarkStart w:id="58" w:name="_Toc482084675"/>
      <w:bookmarkStart w:id="59" w:name="_Toc482084803"/>
      <w:bookmarkStart w:id="60" w:name="_Toc478473152"/>
      <w:r w:rsidRPr="00DC6F66">
        <w:rPr>
          <w:rStyle w:val="Heading1Char"/>
          <w:rFonts w:ascii="Times New Roman" w:hAnsi="Times New Roman" w:cs="Times New Roman"/>
          <w:b/>
          <w:color w:val="auto"/>
          <w:sz w:val="28"/>
        </w:rPr>
        <w:lastRenderedPageBreak/>
        <w:t>Sabiedrības turpmākā darbība</w:t>
      </w:r>
      <w:bookmarkEnd w:id="54"/>
      <w:bookmarkEnd w:id="55"/>
      <w:bookmarkEnd w:id="56"/>
      <w:bookmarkEnd w:id="57"/>
      <w:bookmarkEnd w:id="58"/>
      <w:bookmarkEnd w:id="59"/>
      <w:bookmarkEnd w:id="60"/>
    </w:p>
    <w:p w14:paraId="219FADC8" w14:textId="6B5B8EEE" w:rsidR="005D7308" w:rsidRPr="00DC6F66" w:rsidRDefault="008E73F7">
      <w:pPr>
        <w:pStyle w:val="Heading2"/>
      </w:pPr>
      <w:bookmarkStart w:id="61" w:name="_Toc453663789"/>
      <w:bookmarkStart w:id="62" w:name="_Toc467493720"/>
      <w:bookmarkStart w:id="63" w:name="_Toc468974763"/>
      <w:bookmarkStart w:id="64" w:name="_Toc482084442"/>
      <w:bookmarkStart w:id="65" w:name="_Toc482084606"/>
      <w:bookmarkStart w:id="66" w:name="_Toc482084641"/>
      <w:bookmarkStart w:id="67" w:name="_Toc482084676"/>
      <w:bookmarkStart w:id="68" w:name="_Toc482084804"/>
      <w:bookmarkStart w:id="69" w:name="_Toc478473153"/>
      <w:r w:rsidRPr="00DC6F66">
        <w:t>Sabiedrības v</w:t>
      </w:r>
      <w:r w:rsidR="005D7308" w:rsidRPr="00DC6F66">
        <w:t>adības modelis</w:t>
      </w:r>
      <w:bookmarkEnd w:id="61"/>
      <w:bookmarkEnd w:id="62"/>
      <w:bookmarkEnd w:id="63"/>
      <w:bookmarkEnd w:id="64"/>
      <w:bookmarkEnd w:id="65"/>
      <w:bookmarkEnd w:id="66"/>
      <w:bookmarkEnd w:id="67"/>
      <w:bookmarkEnd w:id="68"/>
      <w:bookmarkEnd w:id="69"/>
    </w:p>
    <w:p w14:paraId="05DA9911" w14:textId="7F9809AB" w:rsidR="00B74020" w:rsidRDefault="005D7308"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Sabiedrības </w:t>
      </w:r>
      <w:r w:rsidR="00302F31" w:rsidRPr="00114266">
        <w:rPr>
          <w:rFonts w:ascii="Times New Roman" w:hAnsi="Times New Roman"/>
          <w:color w:val="000000" w:themeColor="text1"/>
          <w:sz w:val="24"/>
        </w:rPr>
        <w:t>īpašnieks ir Latvijas Republika, 100% akciju turētāja ir Ekonomikas ministrija</w:t>
      </w:r>
      <w:r w:rsidRPr="00114266">
        <w:rPr>
          <w:rFonts w:ascii="Times New Roman" w:hAnsi="Times New Roman"/>
          <w:color w:val="000000" w:themeColor="text1"/>
          <w:sz w:val="24"/>
        </w:rPr>
        <w:t xml:space="preserve"> un valsts kapitāla daļu turētāja pārstāvis ir ekonomikas ministrs. Sabiedrībai pieder </w:t>
      </w:r>
      <w:r w:rsidR="002C4979" w:rsidRPr="002C4979">
        <w:rPr>
          <w:rFonts w:ascii="Times New Roman" w:hAnsi="Times New Roman"/>
          <w:color w:val="000000" w:themeColor="text1"/>
          <w:sz w:val="24"/>
        </w:rPr>
        <w:t>96,89</w:t>
      </w:r>
      <w:r w:rsidRPr="00114266">
        <w:rPr>
          <w:rFonts w:ascii="Times New Roman" w:hAnsi="Times New Roman"/>
          <w:color w:val="000000" w:themeColor="text1"/>
          <w:sz w:val="24"/>
        </w:rPr>
        <w:t xml:space="preserve">% </w:t>
      </w:r>
      <w:proofErr w:type="spellStart"/>
      <w:r w:rsidRPr="00114266">
        <w:rPr>
          <w:rFonts w:ascii="Times New Roman" w:hAnsi="Times New Roman"/>
          <w:color w:val="000000" w:themeColor="text1"/>
          <w:sz w:val="24"/>
        </w:rPr>
        <w:t>Reverta</w:t>
      </w:r>
      <w:proofErr w:type="spellEnd"/>
      <w:r w:rsidRPr="00114266">
        <w:rPr>
          <w:rFonts w:ascii="Times New Roman" w:hAnsi="Times New Roman"/>
          <w:color w:val="000000" w:themeColor="text1"/>
          <w:sz w:val="24"/>
        </w:rPr>
        <w:t xml:space="preserve"> akciju</w:t>
      </w:r>
      <w:r w:rsidR="00457928" w:rsidRPr="00114266">
        <w:rPr>
          <w:rFonts w:ascii="Times New Roman" w:hAnsi="Times New Roman"/>
          <w:color w:val="000000" w:themeColor="text1"/>
          <w:sz w:val="24"/>
        </w:rPr>
        <w:t>,</w:t>
      </w:r>
      <w:r w:rsidRPr="00114266">
        <w:rPr>
          <w:rFonts w:ascii="Times New Roman" w:hAnsi="Times New Roman"/>
          <w:color w:val="000000" w:themeColor="text1"/>
          <w:sz w:val="24"/>
        </w:rPr>
        <w:t xml:space="preserve"> </w:t>
      </w:r>
      <w:r w:rsidR="00315F1B" w:rsidRPr="00114266">
        <w:rPr>
          <w:rFonts w:ascii="Times New Roman" w:hAnsi="Times New Roman"/>
          <w:color w:val="000000" w:themeColor="text1"/>
          <w:sz w:val="24"/>
        </w:rPr>
        <w:t xml:space="preserve">100% </w:t>
      </w:r>
      <w:proofErr w:type="spellStart"/>
      <w:r w:rsidR="00315F1B" w:rsidRPr="00114266">
        <w:rPr>
          <w:rFonts w:ascii="Times New Roman" w:hAnsi="Times New Roman"/>
          <w:color w:val="000000" w:themeColor="text1"/>
          <w:sz w:val="24"/>
        </w:rPr>
        <w:t>Hiponia</w:t>
      </w:r>
      <w:proofErr w:type="spellEnd"/>
      <w:r w:rsidR="00457928" w:rsidRPr="00114266">
        <w:rPr>
          <w:rFonts w:ascii="Times New Roman" w:hAnsi="Times New Roman"/>
          <w:color w:val="000000" w:themeColor="text1"/>
          <w:sz w:val="24"/>
        </w:rPr>
        <w:t xml:space="preserve"> un 100% </w:t>
      </w:r>
      <w:proofErr w:type="spellStart"/>
      <w:r w:rsidR="00315F1B" w:rsidRPr="00114266">
        <w:rPr>
          <w:rFonts w:ascii="Times New Roman" w:hAnsi="Times New Roman"/>
          <w:color w:val="000000" w:themeColor="text1"/>
          <w:sz w:val="24"/>
        </w:rPr>
        <w:t>FeLM</w:t>
      </w:r>
      <w:proofErr w:type="spellEnd"/>
      <w:r w:rsidR="00DD1932" w:rsidRPr="00114266">
        <w:rPr>
          <w:rFonts w:ascii="Times New Roman" w:hAnsi="Times New Roman"/>
          <w:color w:val="000000" w:themeColor="text1"/>
          <w:sz w:val="24"/>
        </w:rPr>
        <w:t xml:space="preserve"> kapitāla daļu (</w:t>
      </w:r>
      <w:r w:rsidR="0040388E" w:rsidRPr="00114266">
        <w:rPr>
          <w:rFonts w:ascii="Times New Roman" w:hAnsi="Times New Roman"/>
          <w:color w:val="000000" w:themeColor="text1"/>
          <w:sz w:val="24"/>
        </w:rPr>
        <w:t>2</w:t>
      </w:r>
      <w:r w:rsidR="00457928" w:rsidRPr="00114266">
        <w:rPr>
          <w:rFonts w:ascii="Times New Roman" w:hAnsi="Times New Roman"/>
          <w:color w:val="000000" w:themeColor="text1"/>
          <w:sz w:val="24"/>
        </w:rPr>
        <w:t>.attēls)</w:t>
      </w:r>
      <w:r w:rsidR="00B74020" w:rsidRPr="00114266">
        <w:rPr>
          <w:rFonts w:ascii="Times New Roman" w:hAnsi="Times New Roman"/>
          <w:color w:val="000000" w:themeColor="text1"/>
          <w:sz w:val="24"/>
        </w:rPr>
        <w:t>.</w:t>
      </w:r>
    </w:p>
    <w:p w14:paraId="2599D69A" w14:textId="77777777" w:rsidR="00A85AF3" w:rsidRDefault="00A85AF3" w:rsidP="00114266">
      <w:pPr>
        <w:spacing w:before="80" w:after="80" w:line="240" w:lineRule="auto"/>
        <w:ind w:firstLine="709"/>
        <w:jc w:val="both"/>
        <w:rPr>
          <w:rFonts w:ascii="Times New Roman" w:hAnsi="Times New Roman"/>
          <w:color w:val="000000" w:themeColor="text1"/>
          <w:sz w:val="24"/>
        </w:rPr>
      </w:pPr>
    </w:p>
    <w:p w14:paraId="1E491C44" w14:textId="2353A58B" w:rsidR="00D63FA6" w:rsidRDefault="00D94628" w:rsidP="001D28BD">
      <w:pPr>
        <w:pStyle w:val="Caption"/>
        <w:keepNext/>
        <w:spacing w:before="120" w:after="120"/>
        <w:jc w:val="right"/>
        <w:rPr>
          <w:rFonts w:ascii="Times New Roman" w:hAnsi="Times New Roman" w:cs="Times New Roman"/>
          <w:color w:val="auto"/>
          <w:sz w:val="24"/>
          <w:szCs w:val="24"/>
        </w:rPr>
      </w:pPr>
      <w:r>
        <w:rPr>
          <w:noProof/>
          <w:lang w:eastAsia="lv-LV"/>
        </w:rPr>
        <w:drawing>
          <wp:anchor distT="0" distB="0" distL="114300" distR="114300" simplePos="0" relativeHeight="251688960" behindDoc="1" locked="0" layoutInCell="1" allowOverlap="1" wp14:anchorId="0E1DE394" wp14:editId="5EDD638B">
            <wp:simplePos x="0" y="0"/>
            <wp:positionH relativeFrom="column">
              <wp:posOffset>718931</wp:posOffset>
            </wp:positionH>
            <wp:positionV relativeFrom="paragraph">
              <wp:posOffset>275590</wp:posOffset>
            </wp:positionV>
            <wp:extent cx="4985468" cy="2044366"/>
            <wp:effectExtent l="0" t="0" r="5715" b="0"/>
            <wp:wrapTight wrapText="bothSides">
              <wp:wrapPolygon edited="0">
                <wp:start x="0" y="0"/>
                <wp:lineTo x="0" y="21338"/>
                <wp:lineTo x="21542" y="21338"/>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85468" cy="2044366"/>
                    </a:xfrm>
                    <a:prstGeom prst="rect">
                      <a:avLst/>
                    </a:prstGeom>
                  </pic:spPr>
                </pic:pic>
              </a:graphicData>
            </a:graphic>
          </wp:anchor>
        </w:drawing>
      </w:r>
      <w:r w:rsidR="005D7308" w:rsidRPr="00DC6F66">
        <w:rPr>
          <w:rFonts w:ascii="Times New Roman" w:hAnsi="Times New Roman" w:cs="Times New Roman"/>
          <w:b w:val="0"/>
          <w:i/>
          <w:color w:val="auto"/>
          <w:sz w:val="24"/>
          <w:szCs w:val="24"/>
        </w:rPr>
        <w:tab/>
      </w:r>
      <w:r w:rsidR="005D7308" w:rsidRPr="00DC6F66">
        <w:rPr>
          <w:rFonts w:ascii="Times New Roman" w:hAnsi="Times New Roman" w:cs="Times New Roman"/>
          <w:b w:val="0"/>
          <w:i/>
          <w:color w:val="auto"/>
          <w:sz w:val="24"/>
          <w:szCs w:val="24"/>
        </w:rPr>
        <w:fldChar w:fldCharType="begin"/>
      </w:r>
      <w:r w:rsidR="005D7308" w:rsidRPr="00DC6F66">
        <w:rPr>
          <w:rFonts w:ascii="Times New Roman" w:hAnsi="Times New Roman" w:cs="Times New Roman"/>
          <w:b w:val="0"/>
          <w:i/>
          <w:color w:val="auto"/>
          <w:sz w:val="24"/>
          <w:szCs w:val="24"/>
        </w:rPr>
        <w:instrText xml:space="preserve"> SEQ attēls \* ARABIC </w:instrText>
      </w:r>
      <w:r w:rsidR="005D7308" w:rsidRPr="00DC6F66">
        <w:rPr>
          <w:rFonts w:ascii="Times New Roman" w:hAnsi="Times New Roman" w:cs="Times New Roman"/>
          <w:b w:val="0"/>
          <w:i/>
          <w:color w:val="auto"/>
          <w:sz w:val="24"/>
          <w:szCs w:val="24"/>
        </w:rPr>
        <w:fldChar w:fldCharType="separate"/>
      </w:r>
      <w:r w:rsidR="00CD00C1">
        <w:rPr>
          <w:rFonts w:ascii="Times New Roman" w:hAnsi="Times New Roman" w:cs="Times New Roman"/>
          <w:b w:val="0"/>
          <w:i/>
          <w:noProof/>
          <w:color w:val="auto"/>
          <w:sz w:val="24"/>
          <w:szCs w:val="24"/>
        </w:rPr>
        <w:t>2</w:t>
      </w:r>
      <w:r w:rsidR="005D7308" w:rsidRPr="00DC6F66">
        <w:rPr>
          <w:rFonts w:ascii="Times New Roman" w:hAnsi="Times New Roman" w:cs="Times New Roman"/>
          <w:b w:val="0"/>
          <w:i/>
          <w:color w:val="auto"/>
          <w:sz w:val="24"/>
          <w:szCs w:val="24"/>
        </w:rPr>
        <w:fldChar w:fldCharType="end"/>
      </w:r>
      <w:r w:rsidR="005D7308" w:rsidRPr="00DC6F66">
        <w:rPr>
          <w:rFonts w:ascii="Times New Roman" w:hAnsi="Times New Roman" w:cs="Times New Roman"/>
          <w:b w:val="0"/>
          <w:i/>
          <w:color w:val="auto"/>
          <w:sz w:val="24"/>
          <w:szCs w:val="24"/>
        </w:rPr>
        <w:t>.attēls.</w:t>
      </w:r>
      <w:r w:rsidR="005D7308" w:rsidRPr="00DC6F66">
        <w:rPr>
          <w:rFonts w:ascii="Times New Roman" w:hAnsi="Times New Roman" w:cs="Times New Roman"/>
          <w:color w:val="auto"/>
          <w:sz w:val="24"/>
          <w:szCs w:val="24"/>
        </w:rPr>
        <w:t xml:space="preserve"> </w:t>
      </w:r>
      <w:r w:rsidR="005D7308" w:rsidRPr="004E29AB">
        <w:rPr>
          <w:rFonts w:ascii="Times New Roman" w:hAnsi="Times New Roman" w:cs="Times New Roman"/>
          <w:color w:val="auto"/>
          <w:sz w:val="24"/>
          <w:szCs w:val="24"/>
        </w:rPr>
        <w:t>Īpašuma struktūra</w:t>
      </w:r>
    </w:p>
    <w:p w14:paraId="7E2CDC6C" w14:textId="789265AD" w:rsidR="00D63FA6" w:rsidRDefault="00D63FA6" w:rsidP="001D28BD">
      <w:pPr>
        <w:pStyle w:val="Caption"/>
        <w:keepNext/>
        <w:spacing w:before="120" w:after="120"/>
        <w:jc w:val="right"/>
        <w:rPr>
          <w:rFonts w:ascii="Times New Roman" w:hAnsi="Times New Roman" w:cs="Times New Roman"/>
          <w:color w:val="auto"/>
          <w:sz w:val="24"/>
          <w:szCs w:val="24"/>
        </w:rPr>
      </w:pPr>
    </w:p>
    <w:p w14:paraId="1BCBB2AC" w14:textId="75CE15F2" w:rsidR="005D7308" w:rsidRPr="00DC6F66" w:rsidRDefault="005D7308" w:rsidP="001D28BD">
      <w:pPr>
        <w:pStyle w:val="Caption"/>
        <w:keepNext/>
        <w:spacing w:before="120" w:after="120"/>
        <w:jc w:val="right"/>
        <w:rPr>
          <w:rFonts w:ascii="Times New Roman" w:hAnsi="Times New Roman" w:cs="Times New Roman"/>
          <w:color w:val="auto"/>
          <w:sz w:val="24"/>
          <w:szCs w:val="24"/>
        </w:rPr>
      </w:pPr>
    </w:p>
    <w:p w14:paraId="0F44794C" w14:textId="0BD9EF7D" w:rsidR="005D7308" w:rsidRPr="00D63FA6" w:rsidRDefault="005D7308" w:rsidP="00D94628">
      <w:pPr>
        <w:keepNext/>
        <w:spacing w:before="120" w:after="120" w:line="240" w:lineRule="auto"/>
        <w:ind w:firstLine="709"/>
        <w:jc w:val="both"/>
        <w:rPr>
          <w:rFonts w:ascii="Times New Roman" w:hAnsi="Times New Roman" w:cs="Times New Roman"/>
          <w:i/>
          <w:sz w:val="18"/>
          <w:lang w:eastAsia="zh-CN"/>
        </w:rPr>
      </w:pPr>
      <w:r w:rsidRPr="00114266">
        <w:rPr>
          <w:rFonts w:ascii="Times New Roman" w:hAnsi="Times New Roman"/>
          <w:color w:val="000000" w:themeColor="text1"/>
          <w:sz w:val="24"/>
        </w:rPr>
        <w:t xml:space="preserve">Atbilstoši Sabiedrības statūtiem, Sabiedrību vada un pārstāv valde trīs valdes locekļu sastāvā, kura pieņem lēmumus Komerclikumā un </w:t>
      </w:r>
      <w:r w:rsidR="0011035F">
        <w:rPr>
          <w:rFonts w:ascii="Times New Roman" w:hAnsi="Times New Roman"/>
          <w:color w:val="000000" w:themeColor="text1"/>
          <w:sz w:val="24"/>
        </w:rPr>
        <w:t>Kapitālsabiedrību p</w:t>
      </w:r>
      <w:r w:rsidRPr="00114266">
        <w:rPr>
          <w:rFonts w:ascii="Times New Roman" w:hAnsi="Times New Roman"/>
          <w:color w:val="000000" w:themeColor="text1"/>
          <w:sz w:val="24"/>
        </w:rPr>
        <w:t xml:space="preserve">ārvaldības likumā noteiktajos valdes kompetences jautājumos, t.sk. lēmumus saistībā ar </w:t>
      </w:r>
      <w:r w:rsidR="00122ABC" w:rsidRPr="00114266">
        <w:rPr>
          <w:rFonts w:ascii="Times New Roman" w:hAnsi="Times New Roman"/>
          <w:color w:val="000000" w:themeColor="text1"/>
          <w:sz w:val="24"/>
        </w:rPr>
        <w:t>Sabiedrībai</w:t>
      </w:r>
      <w:r w:rsidRPr="00114266">
        <w:rPr>
          <w:rFonts w:ascii="Times New Roman" w:hAnsi="Times New Roman"/>
          <w:color w:val="000000" w:themeColor="text1"/>
          <w:sz w:val="24"/>
        </w:rPr>
        <w:t xml:space="preserve"> deleģēto</w:t>
      </w:r>
      <w:r w:rsidR="00122ABC" w:rsidRPr="00114266">
        <w:rPr>
          <w:rFonts w:ascii="Times New Roman" w:hAnsi="Times New Roman"/>
          <w:color w:val="000000" w:themeColor="text1"/>
          <w:sz w:val="24"/>
        </w:rPr>
        <w:t>/uzdoto</w:t>
      </w:r>
      <w:r w:rsidRPr="00114266">
        <w:rPr>
          <w:rFonts w:ascii="Times New Roman" w:hAnsi="Times New Roman"/>
          <w:color w:val="000000" w:themeColor="text1"/>
          <w:sz w:val="24"/>
        </w:rPr>
        <w:t xml:space="preserve"> valsts pārvaldes uzdevumu izpildi. Sabiedrību veido sešas struktūrvienības, kuras ir pakļaut</w:t>
      </w:r>
      <w:r w:rsidR="008051A5" w:rsidRPr="00114266">
        <w:rPr>
          <w:rFonts w:ascii="Times New Roman" w:hAnsi="Times New Roman"/>
          <w:color w:val="000000" w:themeColor="text1"/>
          <w:sz w:val="24"/>
        </w:rPr>
        <w:t>as Sabiedrības valdei</w:t>
      </w:r>
      <w:r w:rsidRPr="00114266">
        <w:rPr>
          <w:rFonts w:ascii="Times New Roman" w:hAnsi="Times New Roman"/>
          <w:color w:val="000000" w:themeColor="text1"/>
          <w:sz w:val="24"/>
        </w:rPr>
        <w:t>.</w:t>
      </w:r>
    </w:p>
    <w:p w14:paraId="50EE0F9B" w14:textId="77777777" w:rsidR="002235D4" w:rsidRPr="00114266" w:rsidRDefault="005D7308"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Atbilstoši Sabiedrības īstenoto funkciju apmēram, salīdzinot ar 2011.gadu, Sabiedrības darbinieku skaits uz 2015.gada 31.decembri ir samazinājies par 21%. </w:t>
      </w:r>
      <w:r w:rsidR="0014151E" w:rsidRPr="00114266">
        <w:rPr>
          <w:rFonts w:ascii="Times New Roman" w:hAnsi="Times New Roman"/>
          <w:color w:val="000000" w:themeColor="text1"/>
          <w:sz w:val="24"/>
        </w:rPr>
        <w:t xml:space="preserve">Kopumā </w:t>
      </w:r>
      <w:r w:rsidR="00AA0B80" w:rsidRPr="00114266">
        <w:rPr>
          <w:rFonts w:ascii="Times New Roman" w:hAnsi="Times New Roman"/>
          <w:color w:val="000000" w:themeColor="text1"/>
          <w:sz w:val="24"/>
        </w:rPr>
        <w:t>uz 201</w:t>
      </w:r>
      <w:r w:rsidR="001E3B45" w:rsidRPr="00114266">
        <w:rPr>
          <w:rFonts w:ascii="Times New Roman" w:hAnsi="Times New Roman"/>
          <w:color w:val="000000" w:themeColor="text1"/>
          <w:sz w:val="24"/>
        </w:rPr>
        <w:t>5</w:t>
      </w:r>
      <w:r w:rsidR="00AA0B80" w:rsidRPr="00114266">
        <w:rPr>
          <w:rFonts w:ascii="Times New Roman" w:hAnsi="Times New Roman"/>
          <w:color w:val="000000" w:themeColor="text1"/>
          <w:sz w:val="24"/>
        </w:rPr>
        <w:t>.gada 31.decembri</w:t>
      </w:r>
      <w:r w:rsidR="0014151E" w:rsidRPr="00114266">
        <w:rPr>
          <w:rFonts w:ascii="Times New Roman" w:hAnsi="Times New Roman"/>
          <w:color w:val="000000" w:themeColor="text1"/>
          <w:sz w:val="24"/>
        </w:rPr>
        <w:t xml:space="preserve"> Sabiedrīb</w:t>
      </w:r>
      <w:r w:rsidR="002B5943" w:rsidRPr="00114266">
        <w:rPr>
          <w:rFonts w:ascii="Times New Roman" w:hAnsi="Times New Roman"/>
          <w:color w:val="000000" w:themeColor="text1"/>
          <w:sz w:val="24"/>
        </w:rPr>
        <w:t>ā bija nodarbinātas 66 personas</w:t>
      </w:r>
      <w:r w:rsidR="00A155A0" w:rsidRPr="00114266">
        <w:rPr>
          <w:rFonts w:ascii="Times New Roman" w:hAnsi="Times New Roman"/>
          <w:color w:val="000000" w:themeColor="text1"/>
          <w:sz w:val="24"/>
        </w:rPr>
        <w:t>. L</w:t>
      </w:r>
      <w:r w:rsidR="00051B76" w:rsidRPr="00114266">
        <w:rPr>
          <w:rFonts w:ascii="Times New Roman" w:hAnsi="Times New Roman"/>
          <w:color w:val="000000" w:themeColor="text1"/>
          <w:sz w:val="24"/>
        </w:rPr>
        <w:t xml:space="preserve">īdz ar jauno valsts pārvaldes uzdevumu </w:t>
      </w:r>
      <w:r w:rsidR="00B46733" w:rsidRPr="00114266">
        <w:rPr>
          <w:rFonts w:ascii="Times New Roman" w:hAnsi="Times New Roman"/>
          <w:color w:val="000000" w:themeColor="text1"/>
          <w:sz w:val="24"/>
        </w:rPr>
        <w:t xml:space="preserve">pārņemšanu 2016.gada 25.oktobrī </w:t>
      </w:r>
      <w:r w:rsidR="00226582" w:rsidRPr="00114266">
        <w:rPr>
          <w:rFonts w:ascii="Times New Roman" w:hAnsi="Times New Roman"/>
          <w:color w:val="000000" w:themeColor="text1"/>
          <w:sz w:val="24"/>
        </w:rPr>
        <w:t xml:space="preserve">Sabiedrībā strādājošo darbinieku skaits bija </w:t>
      </w:r>
      <w:r w:rsidR="00B46733" w:rsidRPr="00114266">
        <w:rPr>
          <w:rFonts w:ascii="Times New Roman" w:hAnsi="Times New Roman"/>
          <w:color w:val="000000" w:themeColor="text1"/>
          <w:sz w:val="24"/>
        </w:rPr>
        <w:t>71</w:t>
      </w:r>
      <w:r w:rsidR="00051B76" w:rsidRPr="00114266">
        <w:rPr>
          <w:rFonts w:ascii="Times New Roman" w:hAnsi="Times New Roman"/>
          <w:color w:val="000000" w:themeColor="text1"/>
          <w:sz w:val="24"/>
        </w:rPr>
        <w:t>.</w:t>
      </w:r>
    </w:p>
    <w:p w14:paraId="57D99396" w14:textId="228A011C" w:rsidR="00D5218C" w:rsidRPr="00DC6F66" w:rsidRDefault="00E42BA6">
      <w:pPr>
        <w:pStyle w:val="Heading2"/>
      </w:pPr>
      <w:bookmarkStart w:id="70" w:name="_Toc468974764"/>
      <w:bookmarkStart w:id="71" w:name="_Toc482084443"/>
      <w:bookmarkStart w:id="72" w:name="_Toc482084607"/>
      <w:bookmarkStart w:id="73" w:name="_Toc482084642"/>
      <w:bookmarkStart w:id="74" w:name="_Toc482084677"/>
      <w:bookmarkStart w:id="75" w:name="_Toc482084805"/>
      <w:bookmarkStart w:id="76" w:name="_Toc478473154"/>
      <w:r w:rsidRPr="00DC6F66">
        <w:t xml:space="preserve">Sabiedrības </w:t>
      </w:r>
      <w:r w:rsidR="00D5218C" w:rsidRPr="00DC6F66">
        <w:t>finan</w:t>
      </w:r>
      <w:r w:rsidR="004A7458" w:rsidRPr="00DC6F66">
        <w:t xml:space="preserve">sēšanas </w:t>
      </w:r>
      <w:r w:rsidR="003608AD" w:rsidRPr="00DC6F66">
        <w:t>kārtība</w:t>
      </w:r>
      <w:bookmarkEnd w:id="70"/>
      <w:bookmarkEnd w:id="71"/>
      <w:bookmarkEnd w:id="72"/>
      <w:bookmarkEnd w:id="73"/>
      <w:bookmarkEnd w:id="74"/>
      <w:bookmarkEnd w:id="75"/>
      <w:bookmarkEnd w:id="76"/>
    </w:p>
    <w:p w14:paraId="50FFB902" w14:textId="06B7F476" w:rsidR="00012C8A" w:rsidRPr="00114266" w:rsidRDefault="00D5218C"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Līdz 2015.gada 1.decembrim Sabiedrības finansēšanas kārtību pamatā reglamentēja Ministru kabineta 2011.gada 20.decembra noteikumi Nr.976 “Kārtība, kādā veicami atskaitījumi Privatizācijas aģentūrai par valsts īpašuma privatizāciju, valsts kapitāla daļu atsavināšanu un citām normatīvajos aktos noteiktajām darbībām, izveidojams un izlietojams rezerves fonds un veicami maksājumi valsts budžetā”, kad tos aizstāja Ministru kabineta 2015.gada 1.decembra noteikumi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(turpmāk – Ministru kabineta noteikumi Nr.680). Esošā kārtība jau šo</w:t>
      </w:r>
      <w:r w:rsidR="003763C3">
        <w:rPr>
          <w:rFonts w:ascii="Times New Roman" w:hAnsi="Times New Roman"/>
          <w:color w:val="000000" w:themeColor="text1"/>
          <w:sz w:val="24"/>
        </w:rPr>
        <w:t>brīd</w:t>
      </w:r>
      <w:r w:rsidRPr="00114266">
        <w:rPr>
          <w:rFonts w:ascii="Times New Roman" w:hAnsi="Times New Roman"/>
          <w:color w:val="000000" w:themeColor="text1"/>
          <w:sz w:val="24"/>
        </w:rPr>
        <w:t xml:space="preserve"> nodrošina to, ka Sabiedrības ieņēmumu apmērs tieši korelē ar rezultatīvo rādītāju izpildi, proti, jo aktīvāk un sekmīgāk tiek veiktas valsts īpašuma atsavināšanas </w:t>
      </w:r>
      <w:r w:rsidR="00561A80" w:rsidRPr="00114266">
        <w:rPr>
          <w:rFonts w:ascii="Times New Roman" w:hAnsi="Times New Roman"/>
          <w:color w:val="000000" w:themeColor="text1"/>
          <w:sz w:val="24"/>
        </w:rPr>
        <w:t xml:space="preserve">un privatizācijas </w:t>
      </w:r>
      <w:r w:rsidRPr="00114266">
        <w:rPr>
          <w:rFonts w:ascii="Times New Roman" w:hAnsi="Times New Roman"/>
          <w:color w:val="000000" w:themeColor="text1"/>
          <w:sz w:val="24"/>
        </w:rPr>
        <w:t>darbības un jo vērtīgāki ir</w:t>
      </w:r>
      <w:r w:rsidR="00561A80" w:rsidRPr="00114266">
        <w:rPr>
          <w:rFonts w:ascii="Times New Roman" w:hAnsi="Times New Roman"/>
          <w:color w:val="000000" w:themeColor="text1"/>
          <w:sz w:val="24"/>
        </w:rPr>
        <w:t xml:space="preserve"> šie īpašumi</w:t>
      </w:r>
      <w:r w:rsidRPr="00114266">
        <w:rPr>
          <w:rFonts w:ascii="Times New Roman" w:hAnsi="Times New Roman"/>
          <w:color w:val="000000" w:themeColor="text1"/>
          <w:sz w:val="24"/>
        </w:rPr>
        <w:t>, jo vairāk un par lielākām summām tiek noslēgti pirkuma līgumi un jo lielāki atskaitījumi nonāk Sabiedrības ieņēmumos.</w:t>
      </w:r>
    </w:p>
    <w:p w14:paraId="7D69618E" w14:textId="77777777" w:rsidR="001D28BD" w:rsidRDefault="00315F1B"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Vienlaikus atzīmējams, ka par Sabiedrības turējumā/valdījumā esošo īpašumu pārvaldības funkciju īstenošanu normatīvie atskaitījumi Sabiedrībai </w:t>
      </w:r>
      <w:r w:rsidR="00B078E7" w:rsidRPr="00114266">
        <w:rPr>
          <w:rFonts w:ascii="Times New Roman" w:hAnsi="Times New Roman"/>
          <w:color w:val="000000" w:themeColor="text1"/>
          <w:sz w:val="24"/>
        </w:rPr>
        <w:t xml:space="preserve">pārsvarā </w:t>
      </w:r>
      <w:r w:rsidRPr="00114266">
        <w:rPr>
          <w:rFonts w:ascii="Times New Roman" w:hAnsi="Times New Roman"/>
          <w:color w:val="000000" w:themeColor="text1"/>
          <w:sz w:val="24"/>
        </w:rPr>
        <w:t>nav paredzēti. Konspektīvs pārskats par Sabiedrības ienākumu avotiem sniegts 2.tabulā.</w:t>
      </w:r>
    </w:p>
    <w:p w14:paraId="65271D65" w14:textId="476D5F66" w:rsidR="00F7627F" w:rsidRDefault="00F7627F">
      <w:pPr>
        <w:rPr>
          <w:rFonts w:ascii="Times New Roman" w:hAnsi="Times New Roman"/>
          <w:color w:val="000000" w:themeColor="text1"/>
          <w:sz w:val="24"/>
        </w:rPr>
      </w:pPr>
      <w:r>
        <w:rPr>
          <w:rFonts w:ascii="Times New Roman" w:hAnsi="Times New Roman"/>
          <w:color w:val="000000" w:themeColor="text1"/>
          <w:sz w:val="24"/>
        </w:rPr>
        <w:br w:type="page"/>
      </w:r>
    </w:p>
    <w:p w14:paraId="69996A69" w14:textId="29D5EA83" w:rsidR="000E0786" w:rsidRPr="00DC6F66" w:rsidRDefault="00301B33" w:rsidP="0000051C">
      <w:pPr>
        <w:jc w:val="right"/>
        <w:rPr>
          <w:rFonts w:ascii="Times New Roman" w:hAnsi="Times New Roman" w:cs="Times New Roman"/>
          <w:sz w:val="24"/>
        </w:rPr>
      </w:pPr>
      <w:r w:rsidRPr="00DC6F66">
        <w:rPr>
          <w:rFonts w:ascii="Times New Roman" w:hAnsi="Times New Roman" w:cs="Times New Roman"/>
          <w:b/>
          <w:i/>
          <w:sz w:val="24"/>
        </w:rPr>
        <w:lastRenderedPageBreak/>
        <w:fldChar w:fldCharType="begin"/>
      </w:r>
      <w:r w:rsidRPr="00DC6F66">
        <w:rPr>
          <w:rFonts w:ascii="Times New Roman" w:hAnsi="Times New Roman" w:cs="Times New Roman"/>
          <w:b/>
          <w:i/>
          <w:sz w:val="24"/>
        </w:rPr>
        <w:instrText xml:space="preserve"> SEQ Tabula \* ARABIC </w:instrText>
      </w:r>
      <w:r w:rsidRPr="00DC6F66">
        <w:rPr>
          <w:rFonts w:ascii="Times New Roman" w:hAnsi="Times New Roman" w:cs="Times New Roman"/>
          <w:b/>
          <w:i/>
          <w:sz w:val="24"/>
        </w:rPr>
        <w:fldChar w:fldCharType="separate"/>
      </w:r>
      <w:r w:rsidR="00CD00C1">
        <w:rPr>
          <w:rFonts w:ascii="Times New Roman" w:hAnsi="Times New Roman" w:cs="Times New Roman"/>
          <w:b/>
          <w:i/>
          <w:noProof/>
          <w:sz w:val="24"/>
        </w:rPr>
        <w:t>2</w:t>
      </w:r>
      <w:r w:rsidRPr="00DC6F66">
        <w:rPr>
          <w:rFonts w:ascii="Times New Roman" w:hAnsi="Times New Roman" w:cs="Times New Roman"/>
          <w:b/>
          <w:i/>
          <w:sz w:val="24"/>
        </w:rPr>
        <w:fldChar w:fldCharType="end"/>
      </w:r>
      <w:r w:rsidRPr="00DC6F66">
        <w:rPr>
          <w:rFonts w:ascii="Times New Roman" w:hAnsi="Times New Roman" w:cs="Times New Roman"/>
          <w:b/>
          <w:i/>
          <w:sz w:val="24"/>
        </w:rPr>
        <w:t>.tabula</w:t>
      </w:r>
      <w:r w:rsidR="000E0786" w:rsidRPr="00DC6F66">
        <w:rPr>
          <w:rFonts w:ascii="Times New Roman" w:hAnsi="Times New Roman" w:cs="Times New Roman"/>
          <w:b/>
          <w:i/>
          <w:sz w:val="24"/>
        </w:rPr>
        <w:t xml:space="preserve">. </w:t>
      </w:r>
      <w:r w:rsidR="00A43A64" w:rsidRPr="004E29AB">
        <w:rPr>
          <w:rFonts w:ascii="Times New Roman" w:hAnsi="Times New Roman" w:cs="Times New Roman"/>
          <w:sz w:val="24"/>
        </w:rPr>
        <w:t>Sabiedrības ienākumu avoti</w:t>
      </w:r>
    </w:p>
    <w:tbl>
      <w:tblPr>
        <w:tblStyle w:val="TableGrid"/>
        <w:tblW w:w="909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431"/>
        <w:gridCol w:w="274"/>
        <w:gridCol w:w="1569"/>
        <w:gridCol w:w="283"/>
        <w:gridCol w:w="1691"/>
        <w:gridCol w:w="284"/>
        <w:gridCol w:w="1559"/>
      </w:tblGrid>
      <w:tr w:rsidR="00637121" w:rsidRPr="00DC6F66" w14:paraId="28B8625B" w14:textId="77777777" w:rsidTr="00BA2102">
        <w:trPr>
          <w:tblHeader/>
        </w:trPr>
        <w:tc>
          <w:tcPr>
            <w:tcW w:w="3431" w:type="dxa"/>
            <w:vMerge w:val="restart"/>
            <w:tcBorders>
              <w:left w:val="single" w:sz="12" w:space="0" w:color="404040" w:themeColor="text1" w:themeTint="BF"/>
            </w:tcBorders>
            <w:shd w:val="clear" w:color="auto" w:fill="262626" w:themeFill="text1" w:themeFillTint="D9"/>
            <w:vAlign w:val="center"/>
          </w:tcPr>
          <w:p w14:paraId="289F8861" w14:textId="77777777" w:rsidR="00CF45AB" w:rsidRPr="00DC6F66" w:rsidRDefault="00CF45AB" w:rsidP="007F7446">
            <w:pPr>
              <w:keepLines/>
              <w:rPr>
                <w:rFonts w:ascii="Times New Roman" w:hAnsi="Times New Roman" w:cs="Times New Roman"/>
                <w:color w:val="FFFFFF" w:themeColor="background1"/>
                <w:sz w:val="20"/>
                <w:szCs w:val="22"/>
                <w:lang w:val="lv-LV"/>
              </w:rPr>
            </w:pPr>
            <w:r w:rsidRPr="00DC6F66">
              <w:rPr>
                <w:rFonts w:ascii="Times New Roman" w:hAnsi="Times New Roman" w:cs="Times New Roman"/>
                <w:color w:val="FFFFFF" w:themeColor="background1"/>
                <w:sz w:val="20"/>
                <w:szCs w:val="22"/>
                <w:lang w:val="lv-LV"/>
              </w:rPr>
              <w:t>BIZNESA LĪNIJAS</w:t>
            </w:r>
          </w:p>
        </w:tc>
        <w:tc>
          <w:tcPr>
            <w:tcW w:w="274" w:type="dxa"/>
            <w:vMerge w:val="restart"/>
            <w:tcBorders>
              <w:right w:val="single" w:sz="12" w:space="0" w:color="404040" w:themeColor="text1" w:themeTint="BF"/>
            </w:tcBorders>
            <w:vAlign w:val="center"/>
          </w:tcPr>
          <w:p w14:paraId="0B3FBF2B" w14:textId="77777777" w:rsidR="00CF45AB" w:rsidRPr="00DC6F66" w:rsidRDefault="00CF45AB" w:rsidP="007F7446">
            <w:pPr>
              <w:keepLines/>
              <w:rPr>
                <w:rFonts w:ascii="Times New Roman" w:hAnsi="Times New Roman" w:cs="Times New Roman"/>
                <w:color w:val="FFFFFF" w:themeColor="background1"/>
                <w:sz w:val="20"/>
                <w:szCs w:val="22"/>
                <w:lang w:val="lv-LV"/>
              </w:rPr>
            </w:pPr>
          </w:p>
        </w:tc>
        <w:tc>
          <w:tcPr>
            <w:tcW w:w="1569" w:type="dxa"/>
            <w:vMerge w:val="restart"/>
            <w:tcBorders>
              <w:left w:val="single" w:sz="12" w:space="0" w:color="404040" w:themeColor="text1" w:themeTint="BF"/>
              <w:right w:val="single" w:sz="12" w:space="0" w:color="404040" w:themeColor="text1" w:themeTint="BF"/>
            </w:tcBorders>
            <w:shd w:val="clear" w:color="auto" w:fill="262626" w:themeFill="text1" w:themeFillTint="D9"/>
            <w:vAlign w:val="center"/>
          </w:tcPr>
          <w:p w14:paraId="27958481" w14:textId="77777777" w:rsidR="00CF45AB" w:rsidRPr="00DC6F66" w:rsidRDefault="00CF45AB" w:rsidP="007F7446">
            <w:pPr>
              <w:keepLines/>
              <w:rPr>
                <w:rFonts w:ascii="Times New Roman" w:hAnsi="Times New Roman" w:cs="Times New Roman"/>
                <w:color w:val="FFFFFF" w:themeColor="background1"/>
                <w:sz w:val="19"/>
                <w:szCs w:val="19"/>
                <w:lang w:val="lv-LV"/>
              </w:rPr>
            </w:pPr>
            <w:r w:rsidRPr="00DC6F66">
              <w:rPr>
                <w:rFonts w:ascii="Times New Roman" w:hAnsi="Times New Roman" w:cs="Times New Roman"/>
                <w:color w:val="FFFFFF" w:themeColor="background1"/>
                <w:sz w:val="20"/>
                <w:szCs w:val="19"/>
                <w:lang w:val="lv-LV"/>
              </w:rPr>
              <w:t>PĀRVALDĪBA</w:t>
            </w:r>
          </w:p>
        </w:tc>
        <w:tc>
          <w:tcPr>
            <w:tcW w:w="283" w:type="dxa"/>
            <w:vMerge w:val="restart"/>
            <w:tcBorders>
              <w:left w:val="single" w:sz="12" w:space="0" w:color="404040" w:themeColor="text1" w:themeTint="BF"/>
            </w:tcBorders>
            <w:vAlign w:val="center"/>
          </w:tcPr>
          <w:p w14:paraId="2E08FEF7" w14:textId="77777777" w:rsidR="00CF45AB" w:rsidRPr="00DC6F66" w:rsidRDefault="00CF45AB" w:rsidP="007F7446">
            <w:pPr>
              <w:keepLines/>
              <w:rPr>
                <w:rFonts w:ascii="Times New Roman" w:hAnsi="Times New Roman" w:cs="Times New Roman"/>
                <w:color w:val="FFFFFF" w:themeColor="background1"/>
                <w:sz w:val="22"/>
                <w:szCs w:val="22"/>
                <w:lang w:val="lv-LV"/>
              </w:rPr>
            </w:pPr>
          </w:p>
        </w:tc>
        <w:tc>
          <w:tcPr>
            <w:tcW w:w="3534" w:type="dxa"/>
            <w:gridSpan w:val="3"/>
            <w:tcBorders>
              <w:right w:val="single" w:sz="12" w:space="0" w:color="404040" w:themeColor="text1" w:themeTint="BF"/>
            </w:tcBorders>
            <w:shd w:val="clear" w:color="auto" w:fill="262626" w:themeFill="text1" w:themeFillTint="D9"/>
            <w:vAlign w:val="center"/>
          </w:tcPr>
          <w:p w14:paraId="2A2A02C1" w14:textId="77777777" w:rsidR="00CF45AB" w:rsidRPr="00DC6F66" w:rsidRDefault="00CF45AB" w:rsidP="007F7446">
            <w:pPr>
              <w:keepLines/>
              <w:spacing w:before="40" w:after="40"/>
              <w:jc w:val="center"/>
              <w:rPr>
                <w:rFonts w:ascii="Times New Roman" w:hAnsi="Times New Roman" w:cs="Times New Roman"/>
                <w:color w:val="FFFFFF" w:themeColor="background1"/>
                <w:sz w:val="22"/>
                <w:szCs w:val="22"/>
                <w:lang w:val="lv-LV"/>
              </w:rPr>
            </w:pPr>
            <w:r w:rsidRPr="00DC6F66">
              <w:rPr>
                <w:rFonts w:ascii="Times New Roman" w:hAnsi="Times New Roman" w:cs="Times New Roman"/>
                <w:color w:val="FFFFFF" w:themeColor="background1"/>
                <w:sz w:val="20"/>
                <w:szCs w:val="22"/>
                <w:lang w:val="lv-LV"/>
              </w:rPr>
              <w:t>REALIZĀCIJA</w:t>
            </w:r>
          </w:p>
        </w:tc>
      </w:tr>
      <w:tr w:rsidR="00637121" w:rsidRPr="00DC6F66" w14:paraId="26868ABD" w14:textId="77777777" w:rsidTr="00BA2102">
        <w:trPr>
          <w:tblHeader/>
        </w:trPr>
        <w:tc>
          <w:tcPr>
            <w:tcW w:w="3431" w:type="dxa"/>
            <w:vMerge/>
            <w:tcBorders>
              <w:left w:val="single" w:sz="12" w:space="0" w:color="404040" w:themeColor="text1" w:themeTint="BF"/>
              <w:bottom w:val="single" w:sz="4" w:space="0" w:color="FFFFFF" w:themeColor="background1"/>
            </w:tcBorders>
            <w:shd w:val="clear" w:color="auto" w:fill="262626" w:themeFill="text1" w:themeFillTint="D9"/>
            <w:vAlign w:val="center"/>
          </w:tcPr>
          <w:p w14:paraId="44A21865" w14:textId="77777777" w:rsidR="00CF45AB" w:rsidRPr="00DC6F66" w:rsidRDefault="00CF45AB" w:rsidP="007F7446">
            <w:pPr>
              <w:keepLines/>
              <w:rPr>
                <w:rFonts w:ascii="Times New Roman" w:hAnsi="Times New Roman" w:cs="Times New Roman"/>
                <w:color w:val="FFFFFF" w:themeColor="background1"/>
                <w:sz w:val="22"/>
                <w:szCs w:val="22"/>
                <w:lang w:val="lv-LV"/>
              </w:rPr>
            </w:pPr>
          </w:p>
        </w:tc>
        <w:tc>
          <w:tcPr>
            <w:tcW w:w="274" w:type="dxa"/>
            <w:vMerge/>
            <w:tcBorders>
              <w:bottom w:val="single" w:sz="4" w:space="0" w:color="FFFFFF" w:themeColor="background1"/>
              <w:right w:val="single" w:sz="12" w:space="0" w:color="404040" w:themeColor="text1" w:themeTint="BF"/>
            </w:tcBorders>
            <w:vAlign w:val="center"/>
          </w:tcPr>
          <w:p w14:paraId="198EC4A5" w14:textId="77777777" w:rsidR="00CF45AB" w:rsidRPr="00DC6F66" w:rsidRDefault="00CF45AB" w:rsidP="007F7446">
            <w:pPr>
              <w:keepLines/>
              <w:rPr>
                <w:rFonts w:ascii="Times New Roman" w:hAnsi="Times New Roman" w:cs="Times New Roman"/>
                <w:color w:val="FFFFFF" w:themeColor="background1"/>
                <w:sz w:val="22"/>
                <w:szCs w:val="22"/>
                <w:lang w:val="lv-LV"/>
              </w:rPr>
            </w:pPr>
          </w:p>
        </w:tc>
        <w:tc>
          <w:tcPr>
            <w:tcW w:w="1569" w:type="dxa"/>
            <w:vMerge/>
            <w:tcBorders>
              <w:left w:val="single" w:sz="12" w:space="0" w:color="404040" w:themeColor="text1" w:themeTint="BF"/>
              <w:bottom w:val="single" w:sz="4" w:space="0" w:color="FFFFFF" w:themeColor="background1"/>
              <w:right w:val="single" w:sz="12" w:space="0" w:color="404040" w:themeColor="text1" w:themeTint="BF"/>
            </w:tcBorders>
            <w:shd w:val="clear" w:color="auto" w:fill="262626" w:themeFill="text1" w:themeFillTint="D9"/>
            <w:vAlign w:val="center"/>
          </w:tcPr>
          <w:p w14:paraId="151A9B47" w14:textId="77777777" w:rsidR="00CF45AB" w:rsidRPr="00DC6F66" w:rsidRDefault="00CF45AB" w:rsidP="007F7446">
            <w:pPr>
              <w:keepLines/>
              <w:rPr>
                <w:rFonts w:ascii="Times New Roman" w:hAnsi="Times New Roman" w:cs="Times New Roman"/>
                <w:color w:val="FFFFFF" w:themeColor="background1"/>
                <w:sz w:val="22"/>
                <w:szCs w:val="22"/>
                <w:lang w:val="lv-LV"/>
              </w:rPr>
            </w:pPr>
          </w:p>
        </w:tc>
        <w:tc>
          <w:tcPr>
            <w:tcW w:w="283" w:type="dxa"/>
            <w:vMerge/>
            <w:tcBorders>
              <w:left w:val="single" w:sz="12" w:space="0" w:color="404040" w:themeColor="text1" w:themeTint="BF"/>
              <w:bottom w:val="single" w:sz="4" w:space="0" w:color="FFFFFF" w:themeColor="background1"/>
            </w:tcBorders>
            <w:vAlign w:val="center"/>
          </w:tcPr>
          <w:p w14:paraId="38C3A226" w14:textId="77777777" w:rsidR="00CF45AB" w:rsidRPr="00DC6F66" w:rsidRDefault="00CF45AB" w:rsidP="007F7446">
            <w:pPr>
              <w:keepLines/>
              <w:rPr>
                <w:rFonts w:ascii="Times New Roman" w:hAnsi="Times New Roman" w:cs="Times New Roman"/>
                <w:color w:val="FFFFFF" w:themeColor="background1"/>
                <w:sz w:val="22"/>
                <w:szCs w:val="22"/>
                <w:lang w:val="lv-LV"/>
              </w:rPr>
            </w:pPr>
          </w:p>
        </w:tc>
        <w:tc>
          <w:tcPr>
            <w:tcW w:w="1691" w:type="dxa"/>
            <w:tcBorders>
              <w:bottom w:val="single" w:sz="4" w:space="0" w:color="FFFFFF" w:themeColor="background1"/>
            </w:tcBorders>
            <w:shd w:val="clear" w:color="auto" w:fill="767171" w:themeFill="background2" w:themeFillShade="80"/>
            <w:vAlign w:val="center"/>
          </w:tcPr>
          <w:p w14:paraId="44305DDA" w14:textId="77777777" w:rsidR="00CF45AB" w:rsidRPr="00DC6F66" w:rsidRDefault="00CF45AB" w:rsidP="007F7446">
            <w:pPr>
              <w:keepLines/>
              <w:spacing w:after="40"/>
              <w:jc w:val="center"/>
              <w:rPr>
                <w:rFonts w:ascii="Times New Roman" w:hAnsi="Times New Roman" w:cs="Times New Roman"/>
                <w:color w:val="FFFFFF" w:themeColor="background1"/>
                <w:sz w:val="18"/>
                <w:szCs w:val="22"/>
                <w:lang w:val="lv-LV"/>
              </w:rPr>
            </w:pPr>
            <w:r w:rsidRPr="00DC6F66">
              <w:rPr>
                <w:rFonts w:ascii="Times New Roman" w:hAnsi="Times New Roman" w:cs="Times New Roman"/>
                <w:color w:val="FFFFFF" w:themeColor="background1"/>
                <w:sz w:val="18"/>
                <w:szCs w:val="22"/>
                <w:lang w:val="lv-LV"/>
              </w:rPr>
              <w:t>Privatizācija</w:t>
            </w:r>
          </w:p>
        </w:tc>
        <w:tc>
          <w:tcPr>
            <w:tcW w:w="284" w:type="dxa"/>
            <w:tcBorders>
              <w:bottom w:val="single" w:sz="4" w:space="0" w:color="FFFFFF" w:themeColor="background1"/>
              <w:right w:val="nil"/>
            </w:tcBorders>
            <w:vAlign w:val="center"/>
          </w:tcPr>
          <w:p w14:paraId="0E8D4A11" w14:textId="77777777" w:rsidR="00CF45AB" w:rsidRPr="00DC6F66" w:rsidRDefault="00CF45AB" w:rsidP="007F7446">
            <w:pPr>
              <w:keepLines/>
              <w:spacing w:after="40"/>
              <w:jc w:val="center"/>
              <w:rPr>
                <w:rFonts w:ascii="Times New Roman" w:hAnsi="Times New Roman" w:cs="Times New Roman"/>
                <w:color w:val="FFFFFF" w:themeColor="background1"/>
                <w:sz w:val="18"/>
                <w:szCs w:val="22"/>
                <w:lang w:val="lv-LV"/>
              </w:rPr>
            </w:pPr>
          </w:p>
        </w:tc>
        <w:tc>
          <w:tcPr>
            <w:tcW w:w="1559" w:type="dxa"/>
            <w:tcBorders>
              <w:top w:val="nil"/>
              <w:left w:val="nil"/>
              <w:bottom w:val="single" w:sz="4" w:space="0" w:color="FFFFFF" w:themeColor="background1"/>
              <w:right w:val="single" w:sz="12" w:space="0" w:color="404040" w:themeColor="text1" w:themeTint="BF"/>
            </w:tcBorders>
            <w:shd w:val="clear" w:color="auto" w:fill="767171" w:themeFill="background2" w:themeFillShade="80"/>
            <w:vAlign w:val="center"/>
          </w:tcPr>
          <w:p w14:paraId="5D5F27CB" w14:textId="77777777" w:rsidR="00CF45AB" w:rsidRPr="00DC6F66" w:rsidRDefault="00CF45AB" w:rsidP="007F7446">
            <w:pPr>
              <w:keepLines/>
              <w:spacing w:after="40"/>
              <w:jc w:val="center"/>
              <w:rPr>
                <w:rFonts w:ascii="Times New Roman" w:hAnsi="Times New Roman" w:cs="Times New Roman"/>
                <w:color w:val="FFFFFF" w:themeColor="background1"/>
                <w:sz w:val="18"/>
                <w:szCs w:val="22"/>
                <w:lang w:val="lv-LV"/>
              </w:rPr>
            </w:pPr>
            <w:r w:rsidRPr="00DC6F66">
              <w:rPr>
                <w:rFonts w:ascii="Times New Roman" w:hAnsi="Times New Roman" w:cs="Times New Roman"/>
                <w:color w:val="FFFFFF" w:themeColor="background1"/>
                <w:sz w:val="18"/>
                <w:szCs w:val="22"/>
                <w:lang w:val="lv-LV"/>
              </w:rPr>
              <w:t>Atsavināšana</w:t>
            </w:r>
          </w:p>
        </w:tc>
      </w:tr>
      <w:tr w:rsidR="00CF45AB" w:rsidRPr="00DC6F66" w14:paraId="1A6A0C7E" w14:textId="77777777" w:rsidTr="00BA2102">
        <w:trPr>
          <w:trHeight w:val="49"/>
        </w:trPr>
        <w:tc>
          <w:tcPr>
            <w:tcW w:w="9091" w:type="dxa"/>
            <w:gridSpan w:val="7"/>
            <w:tcBorders>
              <w:left w:val="single" w:sz="12" w:space="0" w:color="404040" w:themeColor="text1" w:themeTint="BF"/>
            </w:tcBorders>
            <w:shd w:val="clear" w:color="auto" w:fill="auto"/>
            <w:vAlign w:val="center"/>
          </w:tcPr>
          <w:p w14:paraId="12852F08" w14:textId="77777777" w:rsidR="00CF45AB" w:rsidRPr="00DC6F66" w:rsidRDefault="00CF45AB" w:rsidP="007F7446">
            <w:pPr>
              <w:keepLines/>
              <w:spacing w:after="40"/>
              <w:jc w:val="center"/>
              <w:rPr>
                <w:rFonts w:ascii="Times New Roman" w:hAnsi="Times New Roman" w:cs="Times New Roman"/>
                <w:color w:val="FFFFFF" w:themeColor="background1"/>
                <w:sz w:val="2"/>
                <w:lang w:val="lv-LV"/>
              </w:rPr>
            </w:pPr>
          </w:p>
        </w:tc>
      </w:tr>
      <w:tr w:rsidR="004C6845" w:rsidRPr="00DC6F66" w14:paraId="38FC9B65" w14:textId="77777777" w:rsidTr="00BA2102">
        <w:tc>
          <w:tcPr>
            <w:tcW w:w="3431" w:type="dxa"/>
            <w:tcBorders>
              <w:top w:val="single" w:sz="4" w:space="0" w:color="FFFFFF" w:themeColor="background1"/>
              <w:left w:val="single" w:sz="12" w:space="0" w:color="404040" w:themeColor="text1" w:themeTint="BF"/>
              <w:bottom w:val="single" w:sz="4" w:space="0" w:color="FFFFFF" w:themeColor="background1"/>
              <w:right w:val="single" w:sz="4" w:space="0" w:color="FFFFFF" w:themeColor="background1"/>
            </w:tcBorders>
          </w:tcPr>
          <w:p w14:paraId="716DF54B" w14:textId="77777777" w:rsidR="00CF45AB" w:rsidRPr="00DC6F66" w:rsidRDefault="00CF45AB" w:rsidP="007F7446">
            <w:pPr>
              <w:keepLines/>
              <w:rPr>
                <w:rFonts w:ascii="Times New Roman" w:hAnsi="Times New Roman" w:cs="Times New Roman"/>
                <w:sz w:val="20"/>
                <w:szCs w:val="20"/>
                <w:lang w:val="lv-LV"/>
              </w:rPr>
            </w:pPr>
            <w:r w:rsidRPr="00DC6F66">
              <w:rPr>
                <w:rFonts w:ascii="Times New Roman" w:hAnsi="Times New Roman" w:cs="Times New Roman"/>
                <w:sz w:val="20"/>
                <w:szCs w:val="20"/>
                <w:lang w:val="lv-LV"/>
              </w:rPr>
              <w:t>Nekustamā īpašuma objekti</w:t>
            </w:r>
            <w:r w:rsidR="00E55DE9" w:rsidRPr="00DC6F66">
              <w:rPr>
                <w:rFonts w:ascii="Times New Roman" w:hAnsi="Times New Roman" w:cs="Times New Roman"/>
                <w:sz w:val="20"/>
                <w:szCs w:val="20"/>
                <w:lang w:val="lv-LV"/>
              </w:rPr>
              <w:t xml:space="preserve"> un</w:t>
            </w:r>
            <w:r w:rsidRPr="00DC6F66">
              <w:rPr>
                <w:rFonts w:ascii="Times New Roman" w:hAnsi="Times New Roman" w:cs="Times New Roman"/>
                <w:sz w:val="20"/>
                <w:szCs w:val="20"/>
                <w:lang w:val="lv-LV"/>
              </w:rPr>
              <w:t xml:space="preserve"> zemesgabali</w:t>
            </w:r>
          </w:p>
        </w:tc>
        <w:tc>
          <w:tcPr>
            <w:tcW w:w="274" w:type="dxa"/>
            <w:tcBorders>
              <w:left w:val="single" w:sz="4" w:space="0" w:color="FFFFFF" w:themeColor="background1"/>
              <w:right w:val="wave" w:sz="6" w:space="0" w:color="C00000"/>
            </w:tcBorders>
          </w:tcPr>
          <w:p w14:paraId="22682EF1" w14:textId="77777777" w:rsidR="00CF45AB" w:rsidRPr="00DC6F66" w:rsidRDefault="00CF45AB" w:rsidP="007F7446">
            <w:pPr>
              <w:keepLines/>
              <w:rPr>
                <w:rFonts w:ascii="Times New Roman" w:hAnsi="Times New Roman" w:cs="Times New Roman"/>
                <w:sz w:val="22"/>
                <w:szCs w:val="22"/>
                <w:lang w:val="lv-LV"/>
              </w:rPr>
            </w:pPr>
          </w:p>
        </w:tc>
        <w:tc>
          <w:tcPr>
            <w:tcW w:w="1569" w:type="dxa"/>
            <w:tcBorders>
              <w:top w:val="wave" w:sz="6" w:space="0" w:color="C00000"/>
              <w:left w:val="wave" w:sz="6" w:space="0" w:color="C00000"/>
              <w:bottom w:val="wave" w:sz="6" w:space="0" w:color="C00000"/>
              <w:right w:val="wave" w:sz="6" w:space="0" w:color="C00000"/>
            </w:tcBorders>
            <w:vAlign w:val="center"/>
          </w:tcPr>
          <w:p w14:paraId="11DD8E39" w14:textId="77777777" w:rsidR="00CF45AB" w:rsidRPr="00DC6F66" w:rsidRDefault="00CF45AB" w:rsidP="007F7446">
            <w:pPr>
              <w:keepLines/>
              <w:jc w:val="center"/>
              <w:rPr>
                <w:rFonts w:ascii="Times New Roman" w:hAnsi="Times New Roman" w:cs="Times New Roman"/>
                <w:color w:val="00642D"/>
                <w:sz w:val="20"/>
                <w:szCs w:val="20"/>
                <w:lang w:val="lv-LV"/>
              </w:rPr>
            </w:pPr>
          </w:p>
        </w:tc>
        <w:tc>
          <w:tcPr>
            <w:tcW w:w="283" w:type="dxa"/>
            <w:tcBorders>
              <w:left w:val="wave" w:sz="6" w:space="0" w:color="C00000"/>
              <w:right w:val="thickThinSmallGap" w:sz="24" w:space="0" w:color="00642D"/>
            </w:tcBorders>
            <w:vAlign w:val="center"/>
          </w:tcPr>
          <w:p w14:paraId="7BA5DCCC" w14:textId="77777777" w:rsidR="00CF45AB" w:rsidRPr="00DC6F66" w:rsidRDefault="00CF45AB" w:rsidP="007F7446">
            <w:pPr>
              <w:keepLines/>
              <w:rPr>
                <w:rFonts w:ascii="Times New Roman" w:hAnsi="Times New Roman" w:cs="Times New Roman"/>
                <w:sz w:val="20"/>
                <w:szCs w:val="20"/>
                <w:lang w:val="lv-LV"/>
              </w:rPr>
            </w:pPr>
          </w:p>
        </w:tc>
        <w:tc>
          <w:tcPr>
            <w:tcW w:w="1691" w:type="dxa"/>
            <w:tcBorders>
              <w:top w:val="thickThinSmallGap" w:sz="24" w:space="0" w:color="00642D"/>
              <w:left w:val="thickThinSmallGap" w:sz="24" w:space="0" w:color="00642D"/>
              <w:bottom w:val="thinThickSmallGap" w:sz="24" w:space="0" w:color="00642D"/>
              <w:right w:val="thinThickSmallGap" w:sz="24" w:space="0" w:color="00642D"/>
            </w:tcBorders>
            <w:vAlign w:val="center"/>
          </w:tcPr>
          <w:p w14:paraId="251471E0" w14:textId="77777777" w:rsidR="00CF45AB" w:rsidRPr="00DC6F66" w:rsidRDefault="00320ADE" w:rsidP="007F7446">
            <w:pPr>
              <w:keepLines/>
              <w:jc w:val="center"/>
              <w:rPr>
                <w:rFonts w:ascii="Times New Roman" w:hAnsi="Times New Roman" w:cs="Times New Roman"/>
                <w:sz w:val="20"/>
                <w:szCs w:val="20"/>
                <w:lang w:val="lv-LV"/>
              </w:rPr>
            </w:pPr>
            <w:r w:rsidRPr="00DC6F66">
              <w:rPr>
                <w:rFonts w:ascii="Times New Roman" w:hAnsi="Times New Roman" w:cs="Times New Roman"/>
                <w:b/>
                <w:color w:val="00642D"/>
                <w:sz w:val="20"/>
                <w:szCs w:val="20"/>
                <w:lang w:val="lv-LV"/>
              </w:rPr>
              <w:t>50%</w:t>
            </w:r>
          </w:p>
        </w:tc>
        <w:tc>
          <w:tcPr>
            <w:tcW w:w="284" w:type="dxa"/>
            <w:tcBorders>
              <w:left w:val="thinThickSmallGap" w:sz="24" w:space="0" w:color="00642D"/>
              <w:right w:val="single" w:sz="4" w:space="0" w:color="FFFFFF" w:themeColor="background1"/>
            </w:tcBorders>
            <w:vAlign w:val="center"/>
          </w:tcPr>
          <w:p w14:paraId="1C616A48" w14:textId="77777777" w:rsidR="00CF45AB" w:rsidRPr="00DC6F66" w:rsidRDefault="00CF45AB" w:rsidP="007F7446">
            <w:pPr>
              <w:keepLines/>
              <w:rPr>
                <w:rFonts w:ascii="Times New Roman" w:hAnsi="Times New Roman" w:cs="Times New Roman"/>
                <w:sz w:val="20"/>
                <w:szCs w:val="20"/>
                <w:lang w:val="lv-LV"/>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36FFB5" w14:textId="77777777" w:rsidR="00CF45AB" w:rsidRPr="00DC6F66" w:rsidRDefault="008F19CE" w:rsidP="007F7446">
            <w:pPr>
              <w:keepLines/>
              <w:jc w:val="center"/>
              <w:rPr>
                <w:rFonts w:ascii="Times New Roman" w:hAnsi="Times New Roman" w:cs="Times New Roman"/>
                <w:color w:val="C00000"/>
                <w:sz w:val="20"/>
                <w:szCs w:val="20"/>
                <w:lang w:val="lv-LV"/>
              </w:rPr>
            </w:pPr>
            <w:r w:rsidRPr="00DC6F66">
              <w:rPr>
                <w:rFonts w:ascii="Times New Roman" w:hAnsi="Times New Roman" w:cs="Times New Roman"/>
                <w:sz w:val="20"/>
                <w:szCs w:val="20"/>
                <w:lang w:val="lv-LV"/>
              </w:rPr>
              <w:t>-</w:t>
            </w:r>
          </w:p>
        </w:tc>
      </w:tr>
      <w:tr w:rsidR="00CF45AB" w:rsidRPr="00DC6F66" w14:paraId="7CC919F7" w14:textId="77777777" w:rsidTr="00BA2102">
        <w:trPr>
          <w:trHeight w:val="51"/>
        </w:trPr>
        <w:tc>
          <w:tcPr>
            <w:tcW w:w="9091" w:type="dxa"/>
            <w:gridSpan w:val="7"/>
            <w:tcBorders>
              <w:top w:val="single" w:sz="4" w:space="0" w:color="FFFFFF" w:themeColor="background1"/>
              <w:left w:val="single" w:sz="12" w:space="0" w:color="404040" w:themeColor="text1" w:themeTint="BF"/>
            </w:tcBorders>
            <w:vAlign w:val="center"/>
          </w:tcPr>
          <w:p w14:paraId="4DE246F6" w14:textId="77777777" w:rsidR="00CF45AB" w:rsidRPr="00DC6F66" w:rsidRDefault="00CF45AB" w:rsidP="007F7446">
            <w:pPr>
              <w:keepLines/>
              <w:jc w:val="center"/>
              <w:rPr>
                <w:rFonts w:ascii="Times New Roman" w:hAnsi="Times New Roman" w:cs="Times New Roman"/>
                <w:sz w:val="8"/>
                <w:szCs w:val="22"/>
                <w:lang w:val="lv-LV"/>
              </w:rPr>
            </w:pPr>
          </w:p>
        </w:tc>
      </w:tr>
      <w:tr w:rsidR="00637121" w:rsidRPr="00DC6F66" w14:paraId="54BD17F2" w14:textId="77777777" w:rsidTr="00BA2102">
        <w:tc>
          <w:tcPr>
            <w:tcW w:w="3431" w:type="dxa"/>
            <w:tcBorders>
              <w:top w:val="single" w:sz="12" w:space="0" w:color="FFFFFF" w:themeColor="background1"/>
              <w:left w:val="single" w:sz="12" w:space="0" w:color="404040" w:themeColor="text1" w:themeTint="BF"/>
              <w:bottom w:val="single" w:sz="12" w:space="0" w:color="FFFFFF" w:themeColor="background1"/>
              <w:right w:val="single" w:sz="12" w:space="0" w:color="FFFFFF" w:themeColor="background1"/>
            </w:tcBorders>
          </w:tcPr>
          <w:p w14:paraId="49F60753" w14:textId="77777777" w:rsidR="007D4602" w:rsidRPr="00DC6F66" w:rsidRDefault="00CF45AB" w:rsidP="007F7446">
            <w:pPr>
              <w:keepLines/>
              <w:rPr>
                <w:rFonts w:ascii="Times New Roman" w:hAnsi="Times New Roman" w:cs="Times New Roman"/>
                <w:sz w:val="20"/>
                <w:szCs w:val="20"/>
                <w:lang w:val="lv-LV"/>
              </w:rPr>
            </w:pPr>
            <w:r w:rsidRPr="00DC6F66">
              <w:rPr>
                <w:rFonts w:ascii="Times New Roman" w:hAnsi="Times New Roman" w:cs="Times New Roman"/>
                <w:sz w:val="20"/>
                <w:szCs w:val="20"/>
                <w:lang w:val="lv-LV"/>
              </w:rPr>
              <w:t>Dzīvojamās mājas un dzīvokļ</w:t>
            </w:r>
            <w:r w:rsidR="00E55DE9" w:rsidRPr="00DC6F66">
              <w:rPr>
                <w:rFonts w:ascii="Times New Roman" w:hAnsi="Times New Roman" w:cs="Times New Roman"/>
                <w:sz w:val="20"/>
                <w:szCs w:val="20"/>
                <w:lang w:val="lv-LV"/>
              </w:rPr>
              <w:t>u</w:t>
            </w:r>
          </w:p>
          <w:p w14:paraId="7E83D8E2" w14:textId="77777777" w:rsidR="00CF45AB" w:rsidRPr="00DC6F66" w:rsidRDefault="00E55DE9" w:rsidP="007F7446">
            <w:pPr>
              <w:keepLines/>
              <w:rPr>
                <w:rFonts w:ascii="Times New Roman" w:hAnsi="Times New Roman" w:cs="Times New Roman"/>
                <w:sz w:val="20"/>
                <w:szCs w:val="20"/>
                <w:lang w:val="lv-LV"/>
              </w:rPr>
            </w:pPr>
            <w:r w:rsidRPr="00DC6F66">
              <w:rPr>
                <w:rFonts w:ascii="Times New Roman" w:hAnsi="Times New Roman" w:cs="Times New Roman"/>
                <w:sz w:val="20"/>
                <w:szCs w:val="20"/>
                <w:lang w:val="lv-LV"/>
              </w:rPr>
              <w:t>īpašum</w:t>
            </w:r>
            <w:r w:rsidR="00CF45AB" w:rsidRPr="00DC6F66">
              <w:rPr>
                <w:rFonts w:ascii="Times New Roman" w:hAnsi="Times New Roman" w:cs="Times New Roman"/>
                <w:sz w:val="20"/>
                <w:szCs w:val="20"/>
                <w:lang w:val="lv-LV"/>
              </w:rPr>
              <w:t>i</w:t>
            </w:r>
          </w:p>
        </w:tc>
        <w:tc>
          <w:tcPr>
            <w:tcW w:w="274" w:type="dxa"/>
            <w:tcBorders>
              <w:left w:val="single" w:sz="12" w:space="0" w:color="FFFFFF" w:themeColor="background1"/>
              <w:bottom w:val="single" w:sz="12" w:space="0" w:color="FFFFFF" w:themeColor="background1"/>
              <w:right w:val="wave" w:sz="6" w:space="0" w:color="C00000"/>
            </w:tcBorders>
          </w:tcPr>
          <w:p w14:paraId="23245F39" w14:textId="77777777" w:rsidR="00CF45AB" w:rsidRPr="00DC6F66" w:rsidRDefault="00CF45AB" w:rsidP="007F7446">
            <w:pPr>
              <w:keepLines/>
              <w:rPr>
                <w:rFonts w:ascii="Times New Roman" w:hAnsi="Times New Roman" w:cs="Times New Roman"/>
                <w:sz w:val="22"/>
                <w:szCs w:val="22"/>
                <w:lang w:val="lv-LV"/>
              </w:rPr>
            </w:pPr>
          </w:p>
        </w:tc>
        <w:tc>
          <w:tcPr>
            <w:tcW w:w="1569" w:type="dxa"/>
            <w:tcBorders>
              <w:top w:val="wave" w:sz="6" w:space="0" w:color="C00000"/>
              <w:left w:val="wave" w:sz="6" w:space="0" w:color="C00000"/>
              <w:bottom w:val="wave" w:sz="6" w:space="0" w:color="C00000"/>
              <w:right w:val="wave" w:sz="6" w:space="0" w:color="C00000"/>
            </w:tcBorders>
            <w:vAlign w:val="center"/>
          </w:tcPr>
          <w:p w14:paraId="4565D0C5" w14:textId="77777777" w:rsidR="00CF45AB" w:rsidRPr="00DC6F66" w:rsidRDefault="00CC521D" w:rsidP="007F7446">
            <w:pPr>
              <w:keepLines/>
              <w:jc w:val="center"/>
              <w:rPr>
                <w:rFonts w:ascii="Times New Roman" w:hAnsi="Times New Roman" w:cs="Times New Roman"/>
                <w:sz w:val="20"/>
                <w:szCs w:val="20"/>
                <w:lang w:val="lv-LV"/>
              </w:rPr>
            </w:pPr>
            <w:r w:rsidRPr="00DC6F66">
              <w:rPr>
                <w:rFonts w:ascii="Times New Roman" w:hAnsi="Times New Roman" w:cs="Times New Roman"/>
                <w:color w:val="C00000"/>
                <w:sz w:val="16"/>
                <w:szCs w:val="20"/>
                <w:lang w:val="lv-LV"/>
              </w:rPr>
              <w:t>Zaudējumi (ja ir)</w:t>
            </w:r>
            <w:r w:rsidR="006876CD" w:rsidRPr="00DC6F66">
              <w:rPr>
                <w:rFonts w:ascii="Times New Roman" w:hAnsi="Times New Roman" w:cs="Times New Roman"/>
                <w:color w:val="C00000"/>
                <w:sz w:val="16"/>
                <w:szCs w:val="20"/>
                <w:lang w:val="lv-LV"/>
              </w:rPr>
              <w:t xml:space="preserve"> tiek segti no rezerves fonda</w:t>
            </w:r>
          </w:p>
        </w:tc>
        <w:tc>
          <w:tcPr>
            <w:tcW w:w="283" w:type="dxa"/>
            <w:tcBorders>
              <w:left w:val="wave" w:sz="6" w:space="0" w:color="C00000"/>
              <w:right w:val="thickThinSmallGap" w:sz="24" w:space="0" w:color="00642D"/>
            </w:tcBorders>
            <w:vAlign w:val="center"/>
          </w:tcPr>
          <w:p w14:paraId="6E06DED8" w14:textId="77777777" w:rsidR="00CF45AB" w:rsidRPr="00DC6F66" w:rsidRDefault="00CF45AB" w:rsidP="007F7446">
            <w:pPr>
              <w:keepLines/>
              <w:rPr>
                <w:rFonts w:ascii="Times New Roman" w:hAnsi="Times New Roman" w:cs="Times New Roman"/>
                <w:sz w:val="20"/>
                <w:szCs w:val="20"/>
                <w:lang w:val="lv-LV"/>
              </w:rPr>
            </w:pPr>
          </w:p>
        </w:tc>
        <w:tc>
          <w:tcPr>
            <w:tcW w:w="1691" w:type="dxa"/>
            <w:tcBorders>
              <w:top w:val="thickThinSmallGap" w:sz="24" w:space="0" w:color="00642D"/>
              <w:left w:val="thickThinSmallGap" w:sz="24" w:space="0" w:color="00642D"/>
              <w:bottom w:val="thinThickSmallGap" w:sz="24" w:space="0" w:color="00642D"/>
              <w:right w:val="thinThickSmallGap" w:sz="24" w:space="0" w:color="00642D"/>
            </w:tcBorders>
            <w:vAlign w:val="center"/>
          </w:tcPr>
          <w:p w14:paraId="189FF709" w14:textId="77777777" w:rsidR="00CF45AB" w:rsidRPr="00DC6F66" w:rsidRDefault="00DB557A" w:rsidP="007F7446">
            <w:pPr>
              <w:keepLines/>
              <w:jc w:val="center"/>
              <w:rPr>
                <w:rFonts w:ascii="Times New Roman" w:hAnsi="Times New Roman" w:cs="Times New Roman"/>
                <w:color w:val="00642D"/>
                <w:sz w:val="16"/>
                <w:szCs w:val="20"/>
                <w:lang w:val="lv-LV"/>
              </w:rPr>
            </w:pPr>
            <w:r w:rsidRPr="00DC6F66">
              <w:rPr>
                <w:rFonts w:ascii="Times New Roman" w:hAnsi="Times New Roman" w:cs="Times New Roman"/>
                <w:color w:val="00642D"/>
                <w:sz w:val="16"/>
                <w:szCs w:val="20"/>
                <w:lang w:val="lv-LV"/>
              </w:rPr>
              <w:t>Izdevumi privatizācijas procesa nodrošināšanai</w:t>
            </w:r>
          </w:p>
        </w:tc>
        <w:tc>
          <w:tcPr>
            <w:tcW w:w="284" w:type="dxa"/>
            <w:tcBorders>
              <w:left w:val="thinThickSmallGap" w:sz="24" w:space="0" w:color="00642D"/>
              <w:right w:val="thickThinSmallGap" w:sz="24" w:space="0" w:color="00642D"/>
            </w:tcBorders>
            <w:vAlign w:val="center"/>
          </w:tcPr>
          <w:p w14:paraId="4BD4E3C5" w14:textId="77777777" w:rsidR="00CF45AB" w:rsidRPr="00DC6F66" w:rsidRDefault="00CF45AB" w:rsidP="007F7446">
            <w:pPr>
              <w:keepLines/>
              <w:rPr>
                <w:rFonts w:ascii="Times New Roman" w:hAnsi="Times New Roman" w:cs="Times New Roman"/>
                <w:sz w:val="20"/>
                <w:szCs w:val="20"/>
                <w:lang w:val="lv-LV"/>
              </w:rPr>
            </w:pPr>
          </w:p>
        </w:tc>
        <w:tc>
          <w:tcPr>
            <w:tcW w:w="1559" w:type="dxa"/>
            <w:tcBorders>
              <w:top w:val="thickThinSmallGap" w:sz="24" w:space="0" w:color="00642D"/>
              <w:left w:val="thickThinSmallGap" w:sz="24" w:space="0" w:color="00642D"/>
              <w:bottom w:val="thinThickSmallGap" w:sz="24" w:space="0" w:color="00642D"/>
              <w:right w:val="thinThickSmallGap" w:sz="24" w:space="0" w:color="00642D"/>
            </w:tcBorders>
            <w:vAlign w:val="center"/>
          </w:tcPr>
          <w:p w14:paraId="4132CBB1" w14:textId="77777777" w:rsidR="00CF45AB" w:rsidRPr="00DC6F66" w:rsidRDefault="00637121" w:rsidP="007F7446">
            <w:pPr>
              <w:keepLines/>
              <w:jc w:val="center"/>
              <w:rPr>
                <w:rFonts w:ascii="Times New Roman" w:hAnsi="Times New Roman" w:cs="Times New Roman"/>
                <w:sz w:val="20"/>
                <w:szCs w:val="20"/>
                <w:lang w:val="lv-LV"/>
              </w:rPr>
            </w:pPr>
            <w:r w:rsidRPr="00DC6F66">
              <w:rPr>
                <w:rFonts w:ascii="Times New Roman" w:hAnsi="Times New Roman" w:cs="Times New Roman"/>
                <w:b/>
                <w:color w:val="00642D"/>
                <w:sz w:val="20"/>
                <w:szCs w:val="20"/>
                <w:lang w:val="lv-LV"/>
              </w:rPr>
              <w:t>50%</w:t>
            </w:r>
          </w:p>
        </w:tc>
      </w:tr>
      <w:tr w:rsidR="00637121" w:rsidRPr="00DC6F66" w14:paraId="2055D062" w14:textId="77777777" w:rsidTr="00BA2102">
        <w:trPr>
          <w:trHeight w:val="20"/>
        </w:trPr>
        <w:tc>
          <w:tcPr>
            <w:tcW w:w="3431" w:type="dxa"/>
            <w:tcBorders>
              <w:top w:val="single" w:sz="12" w:space="0" w:color="FFFFFF" w:themeColor="background1"/>
              <w:left w:val="single" w:sz="12" w:space="0" w:color="404040" w:themeColor="text1" w:themeTint="BF"/>
              <w:bottom w:val="single" w:sz="12" w:space="0" w:color="FFFFFF" w:themeColor="background1"/>
            </w:tcBorders>
          </w:tcPr>
          <w:p w14:paraId="754C862A" w14:textId="77777777" w:rsidR="00CF45AB" w:rsidRPr="00DC6F66" w:rsidRDefault="00CF45AB" w:rsidP="007F7446">
            <w:pPr>
              <w:keepLines/>
              <w:rPr>
                <w:rFonts w:ascii="Times New Roman" w:hAnsi="Times New Roman" w:cs="Times New Roman"/>
                <w:sz w:val="2"/>
                <w:szCs w:val="22"/>
                <w:lang w:val="lv-LV"/>
              </w:rPr>
            </w:pPr>
          </w:p>
        </w:tc>
        <w:tc>
          <w:tcPr>
            <w:tcW w:w="274" w:type="dxa"/>
            <w:tcBorders>
              <w:top w:val="single" w:sz="12" w:space="0" w:color="FFFFFF" w:themeColor="background1"/>
              <w:bottom w:val="single" w:sz="12" w:space="0" w:color="FFFFFF" w:themeColor="background1"/>
            </w:tcBorders>
          </w:tcPr>
          <w:p w14:paraId="13C3DEA4" w14:textId="77777777" w:rsidR="00CF45AB" w:rsidRPr="00DC6F66" w:rsidRDefault="00CF45AB" w:rsidP="007F7446">
            <w:pPr>
              <w:keepLines/>
              <w:rPr>
                <w:rFonts w:ascii="Times New Roman" w:hAnsi="Times New Roman" w:cs="Times New Roman"/>
                <w:sz w:val="8"/>
                <w:szCs w:val="22"/>
                <w:lang w:val="lv-LV"/>
              </w:rPr>
            </w:pPr>
          </w:p>
        </w:tc>
        <w:tc>
          <w:tcPr>
            <w:tcW w:w="1569" w:type="dxa"/>
            <w:tcBorders>
              <w:top w:val="single" w:sz="12" w:space="0" w:color="C00000"/>
              <w:bottom w:val="single" w:sz="12" w:space="0" w:color="FFFFFF" w:themeColor="background1"/>
            </w:tcBorders>
            <w:vAlign w:val="center"/>
          </w:tcPr>
          <w:p w14:paraId="5C40E3E9" w14:textId="77777777" w:rsidR="00CF45AB" w:rsidRPr="00DC6F66" w:rsidRDefault="00CF45AB" w:rsidP="007F7446">
            <w:pPr>
              <w:keepLines/>
              <w:jc w:val="center"/>
              <w:rPr>
                <w:rFonts w:ascii="Times New Roman" w:hAnsi="Times New Roman" w:cs="Times New Roman"/>
                <w:sz w:val="8"/>
                <w:szCs w:val="22"/>
                <w:lang w:val="lv-LV"/>
              </w:rPr>
            </w:pPr>
          </w:p>
        </w:tc>
        <w:tc>
          <w:tcPr>
            <w:tcW w:w="283" w:type="dxa"/>
            <w:tcBorders>
              <w:bottom w:val="single" w:sz="12" w:space="0" w:color="FFFFFF" w:themeColor="background1"/>
            </w:tcBorders>
            <w:vAlign w:val="center"/>
          </w:tcPr>
          <w:p w14:paraId="40745389" w14:textId="77777777" w:rsidR="00CF45AB" w:rsidRPr="00DC6F66" w:rsidRDefault="00CF45AB" w:rsidP="007F7446">
            <w:pPr>
              <w:keepLines/>
              <w:rPr>
                <w:rFonts w:ascii="Times New Roman" w:hAnsi="Times New Roman" w:cs="Times New Roman"/>
                <w:sz w:val="8"/>
                <w:szCs w:val="22"/>
                <w:lang w:val="lv-LV"/>
              </w:rPr>
            </w:pPr>
          </w:p>
        </w:tc>
        <w:tc>
          <w:tcPr>
            <w:tcW w:w="1691" w:type="dxa"/>
            <w:tcBorders>
              <w:bottom w:val="single" w:sz="12" w:space="0" w:color="FFFFFF" w:themeColor="background1"/>
            </w:tcBorders>
            <w:vAlign w:val="center"/>
          </w:tcPr>
          <w:p w14:paraId="49B58C34" w14:textId="77777777" w:rsidR="00CF45AB" w:rsidRPr="00DC6F66" w:rsidRDefault="00CF45AB" w:rsidP="007F7446">
            <w:pPr>
              <w:keepLines/>
              <w:jc w:val="center"/>
              <w:rPr>
                <w:rFonts w:ascii="Times New Roman" w:hAnsi="Times New Roman" w:cs="Times New Roman"/>
                <w:sz w:val="8"/>
                <w:szCs w:val="22"/>
                <w:lang w:val="lv-LV"/>
              </w:rPr>
            </w:pPr>
          </w:p>
        </w:tc>
        <w:tc>
          <w:tcPr>
            <w:tcW w:w="284" w:type="dxa"/>
            <w:tcBorders>
              <w:bottom w:val="single" w:sz="12" w:space="0" w:color="FFFFFF" w:themeColor="background1"/>
            </w:tcBorders>
            <w:vAlign w:val="center"/>
          </w:tcPr>
          <w:p w14:paraId="54D09423" w14:textId="77777777" w:rsidR="00CF45AB" w:rsidRPr="00DC6F66" w:rsidRDefault="00CF45AB" w:rsidP="007F7446">
            <w:pPr>
              <w:keepLines/>
              <w:rPr>
                <w:rFonts w:ascii="Times New Roman" w:hAnsi="Times New Roman" w:cs="Times New Roman"/>
                <w:sz w:val="8"/>
                <w:szCs w:val="22"/>
                <w:lang w:val="lv-LV"/>
              </w:rPr>
            </w:pPr>
          </w:p>
        </w:tc>
        <w:tc>
          <w:tcPr>
            <w:tcW w:w="1559" w:type="dxa"/>
            <w:tcBorders>
              <w:bottom w:val="single" w:sz="12" w:space="0" w:color="FFFFFF" w:themeColor="background1"/>
            </w:tcBorders>
            <w:vAlign w:val="center"/>
          </w:tcPr>
          <w:p w14:paraId="60CFD61C" w14:textId="77777777" w:rsidR="00CF45AB" w:rsidRPr="00DC6F66" w:rsidRDefault="00CF45AB" w:rsidP="007F7446">
            <w:pPr>
              <w:keepLines/>
              <w:jc w:val="center"/>
              <w:rPr>
                <w:rFonts w:ascii="Times New Roman" w:hAnsi="Times New Roman" w:cs="Times New Roman"/>
                <w:sz w:val="8"/>
                <w:szCs w:val="22"/>
                <w:lang w:val="lv-LV"/>
              </w:rPr>
            </w:pPr>
          </w:p>
        </w:tc>
      </w:tr>
      <w:tr w:rsidR="00B078E7" w:rsidRPr="00DC6F66" w14:paraId="5BF57C7E" w14:textId="77777777" w:rsidTr="00BA2102">
        <w:tc>
          <w:tcPr>
            <w:tcW w:w="3431" w:type="dxa"/>
            <w:tcBorders>
              <w:top w:val="single" w:sz="12" w:space="0" w:color="FFFFFF" w:themeColor="background1"/>
              <w:left w:val="single" w:sz="12" w:space="0" w:color="404040" w:themeColor="text1" w:themeTint="BF"/>
              <w:bottom w:val="single" w:sz="12" w:space="0" w:color="FFFFFF" w:themeColor="background1"/>
              <w:right w:val="nil"/>
            </w:tcBorders>
          </w:tcPr>
          <w:p w14:paraId="1727FBC6" w14:textId="77777777" w:rsidR="00B078E7" w:rsidRPr="00DC6F66" w:rsidRDefault="00B078E7" w:rsidP="007F7446">
            <w:pPr>
              <w:keepLines/>
              <w:rPr>
                <w:rFonts w:ascii="Times New Roman" w:hAnsi="Times New Roman" w:cs="Times New Roman"/>
                <w:sz w:val="20"/>
                <w:szCs w:val="20"/>
                <w:lang w:val="lv-LV"/>
              </w:rPr>
            </w:pPr>
            <w:r w:rsidRPr="00DC6F66">
              <w:rPr>
                <w:rFonts w:ascii="Times New Roman" w:hAnsi="Times New Roman" w:cs="Times New Roman"/>
                <w:sz w:val="20"/>
                <w:szCs w:val="20"/>
                <w:lang w:val="lv-LV"/>
              </w:rPr>
              <w:t>Kapitāla daļas un problemātiskie aktīvi</w:t>
            </w:r>
          </w:p>
        </w:tc>
        <w:tc>
          <w:tcPr>
            <w:tcW w:w="274" w:type="dxa"/>
            <w:tcBorders>
              <w:top w:val="single" w:sz="12" w:space="0" w:color="FFFFFF" w:themeColor="background1"/>
              <w:left w:val="nil"/>
              <w:bottom w:val="single" w:sz="12" w:space="0" w:color="FFFFFF" w:themeColor="background1"/>
              <w:right w:val="nil"/>
            </w:tcBorders>
          </w:tcPr>
          <w:p w14:paraId="73F288EF" w14:textId="77777777" w:rsidR="00B078E7" w:rsidRPr="00DC6F66" w:rsidRDefault="00B078E7" w:rsidP="007F7446">
            <w:pPr>
              <w:keepLines/>
              <w:rPr>
                <w:rFonts w:ascii="Times New Roman" w:hAnsi="Times New Roman" w:cs="Times New Roman"/>
                <w:lang w:val="lv-LV"/>
              </w:rPr>
            </w:pPr>
          </w:p>
        </w:tc>
        <w:tc>
          <w:tcPr>
            <w:tcW w:w="1569" w:type="dxa"/>
            <w:tcBorders>
              <w:top w:val="single" w:sz="12" w:space="0" w:color="FFFFFF" w:themeColor="background1"/>
              <w:left w:val="nil"/>
              <w:bottom w:val="wave" w:sz="6" w:space="0" w:color="C00000"/>
              <w:right w:val="nil"/>
            </w:tcBorders>
            <w:vAlign w:val="center"/>
          </w:tcPr>
          <w:p w14:paraId="3A7C26E5" w14:textId="77777777" w:rsidR="00B078E7" w:rsidRPr="00DC6F66" w:rsidRDefault="00B078E7" w:rsidP="007F7446">
            <w:pPr>
              <w:keepLines/>
              <w:jc w:val="center"/>
              <w:rPr>
                <w:rFonts w:ascii="Times New Roman" w:hAnsi="Times New Roman" w:cs="Times New Roman"/>
                <w:sz w:val="20"/>
                <w:szCs w:val="20"/>
                <w:lang w:val="lv-LV"/>
              </w:rPr>
            </w:pPr>
          </w:p>
        </w:tc>
        <w:tc>
          <w:tcPr>
            <w:tcW w:w="283" w:type="dxa"/>
            <w:tcBorders>
              <w:top w:val="single" w:sz="12" w:space="0" w:color="FFFFFF" w:themeColor="background1"/>
              <w:left w:val="nil"/>
              <w:bottom w:val="single" w:sz="12" w:space="0" w:color="FFFFFF" w:themeColor="background1"/>
              <w:right w:val="nil"/>
            </w:tcBorders>
            <w:vAlign w:val="center"/>
          </w:tcPr>
          <w:p w14:paraId="47ECF296" w14:textId="77777777" w:rsidR="00B078E7" w:rsidRPr="00DC6F66" w:rsidRDefault="00B078E7" w:rsidP="007F7446">
            <w:pPr>
              <w:keepLines/>
              <w:rPr>
                <w:rFonts w:ascii="Times New Roman" w:hAnsi="Times New Roman" w:cs="Times New Roman"/>
                <w:sz w:val="20"/>
                <w:szCs w:val="20"/>
                <w:lang w:val="lv-LV"/>
              </w:rPr>
            </w:pPr>
          </w:p>
        </w:tc>
        <w:tc>
          <w:tcPr>
            <w:tcW w:w="1691" w:type="dxa"/>
            <w:tcBorders>
              <w:top w:val="single" w:sz="12" w:space="0" w:color="FFFFFF" w:themeColor="background1"/>
              <w:left w:val="nil"/>
              <w:bottom w:val="thickThinSmallGap" w:sz="24" w:space="0" w:color="00642D"/>
              <w:right w:val="nil"/>
            </w:tcBorders>
            <w:vAlign w:val="center"/>
          </w:tcPr>
          <w:p w14:paraId="682344B3" w14:textId="77777777" w:rsidR="00B078E7" w:rsidRPr="00DC6F66" w:rsidRDefault="00B078E7" w:rsidP="007F7446">
            <w:pPr>
              <w:keepLines/>
              <w:jc w:val="center"/>
              <w:rPr>
                <w:rFonts w:ascii="Times New Roman" w:hAnsi="Times New Roman" w:cs="Times New Roman"/>
                <w:b/>
                <w:color w:val="00642D"/>
                <w:sz w:val="20"/>
                <w:szCs w:val="20"/>
                <w:lang w:val="lv-LV"/>
              </w:rPr>
            </w:pPr>
          </w:p>
        </w:tc>
        <w:tc>
          <w:tcPr>
            <w:tcW w:w="284" w:type="dxa"/>
            <w:tcBorders>
              <w:top w:val="single" w:sz="12" w:space="0" w:color="FFFFFF" w:themeColor="background1"/>
              <w:left w:val="nil"/>
              <w:bottom w:val="single" w:sz="12" w:space="0" w:color="FFFFFF" w:themeColor="background1"/>
              <w:right w:val="nil"/>
            </w:tcBorders>
            <w:vAlign w:val="center"/>
          </w:tcPr>
          <w:p w14:paraId="2C0F698F" w14:textId="77777777" w:rsidR="00B078E7" w:rsidRPr="00DC6F66" w:rsidRDefault="00B078E7" w:rsidP="007F7446">
            <w:pPr>
              <w:keepLines/>
              <w:rPr>
                <w:rFonts w:ascii="Times New Roman" w:hAnsi="Times New Roman" w:cs="Times New Roman"/>
                <w:sz w:val="20"/>
                <w:szCs w:val="20"/>
                <w:lang w:val="lv-LV"/>
              </w:rPr>
            </w:pPr>
          </w:p>
        </w:tc>
        <w:tc>
          <w:tcPr>
            <w:tcW w:w="1559" w:type="dxa"/>
            <w:tcBorders>
              <w:top w:val="single" w:sz="12" w:space="0" w:color="FFFFFF" w:themeColor="background1"/>
              <w:left w:val="nil"/>
              <w:bottom w:val="thickThinSmallGap" w:sz="24" w:space="0" w:color="00642D"/>
              <w:right w:val="single" w:sz="12" w:space="0" w:color="FFFFFF" w:themeColor="background1"/>
            </w:tcBorders>
            <w:vAlign w:val="center"/>
          </w:tcPr>
          <w:p w14:paraId="66516751" w14:textId="77777777" w:rsidR="00B078E7" w:rsidRPr="00DC6F66" w:rsidRDefault="00B078E7" w:rsidP="007F7446">
            <w:pPr>
              <w:keepLines/>
              <w:jc w:val="center"/>
              <w:rPr>
                <w:rFonts w:ascii="Times New Roman" w:hAnsi="Times New Roman" w:cs="Times New Roman"/>
                <w:b/>
                <w:color w:val="00642D"/>
                <w:sz w:val="20"/>
                <w:szCs w:val="20"/>
                <w:lang w:val="lv-LV"/>
              </w:rPr>
            </w:pPr>
          </w:p>
        </w:tc>
      </w:tr>
      <w:tr w:rsidR="00637121" w:rsidRPr="00DC6F66" w14:paraId="3E3E61CF" w14:textId="77777777" w:rsidTr="00BA2102">
        <w:tc>
          <w:tcPr>
            <w:tcW w:w="3431" w:type="dxa"/>
            <w:tcBorders>
              <w:top w:val="single" w:sz="12" w:space="0" w:color="FFFFFF" w:themeColor="background1"/>
              <w:left w:val="single" w:sz="12" w:space="0" w:color="404040" w:themeColor="text1" w:themeTint="BF"/>
            </w:tcBorders>
          </w:tcPr>
          <w:p w14:paraId="73B5E774" w14:textId="77777777" w:rsidR="00363627" w:rsidRPr="00DC6F66" w:rsidRDefault="00C11E51" w:rsidP="007F7446">
            <w:pPr>
              <w:keepLines/>
              <w:spacing w:before="120" w:after="120"/>
              <w:ind w:left="720"/>
              <w:rPr>
                <w:rFonts w:ascii="Times New Roman" w:hAnsi="Times New Roman" w:cs="Times New Roman"/>
                <w:i/>
                <w:sz w:val="20"/>
                <w:szCs w:val="20"/>
                <w:lang w:val="lv-LV"/>
              </w:rPr>
            </w:pPr>
            <w:r w:rsidRPr="00DC6F66">
              <w:rPr>
                <w:rFonts w:ascii="Times New Roman" w:hAnsi="Times New Roman" w:cs="Times New Roman"/>
                <w:i/>
                <w:sz w:val="20"/>
                <w:szCs w:val="20"/>
                <w:lang w:val="lv-LV"/>
              </w:rPr>
              <w:t>K</w:t>
            </w:r>
            <w:r w:rsidR="00CF45AB" w:rsidRPr="00DC6F66">
              <w:rPr>
                <w:rFonts w:ascii="Times New Roman" w:hAnsi="Times New Roman" w:cs="Times New Roman"/>
                <w:i/>
                <w:sz w:val="20"/>
                <w:szCs w:val="20"/>
                <w:lang w:val="lv-LV"/>
              </w:rPr>
              <w:t>apitāla daļas</w:t>
            </w:r>
          </w:p>
        </w:tc>
        <w:tc>
          <w:tcPr>
            <w:tcW w:w="274" w:type="dxa"/>
            <w:tcBorders>
              <w:top w:val="single" w:sz="12" w:space="0" w:color="FFFFFF" w:themeColor="background1"/>
              <w:right w:val="wave" w:sz="6" w:space="0" w:color="C00000"/>
            </w:tcBorders>
          </w:tcPr>
          <w:p w14:paraId="247D4CBF" w14:textId="77777777" w:rsidR="00CF45AB" w:rsidRPr="00DC6F66" w:rsidRDefault="00CF45AB" w:rsidP="007F7446">
            <w:pPr>
              <w:keepLines/>
              <w:spacing w:before="120" w:after="120"/>
              <w:rPr>
                <w:rFonts w:ascii="Times New Roman" w:hAnsi="Times New Roman" w:cs="Times New Roman"/>
                <w:lang w:val="lv-LV"/>
              </w:rPr>
            </w:pPr>
          </w:p>
        </w:tc>
        <w:tc>
          <w:tcPr>
            <w:tcW w:w="1569" w:type="dxa"/>
            <w:tcBorders>
              <w:top w:val="wave" w:sz="6" w:space="0" w:color="C00000"/>
              <w:left w:val="wave" w:sz="6" w:space="0" w:color="C00000"/>
              <w:bottom w:val="wave" w:sz="6" w:space="0" w:color="C00000"/>
              <w:right w:val="wave" w:sz="6" w:space="0" w:color="C00000"/>
            </w:tcBorders>
            <w:vAlign w:val="center"/>
          </w:tcPr>
          <w:p w14:paraId="75F5FBBF" w14:textId="77777777" w:rsidR="00CF45AB" w:rsidRPr="00DC6F66" w:rsidRDefault="00CF45AB" w:rsidP="007F7446">
            <w:pPr>
              <w:keepLines/>
              <w:spacing w:before="120" w:after="120"/>
              <w:jc w:val="center"/>
              <w:rPr>
                <w:rFonts w:ascii="Times New Roman" w:hAnsi="Times New Roman" w:cs="Times New Roman"/>
                <w:sz w:val="20"/>
                <w:szCs w:val="20"/>
                <w:lang w:val="lv-LV"/>
              </w:rPr>
            </w:pPr>
          </w:p>
        </w:tc>
        <w:tc>
          <w:tcPr>
            <w:tcW w:w="283" w:type="dxa"/>
            <w:tcBorders>
              <w:top w:val="single" w:sz="12" w:space="0" w:color="FFFFFF" w:themeColor="background1"/>
              <w:left w:val="wave" w:sz="6" w:space="0" w:color="C00000"/>
              <w:right w:val="thickThinSmallGap" w:sz="24" w:space="0" w:color="00642D"/>
            </w:tcBorders>
            <w:vAlign w:val="center"/>
          </w:tcPr>
          <w:p w14:paraId="78C7CFB6" w14:textId="77777777" w:rsidR="00CF45AB" w:rsidRPr="00DC6F66" w:rsidRDefault="00CF45AB" w:rsidP="007F7446">
            <w:pPr>
              <w:keepLines/>
              <w:spacing w:before="120" w:after="120"/>
              <w:rPr>
                <w:rFonts w:ascii="Times New Roman" w:hAnsi="Times New Roman" w:cs="Times New Roman"/>
                <w:sz w:val="20"/>
                <w:szCs w:val="20"/>
                <w:lang w:val="lv-LV"/>
              </w:rPr>
            </w:pPr>
          </w:p>
        </w:tc>
        <w:tc>
          <w:tcPr>
            <w:tcW w:w="1691" w:type="dxa"/>
            <w:tcBorders>
              <w:top w:val="thickThinSmallGap" w:sz="24" w:space="0" w:color="00642D"/>
              <w:left w:val="thickThinSmallGap" w:sz="24" w:space="0" w:color="00642D"/>
              <w:bottom w:val="thinThickSmallGap" w:sz="24" w:space="0" w:color="00642D"/>
              <w:right w:val="thinThickSmallGap" w:sz="24" w:space="0" w:color="00642D"/>
            </w:tcBorders>
            <w:vAlign w:val="center"/>
          </w:tcPr>
          <w:p w14:paraId="247866BD" w14:textId="77777777" w:rsidR="00CF45AB" w:rsidRPr="00DC6F66" w:rsidRDefault="00637121" w:rsidP="007F7446">
            <w:pPr>
              <w:keepLines/>
              <w:spacing w:before="120" w:after="120"/>
              <w:jc w:val="center"/>
              <w:rPr>
                <w:rFonts w:ascii="Times New Roman" w:hAnsi="Times New Roman" w:cs="Times New Roman"/>
                <w:sz w:val="20"/>
                <w:szCs w:val="20"/>
                <w:lang w:val="lv-LV"/>
              </w:rPr>
            </w:pPr>
            <w:r w:rsidRPr="00DC6F66">
              <w:rPr>
                <w:rFonts w:ascii="Times New Roman" w:hAnsi="Times New Roman" w:cs="Times New Roman"/>
                <w:b/>
                <w:color w:val="00642D"/>
                <w:sz w:val="20"/>
                <w:szCs w:val="20"/>
                <w:lang w:val="lv-LV"/>
              </w:rPr>
              <w:t>5%</w:t>
            </w:r>
          </w:p>
        </w:tc>
        <w:tc>
          <w:tcPr>
            <w:tcW w:w="284" w:type="dxa"/>
            <w:tcBorders>
              <w:top w:val="single" w:sz="12" w:space="0" w:color="FFFFFF" w:themeColor="background1"/>
              <w:left w:val="thinThickSmallGap" w:sz="24" w:space="0" w:color="00642D"/>
              <w:right w:val="thickThinSmallGap" w:sz="24" w:space="0" w:color="00642D"/>
            </w:tcBorders>
            <w:vAlign w:val="center"/>
          </w:tcPr>
          <w:p w14:paraId="3A0A309C" w14:textId="77777777" w:rsidR="00CF45AB" w:rsidRPr="00DC6F66" w:rsidRDefault="00CF45AB" w:rsidP="007F7446">
            <w:pPr>
              <w:keepLines/>
              <w:spacing w:before="120" w:after="120"/>
              <w:rPr>
                <w:rFonts w:ascii="Times New Roman" w:hAnsi="Times New Roman" w:cs="Times New Roman"/>
                <w:sz w:val="20"/>
                <w:szCs w:val="20"/>
                <w:lang w:val="lv-LV"/>
              </w:rPr>
            </w:pPr>
          </w:p>
        </w:tc>
        <w:tc>
          <w:tcPr>
            <w:tcW w:w="1559" w:type="dxa"/>
            <w:tcBorders>
              <w:top w:val="thickThinSmallGap" w:sz="24" w:space="0" w:color="00642D"/>
              <w:left w:val="thickThinSmallGap" w:sz="24" w:space="0" w:color="00642D"/>
              <w:bottom w:val="thinThickSmallGap" w:sz="24" w:space="0" w:color="00642D"/>
              <w:right w:val="thinThickSmallGap" w:sz="24" w:space="0" w:color="00642D"/>
            </w:tcBorders>
            <w:vAlign w:val="center"/>
          </w:tcPr>
          <w:p w14:paraId="33F7A33E" w14:textId="77777777" w:rsidR="00CF45AB" w:rsidRPr="00DC6F66" w:rsidRDefault="00A43A64" w:rsidP="007F7446">
            <w:pPr>
              <w:keepLines/>
              <w:spacing w:before="120" w:after="120"/>
              <w:jc w:val="center"/>
              <w:rPr>
                <w:rFonts w:ascii="Times New Roman" w:hAnsi="Times New Roman" w:cs="Times New Roman"/>
                <w:sz w:val="20"/>
                <w:szCs w:val="20"/>
                <w:lang w:val="lv-LV"/>
              </w:rPr>
            </w:pPr>
            <w:r w:rsidRPr="00DC6F66">
              <w:rPr>
                <w:rFonts w:ascii="Times New Roman" w:hAnsi="Times New Roman" w:cs="Times New Roman"/>
                <w:b/>
                <w:color w:val="00642D"/>
                <w:sz w:val="20"/>
                <w:szCs w:val="20"/>
                <w:lang w:val="lv-LV"/>
              </w:rPr>
              <w:t>5</w:t>
            </w:r>
            <w:r w:rsidR="00637121" w:rsidRPr="00DC6F66">
              <w:rPr>
                <w:rFonts w:ascii="Times New Roman" w:hAnsi="Times New Roman" w:cs="Times New Roman"/>
                <w:b/>
                <w:color w:val="00642D"/>
                <w:sz w:val="20"/>
                <w:szCs w:val="20"/>
                <w:lang w:val="lv-LV"/>
              </w:rPr>
              <w:t>%</w:t>
            </w:r>
          </w:p>
        </w:tc>
      </w:tr>
      <w:tr w:rsidR="002E6399" w:rsidRPr="00DC6F66" w14:paraId="2E49276F" w14:textId="77777777" w:rsidTr="00BA2102">
        <w:tc>
          <w:tcPr>
            <w:tcW w:w="3431" w:type="dxa"/>
            <w:tcBorders>
              <w:left w:val="single" w:sz="12" w:space="0" w:color="404040" w:themeColor="text1" w:themeTint="BF"/>
            </w:tcBorders>
          </w:tcPr>
          <w:p w14:paraId="7A3B0555" w14:textId="77777777" w:rsidR="00CF45AB" w:rsidRPr="00DC6F66" w:rsidRDefault="00CF45AB" w:rsidP="007F7446">
            <w:pPr>
              <w:keepLines/>
              <w:rPr>
                <w:rFonts w:ascii="Times New Roman" w:hAnsi="Times New Roman" w:cs="Times New Roman"/>
                <w:i/>
                <w:sz w:val="8"/>
                <w:szCs w:val="22"/>
                <w:lang w:val="lv-LV"/>
              </w:rPr>
            </w:pPr>
          </w:p>
        </w:tc>
        <w:tc>
          <w:tcPr>
            <w:tcW w:w="274" w:type="dxa"/>
          </w:tcPr>
          <w:p w14:paraId="4548847E" w14:textId="77777777" w:rsidR="00CF45AB" w:rsidRPr="00DC6F66" w:rsidRDefault="00CF45AB" w:rsidP="007F7446">
            <w:pPr>
              <w:keepLines/>
              <w:rPr>
                <w:rFonts w:ascii="Times New Roman" w:hAnsi="Times New Roman" w:cs="Times New Roman"/>
                <w:sz w:val="8"/>
                <w:szCs w:val="22"/>
                <w:lang w:val="lv-LV"/>
              </w:rPr>
            </w:pPr>
          </w:p>
        </w:tc>
        <w:tc>
          <w:tcPr>
            <w:tcW w:w="1569" w:type="dxa"/>
            <w:tcBorders>
              <w:top w:val="wave" w:sz="6" w:space="0" w:color="C00000"/>
              <w:bottom w:val="wave" w:sz="6" w:space="0" w:color="C00000"/>
            </w:tcBorders>
            <w:vAlign w:val="center"/>
          </w:tcPr>
          <w:p w14:paraId="0A0F9DEF" w14:textId="77777777" w:rsidR="00CF45AB" w:rsidRPr="00DC6F66" w:rsidRDefault="00CF45AB" w:rsidP="007F7446">
            <w:pPr>
              <w:keepLines/>
              <w:jc w:val="center"/>
              <w:rPr>
                <w:rFonts w:ascii="Times New Roman" w:hAnsi="Times New Roman" w:cs="Times New Roman"/>
                <w:sz w:val="8"/>
                <w:szCs w:val="22"/>
                <w:lang w:val="lv-LV"/>
              </w:rPr>
            </w:pPr>
          </w:p>
        </w:tc>
        <w:tc>
          <w:tcPr>
            <w:tcW w:w="283" w:type="dxa"/>
            <w:vAlign w:val="center"/>
          </w:tcPr>
          <w:p w14:paraId="142A8A3B" w14:textId="77777777" w:rsidR="00CF45AB" w:rsidRPr="00DC6F66" w:rsidRDefault="00CF45AB" w:rsidP="007F7446">
            <w:pPr>
              <w:keepLines/>
              <w:rPr>
                <w:rFonts w:ascii="Times New Roman" w:hAnsi="Times New Roman" w:cs="Times New Roman"/>
                <w:sz w:val="8"/>
                <w:szCs w:val="22"/>
                <w:lang w:val="lv-LV"/>
              </w:rPr>
            </w:pPr>
          </w:p>
        </w:tc>
        <w:tc>
          <w:tcPr>
            <w:tcW w:w="1691" w:type="dxa"/>
            <w:tcBorders>
              <w:top w:val="thinThickSmallGap" w:sz="24" w:space="0" w:color="00642D"/>
              <w:bottom w:val="single" w:sz="4" w:space="0" w:color="FFFFFF" w:themeColor="background1"/>
            </w:tcBorders>
            <w:vAlign w:val="center"/>
          </w:tcPr>
          <w:p w14:paraId="3F05B9F2" w14:textId="77777777" w:rsidR="00CF45AB" w:rsidRPr="00DC6F66" w:rsidRDefault="00CF45AB" w:rsidP="007F7446">
            <w:pPr>
              <w:keepLines/>
              <w:jc w:val="center"/>
              <w:rPr>
                <w:rFonts w:ascii="Times New Roman" w:hAnsi="Times New Roman" w:cs="Times New Roman"/>
                <w:sz w:val="8"/>
                <w:szCs w:val="22"/>
                <w:lang w:val="lv-LV"/>
              </w:rPr>
            </w:pPr>
          </w:p>
        </w:tc>
        <w:tc>
          <w:tcPr>
            <w:tcW w:w="284" w:type="dxa"/>
            <w:vAlign w:val="center"/>
          </w:tcPr>
          <w:p w14:paraId="59BB61D0" w14:textId="77777777" w:rsidR="00CF45AB" w:rsidRPr="00DC6F66" w:rsidRDefault="00CF45AB" w:rsidP="007F7446">
            <w:pPr>
              <w:keepLines/>
              <w:rPr>
                <w:rFonts w:ascii="Times New Roman" w:hAnsi="Times New Roman" w:cs="Times New Roman"/>
                <w:sz w:val="8"/>
                <w:szCs w:val="22"/>
                <w:lang w:val="lv-LV"/>
              </w:rPr>
            </w:pPr>
          </w:p>
        </w:tc>
        <w:tc>
          <w:tcPr>
            <w:tcW w:w="1559" w:type="dxa"/>
            <w:tcBorders>
              <w:top w:val="thinThickSmallGap" w:sz="24" w:space="0" w:color="00642D"/>
              <w:bottom w:val="single" w:sz="4" w:space="0" w:color="FFFFFF" w:themeColor="background1"/>
            </w:tcBorders>
            <w:vAlign w:val="center"/>
          </w:tcPr>
          <w:p w14:paraId="04A44DCB" w14:textId="77777777" w:rsidR="00CF45AB" w:rsidRPr="00DC6F66" w:rsidRDefault="00CF45AB" w:rsidP="007F7446">
            <w:pPr>
              <w:keepLines/>
              <w:jc w:val="center"/>
              <w:rPr>
                <w:rFonts w:ascii="Times New Roman" w:hAnsi="Times New Roman" w:cs="Times New Roman"/>
                <w:sz w:val="8"/>
                <w:szCs w:val="22"/>
                <w:lang w:val="lv-LV"/>
              </w:rPr>
            </w:pPr>
          </w:p>
        </w:tc>
      </w:tr>
      <w:tr w:rsidR="002E6399" w:rsidRPr="00DC6F66" w14:paraId="5AEE513B" w14:textId="77777777" w:rsidTr="00BA2102">
        <w:tc>
          <w:tcPr>
            <w:tcW w:w="3431" w:type="dxa"/>
            <w:tcBorders>
              <w:left w:val="single" w:sz="12" w:space="0" w:color="404040" w:themeColor="text1" w:themeTint="BF"/>
            </w:tcBorders>
          </w:tcPr>
          <w:p w14:paraId="477A9A20" w14:textId="77777777" w:rsidR="00CF45AB" w:rsidRPr="00DC6F66" w:rsidRDefault="00CF45AB" w:rsidP="007F7446">
            <w:pPr>
              <w:keepLines/>
              <w:ind w:left="720"/>
              <w:rPr>
                <w:rFonts w:ascii="Times New Roman" w:hAnsi="Times New Roman" w:cs="Times New Roman"/>
                <w:i/>
                <w:lang w:val="lv-LV"/>
              </w:rPr>
            </w:pPr>
            <w:r w:rsidRPr="00DC6F66">
              <w:rPr>
                <w:rFonts w:ascii="Times New Roman" w:hAnsi="Times New Roman" w:cs="Times New Roman"/>
                <w:i/>
                <w:sz w:val="20"/>
                <w:szCs w:val="20"/>
                <w:lang w:val="lv-LV"/>
              </w:rPr>
              <w:t>Problemātiskie aktīvi</w:t>
            </w:r>
          </w:p>
        </w:tc>
        <w:tc>
          <w:tcPr>
            <w:tcW w:w="274" w:type="dxa"/>
            <w:tcBorders>
              <w:right w:val="wave" w:sz="6" w:space="0" w:color="C00000"/>
            </w:tcBorders>
          </w:tcPr>
          <w:p w14:paraId="45779E6F" w14:textId="77777777" w:rsidR="00CF45AB" w:rsidRPr="00DC6F66" w:rsidRDefault="00CF45AB" w:rsidP="007F7446">
            <w:pPr>
              <w:keepLines/>
              <w:rPr>
                <w:rFonts w:ascii="Times New Roman" w:hAnsi="Times New Roman" w:cs="Times New Roman"/>
                <w:lang w:val="lv-LV"/>
              </w:rPr>
            </w:pPr>
          </w:p>
        </w:tc>
        <w:tc>
          <w:tcPr>
            <w:tcW w:w="1569" w:type="dxa"/>
            <w:tcBorders>
              <w:top w:val="wave" w:sz="6" w:space="0" w:color="C00000"/>
              <w:left w:val="wave" w:sz="6" w:space="0" w:color="C00000"/>
              <w:bottom w:val="wave" w:sz="6" w:space="0" w:color="C00000"/>
              <w:right w:val="wave" w:sz="6" w:space="0" w:color="C00000"/>
            </w:tcBorders>
            <w:vAlign w:val="center"/>
          </w:tcPr>
          <w:p w14:paraId="1905D5E1" w14:textId="77777777" w:rsidR="00CF45AB" w:rsidRPr="00DC6F66" w:rsidRDefault="00107F6C" w:rsidP="007F7446">
            <w:pPr>
              <w:keepLines/>
              <w:jc w:val="center"/>
              <w:rPr>
                <w:rFonts w:ascii="Times New Roman" w:hAnsi="Times New Roman" w:cs="Times New Roman"/>
                <w:sz w:val="20"/>
                <w:szCs w:val="20"/>
                <w:lang w:val="lv-LV"/>
              </w:rPr>
            </w:pPr>
            <w:r w:rsidRPr="00DC6F66">
              <w:rPr>
                <w:rFonts w:ascii="Times New Roman" w:hAnsi="Times New Roman" w:cs="Times New Roman"/>
                <w:color w:val="C00000"/>
                <w:sz w:val="16"/>
                <w:szCs w:val="20"/>
                <w:lang w:val="lv-LV"/>
              </w:rPr>
              <w:t>Zaudējumi</w:t>
            </w:r>
            <w:r w:rsidR="00C937A0" w:rsidRPr="00DC6F66">
              <w:rPr>
                <w:rFonts w:ascii="Times New Roman" w:hAnsi="Times New Roman" w:cs="Times New Roman"/>
                <w:color w:val="C00000"/>
                <w:sz w:val="16"/>
                <w:szCs w:val="20"/>
                <w:lang w:val="lv-LV"/>
              </w:rPr>
              <w:t xml:space="preserve"> </w:t>
            </w:r>
            <w:r w:rsidR="003A547F" w:rsidRPr="00DC6F66">
              <w:rPr>
                <w:rFonts w:ascii="Times New Roman" w:hAnsi="Times New Roman" w:cs="Times New Roman"/>
                <w:color w:val="C00000"/>
                <w:sz w:val="16"/>
                <w:szCs w:val="20"/>
                <w:lang w:val="lv-LV"/>
              </w:rPr>
              <w:t xml:space="preserve">daļēji </w:t>
            </w:r>
            <w:r w:rsidR="001E485C" w:rsidRPr="00DC6F66">
              <w:rPr>
                <w:rFonts w:ascii="Times New Roman" w:hAnsi="Times New Roman" w:cs="Times New Roman"/>
                <w:color w:val="C00000"/>
                <w:sz w:val="16"/>
                <w:szCs w:val="20"/>
                <w:lang w:val="lv-LV"/>
              </w:rPr>
              <w:t xml:space="preserve">tiek </w:t>
            </w:r>
            <w:r w:rsidRPr="00DC6F66">
              <w:rPr>
                <w:rFonts w:ascii="Times New Roman" w:hAnsi="Times New Roman" w:cs="Times New Roman"/>
                <w:color w:val="C00000"/>
                <w:sz w:val="16"/>
                <w:szCs w:val="20"/>
                <w:lang w:val="lv-LV"/>
              </w:rPr>
              <w:t>segti, palielinot</w:t>
            </w:r>
            <w:r w:rsidR="00C937A0" w:rsidRPr="00DC6F66">
              <w:rPr>
                <w:rFonts w:ascii="Times New Roman" w:hAnsi="Times New Roman" w:cs="Times New Roman"/>
                <w:color w:val="C00000"/>
                <w:sz w:val="16"/>
                <w:szCs w:val="20"/>
                <w:lang w:val="lv-LV"/>
              </w:rPr>
              <w:t xml:space="preserve"> pamat</w:t>
            </w:r>
            <w:r w:rsidRPr="00DC6F66">
              <w:rPr>
                <w:rFonts w:ascii="Times New Roman" w:hAnsi="Times New Roman" w:cs="Times New Roman"/>
                <w:color w:val="C00000"/>
                <w:sz w:val="16"/>
                <w:szCs w:val="20"/>
                <w:lang w:val="lv-LV"/>
              </w:rPr>
              <w:t>kapitālu</w:t>
            </w:r>
          </w:p>
        </w:tc>
        <w:tc>
          <w:tcPr>
            <w:tcW w:w="283" w:type="dxa"/>
            <w:tcBorders>
              <w:left w:val="wave" w:sz="6" w:space="0" w:color="C00000"/>
              <w:right w:val="single" w:sz="4" w:space="0" w:color="FFFFFF" w:themeColor="background1"/>
            </w:tcBorders>
            <w:vAlign w:val="center"/>
          </w:tcPr>
          <w:p w14:paraId="0FEACC24" w14:textId="77777777" w:rsidR="00CF45AB" w:rsidRPr="00DC6F66" w:rsidRDefault="00CF45AB" w:rsidP="007F7446">
            <w:pPr>
              <w:keepLines/>
              <w:rPr>
                <w:rFonts w:ascii="Times New Roman" w:hAnsi="Times New Roman" w:cs="Times New Roman"/>
                <w:sz w:val="20"/>
                <w:szCs w:val="20"/>
                <w:lang w:val="lv-LV"/>
              </w:rPr>
            </w:pPr>
          </w:p>
        </w:tc>
        <w:tc>
          <w:tcPr>
            <w:tcW w:w="1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A64BC8" w14:textId="77777777" w:rsidR="00CF45AB" w:rsidRPr="00DC6F66" w:rsidRDefault="00CF45AB" w:rsidP="007F7446">
            <w:pPr>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4" w:type="dxa"/>
            <w:tcBorders>
              <w:left w:val="single" w:sz="4" w:space="0" w:color="FFFFFF" w:themeColor="background1"/>
              <w:right w:val="single" w:sz="4" w:space="0" w:color="FFFFFF" w:themeColor="background1"/>
            </w:tcBorders>
            <w:vAlign w:val="center"/>
          </w:tcPr>
          <w:p w14:paraId="2FB6152B" w14:textId="77777777" w:rsidR="00CF45AB" w:rsidRPr="00DC6F66" w:rsidRDefault="00CF45AB" w:rsidP="007F7446">
            <w:pPr>
              <w:keepLines/>
              <w:rPr>
                <w:rFonts w:ascii="Times New Roman" w:hAnsi="Times New Roman" w:cs="Times New Roman"/>
                <w:sz w:val="20"/>
                <w:szCs w:val="20"/>
                <w:lang w:val="lv-LV"/>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56E078" w14:textId="77777777" w:rsidR="00CF45AB" w:rsidRPr="00DC6F66" w:rsidRDefault="00CF45AB" w:rsidP="007F7446">
            <w:pPr>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r>
      <w:tr w:rsidR="00C4657C" w:rsidRPr="00DC6F66" w14:paraId="0AEB1F51" w14:textId="77777777" w:rsidTr="00BA2102">
        <w:tc>
          <w:tcPr>
            <w:tcW w:w="3431" w:type="dxa"/>
            <w:tcBorders>
              <w:left w:val="single" w:sz="12" w:space="0" w:color="404040" w:themeColor="text1" w:themeTint="BF"/>
            </w:tcBorders>
          </w:tcPr>
          <w:p w14:paraId="03AF252C" w14:textId="77777777" w:rsidR="00CF45AB" w:rsidRPr="00DC6F66" w:rsidRDefault="00CF45AB" w:rsidP="007F7446">
            <w:pPr>
              <w:keepLines/>
              <w:rPr>
                <w:rFonts w:ascii="Times New Roman" w:hAnsi="Times New Roman" w:cs="Times New Roman"/>
                <w:sz w:val="8"/>
                <w:szCs w:val="22"/>
                <w:lang w:val="lv-LV"/>
              </w:rPr>
            </w:pPr>
          </w:p>
        </w:tc>
        <w:tc>
          <w:tcPr>
            <w:tcW w:w="274" w:type="dxa"/>
          </w:tcPr>
          <w:p w14:paraId="7131A933" w14:textId="77777777" w:rsidR="00CF45AB" w:rsidRPr="00DC6F66" w:rsidRDefault="00CF45AB" w:rsidP="007F7446">
            <w:pPr>
              <w:keepLines/>
              <w:rPr>
                <w:rFonts w:ascii="Times New Roman" w:hAnsi="Times New Roman" w:cs="Times New Roman"/>
                <w:sz w:val="8"/>
                <w:szCs w:val="22"/>
                <w:lang w:val="lv-LV"/>
              </w:rPr>
            </w:pPr>
          </w:p>
        </w:tc>
        <w:tc>
          <w:tcPr>
            <w:tcW w:w="1569" w:type="dxa"/>
            <w:tcBorders>
              <w:top w:val="wave" w:sz="6" w:space="0" w:color="C00000"/>
              <w:bottom w:val="thickThinSmallGap" w:sz="24" w:space="0" w:color="00642D"/>
            </w:tcBorders>
            <w:vAlign w:val="center"/>
          </w:tcPr>
          <w:p w14:paraId="19350DC7" w14:textId="77777777" w:rsidR="00CF45AB" w:rsidRPr="00DC6F66" w:rsidRDefault="00CF45AB" w:rsidP="007F7446">
            <w:pPr>
              <w:keepLines/>
              <w:jc w:val="center"/>
              <w:rPr>
                <w:rFonts w:ascii="Times New Roman" w:hAnsi="Times New Roman" w:cs="Times New Roman"/>
                <w:sz w:val="8"/>
                <w:szCs w:val="22"/>
                <w:lang w:val="lv-LV"/>
              </w:rPr>
            </w:pPr>
          </w:p>
        </w:tc>
        <w:tc>
          <w:tcPr>
            <w:tcW w:w="283" w:type="dxa"/>
            <w:vAlign w:val="center"/>
          </w:tcPr>
          <w:p w14:paraId="235E55B3" w14:textId="77777777" w:rsidR="00CF45AB" w:rsidRPr="00DC6F66" w:rsidRDefault="00CF45AB" w:rsidP="007F7446">
            <w:pPr>
              <w:keepLines/>
              <w:rPr>
                <w:rFonts w:ascii="Times New Roman" w:hAnsi="Times New Roman" w:cs="Times New Roman"/>
                <w:sz w:val="8"/>
                <w:szCs w:val="22"/>
                <w:lang w:val="lv-LV"/>
              </w:rPr>
            </w:pPr>
          </w:p>
        </w:tc>
        <w:tc>
          <w:tcPr>
            <w:tcW w:w="1691" w:type="dxa"/>
            <w:tcBorders>
              <w:top w:val="single" w:sz="4" w:space="0" w:color="FFFFFF" w:themeColor="background1"/>
              <w:bottom w:val="single" w:sz="4" w:space="0" w:color="FFFFFF" w:themeColor="background1"/>
            </w:tcBorders>
            <w:vAlign w:val="center"/>
          </w:tcPr>
          <w:p w14:paraId="750A75A9" w14:textId="77777777" w:rsidR="00CF45AB" w:rsidRPr="00DC6F66" w:rsidRDefault="00CF45AB" w:rsidP="007F7446">
            <w:pPr>
              <w:keepLines/>
              <w:jc w:val="center"/>
              <w:rPr>
                <w:rFonts w:ascii="Times New Roman" w:hAnsi="Times New Roman" w:cs="Times New Roman"/>
                <w:sz w:val="8"/>
                <w:szCs w:val="22"/>
                <w:lang w:val="lv-LV"/>
              </w:rPr>
            </w:pPr>
          </w:p>
        </w:tc>
        <w:tc>
          <w:tcPr>
            <w:tcW w:w="284" w:type="dxa"/>
            <w:vAlign w:val="center"/>
          </w:tcPr>
          <w:p w14:paraId="2D50D918" w14:textId="77777777" w:rsidR="00CF45AB" w:rsidRPr="00DC6F66" w:rsidRDefault="00CF45AB" w:rsidP="007F7446">
            <w:pPr>
              <w:keepLines/>
              <w:rPr>
                <w:rFonts w:ascii="Times New Roman" w:hAnsi="Times New Roman" w:cs="Times New Roman"/>
                <w:sz w:val="8"/>
                <w:szCs w:val="22"/>
                <w:lang w:val="lv-LV"/>
              </w:rPr>
            </w:pPr>
          </w:p>
        </w:tc>
        <w:tc>
          <w:tcPr>
            <w:tcW w:w="1559" w:type="dxa"/>
            <w:tcBorders>
              <w:top w:val="single" w:sz="4" w:space="0" w:color="FFFFFF" w:themeColor="background1"/>
              <w:bottom w:val="single" w:sz="4" w:space="0" w:color="FFFFFF" w:themeColor="background1"/>
            </w:tcBorders>
            <w:vAlign w:val="center"/>
          </w:tcPr>
          <w:p w14:paraId="11A53B93" w14:textId="77777777" w:rsidR="00CF45AB" w:rsidRPr="00DC6F66" w:rsidRDefault="00CF45AB" w:rsidP="007F7446">
            <w:pPr>
              <w:keepLines/>
              <w:jc w:val="center"/>
              <w:rPr>
                <w:rFonts w:ascii="Times New Roman" w:hAnsi="Times New Roman" w:cs="Times New Roman"/>
                <w:sz w:val="8"/>
                <w:szCs w:val="22"/>
                <w:lang w:val="lv-LV"/>
              </w:rPr>
            </w:pPr>
          </w:p>
        </w:tc>
      </w:tr>
      <w:tr w:rsidR="008F19CE" w:rsidRPr="00DC6F66" w14:paraId="20F538CF" w14:textId="77777777" w:rsidTr="00BA2102">
        <w:tc>
          <w:tcPr>
            <w:tcW w:w="3431" w:type="dxa"/>
            <w:tcBorders>
              <w:left w:val="single" w:sz="12" w:space="0" w:color="404040" w:themeColor="text1" w:themeTint="BF"/>
              <w:bottom w:val="single" w:sz="12" w:space="0" w:color="FFFFFF" w:themeColor="background1"/>
            </w:tcBorders>
          </w:tcPr>
          <w:p w14:paraId="791D20A4" w14:textId="77777777" w:rsidR="00CF45AB" w:rsidRPr="00DC6F66" w:rsidRDefault="00637121" w:rsidP="007F7446">
            <w:pPr>
              <w:keepLines/>
              <w:rPr>
                <w:rFonts w:ascii="Times New Roman" w:hAnsi="Times New Roman" w:cs="Times New Roman"/>
                <w:sz w:val="20"/>
                <w:szCs w:val="20"/>
                <w:lang w:val="lv-LV"/>
              </w:rPr>
            </w:pPr>
            <w:r w:rsidRPr="00DC6F66">
              <w:rPr>
                <w:rFonts w:ascii="Times New Roman" w:hAnsi="Times New Roman" w:cs="Times New Roman"/>
                <w:sz w:val="20"/>
                <w:szCs w:val="20"/>
                <w:lang w:val="lv-LV"/>
              </w:rPr>
              <w:t>Līgumu</w:t>
            </w:r>
            <w:r w:rsidR="007D4602" w:rsidRPr="00DC6F66">
              <w:rPr>
                <w:rFonts w:ascii="Times New Roman" w:hAnsi="Times New Roman" w:cs="Times New Roman"/>
                <w:sz w:val="20"/>
                <w:szCs w:val="20"/>
                <w:lang w:val="lv-LV"/>
              </w:rPr>
              <w:t xml:space="preserve"> un</w:t>
            </w:r>
            <w:r w:rsidRPr="00DC6F66">
              <w:rPr>
                <w:rFonts w:ascii="Times New Roman" w:hAnsi="Times New Roman" w:cs="Times New Roman"/>
                <w:sz w:val="20"/>
                <w:szCs w:val="20"/>
                <w:lang w:val="lv-LV"/>
              </w:rPr>
              <w:t xml:space="preserve"> </w:t>
            </w:r>
            <w:r w:rsidR="00CF45AB" w:rsidRPr="00DC6F66">
              <w:rPr>
                <w:rFonts w:ascii="Times New Roman" w:hAnsi="Times New Roman" w:cs="Times New Roman"/>
                <w:sz w:val="20"/>
                <w:szCs w:val="20"/>
                <w:lang w:val="lv-LV"/>
              </w:rPr>
              <w:t>to nosacījumu izpildes kontrole</w:t>
            </w:r>
          </w:p>
        </w:tc>
        <w:tc>
          <w:tcPr>
            <w:tcW w:w="274" w:type="dxa"/>
            <w:tcBorders>
              <w:bottom w:val="single" w:sz="12" w:space="0" w:color="FFFFFF" w:themeColor="background1"/>
              <w:right w:val="thickThinSmallGap" w:sz="24" w:space="0" w:color="00642D"/>
            </w:tcBorders>
          </w:tcPr>
          <w:p w14:paraId="6D7A38F3" w14:textId="77777777" w:rsidR="00CF45AB" w:rsidRPr="00DC6F66" w:rsidRDefault="00CF45AB" w:rsidP="007F7446">
            <w:pPr>
              <w:keepLines/>
              <w:rPr>
                <w:rFonts w:ascii="Times New Roman" w:hAnsi="Times New Roman" w:cs="Times New Roman"/>
                <w:lang w:val="lv-LV"/>
              </w:rPr>
            </w:pPr>
          </w:p>
        </w:tc>
        <w:tc>
          <w:tcPr>
            <w:tcW w:w="1569" w:type="dxa"/>
            <w:tcBorders>
              <w:top w:val="thickThinSmallGap" w:sz="24" w:space="0" w:color="00642D"/>
              <w:left w:val="thickThinSmallGap" w:sz="24" w:space="0" w:color="00642D"/>
              <w:bottom w:val="thinThickSmallGap" w:sz="24" w:space="0" w:color="00642D"/>
              <w:right w:val="thinThickSmallGap" w:sz="24" w:space="0" w:color="00642D"/>
            </w:tcBorders>
            <w:vAlign w:val="center"/>
          </w:tcPr>
          <w:p w14:paraId="04E7A869" w14:textId="77777777" w:rsidR="00CF45AB" w:rsidRPr="00DC6F66" w:rsidRDefault="00107F6C" w:rsidP="007F7446">
            <w:pPr>
              <w:keepLines/>
              <w:jc w:val="center"/>
              <w:rPr>
                <w:rFonts w:ascii="Times New Roman" w:hAnsi="Times New Roman" w:cs="Times New Roman"/>
                <w:sz w:val="20"/>
                <w:szCs w:val="20"/>
                <w:lang w:val="lv-LV"/>
              </w:rPr>
            </w:pPr>
            <w:r w:rsidRPr="00DC6F66">
              <w:rPr>
                <w:rFonts w:ascii="Times New Roman" w:hAnsi="Times New Roman" w:cs="Times New Roman"/>
                <w:color w:val="00642D"/>
                <w:sz w:val="16"/>
                <w:szCs w:val="20"/>
                <w:lang w:val="lv-LV"/>
              </w:rPr>
              <w:t>Atskaitījumi par katru līgumu</w:t>
            </w:r>
          </w:p>
        </w:tc>
        <w:tc>
          <w:tcPr>
            <w:tcW w:w="283" w:type="dxa"/>
            <w:tcBorders>
              <w:left w:val="thinThickSmallGap" w:sz="24" w:space="0" w:color="00642D"/>
              <w:bottom w:val="single" w:sz="12" w:space="0" w:color="FFFFFF" w:themeColor="background1"/>
              <w:right w:val="single" w:sz="4" w:space="0" w:color="FFFFFF" w:themeColor="background1"/>
            </w:tcBorders>
            <w:vAlign w:val="center"/>
          </w:tcPr>
          <w:p w14:paraId="46346770" w14:textId="77777777" w:rsidR="00CF45AB" w:rsidRPr="00DC6F66" w:rsidRDefault="00CF45AB" w:rsidP="007F7446">
            <w:pPr>
              <w:keepLines/>
              <w:rPr>
                <w:rFonts w:ascii="Times New Roman" w:hAnsi="Times New Roman" w:cs="Times New Roman"/>
                <w:sz w:val="20"/>
                <w:szCs w:val="20"/>
                <w:lang w:val="lv-LV"/>
              </w:rPr>
            </w:pPr>
          </w:p>
        </w:tc>
        <w:tc>
          <w:tcPr>
            <w:tcW w:w="1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70FC5E" w14:textId="77777777" w:rsidR="00CF45AB" w:rsidRPr="00DC6F66" w:rsidRDefault="00CF45AB" w:rsidP="007F7446">
            <w:pPr>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4" w:type="dxa"/>
            <w:tcBorders>
              <w:left w:val="single" w:sz="4" w:space="0" w:color="FFFFFF" w:themeColor="background1"/>
              <w:bottom w:val="single" w:sz="12" w:space="0" w:color="FFFFFF" w:themeColor="background1"/>
              <w:right w:val="single" w:sz="4" w:space="0" w:color="FFFFFF" w:themeColor="background1"/>
            </w:tcBorders>
            <w:vAlign w:val="center"/>
          </w:tcPr>
          <w:p w14:paraId="008E8356" w14:textId="77777777" w:rsidR="00CF45AB" w:rsidRPr="00DC6F66" w:rsidRDefault="00CF45AB" w:rsidP="007F7446">
            <w:pPr>
              <w:keepLines/>
              <w:rPr>
                <w:rFonts w:ascii="Times New Roman" w:hAnsi="Times New Roman" w:cs="Times New Roman"/>
                <w:sz w:val="20"/>
                <w:szCs w:val="20"/>
                <w:lang w:val="lv-LV"/>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511DE8" w14:textId="77777777" w:rsidR="00CF45AB" w:rsidRPr="00DC6F66" w:rsidRDefault="00CF45AB" w:rsidP="007F7446">
            <w:pPr>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r>
      <w:tr w:rsidR="008F19CE" w:rsidRPr="00DC6F66" w14:paraId="02940EBA" w14:textId="77777777" w:rsidTr="00BA2102">
        <w:tc>
          <w:tcPr>
            <w:tcW w:w="3431" w:type="dxa"/>
            <w:tcBorders>
              <w:top w:val="single" w:sz="12" w:space="0" w:color="FFFFFF" w:themeColor="background1"/>
              <w:left w:val="single" w:sz="12" w:space="0" w:color="404040" w:themeColor="text1" w:themeTint="BF"/>
              <w:bottom w:val="single" w:sz="12" w:space="0" w:color="FFFFFF" w:themeColor="background1"/>
            </w:tcBorders>
          </w:tcPr>
          <w:p w14:paraId="7A910F06" w14:textId="77777777" w:rsidR="008F19CE" w:rsidRPr="00DC6F66" w:rsidRDefault="008F19CE" w:rsidP="007F7446">
            <w:pPr>
              <w:keepLines/>
              <w:rPr>
                <w:rFonts w:ascii="Times New Roman" w:hAnsi="Times New Roman" w:cs="Times New Roman"/>
                <w:sz w:val="20"/>
                <w:szCs w:val="20"/>
                <w:lang w:val="lv-LV"/>
              </w:rPr>
            </w:pPr>
          </w:p>
        </w:tc>
        <w:tc>
          <w:tcPr>
            <w:tcW w:w="274" w:type="dxa"/>
            <w:tcBorders>
              <w:top w:val="single" w:sz="12" w:space="0" w:color="FFFFFF" w:themeColor="background1"/>
              <w:bottom w:val="single" w:sz="12" w:space="0" w:color="FFFFFF" w:themeColor="background1"/>
              <w:right w:val="single" w:sz="12" w:space="0" w:color="FFFFFF" w:themeColor="background1"/>
            </w:tcBorders>
          </w:tcPr>
          <w:p w14:paraId="29FA515E" w14:textId="77777777" w:rsidR="008F19CE" w:rsidRPr="00DC6F66" w:rsidRDefault="008F19CE" w:rsidP="007F7446">
            <w:pPr>
              <w:keepLines/>
              <w:rPr>
                <w:rFonts w:ascii="Times New Roman" w:hAnsi="Times New Roman" w:cs="Times New Roman"/>
                <w:lang w:val="lv-LV"/>
              </w:rPr>
            </w:pPr>
          </w:p>
        </w:tc>
        <w:tc>
          <w:tcPr>
            <w:tcW w:w="1569" w:type="dxa"/>
            <w:tcBorders>
              <w:top w:val="thinThickSmallGap" w:sz="24" w:space="0" w:color="00642D"/>
              <w:left w:val="single" w:sz="12" w:space="0" w:color="FFFFFF" w:themeColor="background1"/>
              <w:bottom w:val="wave" w:sz="6" w:space="0" w:color="C00000"/>
              <w:right w:val="single" w:sz="12" w:space="0" w:color="FFFFFF" w:themeColor="background1"/>
            </w:tcBorders>
            <w:vAlign w:val="center"/>
          </w:tcPr>
          <w:p w14:paraId="0310441E" w14:textId="77777777" w:rsidR="008F19CE" w:rsidRPr="00DC6F66" w:rsidRDefault="008F19CE" w:rsidP="007F7446">
            <w:pPr>
              <w:keepLines/>
              <w:jc w:val="center"/>
              <w:rPr>
                <w:rFonts w:ascii="Times New Roman" w:hAnsi="Times New Roman" w:cs="Times New Roman"/>
                <w:sz w:val="20"/>
                <w:szCs w:val="20"/>
                <w:lang w:val="lv-LV"/>
              </w:rPr>
            </w:pPr>
          </w:p>
        </w:tc>
        <w:tc>
          <w:tcPr>
            <w:tcW w:w="283" w:type="dxa"/>
            <w:tcBorders>
              <w:top w:val="single" w:sz="12" w:space="0" w:color="FFFFFF" w:themeColor="background1"/>
              <w:left w:val="single" w:sz="12" w:space="0" w:color="FFFFFF" w:themeColor="background1"/>
              <w:bottom w:val="single" w:sz="12" w:space="0" w:color="FFFFFF" w:themeColor="background1"/>
            </w:tcBorders>
            <w:vAlign w:val="center"/>
          </w:tcPr>
          <w:p w14:paraId="2211D285" w14:textId="77777777" w:rsidR="008F19CE" w:rsidRPr="00DC6F66" w:rsidRDefault="008F19CE" w:rsidP="007F7446">
            <w:pPr>
              <w:keepLines/>
              <w:rPr>
                <w:rFonts w:ascii="Times New Roman" w:hAnsi="Times New Roman" w:cs="Times New Roman"/>
                <w:sz w:val="20"/>
                <w:szCs w:val="20"/>
                <w:lang w:val="lv-LV"/>
              </w:rPr>
            </w:pPr>
          </w:p>
        </w:tc>
        <w:tc>
          <w:tcPr>
            <w:tcW w:w="1691" w:type="dxa"/>
            <w:tcBorders>
              <w:top w:val="single" w:sz="4" w:space="0" w:color="FFFFFF" w:themeColor="background1"/>
              <w:bottom w:val="single" w:sz="4" w:space="0" w:color="FFFFFF" w:themeColor="background1"/>
            </w:tcBorders>
            <w:vAlign w:val="center"/>
          </w:tcPr>
          <w:p w14:paraId="20C604D3" w14:textId="77777777" w:rsidR="008F19CE" w:rsidRPr="00DC6F66" w:rsidRDefault="008F19CE" w:rsidP="007F7446">
            <w:pPr>
              <w:keepLines/>
              <w:jc w:val="center"/>
              <w:rPr>
                <w:rFonts w:ascii="Times New Roman" w:hAnsi="Times New Roman" w:cs="Times New Roman"/>
                <w:sz w:val="20"/>
                <w:szCs w:val="20"/>
                <w:lang w:val="lv-LV"/>
              </w:rPr>
            </w:pPr>
          </w:p>
        </w:tc>
        <w:tc>
          <w:tcPr>
            <w:tcW w:w="284" w:type="dxa"/>
            <w:tcBorders>
              <w:top w:val="single" w:sz="12" w:space="0" w:color="FFFFFF" w:themeColor="background1"/>
              <w:bottom w:val="single" w:sz="12" w:space="0" w:color="FFFFFF" w:themeColor="background1"/>
            </w:tcBorders>
            <w:vAlign w:val="center"/>
          </w:tcPr>
          <w:p w14:paraId="67B3C839" w14:textId="77777777" w:rsidR="008F19CE" w:rsidRPr="00DC6F66" w:rsidRDefault="008F19CE" w:rsidP="007F7446">
            <w:pPr>
              <w:keepLines/>
              <w:rPr>
                <w:rFonts w:ascii="Times New Roman" w:hAnsi="Times New Roman" w:cs="Times New Roman"/>
                <w:sz w:val="20"/>
                <w:szCs w:val="20"/>
                <w:lang w:val="lv-LV"/>
              </w:rPr>
            </w:pPr>
          </w:p>
        </w:tc>
        <w:tc>
          <w:tcPr>
            <w:tcW w:w="1559" w:type="dxa"/>
            <w:tcBorders>
              <w:top w:val="single" w:sz="4" w:space="0" w:color="FFFFFF" w:themeColor="background1"/>
              <w:bottom w:val="single" w:sz="4" w:space="0" w:color="FFFFFF" w:themeColor="background1"/>
              <w:right w:val="single" w:sz="12" w:space="0" w:color="FFFFFF" w:themeColor="background1"/>
            </w:tcBorders>
            <w:vAlign w:val="center"/>
          </w:tcPr>
          <w:p w14:paraId="77152E09" w14:textId="77777777" w:rsidR="008F19CE" w:rsidRPr="00DC6F66" w:rsidRDefault="008F19CE" w:rsidP="007F7446">
            <w:pPr>
              <w:keepLines/>
              <w:jc w:val="center"/>
              <w:rPr>
                <w:rFonts w:ascii="Times New Roman" w:hAnsi="Times New Roman" w:cs="Times New Roman"/>
                <w:sz w:val="20"/>
                <w:szCs w:val="20"/>
                <w:lang w:val="lv-LV"/>
              </w:rPr>
            </w:pPr>
          </w:p>
        </w:tc>
      </w:tr>
      <w:tr w:rsidR="00C4657C" w:rsidRPr="00DC6F66" w14:paraId="60CF6D9E" w14:textId="77777777" w:rsidTr="00BA2102">
        <w:tc>
          <w:tcPr>
            <w:tcW w:w="3431" w:type="dxa"/>
            <w:tcBorders>
              <w:top w:val="single" w:sz="12" w:space="0" w:color="FFFFFF" w:themeColor="background1"/>
              <w:left w:val="single" w:sz="12" w:space="0" w:color="404040" w:themeColor="text1" w:themeTint="BF"/>
            </w:tcBorders>
          </w:tcPr>
          <w:p w14:paraId="0505A800" w14:textId="77777777" w:rsidR="008F19CE" w:rsidRPr="00DC6F66" w:rsidRDefault="008A0BE0" w:rsidP="007F7446">
            <w:pPr>
              <w:keepLines/>
              <w:rPr>
                <w:rFonts w:ascii="Times New Roman" w:hAnsi="Times New Roman" w:cs="Times New Roman"/>
                <w:sz w:val="20"/>
                <w:szCs w:val="20"/>
                <w:lang w:val="lv-LV"/>
              </w:rPr>
            </w:pPr>
            <w:r w:rsidRPr="00DC6F66">
              <w:rPr>
                <w:rFonts w:ascii="Times New Roman" w:hAnsi="Times New Roman" w:cs="Times New Roman"/>
                <w:sz w:val="20"/>
                <w:szCs w:val="20"/>
                <w:lang w:val="lv-LV"/>
              </w:rPr>
              <w:t>S</w:t>
            </w:r>
            <w:r w:rsidR="00C937A0" w:rsidRPr="00DC6F66">
              <w:rPr>
                <w:rFonts w:ascii="Times New Roman" w:hAnsi="Times New Roman" w:cs="Times New Roman"/>
                <w:sz w:val="20"/>
                <w:szCs w:val="20"/>
                <w:lang w:val="lv-LV"/>
              </w:rPr>
              <w:t>ertifikātu uzskaite</w:t>
            </w:r>
            <w:r w:rsidR="00042CC2" w:rsidRPr="00DC6F66">
              <w:rPr>
                <w:rFonts w:ascii="Times New Roman" w:hAnsi="Times New Roman" w:cs="Times New Roman"/>
                <w:sz w:val="20"/>
                <w:szCs w:val="20"/>
                <w:lang w:val="lv-LV"/>
              </w:rPr>
              <w:t xml:space="preserve">, </w:t>
            </w:r>
            <w:r w:rsidR="00C937A0" w:rsidRPr="00DC6F66">
              <w:rPr>
                <w:rFonts w:ascii="Times New Roman" w:hAnsi="Times New Roman" w:cs="Times New Roman"/>
                <w:sz w:val="20"/>
                <w:szCs w:val="20"/>
                <w:lang w:val="lv-LV"/>
              </w:rPr>
              <w:t>norēķin</w:t>
            </w:r>
            <w:r w:rsidR="00042CC2" w:rsidRPr="00DC6F66">
              <w:rPr>
                <w:rFonts w:ascii="Times New Roman" w:hAnsi="Times New Roman" w:cs="Times New Roman"/>
                <w:sz w:val="20"/>
                <w:szCs w:val="20"/>
                <w:lang w:val="lv-LV"/>
              </w:rPr>
              <w:t>i, apkalpošana</w:t>
            </w:r>
          </w:p>
        </w:tc>
        <w:tc>
          <w:tcPr>
            <w:tcW w:w="274" w:type="dxa"/>
            <w:tcBorders>
              <w:top w:val="single" w:sz="12" w:space="0" w:color="FFFFFF" w:themeColor="background1"/>
              <w:right w:val="wave" w:sz="6" w:space="0" w:color="C00000"/>
            </w:tcBorders>
          </w:tcPr>
          <w:p w14:paraId="450AC4D8" w14:textId="77777777" w:rsidR="008F19CE" w:rsidRPr="00DC6F66" w:rsidRDefault="008F19CE" w:rsidP="007F7446">
            <w:pPr>
              <w:keepLines/>
              <w:rPr>
                <w:rFonts w:ascii="Times New Roman" w:hAnsi="Times New Roman" w:cs="Times New Roman"/>
                <w:lang w:val="lv-LV"/>
              </w:rPr>
            </w:pPr>
          </w:p>
        </w:tc>
        <w:tc>
          <w:tcPr>
            <w:tcW w:w="1569" w:type="dxa"/>
            <w:tcBorders>
              <w:top w:val="wave" w:sz="6" w:space="0" w:color="C00000"/>
              <w:left w:val="wave" w:sz="6" w:space="0" w:color="C00000"/>
              <w:bottom w:val="wave" w:sz="6" w:space="0" w:color="C00000"/>
              <w:right w:val="wave" w:sz="6" w:space="0" w:color="C00000"/>
            </w:tcBorders>
            <w:vAlign w:val="center"/>
          </w:tcPr>
          <w:p w14:paraId="492E6FD2" w14:textId="77777777" w:rsidR="008F19CE" w:rsidRPr="00DC6F66" w:rsidRDefault="00EE4F4C" w:rsidP="007F7446">
            <w:pPr>
              <w:keepLines/>
              <w:jc w:val="center"/>
              <w:rPr>
                <w:rFonts w:ascii="Times New Roman" w:hAnsi="Times New Roman" w:cs="Times New Roman"/>
                <w:sz w:val="20"/>
                <w:szCs w:val="20"/>
                <w:lang w:val="lv-LV"/>
              </w:rPr>
            </w:pPr>
            <w:r w:rsidRPr="00DC6F66">
              <w:rPr>
                <w:rFonts w:ascii="Times New Roman" w:hAnsi="Times New Roman" w:cs="Times New Roman"/>
                <w:color w:val="C00000"/>
                <w:sz w:val="16"/>
                <w:szCs w:val="20"/>
                <w:lang w:val="lv-LV"/>
              </w:rPr>
              <w:t>Ja pakalpojumu maksa nepietiekoša, i</w:t>
            </w:r>
            <w:r w:rsidR="00C937A0" w:rsidRPr="00DC6F66">
              <w:rPr>
                <w:rFonts w:ascii="Times New Roman" w:hAnsi="Times New Roman" w:cs="Times New Roman"/>
                <w:color w:val="C00000"/>
                <w:sz w:val="16"/>
                <w:szCs w:val="20"/>
                <w:lang w:val="lv-LV"/>
              </w:rPr>
              <w:t>zdevumi tiek segti no rezerves fonda</w:t>
            </w:r>
          </w:p>
        </w:tc>
        <w:tc>
          <w:tcPr>
            <w:tcW w:w="283" w:type="dxa"/>
            <w:tcBorders>
              <w:top w:val="single" w:sz="12" w:space="0" w:color="FFFFFF" w:themeColor="background1"/>
              <w:left w:val="wave" w:sz="6" w:space="0" w:color="C00000"/>
              <w:right w:val="single" w:sz="4" w:space="0" w:color="FFFFFF" w:themeColor="background1"/>
            </w:tcBorders>
            <w:vAlign w:val="center"/>
          </w:tcPr>
          <w:p w14:paraId="1584A249" w14:textId="77777777" w:rsidR="008F19CE" w:rsidRPr="00DC6F66" w:rsidRDefault="008F19CE" w:rsidP="007F7446">
            <w:pPr>
              <w:keepLines/>
              <w:rPr>
                <w:rFonts w:ascii="Times New Roman" w:hAnsi="Times New Roman" w:cs="Times New Roman"/>
                <w:sz w:val="20"/>
                <w:szCs w:val="20"/>
                <w:lang w:val="lv-LV"/>
              </w:rPr>
            </w:pPr>
          </w:p>
        </w:tc>
        <w:tc>
          <w:tcPr>
            <w:tcW w:w="1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527994" w14:textId="77777777" w:rsidR="008F19CE" w:rsidRPr="00DC6F66" w:rsidRDefault="002E6399" w:rsidP="007F7446">
            <w:pPr>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4" w:type="dxa"/>
            <w:tcBorders>
              <w:top w:val="single" w:sz="12" w:space="0" w:color="FFFFFF" w:themeColor="background1"/>
              <w:left w:val="single" w:sz="4" w:space="0" w:color="FFFFFF" w:themeColor="background1"/>
              <w:right w:val="single" w:sz="4" w:space="0" w:color="FFFFFF" w:themeColor="background1"/>
            </w:tcBorders>
            <w:vAlign w:val="center"/>
          </w:tcPr>
          <w:p w14:paraId="230ED8F1" w14:textId="77777777" w:rsidR="008F19CE" w:rsidRPr="00DC6F66" w:rsidRDefault="008F19CE" w:rsidP="007F7446">
            <w:pPr>
              <w:keepLines/>
              <w:rPr>
                <w:rFonts w:ascii="Times New Roman" w:hAnsi="Times New Roman" w:cs="Times New Roman"/>
                <w:sz w:val="20"/>
                <w:szCs w:val="20"/>
                <w:lang w:val="lv-LV"/>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A5558B" w14:textId="77777777" w:rsidR="008F19CE" w:rsidRPr="00DC6F66" w:rsidRDefault="002E6399" w:rsidP="007F7446">
            <w:pPr>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r>
    </w:tbl>
    <w:p w14:paraId="10AD221D" w14:textId="77777777" w:rsidR="00EA64BC" w:rsidRPr="00DC6F66" w:rsidRDefault="00EA64BC" w:rsidP="007F7446">
      <w:pPr>
        <w:pBdr>
          <w:top w:val="single" w:sz="12" w:space="1" w:color="FFFFFF" w:themeColor="background1"/>
        </w:pBdr>
        <w:spacing w:after="40" w:line="240" w:lineRule="auto"/>
        <w:rPr>
          <w:color w:val="595959" w:themeColor="text1" w:themeTint="A6"/>
          <w:sz w:val="18"/>
          <w:szCs w:val="18"/>
        </w:rPr>
      </w:pPr>
      <w:r w:rsidRPr="00DC6F66">
        <w:rPr>
          <w:rFonts w:eastAsiaTheme="minorEastAsia"/>
          <w:b/>
          <w:i/>
          <w:sz w:val="18"/>
          <w:szCs w:val="18"/>
          <w:lang w:eastAsia="zh-CN"/>
        </w:rPr>
        <w:t>Apzīmējumi</w:t>
      </w:r>
      <w:r w:rsidRPr="00DC6F66">
        <w:rPr>
          <w:rFonts w:ascii="Times New Roman" w:hAnsi="Times New Roman" w:cs="Times New Roman"/>
          <w:b/>
          <w:i/>
          <w:color w:val="595959" w:themeColor="text1" w:themeTint="A6"/>
          <w:sz w:val="18"/>
          <w:szCs w:val="18"/>
        </w:rPr>
        <w:t>:</w:t>
      </w:r>
    </w:p>
    <w:tbl>
      <w:tblPr>
        <w:tblStyle w:val="TableGrid"/>
        <w:tblW w:w="0" w:type="auto"/>
        <w:tblInd w:w="108" w:type="dxa"/>
        <w:tblLook w:val="04A0" w:firstRow="1" w:lastRow="0" w:firstColumn="1" w:lastColumn="0" w:noHBand="0" w:noVBand="1"/>
      </w:tblPr>
      <w:tblGrid>
        <w:gridCol w:w="851"/>
        <w:gridCol w:w="3118"/>
        <w:gridCol w:w="851"/>
        <w:gridCol w:w="4010"/>
      </w:tblGrid>
      <w:tr w:rsidR="00BA2102" w:rsidRPr="00DC6F66" w14:paraId="69C22223" w14:textId="77777777" w:rsidTr="00BA2102">
        <w:tc>
          <w:tcPr>
            <w:tcW w:w="851" w:type="dxa"/>
            <w:tcBorders>
              <w:top w:val="thickThinSmallGap" w:sz="24" w:space="0" w:color="00642D"/>
              <w:left w:val="thickThinSmallGap" w:sz="24" w:space="0" w:color="00642D"/>
              <w:bottom w:val="thinThickSmallGap" w:sz="24" w:space="0" w:color="00642D"/>
              <w:right w:val="thinThickSmallGap" w:sz="24" w:space="0" w:color="00642D"/>
            </w:tcBorders>
          </w:tcPr>
          <w:p w14:paraId="5D027299" w14:textId="77777777" w:rsidR="00BA2102" w:rsidRPr="00DC6F66" w:rsidRDefault="00BA2102" w:rsidP="007F7446">
            <w:pPr>
              <w:keepLines/>
              <w:jc w:val="center"/>
              <w:rPr>
                <w:rFonts w:ascii="Times New Roman" w:hAnsi="Times New Roman" w:cs="Times New Roman"/>
                <w:b/>
                <w:i/>
                <w:sz w:val="16"/>
                <w:szCs w:val="16"/>
                <w:lang w:val="lv-LV"/>
              </w:rPr>
            </w:pPr>
          </w:p>
        </w:tc>
        <w:tc>
          <w:tcPr>
            <w:tcW w:w="3118" w:type="dxa"/>
            <w:tcBorders>
              <w:top w:val="single" w:sz="12" w:space="0" w:color="FFFFFF" w:themeColor="background1"/>
              <w:left w:val="thinThickSmallGap" w:sz="24" w:space="0" w:color="00642D"/>
              <w:bottom w:val="single" w:sz="12" w:space="0" w:color="FFFFFF" w:themeColor="background1"/>
              <w:right w:val="wave" w:sz="6" w:space="0" w:color="C00000"/>
            </w:tcBorders>
          </w:tcPr>
          <w:p w14:paraId="41F33D09" w14:textId="77777777" w:rsidR="00BA2102" w:rsidRPr="00DC6F66" w:rsidRDefault="00BA2102" w:rsidP="007F7446">
            <w:pPr>
              <w:keepLines/>
              <w:rPr>
                <w:rFonts w:ascii="Times New Roman" w:hAnsi="Times New Roman" w:cs="Times New Roman"/>
                <w:b/>
                <w:i/>
                <w:sz w:val="18"/>
                <w:szCs w:val="16"/>
                <w:lang w:val="lv-LV"/>
              </w:rPr>
            </w:pPr>
            <w:r w:rsidRPr="00DC6F66">
              <w:rPr>
                <w:rFonts w:ascii="Times New Roman" w:hAnsi="Times New Roman" w:cs="Times New Roman"/>
                <w:i/>
                <w:sz w:val="18"/>
                <w:szCs w:val="16"/>
                <w:lang w:val="lv-LV"/>
              </w:rPr>
              <w:t>- normatīvie atskaitījumi ir paredzēti</w:t>
            </w:r>
          </w:p>
        </w:tc>
        <w:tc>
          <w:tcPr>
            <w:tcW w:w="851" w:type="dxa"/>
            <w:tcBorders>
              <w:top w:val="wave" w:sz="6" w:space="0" w:color="C00000"/>
              <w:left w:val="wave" w:sz="6" w:space="0" w:color="C00000"/>
              <w:bottom w:val="wave" w:sz="6" w:space="0" w:color="C00000"/>
              <w:right w:val="wave" w:sz="6" w:space="0" w:color="C00000"/>
            </w:tcBorders>
          </w:tcPr>
          <w:p w14:paraId="2B7959DD" w14:textId="77777777" w:rsidR="00BA2102" w:rsidRPr="00DC6F66" w:rsidRDefault="00BA2102" w:rsidP="007F7446">
            <w:pPr>
              <w:keepLines/>
              <w:jc w:val="center"/>
              <w:rPr>
                <w:rFonts w:ascii="Times New Roman" w:hAnsi="Times New Roman" w:cs="Times New Roman"/>
                <w:b/>
                <w:i/>
                <w:sz w:val="18"/>
                <w:szCs w:val="16"/>
                <w:lang w:val="lv-LV"/>
              </w:rPr>
            </w:pPr>
          </w:p>
        </w:tc>
        <w:tc>
          <w:tcPr>
            <w:tcW w:w="4010" w:type="dxa"/>
            <w:tcBorders>
              <w:top w:val="single" w:sz="12" w:space="0" w:color="FFFFFF" w:themeColor="background1"/>
              <w:left w:val="wave" w:sz="6" w:space="0" w:color="C00000"/>
              <w:bottom w:val="single" w:sz="12" w:space="0" w:color="FFFFFF" w:themeColor="background1"/>
              <w:right w:val="single" w:sz="6" w:space="0" w:color="FFFFFF" w:themeColor="background1"/>
            </w:tcBorders>
          </w:tcPr>
          <w:p w14:paraId="697933B9" w14:textId="77777777" w:rsidR="00BA2102" w:rsidRPr="00DC6F66" w:rsidRDefault="00BA2102" w:rsidP="007F7446">
            <w:pPr>
              <w:keepLines/>
              <w:rPr>
                <w:rFonts w:ascii="Times New Roman" w:hAnsi="Times New Roman" w:cs="Times New Roman"/>
                <w:b/>
                <w:i/>
                <w:sz w:val="18"/>
                <w:szCs w:val="16"/>
                <w:lang w:val="lv-LV"/>
              </w:rPr>
            </w:pPr>
            <w:r w:rsidRPr="00DC6F66">
              <w:rPr>
                <w:rFonts w:ascii="Times New Roman" w:hAnsi="Times New Roman" w:cs="Times New Roman"/>
                <w:i/>
                <w:sz w:val="18"/>
                <w:szCs w:val="20"/>
                <w:lang w:val="lv-LV"/>
              </w:rPr>
              <w:t>- normatīvie atskaitījumi nav paredzēti</w:t>
            </w:r>
          </w:p>
        </w:tc>
      </w:tr>
    </w:tbl>
    <w:p w14:paraId="57A48210" w14:textId="77777777" w:rsidR="00383846" w:rsidRPr="00114266" w:rsidRDefault="00D5218C" w:rsidP="00114266">
      <w:pPr>
        <w:spacing w:before="12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Kaut arī Sabiedrības portfelī esošie valsts aktīvi pārsvarā ir nelieli un ar zemām vērtībām, pateicoties atsevišķu lielu objektu realizācijai</w:t>
      </w:r>
      <w:r w:rsidR="00853B82" w:rsidRPr="00114266">
        <w:rPr>
          <w:rFonts w:ascii="Times New Roman" w:hAnsi="Times New Roman"/>
          <w:color w:val="000000" w:themeColor="text1"/>
          <w:sz w:val="24"/>
        </w:rPr>
        <w:t xml:space="preserve"> un izmaiņām kārtībā, kādā tiek aprēķināti normatīvie atskaitījumi</w:t>
      </w:r>
      <w:r w:rsidRPr="00114266">
        <w:rPr>
          <w:rFonts w:ascii="Times New Roman" w:hAnsi="Times New Roman"/>
          <w:color w:val="000000" w:themeColor="text1"/>
          <w:sz w:val="24"/>
        </w:rPr>
        <w:t xml:space="preserve">, </w:t>
      </w:r>
      <w:r w:rsidR="00F01747" w:rsidRPr="00114266">
        <w:rPr>
          <w:rFonts w:ascii="Times New Roman" w:hAnsi="Times New Roman"/>
          <w:color w:val="000000" w:themeColor="text1"/>
          <w:sz w:val="24"/>
        </w:rPr>
        <w:t xml:space="preserve">Sabiedrībai ir izdevies palielināt normatīvo atskaitījumu apjomu </w:t>
      </w:r>
      <w:r w:rsidRPr="00114266">
        <w:rPr>
          <w:rFonts w:ascii="Times New Roman" w:hAnsi="Times New Roman"/>
          <w:color w:val="000000" w:themeColor="text1"/>
          <w:sz w:val="24"/>
        </w:rPr>
        <w:t>(</w:t>
      </w:r>
      <w:r w:rsidR="0040388E" w:rsidRPr="00114266">
        <w:rPr>
          <w:rFonts w:ascii="Times New Roman" w:hAnsi="Times New Roman"/>
          <w:color w:val="000000" w:themeColor="text1"/>
          <w:sz w:val="24"/>
        </w:rPr>
        <w:t>3</w:t>
      </w:r>
      <w:r w:rsidR="00820CEA" w:rsidRPr="00114266">
        <w:rPr>
          <w:rFonts w:ascii="Times New Roman" w:hAnsi="Times New Roman"/>
          <w:color w:val="000000" w:themeColor="text1"/>
          <w:sz w:val="24"/>
        </w:rPr>
        <w:t>.attēls).</w:t>
      </w:r>
    </w:p>
    <w:p w14:paraId="5D1E887C" w14:textId="5CEF7953" w:rsidR="00C50510" w:rsidRDefault="00AB75BC" w:rsidP="00383846">
      <w:pPr>
        <w:pStyle w:val="Caption"/>
        <w:keepNext/>
        <w:spacing w:before="120" w:after="40"/>
        <w:jc w:val="right"/>
        <w:rPr>
          <w:rFonts w:ascii="Times New Roman" w:hAnsi="Times New Roman" w:cs="Times New Roman"/>
          <w:color w:val="auto"/>
          <w:sz w:val="24"/>
          <w:szCs w:val="24"/>
        </w:rPr>
      </w:pPr>
      <w:r w:rsidRPr="00760FDB">
        <w:rPr>
          <w:noProof/>
          <w:lang w:eastAsia="lv-LV"/>
        </w:rPr>
        <w:drawing>
          <wp:anchor distT="0" distB="0" distL="114300" distR="114300" simplePos="0" relativeHeight="251652096" behindDoc="1" locked="0" layoutInCell="1" allowOverlap="1" wp14:anchorId="53EDD6FF" wp14:editId="4932597D">
            <wp:simplePos x="0" y="0"/>
            <wp:positionH relativeFrom="column">
              <wp:posOffset>282575</wp:posOffset>
            </wp:positionH>
            <wp:positionV relativeFrom="paragraph">
              <wp:posOffset>227330</wp:posOffset>
            </wp:positionV>
            <wp:extent cx="5546090" cy="2844165"/>
            <wp:effectExtent l="0" t="0" r="0" b="0"/>
            <wp:wrapTight wrapText="bothSides">
              <wp:wrapPolygon edited="0">
                <wp:start x="0" y="0"/>
                <wp:lineTo x="0" y="21412"/>
                <wp:lineTo x="21516" y="21412"/>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46090" cy="2844165"/>
                    </a:xfrm>
                    <a:prstGeom prst="rect">
                      <a:avLst/>
                    </a:prstGeom>
                  </pic:spPr>
                </pic:pic>
              </a:graphicData>
            </a:graphic>
            <wp14:sizeRelH relativeFrom="margin">
              <wp14:pctWidth>0</wp14:pctWidth>
            </wp14:sizeRelH>
            <wp14:sizeRelV relativeFrom="margin">
              <wp14:pctHeight>0</wp14:pctHeight>
            </wp14:sizeRelV>
          </wp:anchor>
        </w:drawing>
      </w:r>
      <w:r w:rsidR="00D5218C" w:rsidRPr="00760FDB">
        <w:rPr>
          <w:rFonts w:ascii="Times New Roman" w:hAnsi="Times New Roman" w:cs="Times New Roman"/>
          <w:b w:val="0"/>
          <w:i/>
          <w:color w:val="auto"/>
          <w:sz w:val="24"/>
          <w:szCs w:val="24"/>
        </w:rPr>
        <w:fldChar w:fldCharType="begin"/>
      </w:r>
      <w:r w:rsidR="00D5218C" w:rsidRPr="00760FDB">
        <w:rPr>
          <w:rFonts w:ascii="Times New Roman" w:hAnsi="Times New Roman" w:cs="Times New Roman"/>
          <w:b w:val="0"/>
          <w:i/>
          <w:color w:val="auto"/>
          <w:sz w:val="24"/>
          <w:szCs w:val="24"/>
        </w:rPr>
        <w:instrText xml:space="preserve"> SEQ attēls \* ARABIC </w:instrText>
      </w:r>
      <w:r w:rsidR="00D5218C" w:rsidRPr="00760FDB">
        <w:rPr>
          <w:rFonts w:ascii="Times New Roman" w:hAnsi="Times New Roman" w:cs="Times New Roman"/>
          <w:b w:val="0"/>
          <w:i/>
          <w:color w:val="auto"/>
          <w:sz w:val="24"/>
          <w:szCs w:val="24"/>
        </w:rPr>
        <w:fldChar w:fldCharType="separate"/>
      </w:r>
      <w:r w:rsidR="00CD00C1">
        <w:rPr>
          <w:rFonts w:ascii="Times New Roman" w:hAnsi="Times New Roman" w:cs="Times New Roman"/>
          <w:b w:val="0"/>
          <w:i/>
          <w:noProof/>
          <w:color w:val="auto"/>
          <w:sz w:val="24"/>
          <w:szCs w:val="24"/>
        </w:rPr>
        <w:t>3</w:t>
      </w:r>
      <w:r w:rsidR="00D5218C" w:rsidRPr="00760FDB">
        <w:rPr>
          <w:rFonts w:ascii="Times New Roman" w:hAnsi="Times New Roman" w:cs="Times New Roman"/>
          <w:b w:val="0"/>
          <w:i/>
          <w:color w:val="auto"/>
          <w:sz w:val="24"/>
          <w:szCs w:val="24"/>
        </w:rPr>
        <w:fldChar w:fldCharType="end"/>
      </w:r>
      <w:r w:rsidR="00D5218C" w:rsidRPr="00760FDB">
        <w:rPr>
          <w:rFonts w:ascii="Times New Roman" w:hAnsi="Times New Roman" w:cs="Times New Roman"/>
          <w:b w:val="0"/>
          <w:i/>
          <w:color w:val="auto"/>
          <w:sz w:val="24"/>
          <w:szCs w:val="24"/>
        </w:rPr>
        <w:t>.attēls.</w:t>
      </w:r>
      <w:r w:rsidR="00D5218C" w:rsidRPr="00760FDB">
        <w:rPr>
          <w:rFonts w:ascii="Times New Roman" w:hAnsi="Times New Roman" w:cs="Times New Roman"/>
          <w:b w:val="0"/>
          <w:color w:val="auto"/>
          <w:sz w:val="24"/>
          <w:szCs w:val="24"/>
        </w:rPr>
        <w:t xml:space="preserve"> </w:t>
      </w:r>
      <w:r w:rsidR="005023BA" w:rsidRPr="00760FDB">
        <w:rPr>
          <w:rFonts w:ascii="Times New Roman" w:hAnsi="Times New Roman" w:cs="Times New Roman"/>
          <w:color w:val="auto"/>
          <w:sz w:val="24"/>
          <w:szCs w:val="24"/>
        </w:rPr>
        <w:t>N</w:t>
      </w:r>
      <w:r w:rsidR="00D5218C" w:rsidRPr="00760FDB">
        <w:rPr>
          <w:rFonts w:ascii="Times New Roman" w:hAnsi="Times New Roman" w:cs="Times New Roman"/>
          <w:color w:val="auto"/>
          <w:sz w:val="24"/>
          <w:szCs w:val="24"/>
        </w:rPr>
        <w:t>ormatīvo atskaitījumu dinamika (tūkst.</w:t>
      </w:r>
      <w:r w:rsidR="00AE2280" w:rsidRPr="00760FDB">
        <w:rPr>
          <w:rFonts w:ascii="Times New Roman" w:hAnsi="Times New Roman" w:cs="Times New Roman"/>
          <w:color w:val="auto"/>
          <w:sz w:val="24"/>
          <w:szCs w:val="24"/>
        </w:rPr>
        <w:t xml:space="preserve"> </w:t>
      </w:r>
      <w:proofErr w:type="spellStart"/>
      <w:r w:rsidR="00D5218C" w:rsidRPr="00760FDB">
        <w:rPr>
          <w:rFonts w:ascii="Times New Roman" w:hAnsi="Times New Roman" w:cs="Times New Roman"/>
          <w:i/>
          <w:color w:val="auto"/>
          <w:sz w:val="24"/>
          <w:szCs w:val="24"/>
        </w:rPr>
        <w:t>euro</w:t>
      </w:r>
      <w:proofErr w:type="spellEnd"/>
      <w:r w:rsidR="00D5218C" w:rsidRPr="00760FDB">
        <w:rPr>
          <w:rFonts w:ascii="Times New Roman" w:hAnsi="Times New Roman" w:cs="Times New Roman"/>
          <w:color w:val="auto"/>
          <w:sz w:val="24"/>
          <w:szCs w:val="24"/>
        </w:rPr>
        <w:t>)</w:t>
      </w:r>
    </w:p>
    <w:p w14:paraId="357BA63C" w14:textId="502A9CDA" w:rsidR="00AB75BC" w:rsidRPr="00760FDB" w:rsidRDefault="00AB75BC" w:rsidP="00760FDB">
      <w:pPr>
        <w:rPr>
          <w:lang w:eastAsia="zh-CN"/>
        </w:rPr>
      </w:pPr>
    </w:p>
    <w:p w14:paraId="7766F3BB" w14:textId="77777777" w:rsidR="003A547F" w:rsidRPr="00114266" w:rsidRDefault="003A547F"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Saskaņā ar Privatizācijas likuma 6.panta trešo daļu, ienākumi no valsts īpašuma objektu privatizācijas ieskaitāmi valsts budžetā. Pirms šo ienākumu ieskaitīšanas valsts budžetā no tiem atskaita Ministru kabineta noteiktos privatizācijas izdevumus, kā arī ieskaitījumu 10% apmērā </w:t>
      </w:r>
      <w:r w:rsidRPr="00114266">
        <w:rPr>
          <w:rFonts w:ascii="Times New Roman" w:hAnsi="Times New Roman"/>
          <w:color w:val="000000" w:themeColor="text1"/>
          <w:sz w:val="24"/>
        </w:rPr>
        <w:lastRenderedPageBreak/>
        <w:t xml:space="preserve">rezerves fonda veidošanai. Atbilstoši minētā likuma 11.panta trešajai daļai, Sabiedrība ir rezerves fonda turētāja, un šī fonda līdzekļi </w:t>
      </w:r>
      <w:r w:rsidR="00F9450C" w:rsidRPr="00114266">
        <w:rPr>
          <w:rFonts w:ascii="Times New Roman" w:hAnsi="Times New Roman"/>
          <w:color w:val="000000" w:themeColor="text1"/>
          <w:sz w:val="24"/>
        </w:rPr>
        <w:t xml:space="preserve">ir </w:t>
      </w:r>
      <w:r w:rsidRPr="00114266">
        <w:rPr>
          <w:rFonts w:ascii="Times New Roman" w:hAnsi="Times New Roman"/>
          <w:color w:val="000000" w:themeColor="text1"/>
          <w:sz w:val="24"/>
        </w:rPr>
        <w:t>izmantojami valsts īpašuma privatizācijas procesa (pirkuma līgumu atcelšana, atpakaļpirkuma veikšana, nodokļu parādu kapitalizācija, denacionalizācija un citi izdevumi), privatizācijas sertifikātu piešķiršanas, dzēšanas un apgrozības procesa, valsts kapitāla daļu atsavināšanas un valsts dzīvojamo māju privatizācijas, atsavināšanas un apsaimniekošanas procesa organizatoriskajam nodrošinājumam atbilstoši Ministru kabineta noteikumiem. Papildus no rezerves fonda tiek segti izdevumi saistībā ar citu institūciju valsts pārvaldes uzdevumu veikšanu, kas vērsti uz Sabiedrības turējumā un valdījumā esošo objektu privatizācijas procesa pabeigšanu. Sabiedrības meitas sabiedrību pārvaldīšanas funkcijai normatīvie atskaitījumi nav paredzēti, un tā tiek finansēta ar Sabiedrības pamatkapitāla palielināšanu.</w:t>
      </w:r>
    </w:p>
    <w:p w14:paraId="43A14259" w14:textId="77777777" w:rsidR="00A73E86" w:rsidRDefault="00323AC3" w:rsidP="0023610B">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Privatizācijas likuma 67.panta </w:t>
      </w:r>
      <w:r w:rsidR="0004307C">
        <w:rPr>
          <w:rFonts w:ascii="Times New Roman" w:hAnsi="Times New Roman"/>
          <w:color w:val="000000" w:themeColor="text1"/>
          <w:sz w:val="24"/>
        </w:rPr>
        <w:t>piektā daļa</w:t>
      </w:r>
      <w:r>
        <w:rPr>
          <w:rFonts w:ascii="Times New Roman" w:hAnsi="Times New Roman"/>
          <w:color w:val="000000" w:themeColor="text1"/>
          <w:sz w:val="24"/>
        </w:rPr>
        <w:t xml:space="preserve"> paredz, ka n</w:t>
      </w:r>
      <w:r w:rsidRPr="00323AC3">
        <w:rPr>
          <w:rFonts w:ascii="Times New Roman" w:hAnsi="Times New Roman"/>
          <w:color w:val="000000" w:themeColor="text1"/>
          <w:sz w:val="24"/>
        </w:rPr>
        <w:t xml:space="preserve">o līdzekļiem, kas ieskaitīti valsts pamatbudžetā saskaņā ar gadskārtējo valsts budžeta likumu, </w:t>
      </w:r>
      <w:r>
        <w:rPr>
          <w:rFonts w:ascii="Times New Roman" w:hAnsi="Times New Roman"/>
          <w:color w:val="000000" w:themeColor="text1"/>
          <w:sz w:val="24"/>
        </w:rPr>
        <w:t>Sabiedrība</w:t>
      </w:r>
      <w:r w:rsidRPr="00323AC3">
        <w:rPr>
          <w:rFonts w:ascii="Times New Roman" w:hAnsi="Times New Roman"/>
          <w:color w:val="000000" w:themeColor="text1"/>
          <w:sz w:val="24"/>
        </w:rPr>
        <w:t xml:space="preserve"> saņem dotāciju no vispā</w:t>
      </w:r>
      <w:r>
        <w:rPr>
          <w:rFonts w:ascii="Times New Roman" w:hAnsi="Times New Roman"/>
          <w:color w:val="000000" w:themeColor="text1"/>
          <w:sz w:val="24"/>
        </w:rPr>
        <w:t xml:space="preserve">rējiem ieņēmumiem un to izmanto </w:t>
      </w:r>
      <w:r w:rsidRPr="00323AC3">
        <w:rPr>
          <w:rFonts w:ascii="Times New Roman" w:hAnsi="Times New Roman"/>
          <w:color w:val="000000" w:themeColor="text1"/>
          <w:sz w:val="24"/>
        </w:rPr>
        <w:t>dzīvojamo māju priv</w:t>
      </w:r>
      <w:r>
        <w:rPr>
          <w:rFonts w:ascii="Times New Roman" w:hAnsi="Times New Roman"/>
          <w:color w:val="000000" w:themeColor="text1"/>
          <w:sz w:val="24"/>
        </w:rPr>
        <w:t xml:space="preserve">atizācijas procesa finansēšanai, </w:t>
      </w:r>
      <w:r w:rsidRPr="00323AC3">
        <w:rPr>
          <w:rFonts w:ascii="Times New Roman" w:hAnsi="Times New Roman"/>
          <w:color w:val="000000" w:themeColor="text1"/>
          <w:sz w:val="24"/>
        </w:rPr>
        <w:t xml:space="preserve">dzīvojamo māju uzturēšanai </w:t>
      </w:r>
      <w:r>
        <w:rPr>
          <w:rFonts w:ascii="Times New Roman" w:hAnsi="Times New Roman"/>
          <w:color w:val="000000" w:themeColor="text1"/>
          <w:sz w:val="24"/>
        </w:rPr>
        <w:t xml:space="preserve">to privatizācijas procesa laikā, </w:t>
      </w:r>
      <w:r w:rsidRPr="00323AC3">
        <w:rPr>
          <w:rFonts w:ascii="Times New Roman" w:hAnsi="Times New Roman"/>
          <w:color w:val="000000" w:themeColor="text1"/>
          <w:sz w:val="24"/>
        </w:rPr>
        <w:t>privatizēto dzīvojamo māju uzturēšanas un</w:t>
      </w:r>
      <w:r>
        <w:rPr>
          <w:rFonts w:ascii="Times New Roman" w:hAnsi="Times New Roman"/>
          <w:color w:val="000000" w:themeColor="text1"/>
          <w:sz w:val="24"/>
        </w:rPr>
        <w:t xml:space="preserve"> apsaimniekošanas organizēšanai u.c. </w:t>
      </w:r>
      <w:r w:rsidRPr="00323AC3">
        <w:rPr>
          <w:rFonts w:ascii="Times New Roman" w:hAnsi="Times New Roman"/>
          <w:color w:val="000000" w:themeColor="text1"/>
          <w:sz w:val="24"/>
        </w:rPr>
        <w:t>funkciju veikšanai.</w:t>
      </w:r>
      <w:r w:rsidR="009C18CF">
        <w:rPr>
          <w:rFonts w:ascii="Times New Roman" w:hAnsi="Times New Roman"/>
          <w:color w:val="000000" w:themeColor="text1"/>
          <w:sz w:val="24"/>
        </w:rPr>
        <w:t xml:space="preserve"> Likuma “Par privatizācijas sertifikātiem” 3.</w:t>
      </w:r>
      <w:r w:rsidR="009C18CF" w:rsidRPr="007C6062">
        <w:rPr>
          <w:rFonts w:ascii="Times New Roman" w:hAnsi="Times New Roman"/>
          <w:color w:val="000000" w:themeColor="text1"/>
          <w:sz w:val="24"/>
          <w:vertAlign w:val="superscript"/>
        </w:rPr>
        <w:t>1</w:t>
      </w:r>
      <w:r w:rsidR="009C18CF">
        <w:rPr>
          <w:rFonts w:ascii="Times New Roman" w:hAnsi="Times New Roman"/>
          <w:color w:val="000000" w:themeColor="text1"/>
          <w:sz w:val="24"/>
        </w:rPr>
        <w:t xml:space="preserve"> panta otrajā daļā ir noteikts, ka i</w:t>
      </w:r>
      <w:r w:rsidR="009C18CF" w:rsidRPr="009C18CF">
        <w:rPr>
          <w:rFonts w:ascii="Times New Roman" w:hAnsi="Times New Roman"/>
          <w:color w:val="000000" w:themeColor="text1"/>
          <w:sz w:val="24"/>
        </w:rPr>
        <w:t xml:space="preserve">zdevumi, kas saistīti ar deleģēto valsts pārvaldes uzdevumu </w:t>
      </w:r>
      <w:r w:rsidR="00746002">
        <w:rPr>
          <w:rFonts w:ascii="Times New Roman" w:hAnsi="Times New Roman"/>
          <w:color w:val="000000" w:themeColor="text1"/>
          <w:sz w:val="24"/>
        </w:rPr>
        <w:t>- p</w:t>
      </w:r>
      <w:r w:rsidR="00746002" w:rsidRPr="00746002">
        <w:rPr>
          <w:rFonts w:ascii="Times New Roman" w:hAnsi="Times New Roman"/>
          <w:color w:val="000000" w:themeColor="text1"/>
          <w:sz w:val="24"/>
        </w:rPr>
        <w:t>rivatizācijas sertifikātu kontu apkalpošana un aprites adm</w:t>
      </w:r>
      <w:r w:rsidR="00746002">
        <w:rPr>
          <w:rFonts w:ascii="Times New Roman" w:hAnsi="Times New Roman"/>
          <w:color w:val="000000" w:themeColor="text1"/>
          <w:sz w:val="24"/>
        </w:rPr>
        <w:t>inistrēšana</w:t>
      </w:r>
      <w:r w:rsidR="00746002" w:rsidRPr="00746002">
        <w:rPr>
          <w:rFonts w:ascii="Times New Roman" w:hAnsi="Times New Roman"/>
          <w:color w:val="000000" w:themeColor="text1"/>
          <w:sz w:val="24"/>
        </w:rPr>
        <w:t xml:space="preserve"> </w:t>
      </w:r>
      <w:r w:rsidR="00746002">
        <w:rPr>
          <w:rFonts w:ascii="Times New Roman" w:hAnsi="Times New Roman"/>
          <w:color w:val="000000" w:themeColor="text1"/>
          <w:sz w:val="24"/>
        </w:rPr>
        <w:t xml:space="preserve">- </w:t>
      </w:r>
      <w:r w:rsidR="009C18CF" w:rsidRPr="009C18CF">
        <w:rPr>
          <w:rFonts w:ascii="Times New Roman" w:hAnsi="Times New Roman"/>
          <w:color w:val="000000" w:themeColor="text1"/>
          <w:sz w:val="24"/>
        </w:rPr>
        <w:t xml:space="preserve">izpildi, Ministru kabineta noteiktajā kārtībā tiek segti no ieņēmumiem par privatizācijas sertifikātu konta apkalpošanu un rezerves fonda līdzekļiem, kas izveidots, pamatojoties uz </w:t>
      </w:r>
      <w:r w:rsidR="00746002">
        <w:rPr>
          <w:rFonts w:ascii="Times New Roman" w:hAnsi="Times New Roman"/>
          <w:color w:val="000000" w:themeColor="text1"/>
          <w:sz w:val="24"/>
        </w:rPr>
        <w:t>Privatizācijas likumu</w:t>
      </w:r>
      <w:r w:rsidR="009C18CF" w:rsidRPr="009C18CF">
        <w:rPr>
          <w:rFonts w:ascii="Times New Roman" w:hAnsi="Times New Roman"/>
          <w:color w:val="000000" w:themeColor="text1"/>
          <w:sz w:val="24"/>
        </w:rPr>
        <w:t>.</w:t>
      </w:r>
    </w:p>
    <w:p w14:paraId="1C7B1C16" w14:textId="30A7E702" w:rsidR="001819E3" w:rsidRDefault="00853B82" w:rsidP="003763C3">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Līdz šim izdevumi saistībā ar konkrētu valsts pārvaldes uzdevumu izpildi (dzīvokļu īpašumu privatizācija, atsavināšana, pārvaldība un privatizācijas sertifikātu apkalpošana) tika segti no Sabiedrības rezerves fonda un ne no valsts budžeta</w:t>
      </w:r>
      <w:r w:rsidR="00C24550">
        <w:rPr>
          <w:rFonts w:ascii="Times New Roman" w:hAnsi="Times New Roman"/>
          <w:color w:val="000000" w:themeColor="text1"/>
          <w:sz w:val="24"/>
        </w:rPr>
        <w:t xml:space="preserve"> līdzekļiem</w:t>
      </w:r>
      <w:r w:rsidRPr="00114266">
        <w:rPr>
          <w:rFonts w:ascii="Times New Roman" w:hAnsi="Times New Roman"/>
          <w:color w:val="000000" w:themeColor="text1"/>
          <w:sz w:val="24"/>
        </w:rPr>
        <w:t xml:space="preserve">. </w:t>
      </w:r>
      <w:r w:rsidR="00C24550" w:rsidRPr="00C24550">
        <w:rPr>
          <w:rFonts w:ascii="Times New Roman" w:hAnsi="Times New Roman"/>
          <w:color w:val="000000" w:themeColor="text1"/>
          <w:sz w:val="24"/>
        </w:rPr>
        <w:t>Kopumā, lielākās izmaksu pozīcijas Sabiedrībai ir saistītas ar valsts īpašuma objektu privatizācijas procesu saistīto izdevumu segšanu, valsts dzīvojamo māju privatizāciju, apsaimniekošanas un atsavināšanas procesa izmaksu segšanu, kā arī maksājumiem citām institūcijām.</w:t>
      </w:r>
      <w:r w:rsidR="00C24550">
        <w:rPr>
          <w:rFonts w:ascii="Times New Roman" w:hAnsi="Times New Roman"/>
          <w:color w:val="000000" w:themeColor="text1"/>
          <w:sz w:val="24"/>
        </w:rPr>
        <w:t xml:space="preserve"> </w:t>
      </w:r>
      <w:r w:rsidR="00162C93">
        <w:rPr>
          <w:rFonts w:ascii="Times New Roman" w:hAnsi="Times New Roman"/>
          <w:color w:val="000000" w:themeColor="text1"/>
          <w:sz w:val="24"/>
        </w:rPr>
        <w:t xml:space="preserve">Pārskats par </w:t>
      </w:r>
      <w:r w:rsidR="00453B3D">
        <w:rPr>
          <w:rFonts w:ascii="Times New Roman" w:hAnsi="Times New Roman"/>
          <w:color w:val="000000" w:themeColor="text1"/>
          <w:sz w:val="24"/>
        </w:rPr>
        <w:t>zaudējumiem, kas Sabiedrībai radušies</w:t>
      </w:r>
      <w:r w:rsidR="00162C93" w:rsidRPr="00162C93">
        <w:rPr>
          <w:rFonts w:ascii="Times New Roman" w:hAnsi="Times New Roman"/>
          <w:color w:val="000000" w:themeColor="text1"/>
          <w:sz w:val="24"/>
        </w:rPr>
        <w:t xml:space="preserve"> </w:t>
      </w:r>
      <w:r w:rsidR="00453B3D">
        <w:rPr>
          <w:rFonts w:ascii="Times New Roman" w:hAnsi="Times New Roman"/>
          <w:color w:val="000000" w:themeColor="text1"/>
          <w:sz w:val="24"/>
        </w:rPr>
        <w:t xml:space="preserve">laika periodā no 2014.līdz 2016.gadam </w:t>
      </w:r>
      <w:r w:rsidR="00C24550">
        <w:rPr>
          <w:rFonts w:ascii="Times New Roman" w:hAnsi="Times New Roman"/>
          <w:color w:val="000000" w:themeColor="text1"/>
          <w:sz w:val="24"/>
        </w:rPr>
        <w:t>saistībā ar šo divu valsts pārvaldes uzdevumu izpildi</w:t>
      </w:r>
      <w:r w:rsidR="00453B3D">
        <w:rPr>
          <w:rFonts w:ascii="Times New Roman" w:hAnsi="Times New Roman"/>
          <w:color w:val="000000" w:themeColor="text1"/>
          <w:sz w:val="24"/>
        </w:rPr>
        <w:t xml:space="preserve"> un</w:t>
      </w:r>
      <w:r w:rsidR="00162C93">
        <w:rPr>
          <w:rFonts w:ascii="Times New Roman" w:hAnsi="Times New Roman"/>
          <w:color w:val="000000" w:themeColor="text1"/>
          <w:sz w:val="24"/>
        </w:rPr>
        <w:t xml:space="preserve"> kas </w:t>
      </w:r>
      <w:r w:rsidR="00C24550">
        <w:rPr>
          <w:rFonts w:ascii="Times New Roman" w:hAnsi="Times New Roman"/>
          <w:color w:val="000000" w:themeColor="text1"/>
          <w:sz w:val="24"/>
        </w:rPr>
        <w:t xml:space="preserve">līdz šim </w:t>
      </w:r>
      <w:r w:rsidR="00162C93">
        <w:rPr>
          <w:rFonts w:ascii="Times New Roman" w:hAnsi="Times New Roman"/>
          <w:color w:val="000000" w:themeColor="text1"/>
          <w:sz w:val="24"/>
        </w:rPr>
        <w:t>segt</w:t>
      </w:r>
      <w:r w:rsidR="00746002">
        <w:rPr>
          <w:rFonts w:ascii="Times New Roman" w:hAnsi="Times New Roman"/>
          <w:color w:val="000000" w:themeColor="text1"/>
          <w:sz w:val="24"/>
        </w:rPr>
        <w:t>i</w:t>
      </w:r>
      <w:r w:rsidR="00162C93">
        <w:rPr>
          <w:rFonts w:ascii="Times New Roman" w:hAnsi="Times New Roman"/>
          <w:color w:val="000000" w:themeColor="text1"/>
          <w:sz w:val="24"/>
        </w:rPr>
        <w:t xml:space="preserve"> no Sabiedrības turējumā esošā rezerves fonda</w:t>
      </w:r>
      <w:r w:rsidR="00C24550">
        <w:rPr>
          <w:rFonts w:ascii="Times New Roman" w:hAnsi="Times New Roman"/>
          <w:color w:val="000000" w:themeColor="text1"/>
          <w:sz w:val="24"/>
        </w:rPr>
        <w:t>,</w:t>
      </w:r>
      <w:r w:rsidR="00162C93">
        <w:rPr>
          <w:rFonts w:ascii="Times New Roman" w:hAnsi="Times New Roman"/>
          <w:color w:val="000000" w:themeColor="text1"/>
          <w:sz w:val="24"/>
        </w:rPr>
        <w:t xml:space="preserve"> </w:t>
      </w:r>
      <w:r w:rsidR="00746002">
        <w:rPr>
          <w:rFonts w:ascii="Times New Roman" w:hAnsi="Times New Roman"/>
          <w:color w:val="000000" w:themeColor="text1"/>
          <w:sz w:val="24"/>
        </w:rPr>
        <w:t>sniegt</w:t>
      </w:r>
      <w:r w:rsidR="00162C93">
        <w:rPr>
          <w:rFonts w:ascii="Times New Roman" w:hAnsi="Times New Roman"/>
          <w:color w:val="000000" w:themeColor="text1"/>
          <w:sz w:val="24"/>
        </w:rPr>
        <w:t>s 4.attēlā.</w:t>
      </w:r>
    </w:p>
    <w:p w14:paraId="39F143F8" w14:textId="191F006C" w:rsidR="00E10CF2" w:rsidRDefault="00204F01" w:rsidP="00DF07AF">
      <w:pPr>
        <w:pStyle w:val="Caption"/>
        <w:jc w:val="right"/>
        <w:rPr>
          <w:rFonts w:ascii="Times New Roman" w:hAnsi="Times New Roman" w:cs="Times New Roman"/>
          <w:color w:val="auto"/>
          <w:sz w:val="24"/>
          <w:szCs w:val="24"/>
        </w:rPr>
      </w:pPr>
      <w:r>
        <w:rPr>
          <w:noProof/>
          <w:lang w:eastAsia="lv-LV"/>
        </w:rPr>
        <w:drawing>
          <wp:anchor distT="0" distB="0" distL="114300" distR="114300" simplePos="0" relativeHeight="251677696" behindDoc="1" locked="0" layoutInCell="1" allowOverlap="1" wp14:anchorId="09AE3567" wp14:editId="2B9FF2DE">
            <wp:simplePos x="0" y="0"/>
            <wp:positionH relativeFrom="column">
              <wp:posOffset>231967</wp:posOffset>
            </wp:positionH>
            <wp:positionV relativeFrom="paragraph">
              <wp:posOffset>436180</wp:posOffset>
            </wp:positionV>
            <wp:extent cx="5553075" cy="3139440"/>
            <wp:effectExtent l="0" t="0" r="9525" b="3810"/>
            <wp:wrapTight wrapText="bothSides">
              <wp:wrapPolygon edited="0">
                <wp:start x="0" y="0"/>
                <wp:lineTo x="0" y="21495"/>
                <wp:lineTo x="21563" y="21495"/>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53075" cy="3139440"/>
                    </a:xfrm>
                    <a:prstGeom prst="rect">
                      <a:avLst/>
                    </a:prstGeom>
                  </pic:spPr>
                </pic:pic>
              </a:graphicData>
            </a:graphic>
            <wp14:sizeRelH relativeFrom="margin">
              <wp14:pctWidth>0</wp14:pctWidth>
            </wp14:sizeRelH>
            <wp14:sizeRelV relativeFrom="margin">
              <wp14:pctHeight>0</wp14:pctHeight>
            </wp14:sizeRelV>
          </wp:anchor>
        </w:drawing>
      </w:r>
      <w:r w:rsidR="00E10CF2" w:rsidRPr="004B7299">
        <w:rPr>
          <w:rFonts w:ascii="Times New Roman" w:hAnsi="Times New Roman" w:cs="Times New Roman"/>
          <w:b w:val="0"/>
          <w:i/>
          <w:color w:val="auto"/>
          <w:sz w:val="24"/>
          <w:szCs w:val="24"/>
        </w:rPr>
        <w:fldChar w:fldCharType="begin"/>
      </w:r>
      <w:r w:rsidR="00E10CF2" w:rsidRPr="004B7299">
        <w:rPr>
          <w:rFonts w:ascii="Times New Roman" w:hAnsi="Times New Roman" w:cs="Times New Roman"/>
          <w:b w:val="0"/>
          <w:i/>
          <w:color w:val="auto"/>
          <w:sz w:val="24"/>
          <w:szCs w:val="24"/>
        </w:rPr>
        <w:instrText xml:space="preserve"> SEQ attēls \* ARABIC </w:instrText>
      </w:r>
      <w:r w:rsidR="00E10CF2" w:rsidRPr="004B7299">
        <w:rPr>
          <w:rFonts w:ascii="Times New Roman" w:hAnsi="Times New Roman" w:cs="Times New Roman"/>
          <w:b w:val="0"/>
          <w:i/>
          <w:color w:val="auto"/>
          <w:sz w:val="24"/>
          <w:szCs w:val="24"/>
        </w:rPr>
        <w:fldChar w:fldCharType="separate"/>
      </w:r>
      <w:r w:rsidR="00CD00C1">
        <w:rPr>
          <w:rFonts w:ascii="Times New Roman" w:hAnsi="Times New Roman" w:cs="Times New Roman"/>
          <w:b w:val="0"/>
          <w:i/>
          <w:noProof/>
          <w:color w:val="auto"/>
          <w:sz w:val="24"/>
          <w:szCs w:val="24"/>
        </w:rPr>
        <w:t>4</w:t>
      </w:r>
      <w:r w:rsidR="00E10CF2" w:rsidRPr="004B7299">
        <w:rPr>
          <w:rFonts w:ascii="Times New Roman" w:hAnsi="Times New Roman" w:cs="Times New Roman"/>
          <w:b w:val="0"/>
          <w:i/>
          <w:color w:val="auto"/>
          <w:sz w:val="24"/>
          <w:szCs w:val="24"/>
        </w:rPr>
        <w:fldChar w:fldCharType="end"/>
      </w:r>
      <w:r w:rsidR="00E10CF2" w:rsidRPr="004B7299">
        <w:rPr>
          <w:rFonts w:ascii="Times New Roman" w:hAnsi="Times New Roman" w:cs="Times New Roman"/>
          <w:b w:val="0"/>
          <w:i/>
          <w:color w:val="auto"/>
          <w:sz w:val="24"/>
          <w:szCs w:val="24"/>
        </w:rPr>
        <w:t>.attēls.</w:t>
      </w:r>
      <w:r w:rsidR="00E10CF2" w:rsidRPr="004B7299">
        <w:rPr>
          <w:rFonts w:ascii="Times New Roman" w:hAnsi="Times New Roman" w:cs="Times New Roman"/>
          <w:color w:val="auto"/>
          <w:sz w:val="24"/>
          <w:szCs w:val="24"/>
        </w:rPr>
        <w:t xml:space="preserve"> </w:t>
      </w:r>
      <w:r w:rsidR="00E10CF2" w:rsidRPr="004E29AB">
        <w:rPr>
          <w:rFonts w:ascii="Times New Roman" w:hAnsi="Times New Roman" w:cs="Times New Roman"/>
          <w:color w:val="auto"/>
          <w:sz w:val="24"/>
          <w:szCs w:val="24"/>
        </w:rPr>
        <w:t xml:space="preserve">Ar </w:t>
      </w:r>
      <w:r w:rsidR="00453B3D" w:rsidRPr="004E29AB">
        <w:rPr>
          <w:rFonts w:ascii="Times New Roman" w:hAnsi="Times New Roman" w:cs="Times New Roman"/>
          <w:color w:val="auto"/>
          <w:sz w:val="24"/>
          <w:szCs w:val="24"/>
        </w:rPr>
        <w:t xml:space="preserve">divu </w:t>
      </w:r>
      <w:r w:rsidR="00E10CF2" w:rsidRPr="009028DA">
        <w:rPr>
          <w:rFonts w:ascii="Times New Roman" w:hAnsi="Times New Roman" w:cs="Times New Roman"/>
          <w:color w:val="auto"/>
          <w:sz w:val="24"/>
          <w:szCs w:val="24"/>
        </w:rPr>
        <w:t xml:space="preserve">valsts pārvaldes uzdevumu </w:t>
      </w:r>
      <w:r w:rsidR="002D363C" w:rsidRPr="009028DA">
        <w:rPr>
          <w:rFonts w:ascii="Times New Roman" w:hAnsi="Times New Roman" w:cs="Times New Roman"/>
          <w:color w:val="auto"/>
          <w:sz w:val="24"/>
          <w:szCs w:val="24"/>
        </w:rPr>
        <w:t xml:space="preserve">(dzīvokļu īpašumu privatizācija un atsavināšana, privatizācijas sertifikātu aprite) </w:t>
      </w:r>
      <w:r w:rsidR="00E10CF2" w:rsidRPr="009028DA">
        <w:rPr>
          <w:rFonts w:ascii="Times New Roman" w:hAnsi="Times New Roman" w:cs="Times New Roman"/>
          <w:color w:val="auto"/>
          <w:sz w:val="24"/>
          <w:szCs w:val="24"/>
        </w:rPr>
        <w:t>izpildi saistīt</w:t>
      </w:r>
      <w:r w:rsidR="00453B3D" w:rsidRPr="009028DA">
        <w:rPr>
          <w:rFonts w:ascii="Times New Roman" w:hAnsi="Times New Roman" w:cs="Times New Roman"/>
          <w:color w:val="auto"/>
          <w:sz w:val="24"/>
          <w:szCs w:val="24"/>
        </w:rPr>
        <w:t xml:space="preserve">ie zaudējumi </w:t>
      </w:r>
      <w:r w:rsidR="00E10CF2" w:rsidRPr="00DF07AF">
        <w:rPr>
          <w:rFonts w:ascii="Times New Roman" w:hAnsi="Times New Roman" w:cs="Times New Roman"/>
          <w:color w:val="auto"/>
          <w:sz w:val="24"/>
          <w:szCs w:val="24"/>
        </w:rPr>
        <w:t>(tūkst.</w:t>
      </w:r>
      <w:r w:rsidR="00044B2D">
        <w:rPr>
          <w:rFonts w:ascii="Times New Roman" w:hAnsi="Times New Roman" w:cs="Times New Roman"/>
          <w:color w:val="auto"/>
          <w:sz w:val="24"/>
          <w:szCs w:val="24"/>
        </w:rPr>
        <w:t xml:space="preserve"> </w:t>
      </w:r>
      <w:proofErr w:type="spellStart"/>
      <w:r w:rsidR="00E10CF2" w:rsidRPr="00636902">
        <w:rPr>
          <w:rFonts w:ascii="Times New Roman" w:hAnsi="Times New Roman" w:cs="Times New Roman"/>
          <w:i/>
          <w:color w:val="auto"/>
          <w:sz w:val="24"/>
          <w:szCs w:val="24"/>
        </w:rPr>
        <w:t>euro</w:t>
      </w:r>
      <w:proofErr w:type="spellEnd"/>
      <w:r w:rsidR="00E10CF2" w:rsidRPr="00DF07AF">
        <w:rPr>
          <w:rFonts w:ascii="Times New Roman" w:hAnsi="Times New Roman" w:cs="Times New Roman"/>
          <w:color w:val="auto"/>
          <w:sz w:val="24"/>
          <w:szCs w:val="24"/>
        </w:rPr>
        <w:t>)</w:t>
      </w:r>
    </w:p>
    <w:p w14:paraId="5150088D" w14:textId="77777777" w:rsidR="003763C3" w:rsidRDefault="003763C3" w:rsidP="00204F01">
      <w:pPr>
        <w:rPr>
          <w:lang w:eastAsia="zh-CN"/>
        </w:rPr>
      </w:pPr>
    </w:p>
    <w:p w14:paraId="77C961F9" w14:textId="45E0B288" w:rsidR="00462DFC" w:rsidRDefault="001819E3" w:rsidP="004B7299">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lastRenderedPageBreak/>
        <w:t>J</w:t>
      </w:r>
      <w:r w:rsidR="00462DFC">
        <w:rPr>
          <w:rFonts w:ascii="Times New Roman" w:hAnsi="Times New Roman"/>
          <w:color w:val="000000" w:themeColor="text1"/>
          <w:sz w:val="24"/>
        </w:rPr>
        <w:t xml:space="preserve">āatzīmē, ka 2016.gadā ar </w:t>
      </w:r>
      <w:r w:rsidR="00462DFC" w:rsidRPr="00462DFC">
        <w:rPr>
          <w:rFonts w:ascii="Times New Roman" w:hAnsi="Times New Roman"/>
          <w:color w:val="000000" w:themeColor="text1"/>
          <w:sz w:val="24"/>
        </w:rPr>
        <w:t>dzīvokļu īpašumu privatizācij</w:t>
      </w:r>
      <w:r w:rsidR="00462DFC">
        <w:rPr>
          <w:rFonts w:ascii="Times New Roman" w:hAnsi="Times New Roman"/>
          <w:color w:val="000000" w:themeColor="text1"/>
          <w:sz w:val="24"/>
        </w:rPr>
        <w:t xml:space="preserve">u, atsavināšanu un pārvaldību saistītā valsts pārvaldes uzdevuma </w:t>
      </w:r>
      <w:r w:rsidR="00746002">
        <w:rPr>
          <w:rFonts w:ascii="Times New Roman" w:hAnsi="Times New Roman"/>
          <w:color w:val="000000" w:themeColor="text1"/>
          <w:sz w:val="24"/>
        </w:rPr>
        <w:t xml:space="preserve">izpildes </w:t>
      </w:r>
      <w:r w:rsidR="00162C93">
        <w:rPr>
          <w:rFonts w:ascii="Times New Roman" w:hAnsi="Times New Roman"/>
          <w:color w:val="000000" w:themeColor="text1"/>
          <w:sz w:val="24"/>
        </w:rPr>
        <w:t>faktisk</w:t>
      </w:r>
      <w:r w:rsidR="00453B3D">
        <w:rPr>
          <w:rFonts w:ascii="Times New Roman" w:hAnsi="Times New Roman"/>
          <w:color w:val="000000" w:themeColor="text1"/>
          <w:sz w:val="24"/>
        </w:rPr>
        <w:t>ie</w:t>
      </w:r>
      <w:r w:rsidR="00162C93">
        <w:rPr>
          <w:rFonts w:ascii="Times New Roman" w:hAnsi="Times New Roman"/>
          <w:color w:val="000000" w:themeColor="text1"/>
          <w:sz w:val="24"/>
        </w:rPr>
        <w:t xml:space="preserve"> </w:t>
      </w:r>
      <w:r w:rsidR="00453B3D">
        <w:rPr>
          <w:rFonts w:ascii="Times New Roman" w:hAnsi="Times New Roman"/>
          <w:color w:val="000000" w:themeColor="text1"/>
          <w:sz w:val="24"/>
        </w:rPr>
        <w:t>zaudējumi</w:t>
      </w:r>
      <w:r w:rsidR="00162C93">
        <w:rPr>
          <w:rFonts w:ascii="Times New Roman" w:hAnsi="Times New Roman"/>
          <w:color w:val="000000" w:themeColor="text1"/>
          <w:sz w:val="24"/>
        </w:rPr>
        <w:t xml:space="preserve">, salīdzinot ar iepriekšējiem diviem gadiem, bija </w:t>
      </w:r>
      <w:r w:rsidR="00462DFC">
        <w:rPr>
          <w:rFonts w:ascii="Times New Roman" w:hAnsi="Times New Roman"/>
          <w:color w:val="000000" w:themeColor="text1"/>
          <w:sz w:val="24"/>
        </w:rPr>
        <w:t xml:space="preserve">ievērojami </w:t>
      </w:r>
      <w:r w:rsidR="00162C93">
        <w:rPr>
          <w:rFonts w:ascii="Times New Roman" w:hAnsi="Times New Roman"/>
          <w:color w:val="000000" w:themeColor="text1"/>
          <w:sz w:val="24"/>
        </w:rPr>
        <w:t>mazāk</w:t>
      </w:r>
      <w:r w:rsidR="00453B3D">
        <w:rPr>
          <w:rFonts w:ascii="Times New Roman" w:hAnsi="Times New Roman"/>
          <w:color w:val="000000" w:themeColor="text1"/>
          <w:sz w:val="24"/>
        </w:rPr>
        <w:t>i</w:t>
      </w:r>
      <w:r w:rsidR="00462DFC">
        <w:rPr>
          <w:rFonts w:ascii="Times New Roman" w:hAnsi="Times New Roman"/>
          <w:color w:val="000000" w:themeColor="text1"/>
          <w:sz w:val="24"/>
        </w:rPr>
        <w:t>, jo tika īstenots</w:t>
      </w:r>
      <w:r w:rsidR="00162C93">
        <w:rPr>
          <w:rFonts w:ascii="Times New Roman" w:hAnsi="Times New Roman"/>
          <w:color w:val="000000" w:themeColor="text1"/>
          <w:sz w:val="24"/>
        </w:rPr>
        <w:t xml:space="preserve"> vien</w:t>
      </w:r>
      <w:r w:rsidR="00462DFC">
        <w:rPr>
          <w:rFonts w:ascii="Times New Roman" w:hAnsi="Times New Roman"/>
          <w:color w:val="000000" w:themeColor="text1"/>
          <w:sz w:val="24"/>
        </w:rPr>
        <w:t>s</w:t>
      </w:r>
      <w:r w:rsidR="00162C93">
        <w:rPr>
          <w:rFonts w:ascii="Times New Roman" w:hAnsi="Times New Roman"/>
          <w:color w:val="000000" w:themeColor="text1"/>
          <w:sz w:val="24"/>
        </w:rPr>
        <w:t xml:space="preserve"> vērienīg</w:t>
      </w:r>
      <w:r w:rsidR="00462DFC">
        <w:rPr>
          <w:rFonts w:ascii="Times New Roman" w:hAnsi="Times New Roman"/>
          <w:color w:val="000000" w:themeColor="text1"/>
          <w:sz w:val="24"/>
        </w:rPr>
        <w:t>s</w:t>
      </w:r>
      <w:r w:rsidR="00C24550">
        <w:rPr>
          <w:rFonts w:ascii="Times New Roman" w:hAnsi="Times New Roman"/>
          <w:color w:val="000000" w:themeColor="text1"/>
          <w:sz w:val="24"/>
        </w:rPr>
        <w:t xml:space="preserve"> (Sabiedrības portfeļa sastāvam netipisks)</w:t>
      </w:r>
      <w:r w:rsidR="00162C93">
        <w:rPr>
          <w:rFonts w:ascii="Times New Roman" w:hAnsi="Times New Roman"/>
          <w:color w:val="000000" w:themeColor="text1"/>
          <w:sz w:val="24"/>
        </w:rPr>
        <w:t xml:space="preserve"> darījum</w:t>
      </w:r>
      <w:r w:rsidR="00462DFC">
        <w:rPr>
          <w:rFonts w:ascii="Times New Roman" w:hAnsi="Times New Roman"/>
          <w:color w:val="000000" w:themeColor="text1"/>
          <w:sz w:val="24"/>
        </w:rPr>
        <w:t>s</w:t>
      </w:r>
      <w:r w:rsidR="00162C93">
        <w:rPr>
          <w:rFonts w:ascii="Times New Roman" w:hAnsi="Times New Roman"/>
          <w:color w:val="000000" w:themeColor="text1"/>
          <w:sz w:val="24"/>
        </w:rPr>
        <w:t xml:space="preserve"> – </w:t>
      </w:r>
      <w:r w:rsidR="00462DFC">
        <w:rPr>
          <w:rFonts w:ascii="Times New Roman" w:hAnsi="Times New Roman"/>
          <w:color w:val="000000" w:themeColor="text1"/>
          <w:sz w:val="24"/>
        </w:rPr>
        <w:t xml:space="preserve">izsolē par 680 tūkst. </w:t>
      </w:r>
      <w:proofErr w:type="spellStart"/>
      <w:r w:rsidR="00462DFC" w:rsidRPr="005B5ED9">
        <w:rPr>
          <w:rFonts w:ascii="Times New Roman" w:hAnsi="Times New Roman"/>
          <w:i/>
          <w:color w:val="000000" w:themeColor="text1"/>
          <w:sz w:val="24"/>
        </w:rPr>
        <w:t>euro</w:t>
      </w:r>
      <w:proofErr w:type="spellEnd"/>
      <w:r w:rsidR="00462DFC">
        <w:rPr>
          <w:rFonts w:ascii="Times New Roman" w:hAnsi="Times New Roman"/>
          <w:color w:val="000000" w:themeColor="text1"/>
          <w:sz w:val="24"/>
        </w:rPr>
        <w:t xml:space="preserve"> tika pārdota</w:t>
      </w:r>
      <w:r w:rsidR="00C24550">
        <w:rPr>
          <w:rFonts w:ascii="Times New Roman" w:hAnsi="Times New Roman"/>
          <w:color w:val="000000" w:themeColor="text1"/>
          <w:sz w:val="24"/>
        </w:rPr>
        <w:t>s</w:t>
      </w:r>
      <w:r w:rsidR="00462DFC">
        <w:rPr>
          <w:rFonts w:ascii="Times New Roman" w:hAnsi="Times New Roman"/>
          <w:color w:val="000000" w:themeColor="text1"/>
          <w:sz w:val="24"/>
        </w:rPr>
        <w:t xml:space="preserve"> </w:t>
      </w:r>
      <w:r w:rsidR="00162C93">
        <w:rPr>
          <w:rFonts w:ascii="Times New Roman" w:hAnsi="Times New Roman"/>
          <w:color w:val="000000" w:themeColor="text1"/>
          <w:sz w:val="24"/>
        </w:rPr>
        <w:t>neapdzīvojam</w:t>
      </w:r>
      <w:r w:rsidR="00462DFC">
        <w:rPr>
          <w:rFonts w:ascii="Times New Roman" w:hAnsi="Times New Roman"/>
          <w:color w:val="000000" w:themeColor="text1"/>
          <w:sz w:val="24"/>
        </w:rPr>
        <w:t>ās</w:t>
      </w:r>
      <w:r w:rsidR="00162C93">
        <w:rPr>
          <w:rFonts w:ascii="Times New Roman" w:hAnsi="Times New Roman"/>
          <w:color w:val="000000" w:themeColor="text1"/>
          <w:sz w:val="24"/>
        </w:rPr>
        <w:t xml:space="preserve"> telp</w:t>
      </w:r>
      <w:r w:rsidR="00462DFC">
        <w:rPr>
          <w:rFonts w:ascii="Times New Roman" w:hAnsi="Times New Roman"/>
          <w:color w:val="000000" w:themeColor="text1"/>
          <w:sz w:val="24"/>
        </w:rPr>
        <w:t>as</w:t>
      </w:r>
      <w:r w:rsidR="00162C93">
        <w:rPr>
          <w:rFonts w:ascii="Times New Roman" w:hAnsi="Times New Roman"/>
          <w:color w:val="000000" w:themeColor="text1"/>
          <w:sz w:val="24"/>
        </w:rPr>
        <w:t xml:space="preserve"> </w:t>
      </w:r>
      <w:r w:rsidR="00462DFC">
        <w:rPr>
          <w:rFonts w:ascii="Times New Roman" w:hAnsi="Times New Roman"/>
          <w:color w:val="000000" w:themeColor="text1"/>
          <w:sz w:val="24"/>
        </w:rPr>
        <w:t xml:space="preserve">(valsts dzīvokļa īpašums) </w:t>
      </w:r>
      <w:r w:rsidR="00453B3D">
        <w:rPr>
          <w:rFonts w:ascii="Times New Roman" w:hAnsi="Times New Roman"/>
          <w:color w:val="000000" w:themeColor="text1"/>
          <w:sz w:val="24"/>
        </w:rPr>
        <w:t xml:space="preserve">Rīgā, </w:t>
      </w:r>
      <w:r w:rsidR="00162C93">
        <w:rPr>
          <w:rFonts w:ascii="Times New Roman" w:hAnsi="Times New Roman"/>
          <w:color w:val="000000" w:themeColor="text1"/>
          <w:sz w:val="24"/>
        </w:rPr>
        <w:t>Krišjāņa Barona ielā 3</w:t>
      </w:r>
      <w:r w:rsidR="00365323">
        <w:rPr>
          <w:rFonts w:ascii="Times New Roman" w:hAnsi="Times New Roman"/>
          <w:color w:val="000000" w:themeColor="text1"/>
          <w:sz w:val="24"/>
        </w:rPr>
        <w:t xml:space="preserve">. </w:t>
      </w:r>
    </w:p>
    <w:p w14:paraId="03C08858" w14:textId="77777777" w:rsidR="00A70C99" w:rsidRDefault="00365323" w:rsidP="004B7299">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Atbilstoši Sabiedrības 2017.gada budžet</w:t>
      </w:r>
      <w:r w:rsidR="002E3378">
        <w:rPr>
          <w:rFonts w:ascii="Times New Roman" w:hAnsi="Times New Roman"/>
          <w:color w:val="000000" w:themeColor="text1"/>
          <w:sz w:val="24"/>
        </w:rPr>
        <w:t>am</w:t>
      </w:r>
      <w:r>
        <w:rPr>
          <w:rFonts w:ascii="Times New Roman" w:hAnsi="Times New Roman"/>
          <w:color w:val="000000" w:themeColor="text1"/>
          <w:sz w:val="24"/>
        </w:rPr>
        <w:t xml:space="preserve">, šajā gadā </w:t>
      </w:r>
      <w:r w:rsidR="00462DFC">
        <w:rPr>
          <w:rFonts w:ascii="Times New Roman" w:hAnsi="Times New Roman"/>
          <w:color w:val="000000" w:themeColor="text1"/>
          <w:sz w:val="24"/>
        </w:rPr>
        <w:t>paredzētās</w:t>
      </w:r>
      <w:r>
        <w:rPr>
          <w:rFonts w:ascii="Times New Roman" w:hAnsi="Times New Roman"/>
          <w:color w:val="000000" w:themeColor="text1"/>
          <w:sz w:val="24"/>
        </w:rPr>
        <w:t xml:space="preserve"> izmaksas dzīvokļu īpašumu privatizācijas, atsavināšanas un pārvaldības funkcijai ir </w:t>
      </w:r>
      <w:r w:rsidR="00462DFC">
        <w:rPr>
          <w:rFonts w:ascii="Times New Roman" w:hAnsi="Times New Roman"/>
          <w:color w:val="000000" w:themeColor="text1"/>
          <w:sz w:val="24"/>
        </w:rPr>
        <w:t>900 tūkst</w:t>
      </w:r>
      <w:r>
        <w:rPr>
          <w:rFonts w:ascii="Times New Roman" w:hAnsi="Times New Roman"/>
          <w:color w:val="000000" w:themeColor="text1"/>
          <w:sz w:val="24"/>
        </w:rPr>
        <w:t>.</w:t>
      </w:r>
      <w:r w:rsidR="00453B3D">
        <w:rPr>
          <w:rFonts w:ascii="Times New Roman" w:hAnsi="Times New Roman"/>
          <w:color w:val="000000" w:themeColor="text1"/>
          <w:sz w:val="24"/>
        </w:rPr>
        <w:t xml:space="preserve"> </w:t>
      </w:r>
      <w:proofErr w:type="spellStart"/>
      <w:r w:rsidRPr="00365323">
        <w:rPr>
          <w:rFonts w:ascii="Times New Roman" w:hAnsi="Times New Roman"/>
          <w:i/>
          <w:color w:val="000000" w:themeColor="text1"/>
          <w:sz w:val="24"/>
        </w:rPr>
        <w:t>euro</w:t>
      </w:r>
      <w:proofErr w:type="spellEnd"/>
      <w:r>
        <w:rPr>
          <w:rFonts w:ascii="Times New Roman" w:hAnsi="Times New Roman"/>
          <w:color w:val="000000" w:themeColor="text1"/>
          <w:sz w:val="24"/>
        </w:rPr>
        <w:t xml:space="preserve">, savukārt privatizācijas sertifikātu apkalpošanai </w:t>
      </w:r>
      <w:r w:rsidR="00462DFC">
        <w:rPr>
          <w:rFonts w:ascii="Times New Roman" w:hAnsi="Times New Roman"/>
          <w:color w:val="000000" w:themeColor="text1"/>
          <w:sz w:val="24"/>
        </w:rPr>
        <w:t>~500 tūkst.</w:t>
      </w:r>
      <w:r w:rsidR="00453B3D">
        <w:rPr>
          <w:rFonts w:ascii="Times New Roman" w:hAnsi="Times New Roman"/>
          <w:color w:val="000000" w:themeColor="text1"/>
          <w:sz w:val="24"/>
        </w:rPr>
        <w:t xml:space="preserve"> </w:t>
      </w:r>
      <w:proofErr w:type="spellStart"/>
      <w:r w:rsidRPr="00365323">
        <w:rPr>
          <w:rFonts w:ascii="Times New Roman" w:hAnsi="Times New Roman"/>
          <w:i/>
          <w:color w:val="000000" w:themeColor="text1"/>
          <w:sz w:val="24"/>
        </w:rPr>
        <w:t>euro</w:t>
      </w:r>
      <w:proofErr w:type="spellEnd"/>
      <w:r>
        <w:rPr>
          <w:rFonts w:ascii="Times New Roman" w:hAnsi="Times New Roman"/>
          <w:color w:val="000000" w:themeColor="text1"/>
          <w:sz w:val="24"/>
        </w:rPr>
        <w:t>, kopumā</w:t>
      </w:r>
      <w:r w:rsidR="00462DFC">
        <w:rPr>
          <w:rFonts w:ascii="Times New Roman" w:hAnsi="Times New Roman"/>
          <w:color w:val="000000" w:themeColor="text1"/>
          <w:sz w:val="24"/>
        </w:rPr>
        <w:t xml:space="preserve"> </w:t>
      </w:r>
      <w:r>
        <w:rPr>
          <w:rFonts w:ascii="Times New Roman" w:hAnsi="Times New Roman"/>
          <w:color w:val="000000" w:themeColor="text1"/>
          <w:sz w:val="24"/>
        </w:rPr>
        <w:t xml:space="preserve">1,4 milj. </w:t>
      </w:r>
      <w:proofErr w:type="spellStart"/>
      <w:r w:rsidRPr="00365323">
        <w:rPr>
          <w:rFonts w:ascii="Times New Roman" w:hAnsi="Times New Roman"/>
          <w:i/>
          <w:color w:val="000000" w:themeColor="text1"/>
          <w:sz w:val="24"/>
        </w:rPr>
        <w:t>euro</w:t>
      </w:r>
      <w:proofErr w:type="spellEnd"/>
      <w:r>
        <w:rPr>
          <w:rFonts w:ascii="Times New Roman" w:hAnsi="Times New Roman"/>
          <w:color w:val="000000" w:themeColor="text1"/>
          <w:sz w:val="24"/>
        </w:rPr>
        <w:t xml:space="preserve">. </w:t>
      </w:r>
      <w:r w:rsidR="002E3378">
        <w:rPr>
          <w:rFonts w:ascii="Times New Roman" w:hAnsi="Times New Roman"/>
          <w:color w:val="000000" w:themeColor="text1"/>
          <w:sz w:val="24"/>
        </w:rPr>
        <w:t xml:space="preserve">Ņemot vērā, ka 2017.gadā valsts budžetā nav paredzēti līdzekļi šo valsts pārvaldes uzdevumu izpildes finansēšanai, šogad </w:t>
      </w:r>
      <w:r w:rsidR="00453B3D">
        <w:rPr>
          <w:rFonts w:ascii="Times New Roman" w:hAnsi="Times New Roman"/>
          <w:color w:val="000000" w:themeColor="text1"/>
          <w:sz w:val="24"/>
        </w:rPr>
        <w:t xml:space="preserve">plānotie zaudējumi </w:t>
      </w:r>
      <w:r w:rsidR="002E3378">
        <w:rPr>
          <w:rFonts w:ascii="Times New Roman" w:hAnsi="Times New Roman"/>
          <w:color w:val="000000" w:themeColor="text1"/>
          <w:sz w:val="24"/>
        </w:rPr>
        <w:t xml:space="preserve">tiks segti no Sabiedrības turējumā esošā rezerves fonda. </w:t>
      </w:r>
      <w:r w:rsidR="00453B3D">
        <w:rPr>
          <w:rFonts w:ascii="Times New Roman" w:hAnsi="Times New Roman"/>
          <w:color w:val="000000" w:themeColor="text1"/>
          <w:sz w:val="24"/>
        </w:rPr>
        <w:t>Tā kā r</w:t>
      </w:r>
      <w:r w:rsidR="002E3378">
        <w:rPr>
          <w:rFonts w:ascii="Times New Roman" w:hAnsi="Times New Roman"/>
          <w:color w:val="000000" w:themeColor="text1"/>
          <w:sz w:val="24"/>
        </w:rPr>
        <w:t xml:space="preserve">ezerves fonda atlikums uz 2016.gada 31.decembri bija 942 tūkst. </w:t>
      </w:r>
      <w:proofErr w:type="spellStart"/>
      <w:r w:rsidR="002E3378" w:rsidRPr="004B7299">
        <w:rPr>
          <w:rFonts w:ascii="Times New Roman" w:hAnsi="Times New Roman"/>
          <w:i/>
          <w:color w:val="000000" w:themeColor="text1"/>
          <w:sz w:val="24"/>
        </w:rPr>
        <w:t>euro</w:t>
      </w:r>
      <w:proofErr w:type="spellEnd"/>
      <w:r w:rsidR="00453B3D">
        <w:rPr>
          <w:rFonts w:ascii="Times New Roman" w:hAnsi="Times New Roman"/>
          <w:color w:val="000000" w:themeColor="text1"/>
          <w:sz w:val="24"/>
        </w:rPr>
        <w:t>,</w:t>
      </w:r>
      <w:r w:rsidR="002E3378" w:rsidRPr="002E3378">
        <w:rPr>
          <w:rFonts w:ascii="Times New Roman" w:hAnsi="Times New Roman"/>
          <w:color w:val="000000" w:themeColor="text1"/>
          <w:sz w:val="24"/>
        </w:rPr>
        <w:t xml:space="preserve"> </w:t>
      </w:r>
      <w:r w:rsidR="00453B3D">
        <w:rPr>
          <w:rFonts w:ascii="Times New Roman" w:hAnsi="Times New Roman"/>
          <w:color w:val="000000" w:themeColor="text1"/>
          <w:sz w:val="24"/>
        </w:rPr>
        <w:t>sākot ar 2018.gadu</w:t>
      </w:r>
      <w:r w:rsidR="00453B3D" w:rsidRPr="002E3378">
        <w:rPr>
          <w:rFonts w:ascii="Times New Roman" w:hAnsi="Times New Roman"/>
          <w:color w:val="000000" w:themeColor="text1"/>
          <w:sz w:val="24"/>
        </w:rPr>
        <w:t xml:space="preserve"> </w:t>
      </w:r>
      <w:r w:rsidR="002E3378">
        <w:rPr>
          <w:rFonts w:ascii="Times New Roman" w:hAnsi="Times New Roman"/>
          <w:color w:val="000000" w:themeColor="text1"/>
          <w:sz w:val="24"/>
        </w:rPr>
        <w:t>Sabiedrība</w:t>
      </w:r>
      <w:r w:rsidR="00BE56B8">
        <w:rPr>
          <w:rFonts w:ascii="Times New Roman" w:hAnsi="Times New Roman"/>
          <w:color w:val="000000" w:themeColor="text1"/>
          <w:sz w:val="24"/>
        </w:rPr>
        <w:t xml:space="preserve">i </w:t>
      </w:r>
      <w:r w:rsidR="00453B3D">
        <w:rPr>
          <w:rFonts w:ascii="Times New Roman" w:hAnsi="Times New Roman"/>
          <w:color w:val="000000" w:themeColor="text1"/>
          <w:sz w:val="24"/>
        </w:rPr>
        <w:t xml:space="preserve">no valsts budžeta </w:t>
      </w:r>
      <w:r w:rsidR="00BE56B8">
        <w:rPr>
          <w:rFonts w:ascii="Times New Roman" w:hAnsi="Times New Roman"/>
          <w:color w:val="000000" w:themeColor="text1"/>
          <w:sz w:val="24"/>
        </w:rPr>
        <w:t xml:space="preserve">būs nepieciešama </w:t>
      </w:r>
      <w:r w:rsidR="002E3378">
        <w:rPr>
          <w:rFonts w:ascii="Times New Roman" w:hAnsi="Times New Roman"/>
          <w:color w:val="000000" w:themeColor="text1"/>
          <w:sz w:val="24"/>
        </w:rPr>
        <w:t>valsts dotācij</w:t>
      </w:r>
      <w:r w:rsidR="00BE56B8">
        <w:rPr>
          <w:rFonts w:ascii="Times New Roman" w:hAnsi="Times New Roman"/>
          <w:color w:val="000000" w:themeColor="text1"/>
          <w:sz w:val="24"/>
        </w:rPr>
        <w:t>a</w:t>
      </w:r>
      <w:r w:rsidR="002E3378">
        <w:rPr>
          <w:rFonts w:ascii="Times New Roman" w:hAnsi="Times New Roman"/>
          <w:color w:val="000000" w:themeColor="text1"/>
          <w:sz w:val="24"/>
        </w:rPr>
        <w:t xml:space="preserve"> šo divu valsts pārvaldes uzdevumu izpildei.</w:t>
      </w:r>
      <w:r w:rsidR="00453B3D">
        <w:rPr>
          <w:rFonts w:ascii="Times New Roman" w:hAnsi="Times New Roman"/>
          <w:color w:val="000000" w:themeColor="text1"/>
          <w:sz w:val="24"/>
        </w:rPr>
        <w:t xml:space="preserve"> </w:t>
      </w:r>
      <w:r w:rsidR="00A70C99">
        <w:rPr>
          <w:rFonts w:ascii="Times New Roman" w:hAnsi="Times New Roman"/>
          <w:color w:val="000000" w:themeColor="text1"/>
          <w:sz w:val="24"/>
        </w:rPr>
        <w:t>Paredzams, ka t</w:t>
      </w:r>
      <w:r w:rsidR="00BA5C39">
        <w:rPr>
          <w:rFonts w:ascii="Times New Roman" w:hAnsi="Times New Roman"/>
          <w:color w:val="000000" w:themeColor="text1"/>
          <w:sz w:val="24"/>
        </w:rPr>
        <w:t>urpmākajos gados šo divu valsts pārvaldes uzdevumu izpild</w:t>
      </w:r>
      <w:r w:rsidR="00A70C99">
        <w:rPr>
          <w:rFonts w:ascii="Times New Roman" w:hAnsi="Times New Roman"/>
          <w:color w:val="000000" w:themeColor="text1"/>
          <w:sz w:val="24"/>
        </w:rPr>
        <w:t>es</w:t>
      </w:r>
      <w:r w:rsidR="00BA5C39">
        <w:rPr>
          <w:rFonts w:ascii="Times New Roman" w:hAnsi="Times New Roman"/>
          <w:color w:val="000000" w:themeColor="text1"/>
          <w:sz w:val="24"/>
        </w:rPr>
        <w:t xml:space="preserve"> </w:t>
      </w:r>
      <w:r w:rsidR="00A70C99">
        <w:rPr>
          <w:rFonts w:ascii="Times New Roman" w:hAnsi="Times New Roman"/>
          <w:color w:val="000000" w:themeColor="text1"/>
          <w:sz w:val="24"/>
        </w:rPr>
        <w:t xml:space="preserve">izmaksas </w:t>
      </w:r>
      <w:r w:rsidR="00BA5C39">
        <w:rPr>
          <w:rFonts w:ascii="Times New Roman" w:hAnsi="Times New Roman"/>
          <w:color w:val="000000" w:themeColor="text1"/>
          <w:sz w:val="24"/>
        </w:rPr>
        <w:t>(t.sk. ņemot vērā Sabiedrības portfelī atlikušo dzīvokļu īpašumu likvidit</w:t>
      </w:r>
      <w:r w:rsidR="00CF7F25">
        <w:rPr>
          <w:rFonts w:ascii="Times New Roman" w:hAnsi="Times New Roman"/>
          <w:color w:val="000000" w:themeColor="text1"/>
          <w:sz w:val="24"/>
        </w:rPr>
        <w:t xml:space="preserve">āti) </w:t>
      </w:r>
      <w:r w:rsidR="00C24550">
        <w:rPr>
          <w:rFonts w:ascii="Times New Roman" w:hAnsi="Times New Roman"/>
          <w:color w:val="000000" w:themeColor="text1"/>
          <w:sz w:val="24"/>
        </w:rPr>
        <w:t>būs</w:t>
      </w:r>
      <w:r w:rsidR="00BA5C39">
        <w:rPr>
          <w:rFonts w:ascii="Times New Roman" w:hAnsi="Times New Roman"/>
          <w:color w:val="000000" w:themeColor="text1"/>
          <w:sz w:val="24"/>
        </w:rPr>
        <w:t xml:space="preserve"> indikatīvi 1 līdz 1,</w:t>
      </w:r>
      <w:r w:rsidR="00BE56B8">
        <w:rPr>
          <w:rFonts w:ascii="Times New Roman" w:hAnsi="Times New Roman"/>
          <w:color w:val="000000" w:themeColor="text1"/>
          <w:sz w:val="24"/>
        </w:rPr>
        <w:t>5</w:t>
      </w:r>
      <w:r w:rsidR="00BA5C39">
        <w:rPr>
          <w:rFonts w:ascii="Times New Roman" w:hAnsi="Times New Roman"/>
          <w:color w:val="000000" w:themeColor="text1"/>
          <w:sz w:val="24"/>
        </w:rPr>
        <w:t xml:space="preserve"> milj. </w:t>
      </w:r>
      <w:proofErr w:type="spellStart"/>
      <w:r w:rsidR="00BA5C39" w:rsidRPr="00CF7F25">
        <w:rPr>
          <w:rFonts w:ascii="Times New Roman" w:hAnsi="Times New Roman"/>
          <w:i/>
          <w:color w:val="000000" w:themeColor="text1"/>
          <w:sz w:val="24"/>
        </w:rPr>
        <w:t>euro</w:t>
      </w:r>
      <w:proofErr w:type="spellEnd"/>
      <w:r w:rsidR="00BA5C39">
        <w:rPr>
          <w:rFonts w:ascii="Times New Roman" w:hAnsi="Times New Roman"/>
          <w:color w:val="000000" w:themeColor="text1"/>
          <w:sz w:val="24"/>
        </w:rPr>
        <w:t xml:space="preserve"> </w:t>
      </w:r>
      <w:r w:rsidR="00C24550">
        <w:rPr>
          <w:rFonts w:ascii="Times New Roman" w:hAnsi="Times New Roman"/>
          <w:color w:val="000000" w:themeColor="text1"/>
          <w:sz w:val="24"/>
        </w:rPr>
        <w:t>robežās</w:t>
      </w:r>
      <w:r w:rsidR="00CF7F25">
        <w:rPr>
          <w:rFonts w:ascii="Times New Roman" w:hAnsi="Times New Roman"/>
          <w:color w:val="000000" w:themeColor="text1"/>
          <w:sz w:val="24"/>
        </w:rPr>
        <w:t xml:space="preserve"> gadā</w:t>
      </w:r>
      <w:r w:rsidR="00BA5C39">
        <w:rPr>
          <w:rFonts w:ascii="Times New Roman" w:hAnsi="Times New Roman"/>
          <w:color w:val="000000" w:themeColor="text1"/>
          <w:sz w:val="24"/>
        </w:rPr>
        <w:t>.</w:t>
      </w:r>
    </w:p>
    <w:p w14:paraId="0C3B4741" w14:textId="189CC4C2" w:rsidR="00C700D8" w:rsidRPr="00114266" w:rsidRDefault="00D5218C"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Salīdzinot ar 201</w:t>
      </w:r>
      <w:r w:rsidR="00D731D5" w:rsidRPr="00114266">
        <w:rPr>
          <w:rFonts w:ascii="Times New Roman" w:hAnsi="Times New Roman"/>
          <w:color w:val="000000" w:themeColor="text1"/>
          <w:sz w:val="24"/>
        </w:rPr>
        <w:t>3</w:t>
      </w:r>
      <w:r w:rsidRPr="00114266">
        <w:rPr>
          <w:rFonts w:ascii="Times New Roman" w:hAnsi="Times New Roman"/>
          <w:color w:val="000000" w:themeColor="text1"/>
          <w:sz w:val="24"/>
        </w:rPr>
        <w:t xml:space="preserve">.gadu, </w:t>
      </w:r>
      <w:r w:rsidR="00D731D5" w:rsidRPr="00114266">
        <w:rPr>
          <w:rFonts w:ascii="Times New Roman" w:hAnsi="Times New Roman"/>
          <w:color w:val="000000" w:themeColor="text1"/>
          <w:sz w:val="24"/>
        </w:rPr>
        <w:t>uz 2016.gada 1</w:t>
      </w:r>
      <w:r w:rsidR="00787793" w:rsidRPr="00114266">
        <w:rPr>
          <w:rFonts w:ascii="Times New Roman" w:hAnsi="Times New Roman"/>
          <w:color w:val="000000" w:themeColor="text1"/>
          <w:sz w:val="24"/>
        </w:rPr>
        <w:t>.</w:t>
      </w:r>
      <w:r w:rsidR="00D731D5" w:rsidRPr="00114266">
        <w:rPr>
          <w:rFonts w:ascii="Times New Roman" w:hAnsi="Times New Roman"/>
          <w:color w:val="000000" w:themeColor="text1"/>
          <w:sz w:val="24"/>
        </w:rPr>
        <w:t>novembri</w:t>
      </w:r>
      <w:r w:rsidR="00787793" w:rsidRPr="00114266">
        <w:rPr>
          <w:rFonts w:ascii="Times New Roman" w:hAnsi="Times New Roman"/>
          <w:color w:val="000000" w:themeColor="text1"/>
          <w:sz w:val="24"/>
        </w:rPr>
        <w:t xml:space="preserve"> </w:t>
      </w:r>
      <w:r w:rsidRPr="00114266">
        <w:rPr>
          <w:rFonts w:ascii="Times New Roman" w:hAnsi="Times New Roman"/>
          <w:color w:val="000000" w:themeColor="text1"/>
          <w:sz w:val="24"/>
        </w:rPr>
        <w:t>Sabiedrības rezerves fonda līdzekļi</w:t>
      </w:r>
      <w:r w:rsidR="00D731D5" w:rsidRPr="00114266">
        <w:rPr>
          <w:rFonts w:ascii="Times New Roman" w:hAnsi="Times New Roman"/>
          <w:color w:val="000000" w:themeColor="text1"/>
          <w:sz w:val="24"/>
        </w:rPr>
        <w:t xml:space="preserve"> kopumā </w:t>
      </w:r>
      <w:r w:rsidR="00015307" w:rsidRPr="00114266">
        <w:rPr>
          <w:rFonts w:ascii="Times New Roman" w:hAnsi="Times New Roman"/>
          <w:color w:val="000000" w:themeColor="text1"/>
          <w:sz w:val="24"/>
        </w:rPr>
        <w:t>bija</w:t>
      </w:r>
      <w:r w:rsidR="00D731D5" w:rsidRPr="00114266">
        <w:rPr>
          <w:rFonts w:ascii="Times New Roman" w:hAnsi="Times New Roman"/>
          <w:color w:val="000000" w:themeColor="text1"/>
          <w:sz w:val="24"/>
        </w:rPr>
        <w:t xml:space="preserve"> samazinājušies par 83</w:t>
      </w:r>
      <w:r w:rsidR="00F85987" w:rsidRPr="00114266">
        <w:rPr>
          <w:rFonts w:ascii="Times New Roman" w:hAnsi="Times New Roman"/>
          <w:color w:val="000000" w:themeColor="text1"/>
          <w:sz w:val="24"/>
        </w:rPr>
        <w:t>%</w:t>
      </w:r>
      <w:r w:rsidRPr="00114266">
        <w:rPr>
          <w:rFonts w:ascii="Times New Roman" w:hAnsi="Times New Roman"/>
          <w:color w:val="000000" w:themeColor="text1"/>
          <w:sz w:val="24"/>
        </w:rPr>
        <w:t>.</w:t>
      </w:r>
      <w:r w:rsidR="0091137B" w:rsidRPr="00114266">
        <w:rPr>
          <w:rFonts w:ascii="Times New Roman" w:hAnsi="Times New Roman"/>
          <w:color w:val="000000" w:themeColor="text1"/>
          <w:sz w:val="24"/>
        </w:rPr>
        <w:t xml:space="preserve"> </w:t>
      </w:r>
      <w:r w:rsidR="00C700D8" w:rsidRPr="00114266">
        <w:rPr>
          <w:rFonts w:ascii="Times New Roman" w:hAnsi="Times New Roman"/>
          <w:color w:val="000000" w:themeColor="text1"/>
          <w:sz w:val="24"/>
        </w:rPr>
        <w:t xml:space="preserve">Ministru kabineta komitejas 2015.gada 11.maija sēdē (prot.Nr.16 3.§) (turpmāk – </w:t>
      </w:r>
      <w:proofErr w:type="spellStart"/>
      <w:r w:rsidR="00C700D8" w:rsidRPr="00114266">
        <w:rPr>
          <w:rFonts w:ascii="Times New Roman" w:hAnsi="Times New Roman"/>
          <w:color w:val="000000" w:themeColor="text1"/>
          <w:sz w:val="24"/>
        </w:rPr>
        <w:t>protokollēmums</w:t>
      </w:r>
      <w:proofErr w:type="spellEnd"/>
      <w:r w:rsidR="00C700D8" w:rsidRPr="00114266">
        <w:rPr>
          <w:rFonts w:ascii="Times New Roman" w:hAnsi="Times New Roman"/>
          <w:color w:val="000000" w:themeColor="text1"/>
          <w:sz w:val="24"/>
        </w:rPr>
        <w:t xml:space="preserve">) tika izskatīts Ministru kabineta noteikumu projekts “Grozījums Ministru kabineta 2011.gada 1.februāra noteikumos Nr.109 “Kārtība, kādā atsavināma publiskas personas manta””. Atbilstoši </w:t>
      </w:r>
      <w:proofErr w:type="spellStart"/>
      <w:r w:rsidR="00C700D8" w:rsidRPr="00114266">
        <w:rPr>
          <w:rFonts w:ascii="Times New Roman" w:hAnsi="Times New Roman"/>
          <w:color w:val="000000" w:themeColor="text1"/>
          <w:sz w:val="24"/>
        </w:rPr>
        <w:t>protokollēmuma</w:t>
      </w:r>
      <w:proofErr w:type="spellEnd"/>
      <w:r w:rsidR="00C700D8" w:rsidRPr="00114266">
        <w:rPr>
          <w:rFonts w:ascii="Times New Roman" w:hAnsi="Times New Roman"/>
          <w:color w:val="000000" w:themeColor="text1"/>
          <w:sz w:val="24"/>
        </w:rPr>
        <w:t xml:space="preserve"> 3.punktam Ekonomikas ministrijai kopīgi ar Finanšu ministriju tika uzdots sagatavot un Ekonomikas ministrijai iesniegt izskatīšanai Ministru kabineta sēdē informatīvo ziņojumu ar priekšlikumiem par Sabiedrības rezerves fonda atjaunināšanu un finansēšanu. </w:t>
      </w:r>
      <w:r w:rsidR="00BE4CC1">
        <w:rPr>
          <w:rFonts w:ascii="Times New Roman" w:hAnsi="Times New Roman"/>
          <w:color w:val="000000" w:themeColor="text1"/>
          <w:sz w:val="24"/>
        </w:rPr>
        <w:t>L</w:t>
      </w:r>
      <w:r w:rsidR="002C445E" w:rsidRPr="00114266">
        <w:rPr>
          <w:rFonts w:ascii="Times New Roman" w:hAnsi="Times New Roman"/>
          <w:color w:val="000000" w:themeColor="text1"/>
          <w:sz w:val="24"/>
        </w:rPr>
        <w:t>īdz ar izmaiņām normatīvo atskaitījumu veikšanas kārtībā atbilstoši Ministru kabineta noteikumiem Nr.680, rezerves fonda apjomi samazinās lēnākā</w:t>
      </w:r>
      <w:r w:rsidR="00C700D8" w:rsidRPr="00114266">
        <w:rPr>
          <w:rFonts w:ascii="Times New Roman" w:hAnsi="Times New Roman"/>
          <w:color w:val="000000" w:themeColor="text1"/>
          <w:sz w:val="24"/>
        </w:rPr>
        <w:t xml:space="preserve"> tempā kā </w:t>
      </w:r>
      <w:r w:rsidR="002C445E" w:rsidRPr="00114266">
        <w:rPr>
          <w:rFonts w:ascii="Times New Roman" w:hAnsi="Times New Roman"/>
          <w:color w:val="000000" w:themeColor="text1"/>
          <w:sz w:val="24"/>
        </w:rPr>
        <w:t xml:space="preserve">sākotnēji </w:t>
      </w:r>
      <w:r w:rsidR="00C700D8" w:rsidRPr="00114266">
        <w:rPr>
          <w:rFonts w:ascii="Times New Roman" w:hAnsi="Times New Roman"/>
          <w:color w:val="000000" w:themeColor="text1"/>
          <w:sz w:val="24"/>
        </w:rPr>
        <w:t>prognozēts,</w:t>
      </w:r>
      <w:r w:rsidR="002C445E" w:rsidRPr="00114266">
        <w:rPr>
          <w:rFonts w:ascii="Times New Roman" w:hAnsi="Times New Roman"/>
          <w:color w:val="000000" w:themeColor="text1"/>
          <w:sz w:val="24"/>
        </w:rPr>
        <w:t xml:space="preserve"> </w:t>
      </w:r>
      <w:r w:rsidR="00BE4CC1">
        <w:rPr>
          <w:rFonts w:ascii="Times New Roman" w:hAnsi="Times New Roman"/>
          <w:color w:val="000000" w:themeColor="text1"/>
          <w:sz w:val="24"/>
        </w:rPr>
        <w:t xml:space="preserve">līdz ar to </w:t>
      </w:r>
      <w:r w:rsidR="002C445E" w:rsidRPr="00114266">
        <w:rPr>
          <w:rFonts w:ascii="Times New Roman" w:hAnsi="Times New Roman"/>
          <w:color w:val="000000" w:themeColor="text1"/>
          <w:sz w:val="24"/>
        </w:rPr>
        <w:t>priekšlikumu saistībā ar Sabiedrības turējumā esošo rezerves fondu izstrāde ir atlikta.</w:t>
      </w:r>
      <w:r w:rsidR="00BE4CC1">
        <w:rPr>
          <w:rFonts w:ascii="Times New Roman" w:hAnsi="Times New Roman"/>
          <w:color w:val="000000" w:themeColor="text1"/>
          <w:sz w:val="24"/>
        </w:rPr>
        <w:t xml:space="preserve"> </w:t>
      </w:r>
      <w:r w:rsidR="00BE4CC1" w:rsidRPr="00114266">
        <w:rPr>
          <w:rFonts w:ascii="Times New Roman" w:hAnsi="Times New Roman"/>
          <w:color w:val="000000" w:themeColor="text1"/>
          <w:sz w:val="24"/>
        </w:rPr>
        <w:t>Ņemot vērā to</w:t>
      </w:r>
      <w:r w:rsidR="00BE4CC1">
        <w:rPr>
          <w:rFonts w:ascii="Times New Roman" w:hAnsi="Times New Roman"/>
          <w:color w:val="000000" w:themeColor="text1"/>
          <w:sz w:val="24"/>
        </w:rPr>
        <w:t xml:space="preserve"> rezerves fonda līdzekļu šī brīža apjomu priekšlikumi par rezerves fondu ir sagatavojami līdz 2017.gada beigām. </w:t>
      </w:r>
    </w:p>
    <w:p w14:paraId="59292D54" w14:textId="5FA89305" w:rsidR="00BC1BA6" w:rsidRPr="00114266" w:rsidRDefault="00DB0F0F"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Sabiedrības kopējais neto apgrozījums 201</w:t>
      </w:r>
      <w:r w:rsidR="00D16FD9">
        <w:rPr>
          <w:rFonts w:ascii="Times New Roman" w:hAnsi="Times New Roman"/>
          <w:color w:val="000000" w:themeColor="text1"/>
          <w:sz w:val="24"/>
        </w:rPr>
        <w:t>6</w:t>
      </w:r>
      <w:r w:rsidRPr="00114266">
        <w:rPr>
          <w:rFonts w:ascii="Times New Roman" w:hAnsi="Times New Roman"/>
          <w:color w:val="000000" w:themeColor="text1"/>
          <w:sz w:val="24"/>
        </w:rPr>
        <w:t xml:space="preserve">.gadā bija </w:t>
      </w:r>
      <w:r w:rsidR="00D16FD9">
        <w:rPr>
          <w:rFonts w:ascii="Times New Roman" w:hAnsi="Times New Roman"/>
          <w:color w:val="000000" w:themeColor="text1"/>
          <w:sz w:val="24"/>
        </w:rPr>
        <w:t>3</w:t>
      </w:r>
      <w:r w:rsidRPr="00114266">
        <w:rPr>
          <w:rFonts w:ascii="Times New Roman" w:hAnsi="Times New Roman"/>
          <w:color w:val="000000" w:themeColor="text1"/>
          <w:sz w:val="24"/>
        </w:rPr>
        <w:t>’</w:t>
      </w:r>
      <w:r w:rsidR="00D16FD9">
        <w:rPr>
          <w:rFonts w:ascii="Times New Roman" w:hAnsi="Times New Roman"/>
          <w:color w:val="000000" w:themeColor="text1"/>
          <w:sz w:val="24"/>
        </w:rPr>
        <w:t>003</w:t>
      </w:r>
      <w:r w:rsidRPr="00114266">
        <w:rPr>
          <w:rFonts w:ascii="Times New Roman" w:hAnsi="Times New Roman"/>
          <w:color w:val="000000" w:themeColor="text1"/>
          <w:sz w:val="24"/>
        </w:rPr>
        <w:t xml:space="preserve"> </w:t>
      </w:r>
      <w:proofErr w:type="spellStart"/>
      <w:r w:rsidRPr="00114266">
        <w:rPr>
          <w:rFonts w:ascii="Times New Roman" w:hAnsi="Times New Roman"/>
          <w:color w:val="000000" w:themeColor="text1"/>
          <w:sz w:val="24"/>
        </w:rPr>
        <w:t>tūkst.</w:t>
      </w:r>
      <w:r w:rsidRPr="00DE5A56">
        <w:rPr>
          <w:rFonts w:ascii="Times New Roman" w:hAnsi="Times New Roman"/>
          <w:i/>
          <w:color w:val="000000" w:themeColor="text1"/>
          <w:sz w:val="24"/>
        </w:rPr>
        <w:t>euro</w:t>
      </w:r>
      <w:proofErr w:type="spellEnd"/>
      <w:r w:rsidRPr="00114266">
        <w:rPr>
          <w:rFonts w:ascii="Times New Roman" w:hAnsi="Times New Roman"/>
          <w:color w:val="000000" w:themeColor="text1"/>
          <w:sz w:val="24"/>
        </w:rPr>
        <w:t>, noslēdzot gadu</w:t>
      </w:r>
      <w:r w:rsidR="00D5218C" w:rsidRPr="00114266">
        <w:rPr>
          <w:rFonts w:ascii="Times New Roman" w:hAnsi="Times New Roman"/>
          <w:color w:val="000000" w:themeColor="text1"/>
          <w:sz w:val="24"/>
        </w:rPr>
        <w:t xml:space="preserve"> ar </w:t>
      </w:r>
      <w:r w:rsidR="00D16FD9">
        <w:rPr>
          <w:rFonts w:ascii="Times New Roman" w:hAnsi="Times New Roman"/>
          <w:color w:val="000000" w:themeColor="text1"/>
          <w:sz w:val="24"/>
        </w:rPr>
        <w:t>peļņu 162</w:t>
      </w:r>
      <w:r w:rsidRPr="00114266">
        <w:rPr>
          <w:rFonts w:ascii="Times New Roman" w:hAnsi="Times New Roman"/>
          <w:color w:val="000000" w:themeColor="text1"/>
          <w:sz w:val="24"/>
        </w:rPr>
        <w:t xml:space="preserve"> </w:t>
      </w:r>
      <w:proofErr w:type="spellStart"/>
      <w:r w:rsidR="003A547F" w:rsidRPr="00114266">
        <w:rPr>
          <w:rFonts w:ascii="Times New Roman" w:hAnsi="Times New Roman"/>
          <w:color w:val="000000" w:themeColor="text1"/>
          <w:sz w:val="24"/>
        </w:rPr>
        <w:t>tūkst.</w:t>
      </w:r>
      <w:r w:rsidR="00D50E26" w:rsidRPr="00DE5A56">
        <w:rPr>
          <w:rFonts w:ascii="Times New Roman" w:hAnsi="Times New Roman"/>
          <w:i/>
          <w:color w:val="000000" w:themeColor="text1"/>
          <w:sz w:val="24"/>
        </w:rPr>
        <w:t>euro</w:t>
      </w:r>
      <w:proofErr w:type="spellEnd"/>
      <w:r w:rsidR="00D50E26" w:rsidRPr="00114266">
        <w:rPr>
          <w:rFonts w:ascii="Times New Roman" w:hAnsi="Times New Roman"/>
          <w:color w:val="000000" w:themeColor="text1"/>
          <w:sz w:val="24"/>
        </w:rPr>
        <w:t xml:space="preserve"> </w:t>
      </w:r>
      <w:r w:rsidR="0007178D" w:rsidRPr="00114266">
        <w:rPr>
          <w:rFonts w:ascii="Times New Roman" w:hAnsi="Times New Roman"/>
          <w:color w:val="000000" w:themeColor="text1"/>
          <w:sz w:val="24"/>
        </w:rPr>
        <w:t>apmērā</w:t>
      </w:r>
      <w:r w:rsidR="00D5218C" w:rsidRPr="00114266">
        <w:rPr>
          <w:rFonts w:ascii="Times New Roman" w:hAnsi="Times New Roman"/>
          <w:color w:val="000000" w:themeColor="text1"/>
          <w:sz w:val="24"/>
        </w:rPr>
        <w:t xml:space="preserve">. </w:t>
      </w:r>
      <w:r w:rsidR="00BC1BA6" w:rsidRPr="00114266">
        <w:rPr>
          <w:rFonts w:ascii="Times New Roman" w:hAnsi="Times New Roman"/>
          <w:color w:val="000000" w:themeColor="text1"/>
          <w:sz w:val="24"/>
        </w:rPr>
        <w:t>Būtiskākie Sabiedrības darbību raksturojošie finanšu rādītāji</w:t>
      </w:r>
      <w:r w:rsidR="00D16FD9">
        <w:rPr>
          <w:rFonts w:ascii="Times New Roman" w:hAnsi="Times New Roman"/>
          <w:color w:val="000000" w:themeColor="text1"/>
          <w:sz w:val="24"/>
        </w:rPr>
        <w:t xml:space="preserve"> par pēdējiem 5 gadiem</w:t>
      </w:r>
      <w:r w:rsidR="00BC1BA6" w:rsidRPr="00114266">
        <w:rPr>
          <w:rFonts w:ascii="Times New Roman" w:hAnsi="Times New Roman"/>
          <w:color w:val="000000" w:themeColor="text1"/>
          <w:sz w:val="24"/>
        </w:rPr>
        <w:t xml:space="preserve"> </w:t>
      </w:r>
      <w:r w:rsidR="0007178D" w:rsidRPr="00114266">
        <w:rPr>
          <w:rFonts w:ascii="Times New Roman" w:hAnsi="Times New Roman"/>
          <w:color w:val="000000" w:themeColor="text1"/>
          <w:sz w:val="24"/>
        </w:rPr>
        <w:t>apkopoti</w:t>
      </w:r>
      <w:r w:rsidR="00BC1BA6" w:rsidRPr="00114266">
        <w:rPr>
          <w:rFonts w:ascii="Times New Roman" w:hAnsi="Times New Roman"/>
          <w:color w:val="000000" w:themeColor="text1"/>
          <w:sz w:val="24"/>
        </w:rPr>
        <w:t xml:space="preserve"> </w:t>
      </w:r>
      <w:r w:rsidR="00301B33" w:rsidRPr="00114266">
        <w:rPr>
          <w:rFonts w:ascii="Times New Roman" w:hAnsi="Times New Roman"/>
          <w:color w:val="000000" w:themeColor="text1"/>
          <w:sz w:val="24"/>
        </w:rPr>
        <w:t>3</w:t>
      </w:r>
      <w:r w:rsidR="00BC1BA6" w:rsidRPr="00114266">
        <w:rPr>
          <w:rFonts w:ascii="Times New Roman" w:hAnsi="Times New Roman"/>
          <w:color w:val="000000" w:themeColor="text1"/>
          <w:sz w:val="24"/>
        </w:rPr>
        <w:t>.tabulā.</w:t>
      </w:r>
    </w:p>
    <w:p w14:paraId="1BBCC982" w14:textId="178D95C5" w:rsidR="00BC1BA6" w:rsidRPr="00DC6F66" w:rsidRDefault="00301B33" w:rsidP="00BB591F">
      <w:pPr>
        <w:pStyle w:val="Caption"/>
        <w:keepNext/>
        <w:spacing w:after="40"/>
        <w:jc w:val="right"/>
        <w:rPr>
          <w:rFonts w:ascii="Times New Roman" w:hAnsi="Times New Roman" w:cs="Times New Roman"/>
          <w:color w:val="auto"/>
          <w:sz w:val="24"/>
          <w:szCs w:val="24"/>
        </w:rPr>
      </w:pPr>
      <w:r w:rsidRPr="00DC6F66">
        <w:rPr>
          <w:rFonts w:ascii="Times New Roman" w:hAnsi="Times New Roman" w:cs="Times New Roman"/>
          <w:b w:val="0"/>
          <w:i/>
          <w:color w:val="auto"/>
          <w:sz w:val="24"/>
          <w:szCs w:val="24"/>
        </w:rPr>
        <w:fldChar w:fldCharType="begin"/>
      </w:r>
      <w:r w:rsidRPr="00DC6F66">
        <w:rPr>
          <w:rFonts w:ascii="Times New Roman" w:hAnsi="Times New Roman" w:cs="Times New Roman"/>
          <w:b w:val="0"/>
          <w:i/>
          <w:color w:val="auto"/>
          <w:sz w:val="24"/>
          <w:szCs w:val="24"/>
        </w:rPr>
        <w:instrText xml:space="preserve"> SEQ Tabula \* ARABIC </w:instrText>
      </w:r>
      <w:r w:rsidRPr="00DC6F66">
        <w:rPr>
          <w:rFonts w:ascii="Times New Roman" w:hAnsi="Times New Roman" w:cs="Times New Roman"/>
          <w:b w:val="0"/>
          <w:i/>
          <w:color w:val="auto"/>
          <w:sz w:val="24"/>
          <w:szCs w:val="24"/>
        </w:rPr>
        <w:fldChar w:fldCharType="separate"/>
      </w:r>
      <w:r w:rsidR="00CD00C1">
        <w:rPr>
          <w:rFonts w:ascii="Times New Roman" w:hAnsi="Times New Roman" w:cs="Times New Roman"/>
          <w:b w:val="0"/>
          <w:i/>
          <w:noProof/>
          <w:color w:val="auto"/>
          <w:sz w:val="24"/>
          <w:szCs w:val="24"/>
        </w:rPr>
        <w:t>3</w:t>
      </w:r>
      <w:r w:rsidRPr="00DC6F66">
        <w:rPr>
          <w:rFonts w:ascii="Times New Roman" w:hAnsi="Times New Roman" w:cs="Times New Roman"/>
          <w:b w:val="0"/>
          <w:i/>
          <w:color w:val="auto"/>
          <w:sz w:val="24"/>
          <w:szCs w:val="24"/>
        </w:rPr>
        <w:fldChar w:fldCharType="end"/>
      </w:r>
      <w:r w:rsidRPr="00DC6F66">
        <w:rPr>
          <w:rFonts w:ascii="Times New Roman" w:hAnsi="Times New Roman" w:cs="Times New Roman"/>
          <w:b w:val="0"/>
          <w:i/>
          <w:color w:val="auto"/>
          <w:sz w:val="24"/>
          <w:szCs w:val="24"/>
        </w:rPr>
        <w:t>.tabula</w:t>
      </w:r>
      <w:r w:rsidR="00BC1BA6" w:rsidRPr="00DC6F66">
        <w:rPr>
          <w:rFonts w:ascii="Times New Roman" w:hAnsi="Times New Roman" w:cs="Times New Roman"/>
          <w:b w:val="0"/>
          <w:i/>
          <w:color w:val="auto"/>
          <w:sz w:val="24"/>
          <w:szCs w:val="24"/>
        </w:rPr>
        <w:t>.</w:t>
      </w:r>
      <w:r w:rsidR="00BC1BA6" w:rsidRPr="00DC6F66">
        <w:rPr>
          <w:rFonts w:ascii="Times New Roman" w:hAnsi="Times New Roman" w:cs="Times New Roman"/>
          <w:color w:val="auto"/>
          <w:sz w:val="24"/>
          <w:szCs w:val="24"/>
        </w:rPr>
        <w:t xml:space="preserve"> Sabiedrības apgrozījums, EBITDA un tīrās peļņas rādītāji (</w:t>
      </w:r>
      <w:proofErr w:type="spellStart"/>
      <w:r w:rsidR="00BC1BA6" w:rsidRPr="00DC6F66">
        <w:rPr>
          <w:rFonts w:ascii="Times New Roman" w:hAnsi="Times New Roman" w:cs="Times New Roman"/>
          <w:color w:val="auto"/>
          <w:sz w:val="24"/>
          <w:szCs w:val="24"/>
        </w:rPr>
        <w:t>tūkst.</w:t>
      </w:r>
      <w:r w:rsidR="00BC1BA6" w:rsidRPr="00DC6F66">
        <w:rPr>
          <w:rFonts w:ascii="Times New Roman" w:hAnsi="Times New Roman" w:cs="Times New Roman"/>
          <w:i/>
          <w:color w:val="auto"/>
          <w:sz w:val="24"/>
          <w:szCs w:val="24"/>
        </w:rPr>
        <w:t>euro</w:t>
      </w:r>
      <w:proofErr w:type="spellEnd"/>
      <w:r w:rsidR="00BC1BA6" w:rsidRPr="00DC6F66">
        <w:rPr>
          <w:rFonts w:ascii="Times New Roman" w:hAnsi="Times New Roman" w:cs="Times New Roman"/>
          <w:color w:val="auto"/>
          <w:sz w:val="24"/>
          <w:szCs w:val="24"/>
        </w:rPr>
        <w:t xml:space="preserve">). </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761"/>
        <w:gridCol w:w="2852"/>
        <w:gridCol w:w="1231"/>
        <w:gridCol w:w="1091"/>
        <w:gridCol w:w="1222"/>
        <w:gridCol w:w="1091"/>
        <w:gridCol w:w="1209"/>
      </w:tblGrid>
      <w:tr w:rsidR="00CA46BE" w:rsidRPr="00DC6F66" w14:paraId="6006FA40" w14:textId="77777777" w:rsidTr="00C24349">
        <w:trPr>
          <w:tblHeader/>
        </w:trPr>
        <w:tc>
          <w:tcPr>
            <w:tcW w:w="7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348B3979" w14:textId="77777777" w:rsidR="00CA46BE" w:rsidRPr="00DC6F66" w:rsidRDefault="00CA46BE" w:rsidP="00DD6BA4">
            <w:pPr>
              <w:keepNext/>
              <w:spacing w:before="40" w:after="40"/>
              <w:rPr>
                <w:rFonts w:ascii="Times New Roman" w:hAnsi="Times New Roman" w:cs="Times New Roman"/>
                <w:color w:val="FFFFFF" w:themeColor="background1"/>
                <w:sz w:val="22"/>
                <w:lang w:val="lv-LV"/>
              </w:rPr>
            </w:pPr>
            <w:proofErr w:type="spellStart"/>
            <w:r w:rsidRPr="00DC6F66">
              <w:rPr>
                <w:rFonts w:ascii="Times New Roman" w:hAnsi="Times New Roman" w:cs="Times New Roman"/>
                <w:color w:val="FFFFFF" w:themeColor="background1"/>
                <w:sz w:val="22"/>
                <w:lang w:val="lv-LV"/>
              </w:rPr>
              <w:t>N.p.k</w:t>
            </w:r>
            <w:proofErr w:type="spellEnd"/>
            <w:r w:rsidRPr="00DC6F66">
              <w:rPr>
                <w:rFonts w:ascii="Times New Roman" w:hAnsi="Times New Roman" w:cs="Times New Roman"/>
                <w:color w:val="FFFFFF" w:themeColor="background1"/>
                <w:sz w:val="22"/>
                <w:lang w:val="lv-LV"/>
              </w:rPr>
              <w:t>.</w:t>
            </w:r>
          </w:p>
        </w:tc>
        <w:tc>
          <w:tcPr>
            <w:tcW w:w="3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5C28A81A" w14:textId="77777777" w:rsidR="00CA46BE" w:rsidRPr="00DC6F66" w:rsidRDefault="00CA46BE" w:rsidP="00DD6BA4">
            <w:pPr>
              <w:keepNext/>
              <w:spacing w:before="40" w:after="40"/>
              <w:rPr>
                <w:rFonts w:ascii="Times New Roman" w:hAnsi="Times New Roman" w:cs="Times New Roman"/>
                <w:color w:val="FFFFFF" w:themeColor="background1"/>
                <w:sz w:val="22"/>
                <w:lang w:val="lv-LV"/>
              </w:rPr>
            </w:pPr>
            <w:r w:rsidRPr="00DC6F66">
              <w:rPr>
                <w:rFonts w:ascii="Times New Roman" w:hAnsi="Times New Roman" w:cs="Times New Roman"/>
                <w:color w:val="FFFFFF" w:themeColor="background1"/>
                <w:sz w:val="22"/>
                <w:lang w:val="lv-LV"/>
              </w:rPr>
              <w:t>REZULTATĪVAIS RĀDĪTĀJS</w:t>
            </w:r>
          </w:p>
        </w:tc>
        <w:tc>
          <w:tcPr>
            <w:tcW w:w="13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1EC5E2C9" w14:textId="77777777" w:rsidR="00CA46BE" w:rsidRPr="00DC6F66" w:rsidRDefault="00CA46BE" w:rsidP="00DD6BA4">
            <w:pPr>
              <w:keepNext/>
              <w:spacing w:before="40" w:after="40"/>
              <w:jc w:val="right"/>
              <w:rPr>
                <w:rFonts w:ascii="Times New Roman" w:hAnsi="Times New Roman" w:cs="Times New Roman"/>
                <w:color w:val="FFFFFF" w:themeColor="background1"/>
                <w:sz w:val="22"/>
                <w:lang w:val="lv-LV"/>
              </w:rPr>
            </w:pPr>
            <w:r w:rsidRPr="00DC6F66">
              <w:rPr>
                <w:rFonts w:ascii="Times New Roman" w:hAnsi="Times New Roman" w:cs="Times New Roman"/>
                <w:color w:val="FFFFFF" w:themeColor="background1"/>
                <w:sz w:val="22"/>
                <w:lang w:val="lv-LV"/>
              </w:rPr>
              <w:t>2012.g.</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2899FDBB" w14:textId="77777777" w:rsidR="00CA46BE" w:rsidRPr="00DC6F66" w:rsidRDefault="00CA46BE" w:rsidP="00DD6BA4">
            <w:pPr>
              <w:keepNext/>
              <w:spacing w:before="40" w:after="40"/>
              <w:jc w:val="right"/>
              <w:rPr>
                <w:rFonts w:ascii="Times New Roman" w:hAnsi="Times New Roman" w:cs="Times New Roman"/>
                <w:color w:val="FFFFFF" w:themeColor="background1"/>
                <w:sz w:val="22"/>
                <w:lang w:val="lv-LV"/>
              </w:rPr>
            </w:pPr>
            <w:r w:rsidRPr="00DC6F66">
              <w:rPr>
                <w:rFonts w:ascii="Times New Roman" w:hAnsi="Times New Roman" w:cs="Times New Roman"/>
                <w:color w:val="FFFFFF" w:themeColor="background1"/>
                <w:sz w:val="22"/>
                <w:lang w:val="lv-LV"/>
              </w:rPr>
              <w:t>2013.g.</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36A7B811" w14:textId="77777777" w:rsidR="00CA46BE" w:rsidRPr="00DC6F66" w:rsidRDefault="00CA46BE" w:rsidP="00DD6BA4">
            <w:pPr>
              <w:keepNext/>
              <w:spacing w:before="40" w:after="40"/>
              <w:jc w:val="right"/>
              <w:rPr>
                <w:rFonts w:ascii="Times New Roman" w:hAnsi="Times New Roman" w:cs="Times New Roman"/>
                <w:color w:val="FFFFFF" w:themeColor="background1"/>
                <w:sz w:val="22"/>
                <w:lang w:val="lv-LV"/>
              </w:rPr>
            </w:pPr>
            <w:r w:rsidRPr="00DC6F66">
              <w:rPr>
                <w:rFonts w:ascii="Times New Roman" w:hAnsi="Times New Roman" w:cs="Times New Roman"/>
                <w:color w:val="FFFFFF" w:themeColor="background1"/>
                <w:sz w:val="22"/>
                <w:lang w:val="lv-LV"/>
              </w:rPr>
              <w:t>2014.g.</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5B4D2271" w14:textId="77777777" w:rsidR="00CA46BE" w:rsidRPr="00DC6F66" w:rsidRDefault="00CA46BE" w:rsidP="00DD6BA4">
            <w:pPr>
              <w:keepNext/>
              <w:spacing w:before="40" w:after="40"/>
              <w:jc w:val="right"/>
              <w:rPr>
                <w:rFonts w:ascii="Times New Roman" w:hAnsi="Times New Roman" w:cs="Times New Roman"/>
                <w:color w:val="FFFFFF" w:themeColor="background1"/>
                <w:sz w:val="22"/>
                <w:lang w:val="lv-LV"/>
              </w:rPr>
            </w:pPr>
            <w:r w:rsidRPr="00DC6F66">
              <w:rPr>
                <w:rFonts w:ascii="Times New Roman" w:hAnsi="Times New Roman" w:cs="Times New Roman"/>
                <w:color w:val="FFFFFF" w:themeColor="background1"/>
                <w:sz w:val="22"/>
                <w:lang w:val="lv-LV"/>
              </w:rPr>
              <w:t>2015.g.</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392F20B8" w14:textId="1C9192E7" w:rsidR="00CA46BE" w:rsidRPr="00DC6F66" w:rsidRDefault="007A5BC3" w:rsidP="00DE5A56">
            <w:pPr>
              <w:keepNext/>
              <w:spacing w:before="40" w:after="40"/>
              <w:jc w:val="center"/>
              <w:rPr>
                <w:rFonts w:ascii="Times New Roman" w:hAnsi="Times New Roman" w:cs="Times New Roman"/>
                <w:color w:val="FFFFFF" w:themeColor="background1"/>
                <w:sz w:val="22"/>
                <w:lang w:val="lv-LV"/>
              </w:rPr>
            </w:pPr>
            <w:r w:rsidRPr="00DC6F66">
              <w:rPr>
                <w:rFonts w:ascii="Times New Roman" w:hAnsi="Times New Roman" w:cs="Times New Roman"/>
                <w:color w:val="FFFFFF" w:themeColor="background1"/>
                <w:sz w:val="22"/>
                <w:lang w:val="lv-LV"/>
              </w:rPr>
              <w:t>2016</w:t>
            </w:r>
            <w:r w:rsidR="00D16FD9">
              <w:rPr>
                <w:rFonts w:ascii="Times New Roman" w:hAnsi="Times New Roman" w:cs="Times New Roman"/>
                <w:color w:val="FFFFFF" w:themeColor="background1"/>
                <w:sz w:val="22"/>
                <w:lang w:val="lv-LV"/>
              </w:rPr>
              <w:t>.g.</w:t>
            </w:r>
          </w:p>
        </w:tc>
      </w:tr>
      <w:tr w:rsidR="00CA46BE" w:rsidRPr="00DC6F66" w14:paraId="75C27416" w14:textId="77777777" w:rsidTr="00C24349">
        <w:tc>
          <w:tcPr>
            <w:tcW w:w="7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BB4710" w14:textId="77777777" w:rsidR="00CA46BE" w:rsidRPr="00DC6F66" w:rsidRDefault="00CA46BE" w:rsidP="00B15D1B">
            <w:pPr>
              <w:pStyle w:val="ListParagraph"/>
              <w:numPr>
                <w:ilvl w:val="0"/>
                <w:numId w:val="1"/>
              </w:numPr>
              <w:jc w:val="both"/>
              <w:rPr>
                <w:rFonts w:cs="Times New Roman"/>
                <w:sz w:val="22"/>
                <w:lang w:val="lv-LV"/>
              </w:rPr>
            </w:pPr>
          </w:p>
        </w:tc>
        <w:tc>
          <w:tcPr>
            <w:tcW w:w="3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9A1F42C" w14:textId="77777777" w:rsidR="00CA46BE" w:rsidRPr="00DC6F66" w:rsidRDefault="00CA46BE" w:rsidP="00C64D6C">
            <w:pPr>
              <w:rPr>
                <w:rFonts w:ascii="Times New Roman" w:hAnsi="Times New Roman" w:cs="Times New Roman"/>
                <w:color w:val="000000" w:themeColor="text1"/>
                <w:sz w:val="22"/>
                <w:lang w:val="lv-LV"/>
              </w:rPr>
            </w:pPr>
            <w:r w:rsidRPr="00DC6F66">
              <w:rPr>
                <w:rFonts w:ascii="Times New Roman" w:hAnsi="Times New Roman" w:cs="Times New Roman"/>
                <w:color w:val="000000" w:themeColor="text1"/>
                <w:sz w:val="22"/>
                <w:lang w:val="lv-LV"/>
              </w:rPr>
              <w:t>Neto apgrozījums</w:t>
            </w:r>
          </w:p>
        </w:tc>
        <w:tc>
          <w:tcPr>
            <w:tcW w:w="13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212123" w14:textId="77777777" w:rsidR="00CA46BE" w:rsidRPr="00DC6F66" w:rsidRDefault="00CA46BE" w:rsidP="00C64D6C">
            <w:pPr>
              <w:jc w:val="right"/>
              <w:rPr>
                <w:rFonts w:ascii="Times New Roman" w:hAnsi="Times New Roman" w:cs="Times New Roman"/>
                <w:color w:val="000000" w:themeColor="text1"/>
                <w:sz w:val="22"/>
                <w:lang w:val="lv-LV"/>
              </w:rPr>
            </w:pPr>
            <w:r w:rsidRPr="00DC6F66">
              <w:rPr>
                <w:rFonts w:ascii="Times New Roman" w:hAnsi="Times New Roman" w:cs="Times New Roman"/>
                <w:color w:val="000000" w:themeColor="text1"/>
                <w:sz w:val="22"/>
                <w:lang w:val="lv-LV"/>
              </w:rPr>
              <w:t>2’623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3011DCC" w14:textId="77777777" w:rsidR="00CA46BE" w:rsidRPr="00DC6F66" w:rsidRDefault="00CA46BE" w:rsidP="00C64D6C">
            <w:pPr>
              <w:jc w:val="right"/>
              <w:rPr>
                <w:rFonts w:ascii="Times New Roman" w:hAnsi="Times New Roman" w:cs="Times New Roman"/>
                <w:color w:val="000000" w:themeColor="text1"/>
                <w:sz w:val="22"/>
                <w:lang w:val="lv-LV"/>
              </w:rPr>
            </w:pPr>
            <w:r w:rsidRPr="00DC6F66">
              <w:rPr>
                <w:rFonts w:ascii="Times New Roman" w:hAnsi="Times New Roman" w:cs="Times New Roman"/>
                <w:color w:val="000000" w:themeColor="text1"/>
                <w:sz w:val="22"/>
                <w:lang w:val="lv-LV"/>
              </w:rPr>
              <w:t>2’381</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CE0EC08" w14:textId="77777777" w:rsidR="00CA46BE" w:rsidRPr="00DC6F66" w:rsidRDefault="00CA46BE" w:rsidP="00C64D6C">
            <w:pPr>
              <w:jc w:val="right"/>
              <w:rPr>
                <w:rFonts w:ascii="Times New Roman" w:hAnsi="Times New Roman" w:cs="Times New Roman"/>
                <w:color w:val="000000" w:themeColor="text1"/>
                <w:sz w:val="22"/>
                <w:lang w:val="lv-LV"/>
              </w:rPr>
            </w:pPr>
            <w:r w:rsidRPr="00DC6F66">
              <w:rPr>
                <w:rFonts w:ascii="Times New Roman" w:hAnsi="Times New Roman" w:cs="Times New Roman"/>
                <w:color w:val="000000" w:themeColor="text1"/>
                <w:sz w:val="22"/>
                <w:lang w:val="lv-LV"/>
              </w:rPr>
              <w:t>3’047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CBCF58" w14:textId="77777777" w:rsidR="00CA46BE" w:rsidRPr="00DC6F66" w:rsidRDefault="00CA46BE" w:rsidP="00C64D6C">
            <w:pPr>
              <w:jc w:val="right"/>
              <w:rPr>
                <w:rFonts w:ascii="Times New Roman" w:hAnsi="Times New Roman" w:cs="Times New Roman"/>
                <w:color w:val="000000" w:themeColor="text1"/>
                <w:sz w:val="22"/>
                <w:lang w:val="lv-LV"/>
              </w:rPr>
            </w:pPr>
            <w:r w:rsidRPr="00DC6F66">
              <w:rPr>
                <w:rFonts w:ascii="Times New Roman" w:hAnsi="Times New Roman" w:cs="Times New Roman"/>
                <w:color w:val="000000" w:themeColor="text1"/>
                <w:sz w:val="22"/>
                <w:lang w:val="lv-LV"/>
              </w:rPr>
              <w:t>2’794</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E0DC1" w14:textId="17BD6297" w:rsidR="00CA46BE" w:rsidRPr="00DC6F66" w:rsidRDefault="00101F24" w:rsidP="00C64D6C">
            <w:pPr>
              <w:jc w:val="right"/>
              <w:rPr>
                <w:rFonts w:ascii="Times New Roman" w:hAnsi="Times New Roman" w:cs="Times New Roman"/>
                <w:color w:val="000000" w:themeColor="text1"/>
                <w:sz w:val="22"/>
                <w:lang w:val="lv-LV"/>
              </w:rPr>
            </w:pPr>
            <w:r>
              <w:rPr>
                <w:rFonts w:ascii="Times New Roman" w:hAnsi="Times New Roman" w:cs="Times New Roman"/>
                <w:color w:val="000000" w:themeColor="text1"/>
                <w:sz w:val="22"/>
                <w:lang w:val="lv-LV"/>
              </w:rPr>
              <w:t>3’003</w:t>
            </w:r>
          </w:p>
        </w:tc>
      </w:tr>
      <w:tr w:rsidR="00CA46BE" w:rsidRPr="00DC6F66" w14:paraId="5254C6FF" w14:textId="77777777" w:rsidTr="00C24349">
        <w:tc>
          <w:tcPr>
            <w:tcW w:w="76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3FEC5B11" w14:textId="77777777" w:rsidR="00CA46BE" w:rsidRPr="00DC6F66" w:rsidRDefault="00CA46BE" w:rsidP="00B15D1B">
            <w:pPr>
              <w:pStyle w:val="ListParagraph"/>
              <w:numPr>
                <w:ilvl w:val="0"/>
                <w:numId w:val="1"/>
              </w:numPr>
              <w:jc w:val="both"/>
              <w:rPr>
                <w:rFonts w:cs="Times New Roman"/>
                <w:sz w:val="22"/>
                <w:lang w:val="lv-LV"/>
              </w:rPr>
            </w:pPr>
          </w:p>
        </w:tc>
        <w:tc>
          <w:tcPr>
            <w:tcW w:w="303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696E6461" w14:textId="77777777" w:rsidR="00CA46BE" w:rsidRPr="00DC6F66" w:rsidRDefault="00CA46BE" w:rsidP="00C64D6C">
            <w:pPr>
              <w:rPr>
                <w:rFonts w:ascii="Times New Roman" w:hAnsi="Times New Roman" w:cs="Times New Roman"/>
                <w:sz w:val="22"/>
                <w:lang w:val="lv-LV"/>
              </w:rPr>
            </w:pPr>
            <w:r w:rsidRPr="00DC6F66">
              <w:rPr>
                <w:rFonts w:ascii="Times New Roman" w:hAnsi="Times New Roman" w:cs="Times New Roman"/>
                <w:sz w:val="22"/>
                <w:lang w:val="lv-LV"/>
              </w:rPr>
              <w:t>EBITDA</w:t>
            </w:r>
          </w:p>
        </w:tc>
        <w:tc>
          <w:tcPr>
            <w:tcW w:w="130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4B0DC8D6"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13’629</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6ADE8D49"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6’</w:t>
            </w:r>
            <w:r w:rsidR="000E7B7F" w:rsidRPr="00DC6F66">
              <w:rPr>
                <w:rFonts w:ascii="Times New Roman" w:hAnsi="Times New Roman" w:cs="Times New Roman"/>
                <w:sz w:val="22"/>
                <w:lang w:val="lv-LV"/>
              </w:rPr>
              <w:t>409</w:t>
            </w:r>
          </w:p>
        </w:tc>
        <w:tc>
          <w:tcPr>
            <w:tcW w:w="127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76DF17A9"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-129’754</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679BAF32"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21</w:t>
            </w:r>
          </w:p>
        </w:tc>
        <w:tc>
          <w:tcPr>
            <w:tcW w:w="127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14:paraId="5A9CF44B" w14:textId="577BF6F2" w:rsidR="00CA46BE" w:rsidRPr="00DC6F66" w:rsidRDefault="00101F24" w:rsidP="00C64D6C">
            <w:pPr>
              <w:jc w:val="right"/>
              <w:rPr>
                <w:rFonts w:ascii="Times New Roman" w:hAnsi="Times New Roman" w:cs="Times New Roman"/>
                <w:sz w:val="22"/>
                <w:lang w:val="lv-LV"/>
              </w:rPr>
            </w:pPr>
            <w:r>
              <w:rPr>
                <w:rFonts w:ascii="Times New Roman" w:hAnsi="Times New Roman" w:cs="Times New Roman"/>
                <w:sz w:val="22"/>
                <w:lang w:val="lv-LV"/>
              </w:rPr>
              <w:t>157</w:t>
            </w:r>
          </w:p>
        </w:tc>
      </w:tr>
      <w:tr w:rsidR="00CA46BE" w:rsidRPr="00DC6F66" w14:paraId="10205786" w14:textId="77777777" w:rsidTr="00C24349">
        <w:tc>
          <w:tcPr>
            <w:tcW w:w="76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1963181B" w14:textId="77777777" w:rsidR="00CA46BE" w:rsidRPr="00DC6F66" w:rsidRDefault="00CA46BE" w:rsidP="00B15D1B">
            <w:pPr>
              <w:pStyle w:val="ListParagraph"/>
              <w:numPr>
                <w:ilvl w:val="0"/>
                <w:numId w:val="1"/>
              </w:numPr>
              <w:jc w:val="both"/>
              <w:rPr>
                <w:rFonts w:cs="Times New Roman"/>
                <w:sz w:val="22"/>
                <w:lang w:val="lv-LV"/>
              </w:rPr>
            </w:pPr>
          </w:p>
        </w:tc>
        <w:tc>
          <w:tcPr>
            <w:tcW w:w="303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09A073C4" w14:textId="77777777" w:rsidR="00CA46BE" w:rsidRPr="00DC6F66" w:rsidRDefault="00CA46BE" w:rsidP="00C64D6C">
            <w:pPr>
              <w:rPr>
                <w:rFonts w:ascii="Times New Roman" w:hAnsi="Times New Roman" w:cs="Times New Roman"/>
                <w:sz w:val="22"/>
                <w:lang w:val="lv-LV"/>
              </w:rPr>
            </w:pPr>
            <w:r w:rsidRPr="00DC6F66">
              <w:rPr>
                <w:rFonts w:ascii="Times New Roman" w:hAnsi="Times New Roman" w:cs="Times New Roman"/>
                <w:sz w:val="22"/>
                <w:lang w:val="lv-LV"/>
              </w:rPr>
              <w:t>Normalizētā EBITDA*</w:t>
            </w:r>
          </w:p>
        </w:tc>
        <w:tc>
          <w:tcPr>
            <w:tcW w:w="130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6B85E344" w14:textId="77777777" w:rsidR="00CA46BE" w:rsidRPr="00DC6F66" w:rsidRDefault="000E7B7F" w:rsidP="00C64D6C">
            <w:pPr>
              <w:jc w:val="right"/>
              <w:rPr>
                <w:rFonts w:ascii="Times New Roman" w:hAnsi="Times New Roman" w:cs="Times New Roman"/>
                <w:sz w:val="22"/>
                <w:lang w:val="lv-LV"/>
              </w:rPr>
            </w:pPr>
            <w:r w:rsidRPr="00DC6F66">
              <w:rPr>
                <w:rFonts w:ascii="Times New Roman" w:hAnsi="Times New Roman" w:cs="Times New Roman"/>
                <w:sz w:val="22"/>
                <w:lang w:val="lv-LV"/>
              </w:rPr>
              <w:t>251</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0A6CA955" w14:textId="77777777" w:rsidR="00CA46BE" w:rsidRPr="00DC6F66" w:rsidRDefault="000E7B7F" w:rsidP="00C64D6C">
            <w:pPr>
              <w:jc w:val="right"/>
              <w:rPr>
                <w:rFonts w:ascii="Times New Roman" w:hAnsi="Times New Roman" w:cs="Times New Roman"/>
                <w:sz w:val="22"/>
                <w:lang w:val="lv-LV"/>
              </w:rPr>
            </w:pPr>
            <w:r w:rsidRPr="00DC6F66">
              <w:rPr>
                <w:rFonts w:ascii="Times New Roman" w:hAnsi="Times New Roman" w:cs="Times New Roman"/>
                <w:sz w:val="22"/>
                <w:lang w:val="lv-LV"/>
              </w:rPr>
              <w:t>214</w:t>
            </w:r>
          </w:p>
        </w:tc>
        <w:tc>
          <w:tcPr>
            <w:tcW w:w="127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05A8DEA6"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46</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3A7245B2"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149</w:t>
            </w:r>
          </w:p>
        </w:tc>
        <w:tc>
          <w:tcPr>
            <w:tcW w:w="127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14:paraId="4CE88AC4" w14:textId="20BE9CE0" w:rsidR="00CA46BE" w:rsidRPr="00DC6F66" w:rsidRDefault="007945B2" w:rsidP="00C64D6C">
            <w:pPr>
              <w:jc w:val="right"/>
              <w:rPr>
                <w:rFonts w:ascii="Times New Roman" w:hAnsi="Times New Roman" w:cs="Times New Roman"/>
                <w:sz w:val="22"/>
                <w:lang w:val="lv-LV"/>
              </w:rPr>
            </w:pPr>
            <w:r>
              <w:rPr>
                <w:rFonts w:ascii="Times New Roman" w:hAnsi="Times New Roman" w:cs="Times New Roman"/>
                <w:sz w:val="22"/>
                <w:lang w:val="lv-LV"/>
              </w:rPr>
              <w:t>157</w:t>
            </w:r>
          </w:p>
        </w:tc>
      </w:tr>
      <w:tr w:rsidR="00CA46BE" w:rsidRPr="00DC6F66" w14:paraId="61FFDD96" w14:textId="77777777" w:rsidTr="00C24349">
        <w:tc>
          <w:tcPr>
            <w:tcW w:w="76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43CA6CBF" w14:textId="77777777" w:rsidR="00CA46BE" w:rsidRPr="00DC6F66" w:rsidRDefault="00CA46BE" w:rsidP="00B15D1B">
            <w:pPr>
              <w:pStyle w:val="ListParagraph"/>
              <w:numPr>
                <w:ilvl w:val="0"/>
                <w:numId w:val="1"/>
              </w:numPr>
              <w:jc w:val="both"/>
              <w:rPr>
                <w:rFonts w:cs="Times New Roman"/>
                <w:sz w:val="22"/>
                <w:lang w:val="lv-LV"/>
              </w:rPr>
            </w:pPr>
          </w:p>
        </w:tc>
        <w:tc>
          <w:tcPr>
            <w:tcW w:w="303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47BAB6A6" w14:textId="77777777" w:rsidR="00CA46BE" w:rsidRPr="00DC6F66" w:rsidRDefault="00CA46BE" w:rsidP="00C64D6C">
            <w:pPr>
              <w:jc w:val="both"/>
              <w:rPr>
                <w:rFonts w:ascii="Times New Roman" w:hAnsi="Times New Roman" w:cs="Times New Roman"/>
                <w:sz w:val="22"/>
                <w:lang w:val="lv-LV"/>
              </w:rPr>
            </w:pPr>
            <w:r w:rsidRPr="00DC6F66">
              <w:rPr>
                <w:rFonts w:ascii="Times New Roman" w:hAnsi="Times New Roman" w:cs="Times New Roman"/>
                <w:sz w:val="22"/>
                <w:lang w:val="lv-LV"/>
              </w:rPr>
              <w:t>Tīrā peļņa</w:t>
            </w:r>
            <w:r w:rsidR="005B1EC0" w:rsidRPr="00DC6F66">
              <w:rPr>
                <w:rFonts w:ascii="Times New Roman" w:hAnsi="Times New Roman" w:cs="Times New Roman"/>
                <w:sz w:val="22"/>
                <w:lang w:val="lv-LV"/>
              </w:rPr>
              <w:t>/zaudējumi</w:t>
            </w:r>
          </w:p>
        </w:tc>
        <w:tc>
          <w:tcPr>
            <w:tcW w:w="130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60FDE149"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13’616</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06B88557"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6’428</w:t>
            </w:r>
          </w:p>
        </w:tc>
        <w:tc>
          <w:tcPr>
            <w:tcW w:w="127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6FE00995"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-129’793</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00DC9511" w14:textId="77777777" w:rsidR="00CA46BE" w:rsidRPr="00DC6F66" w:rsidRDefault="00CA46BE" w:rsidP="00C64D6C">
            <w:pPr>
              <w:jc w:val="right"/>
              <w:rPr>
                <w:rFonts w:ascii="Times New Roman" w:hAnsi="Times New Roman" w:cs="Times New Roman"/>
                <w:sz w:val="22"/>
                <w:highlight w:val="yellow"/>
                <w:lang w:val="lv-LV"/>
              </w:rPr>
            </w:pPr>
            <w:r w:rsidRPr="00DC6F66">
              <w:rPr>
                <w:rFonts w:ascii="Times New Roman" w:hAnsi="Times New Roman" w:cs="Times New Roman"/>
                <w:sz w:val="22"/>
                <w:lang w:val="lv-LV"/>
              </w:rPr>
              <w:t>-71</w:t>
            </w:r>
          </w:p>
        </w:tc>
        <w:tc>
          <w:tcPr>
            <w:tcW w:w="127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14:paraId="294F4B13" w14:textId="0924000B" w:rsidR="00CA46BE" w:rsidRPr="00DC6F66" w:rsidRDefault="00101F24" w:rsidP="00C64D6C">
            <w:pPr>
              <w:jc w:val="right"/>
              <w:rPr>
                <w:rFonts w:ascii="Times New Roman" w:hAnsi="Times New Roman" w:cs="Times New Roman"/>
                <w:sz w:val="22"/>
                <w:lang w:val="lv-LV"/>
              </w:rPr>
            </w:pPr>
            <w:r>
              <w:rPr>
                <w:rFonts w:ascii="Times New Roman" w:hAnsi="Times New Roman" w:cs="Times New Roman"/>
                <w:sz w:val="22"/>
                <w:lang w:val="lv-LV"/>
              </w:rPr>
              <w:t>162</w:t>
            </w:r>
          </w:p>
        </w:tc>
      </w:tr>
      <w:tr w:rsidR="009A2E6B" w:rsidRPr="00DC6F66" w14:paraId="5A08E039" w14:textId="77777777" w:rsidTr="00C24349">
        <w:tc>
          <w:tcPr>
            <w:tcW w:w="76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2FE4A5FD" w14:textId="77777777" w:rsidR="009A2E6B" w:rsidRPr="00DC6F66" w:rsidRDefault="009A2E6B" w:rsidP="00B15D1B">
            <w:pPr>
              <w:pStyle w:val="ListParagraph"/>
              <w:numPr>
                <w:ilvl w:val="0"/>
                <w:numId w:val="1"/>
              </w:numPr>
              <w:jc w:val="both"/>
              <w:rPr>
                <w:rFonts w:cs="Times New Roman"/>
                <w:sz w:val="22"/>
                <w:lang w:val="lv-LV"/>
              </w:rPr>
            </w:pPr>
          </w:p>
        </w:tc>
        <w:tc>
          <w:tcPr>
            <w:tcW w:w="303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71C098A6" w14:textId="77777777" w:rsidR="009A2E6B" w:rsidRPr="00DC6F66" w:rsidRDefault="003641C0" w:rsidP="00C64D6C">
            <w:pPr>
              <w:jc w:val="both"/>
              <w:rPr>
                <w:rFonts w:ascii="Times New Roman" w:hAnsi="Times New Roman" w:cs="Times New Roman"/>
                <w:sz w:val="22"/>
                <w:lang w:val="lv-LV"/>
              </w:rPr>
            </w:pPr>
            <w:r w:rsidRPr="00DC6F66">
              <w:rPr>
                <w:rFonts w:ascii="Times New Roman" w:hAnsi="Times New Roman" w:cs="Times New Roman"/>
                <w:sz w:val="22"/>
                <w:lang w:val="lv-LV"/>
              </w:rPr>
              <w:t>Normalizētā peļņa</w:t>
            </w:r>
            <w:r w:rsidR="009A2E6B" w:rsidRPr="00DC6F66">
              <w:rPr>
                <w:rFonts w:ascii="Times New Roman" w:hAnsi="Times New Roman" w:cs="Times New Roman"/>
                <w:sz w:val="22"/>
                <w:lang w:val="lv-LV"/>
              </w:rPr>
              <w:t>*</w:t>
            </w:r>
          </w:p>
        </w:tc>
        <w:tc>
          <w:tcPr>
            <w:tcW w:w="130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04AD0BEC" w14:textId="77777777" w:rsidR="009A2E6B" w:rsidRPr="00DC6F66" w:rsidRDefault="000E7B7F" w:rsidP="00C64D6C">
            <w:pPr>
              <w:jc w:val="right"/>
              <w:rPr>
                <w:rFonts w:ascii="Times New Roman" w:hAnsi="Times New Roman" w:cs="Times New Roman"/>
                <w:sz w:val="22"/>
                <w:lang w:val="lv-LV"/>
              </w:rPr>
            </w:pPr>
            <w:r w:rsidRPr="00DC6F66">
              <w:rPr>
                <w:rFonts w:ascii="Times New Roman" w:hAnsi="Times New Roman" w:cs="Times New Roman"/>
                <w:sz w:val="22"/>
                <w:lang w:val="lv-LV"/>
              </w:rPr>
              <w:t>238</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7DAF1AB2" w14:textId="77777777" w:rsidR="009A2E6B" w:rsidRPr="00DC6F66" w:rsidRDefault="000E7B7F" w:rsidP="00C64D6C">
            <w:pPr>
              <w:jc w:val="right"/>
              <w:rPr>
                <w:rFonts w:ascii="Times New Roman" w:hAnsi="Times New Roman" w:cs="Times New Roman"/>
                <w:sz w:val="22"/>
                <w:lang w:val="lv-LV"/>
              </w:rPr>
            </w:pPr>
            <w:r w:rsidRPr="00DC6F66">
              <w:rPr>
                <w:rFonts w:ascii="Times New Roman" w:hAnsi="Times New Roman" w:cs="Times New Roman"/>
                <w:sz w:val="22"/>
                <w:lang w:val="lv-LV"/>
              </w:rPr>
              <w:t>234</w:t>
            </w:r>
          </w:p>
        </w:tc>
        <w:tc>
          <w:tcPr>
            <w:tcW w:w="127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41A0272F" w14:textId="77777777" w:rsidR="009A2E6B" w:rsidRPr="00DC6F66" w:rsidRDefault="000E7B7F" w:rsidP="00C64D6C">
            <w:pPr>
              <w:jc w:val="right"/>
              <w:rPr>
                <w:rFonts w:ascii="Times New Roman" w:hAnsi="Times New Roman" w:cs="Times New Roman"/>
                <w:sz w:val="22"/>
                <w:lang w:val="lv-LV"/>
              </w:rPr>
            </w:pPr>
            <w:r w:rsidRPr="00DC6F66">
              <w:rPr>
                <w:rFonts w:ascii="Times New Roman" w:hAnsi="Times New Roman" w:cs="Times New Roman"/>
                <w:sz w:val="22"/>
                <w:lang w:val="lv-LV"/>
              </w:rPr>
              <w:t>8</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380C0E1E" w14:textId="77777777" w:rsidR="009A2E6B" w:rsidRPr="00DC6F66" w:rsidRDefault="000E7B7F" w:rsidP="00C64D6C">
            <w:pPr>
              <w:jc w:val="right"/>
              <w:rPr>
                <w:rFonts w:ascii="Times New Roman" w:hAnsi="Times New Roman" w:cs="Times New Roman"/>
                <w:sz w:val="22"/>
                <w:lang w:val="lv-LV"/>
              </w:rPr>
            </w:pPr>
            <w:r w:rsidRPr="00DC6F66">
              <w:rPr>
                <w:rFonts w:ascii="Times New Roman" w:hAnsi="Times New Roman" w:cs="Times New Roman"/>
                <w:sz w:val="22"/>
                <w:lang w:val="lv-LV"/>
              </w:rPr>
              <w:t>56</w:t>
            </w:r>
          </w:p>
        </w:tc>
        <w:tc>
          <w:tcPr>
            <w:tcW w:w="127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14:paraId="418658C9" w14:textId="2DBA57EB" w:rsidR="009A2E6B" w:rsidRPr="00DC6F66" w:rsidRDefault="007945B2" w:rsidP="00C64D6C">
            <w:pPr>
              <w:jc w:val="right"/>
              <w:rPr>
                <w:rFonts w:ascii="Times New Roman" w:hAnsi="Times New Roman" w:cs="Times New Roman"/>
                <w:sz w:val="22"/>
                <w:lang w:val="lv-LV"/>
              </w:rPr>
            </w:pPr>
            <w:r>
              <w:rPr>
                <w:rFonts w:ascii="Times New Roman" w:hAnsi="Times New Roman" w:cs="Times New Roman"/>
                <w:sz w:val="22"/>
                <w:lang w:val="lv-LV"/>
              </w:rPr>
              <w:t>162</w:t>
            </w:r>
          </w:p>
        </w:tc>
      </w:tr>
    </w:tbl>
    <w:p w14:paraId="218ED64E" w14:textId="77777777" w:rsidR="003641C0" w:rsidRPr="00DC6F66" w:rsidRDefault="003641C0" w:rsidP="00C64D6C">
      <w:pPr>
        <w:spacing w:before="120" w:after="0" w:line="240" w:lineRule="auto"/>
        <w:rPr>
          <w:rFonts w:ascii="Times New Roman" w:hAnsi="Times New Roman" w:cs="Times New Roman"/>
          <w:b/>
          <w:i/>
          <w:sz w:val="18"/>
          <w:szCs w:val="18"/>
        </w:rPr>
      </w:pPr>
      <w:r w:rsidRPr="00DC6F66">
        <w:rPr>
          <w:rFonts w:ascii="Times New Roman" w:hAnsi="Times New Roman" w:cs="Times New Roman"/>
          <w:b/>
          <w:i/>
          <w:sz w:val="18"/>
          <w:szCs w:val="18"/>
        </w:rPr>
        <w:t>Piezīme:</w:t>
      </w:r>
    </w:p>
    <w:p w14:paraId="7FC041E1" w14:textId="77777777" w:rsidR="004327C9" w:rsidRPr="00DC6F66" w:rsidRDefault="00DB40C4" w:rsidP="00C64D6C">
      <w:pPr>
        <w:spacing w:after="0" w:line="240" w:lineRule="auto"/>
        <w:rPr>
          <w:rFonts w:ascii="Times New Roman" w:hAnsi="Times New Roman" w:cs="Times New Roman"/>
          <w:i/>
          <w:sz w:val="18"/>
          <w:szCs w:val="18"/>
        </w:rPr>
      </w:pPr>
      <w:bookmarkStart w:id="77" w:name="_Toc459210633"/>
      <w:r w:rsidRPr="00DC6F66">
        <w:rPr>
          <w:rFonts w:ascii="Times New Roman" w:hAnsi="Times New Roman" w:cs="Times New Roman"/>
          <w:i/>
          <w:sz w:val="18"/>
          <w:szCs w:val="18"/>
        </w:rPr>
        <w:t xml:space="preserve">* Atskaitot </w:t>
      </w:r>
      <w:r w:rsidR="00015307" w:rsidRPr="00DC6F66">
        <w:rPr>
          <w:rFonts w:ascii="Times New Roman" w:hAnsi="Times New Roman" w:cs="Times New Roman"/>
          <w:i/>
          <w:sz w:val="18"/>
          <w:szCs w:val="18"/>
        </w:rPr>
        <w:t>Citadele banka</w:t>
      </w:r>
      <w:r w:rsidR="00907967">
        <w:rPr>
          <w:rFonts w:ascii="Times New Roman" w:hAnsi="Times New Roman" w:cs="Times New Roman"/>
          <w:i/>
          <w:sz w:val="18"/>
          <w:szCs w:val="18"/>
        </w:rPr>
        <w:t xml:space="preserve"> </w:t>
      </w:r>
      <w:r w:rsidRPr="00DC6F66">
        <w:rPr>
          <w:rFonts w:ascii="Times New Roman" w:hAnsi="Times New Roman" w:cs="Times New Roman"/>
          <w:i/>
          <w:sz w:val="18"/>
          <w:szCs w:val="18"/>
        </w:rPr>
        <w:t xml:space="preserve">darījuma </w:t>
      </w:r>
      <w:r w:rsidR="00015307" w:rsidRPr="00DC6F66">
        <w:rPr>
          <w:rFonts w:ascii="Times New Roman" w:hAnsi="Times New Roman" w:cs="Times New Roman"/>
          <w:i/>
          <w:sz w:val="18"/>
          <w:szCs w:val="18"/>
        </w:rPr>
        <w:t xml:space="preserve">un </w:t>
      </w:r>
      <w:proofErr w:type="spellStart"/>
      <w:r w:rsidR="00015307" w:rsidRPr="00DC6F66">
        <w:rPr>
          <w:rFonts w:ascii="Times New Roman" w:hAnsi="Times New Roman" w:cs="Times New Roman"/>
          <w:i/>
          <w:sz w:val="18"/>
          <w:szCs w:val="18"/>
        </w:rPr>
        <w:t>Reverta</w:t>
      </w:r>
      <w:proofErr w:type="spellEnd"/>
      <w:r w:rsidR="00015307" w:rsidRPr="00DC6F66">
        <w:rPr>
          <w:rFonts w:ascii="Times New Roman" w:hAnsi="Times New Roman" w:cs="Times New Roman"/>
          <w:i/>
          <w:sz w:val="18"/>
          <w:szCs w:val="18"/>
        </w:rPr>
        <w:t xml:space="preserve"> </w:t>
      </w:r>
      <w:r w:rsidR="003641C0" w:rsidRPr="00DC6F66">
        <w:rPr>
          <w:rFonts w:ascii="Times New Roman" w:hAnsi="Times New Roman" w:cs="Times New Roman"/>
          <w:i/>
          <w:sz w:val="18"/>
          <w:szCs w:val="18"/>
        </w:rPr>
        <w:t xml:space="preserve">akciju pārvērtēšanas </w:t>
      </w:r>
      <w:r w:rsidRPr="00DC6F66">
        <w:rPr>
          <w:rFonts w:ascii="Times New Roman" w:hAnsi="Times New Roman" w:cs="Times New Roman"/>
          <w:i/>
          <w:sz w:val="18"/>
          <w:szCs w:val="18"/>
        </w:rPr>
        <w:t>ietekmi un uzkrājumus tiesvedībām.</w:t>
      </w:r>
      <w:bookmarkEnd w:id="77"/>
    </w:p>
    <w:p w14:paraId="0DAC42E3" w14:textId="77777777" w:rsidR="00015307" w:rsidRPr="00114266" w:rsidRDefault="00A155A0"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Sabiedrības turējumā un valdījumā esošie aktīvi pieder valstij, un Sabiedrība nodrošina to pārvaldību līdz to privatizācijai un/vai atsavināšanai trešajām personām, gūtos ieņēmumus, atskaitot normatīvajā regulējumā noteiktos normatīvos atskaitījumus, pārskaitot valstij. </w:t>
      </w:r>
    </w:p>
    <w:p w14:paraId="248EB28B" w14:textId="77777777" w:rsidR="00536464" w:rsidRDefault="00A155A0"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Tā</w:t>
      </w:r>
      <w:r w:rsidR="00015307" w:rsidRPr="00114266">
        <w:rPr>
          <w:rFonts w:ascii="Times New Roman" w:hAnsi="Times New Roman"/>
          <w:color w:val="000000" w:themeColor="text1"/>
          <w:sz w:val="24"/>
        </w:rPr>
        <w:t>dējādi,</w:t>
      </w:r>
      <w:r w:rsidRPr="00114266">
        <w:rPr>
          <w:rFonts w:ascii="Times New Roman" w:hAnsi="Times New Roman"/>
          <w:color w:val="000000" w:themeColor="text1"/>
          <w:sz w:val="24"/>
        </w:rPr>
        <w:t xml:space="preserve"> piemēram, pēdējos </w:t>
      </w:r>
      <w:r w:rsidR="00122234">
        <w:rPr>
          <w:rFonts w:ascii="Times New Roman" w:hAnsi="Times New Roman"/>
          <w:color w:val="000000" w:themeColor="text1"/>
          <w:sz w:val="24"/>
        </w:rPr>
        <w:t>četros</w:t>
      </w:r>
      <w:r w:rsidRPr="00114266">
        <w:rPr>
          <w:rFonts w:ascii="Times New Roman" w:hAnsi="Times New Roman"/>
          <w:color w:val="000000" w:themeColor="text1"/>
          <w:sz w:val="24"/>
        </w:rPr>
        <w:t xml:space="preserve"> gados Sabiedrība ir pārskaitījusi valsts budžetā un citām valsts institūcijām līdzekļus no valsts īpašumu privatizācijas, atsavināšanas un parādu kapitalizācijas, kā arī ieņēmumus no valsts īpašumu iznomāšanas kopumā </w:t>
      </w:r>
      <w:r w:rsidR="00122234">
        <w:rPr>
          <w:rFonts w:ascii="Times New Roman" w:hAnsi="Times New Roman"/>
          <w:b/>
          <w:color w:val="000000" w:themeColor="text1"/>
          <w:sz w:val="24"/>
        </w:rPr>
        <w:t>28,5</w:t>
      </w:r>
      <w:r w:rsidRPr="00114266">
        <w:rPr>
          <w:rFonts w:ascii="Times New Roman" w:hAnsi="Times New Roman"/>
          <w:b/>
          <w:color w:val="000000" w:themeColor="text1"/>
          <w:sz w:val="24"/>
        </w:rPr>
        <w:t xml:space="preserve"> milj.</w:t>
      </w:r>
      <w:r w:rsidR="00015307" w:rsidRPr="00114266">
        <w:rPr>
          <w:rFonts w:ascii="Times New Roman" w:hAnsi="Times New Roman"/>
          <w:b/>
          <w:color w:val="000000" w:themeColor="text1"/>
          <w:sz w:val="24"/>
        </w:rPr>
        <w:t xml:space="preserve"> </w:t>
      </w:r>
      <w:proofErr w:type="spellStart"/>
      <w:r w:rsidRPr="00114266">
        <w:rPr>
          <w:rFonts w:ascii="Times New Roman" w:hAnsi="Times New Roman"/>
          <w:b/>
          <w:i/>
          <w:color w:val="000000" w:themeColor="text1"/>
          <w:sz w:val="24"/>
        </w:rPr>
        <w:t>euro</w:t>
      </w:r>
      <w:proofErr w:type="spellEnd"/>
      <w:r w:rsidRPr="00114266">
        <w:rPr>
          <w:rFonts w:ascii="Times New Roman" w:hAnsi="Times New Roman"/>
          <w:b/>
          <w:color w:val="000000" w:themeColor="text1"/>
          <w:sz w:val="24"/>
        </w:rPr>
        <w:t xml:space="preserve"> </w:t>
      </w:r>
      <w:r w:rsidRPr="00114266">
        <w:rPr>
          <w:rFonts w:ascii="Times New Roman" w:hAnsi="Times New Roman"/>
          <w:color w:val="000000" w:themeColor="text1"/>
          <w:sz w:val="24"/>
        </w:rPr>
        <w:t>apmērā. (</w:t>
      </w:r>
      <w:r w:rsidR="004B7299">
        <w:rPr>
          <w:rFonts w:ascii="Times New Roman" w:hAnsi="Times New Roman"/>
          <w:color w:val="000000" w:themeColor="text1"/>
          <w:sz w:val="24"/>
        </w:rPr>
        <w:t>5</w:t>
      </w:r>
      <w:r w:rsidRPr="00114266">
        <w:rPr>
          <w:rFonts w:ascii="Times New Roman" w:hAnsi="Times New Roman"/>
          <w:color w:val="000000" w:themeColor="text1"/>
          <w:sz w:val="24"/>
        </w:rPr>
        <w:t>.attēls).</w:t>
      </w:r>
    </w:p>
    <w:p w14:paraId="4D3F7F39" w14:textId="5A2A18C6" w:rsidR="00A155A0" w:rsidRPr="00536464" w:rsidRDefault="00A155A0" w:rsidP="00536464">
      <w:pPr>
        <w:tabs>
          <w:tab w:val="left" w:pos="3909"/>
        </w:tabs>
        <w:rPr>
          <w:rFonts w:ascii="Times New Roman" w:hAnsi="Times New Roman"/>
          <w:sz w:val="24"/>
        </w:rPr>
      </w:pPr>
    </w:p>
    <w:p w14:paraId="18007EEF" w14:textId="3DEAFA19" w:rsidR="00A155A0" w:rsidRPr="00DC6F66" w:rsidRDefault="00553536" w:rsidP="00114266">
      <w:pPr>
        <w:pStyle w:val="Caption"/>
        <w:keepNext/>
        <w:spacing w:after="40"/>
        <w:jc w:val="right"/>
        <w:rPr>
          <w:rFonts w:ascii="Times New Roman" w:hAnsi="Times New Roman" w:cs="Times New Roman"/>
          <w:color w:val="auto"/>
          <w:sz w:val="24"/>
          <w:szCs w:val="24"/>
        </w:rPr>
      </w:pPr>
      <w:r>
        <w:rPr>
          <w:rFonts w:ascii="Times New Roman" w:hAnsi="Times New Roman" w:cs="Times New Roman"/>
          <w:b w:val="0"/>
          <w:i/>
          <w:noProof/>
          <w:color w:val="auto"/>
          <w:sz w:val="24"/>
          <w:szCs w:val="24"/>
        </w:rPr>
        <w:lastRenderedPageBreak/>
        <w:t>5.</w:t>
      </w:r>
      <w:r w:rsidR="00DD6BA4" w:rsidRPr="00DC6F66">
        <w:rPr>
          <w:rFonts w:ascii="Times New Roman" w:hAnsi="Times New Roman" w:cs="Times New Roman"/>
          <w:b w:val="0"/>
          <w:i/>
          <w:noProof/>
          <w:color w:val="auto"/>
          <w:sz w:val="24"/>
          <w:szCs w:val="24"/>
        </w:rPr>
        <w:t>attēls.</w:t>
      </w:r>
      <w:r w:rsidR="00A155A0" w:rsidRPr="00DC6F66">
        <w:rPr>
          <w:rFonts w:ascii="Times New Roman" w:hAnsi="Times New Roman" w:cs="Times New Roman"/>
          <w:b w:val="0"/>
          <w:i/>
          <w:noProof/>
          <w:color w:val="auto"/>
          <w:sz w:val="24"/>
          <w:szCs w:val="24"/>
        </w:rPr>
        <w:t xml:space="preserve"> </w:t>
      </w:r>
      <w:r w:rsidR="00A155A0" w:rsidRPr="00DC6F66">
        <w:rPr>
          <w:rFonts w:ascii="Times New Roman" w:hAnsi="Times New Roman" w:cs="Times New Roman"/>
          <w:color w:val="auto"/>
          <w:sz w:val="24"/>
          <w:szCs w:val="24"/>
        </w:rPr>
        <w:t>Iemaksas no privatizācijas un atsavināšanas</w:t>
      </w:r>
    </w:p>
    <w:p w14:paraId="2F6B06C6" w14:textId="040BC6D4" w:rsidR="00A922D9" w:rsidRDefault="00A922D9" w:rsidP="00AF71F2">
      <w:pPr>
        <w:rPr>
          <w:lang w:eastAsia="zh-CN"/>
        </w:rPr>
      </w:pPr>
      <w:r>
        <w:rPr>
          <w:noProof/>
          <w:lang w:eastAsia="lv-LV"/>
        </w:rPr>
        <w:drawing>
          <wp:anchor distT="0" distB="0" distL="114300" distR="114300" simplePos="0" relativeHeight="251638784" behindDoc="1" locked="0" layoutInCell="1" allowOverlap="1" wp14:anchorId="7466B839" wp14:editId="54E1FB75">
            <wp:simplePos x="0" y="0"/>
            <wp:positionH relativeFrom="column">
              <wp:posOffset>233680</wp:posOffset>
            </wp:positionH>
            <wp:positionV relativeFrom="paragraph">
              <wp:posOffset>95885</wp:posOffset>
            </wp:positionV>
            <wp:extent cx="5875655" cy="2976245"/>
            <wp:effectExtent l="0" t="0" r="0" b="0"/>
            <wp:wrapTight wrapText="bothSides">
              <wp:wrapPolygon edited="0">
                <wp:start x="0" y="0"/>
                <wp:lineTo x="0" y="21429"/>
                <wp:lineTo x="21500" y="21429"/>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5655" cy="2976245"/>
                    </a:xfrm>
                    <a:prstGeom prst="rect">
                      <a:avLst/>
                    </a:prstGeom>
                    <a:noFill/>
                  </pic:spPr>
                </pic:pic>
              </a:graphicData>
            </a:graphic>
            <wp14:sizeRelH relativeFrom="page">
              <wp14:pctWidth>0</wp14:pctWidth>
            </wp14:sizeRelH>
            <wp14:sizeRelV relativeFrom="page">
              <wp14:pctHeight>0</wp14:pctHeight>
            </wp14:sizeRelV>
          </wp:anchor>
        </w:drawing>
      </w:r>
    </w:p>
    <w:p w14:paraId="6623C45E" w14:textId="3E130F52" w:rsidR="00F5208C" w:rsidRPr="00DC6F66" w:rsidRDefault="00F76F41" w:rsidP="002F3824">
      <w:pPr>
        <w:pStyle w:val="Heading1"/>
        <w:numPr>
          <w:ilvl w:val="0"/>
          <w:numId w:val="2"/>
        </w:numPr>
        <w:spacing w:before="360" w:line="240" w:lineRule="auto"/>
        <w:ind w:left="714" w:hanging="357"/>
        <w:jc w:val="center"/>
        <w:rPr>
          <w:rStyle w:val="Heading1Char"/>
          <w:rFonts w:ascii="Times New Roman" w:hAnsi="Times New Roman" w:cs="Times New Roman"/>
          <w:b/>
          <w:color w:val="auto"/>
          <w:sz w:val="28"/>
        </w:rPr>
      </w:pPr>
      <w:bookmarkStart w:id="78" w:name="_Toc468974767"/>
      <w:bookmarkStart w:id="79" w:name="_Toc482084444"/>
      <w:bookmarkStart w:id="80" w:name="_Toc482084608"/>
      <w:bookmarkStart w:id="81" w:name="_Toc482084643"/>
      <w:bookmarkStart w:id="82" w:name="_Toc482084678"/>
      <w:bookmarkStart w:id="83" w:name="_Toc482084806"/>
      <w:bookmarkStart w:id="84" w:name="_Toc478473155"/>
      <w:r w:rsidRPr="00DC6F66">
        <w:rPr>
          <w:rStyle w:val="Heading1Char"/>
          <w:rFonts w:ascii="Times New Roman" w:hAnsi="Times New Roman" w:cs="Times New Roman"/>
          <w:b/>
          <w:color w:val="auto"/>
          <w:sz w:val="28"/>
        </w:rPr>
        <w:t xml:space="preserve">Valsts pārvaldes uzdevumu izpildes </w:t>
      </w:r>
      <w:r w:rsidR="00792567" w:rsidRPr="00DC6F66">
        <w:rPr>
          <w:rStyle w:val="Heading1Char"/>
          <w:rFonts w:ascii="Times New Roman" w:hAnsi="Times New Roman" w:cs="Times New Roman"/>
          <w:b/>
          <w:color w:val="auto"/>
          <w:sz w:val="28"/>
        </w:rPr>
        <w:t xml:space="preserve">pabeigšanas un </w:t>
      </w:r>
      <w:r w:rsidRPr="00DC6F66">
        <w:rPr>
          <w:rStyle w:val="Heading1Char"/>
          <w:rFonts w:ascii="Times New Roman" w:hAnsi="Times New Roman" w:cs="Times New Roman"/>
          <w:b/>
          <w:color w:val="auto"/>
          <w:sz w:val="28"/>
        </w:rPr>
        <w:t xml:space="preserve">optimizācijas </w:t>
      </w:r>
      <w:r w:rsidR="002D308A" w:rsidRPr="00DC6F66">
        <w:rPr>
          <w:rStyle w:val="Heading1Char"/>
          <w:rFonts w:ascii="Times New Roman" w:hAnsi="Times New Roman" w:cs="Times New Roman"/>
          <w:b/>
          <w:color w:val="auto"/>
          <w:sz w:val="28"/>
        </w:rPr>
        <w:t>iespēja</w:t>
      </w:r>
      <w:r w:rsidR="006D2E94" w:rsidRPr="00DC6F66">
        <w:rPr>
          <w:rStyle w:val="Heading1Char"/>
          <w:rFonts w:ascii="Times New Roman" w:hAnsi="Times New Roman" w:cs="Times New Roman"/>
          <w:b/>
          <w:color w:val="auto"/>
          <w:sz w:val="28"/>
        </w:rPr>
        <w:t>s</w:t>
      </w:r>
      <w:bookmarkEnd w:id="78"/>
      <w:bookmarkEnd w:id="79"/>
      <w:bookmarkEnd w:id="80"/>
      <w:bookmarkEnd w:id="81"/>
      <w:bookmarkEnd w:id="82"/>
      <w:bookmarkEnd w:id="83"/>
      <w:bookmarkEnd w:id="84"/>
    </w:p>
    <w:p w14:paraId="05313A05" w14:textId="0BDB47DC" w:rsidR="007F2B1B" w:rsidRPr="00DC6F66" w:rsidRDefault="007F2B1B">
      <w:pPr>
        <w:pStyle w:val="Heading2"/>
      </w:pPr>
      <w:bookmarkStart w:id="85" w:name="_Toc468974768"/>
      <w:bookmarkStart w:id="86" w:name="_Toc482084445"/>
      <w:bookmarkStart w:id="87" w:name="_Toc482084609"/>
      <w:bookmarkStart w:id="88" w:name="_Toc482084644"/>
      <w:bookmarkStart w:id="89" w:name="_Toc482084679"/>
      <w:bookmarkStart w:id="90" w:name="_Toc482084807"/>
      <w:bookmarkStart w:id="91" w:name="_Toc478473156"/>
      <w:r w:rsidRPr="00DC6F66">
        <w:t>Valsts pārvaldes uzdevumu izpildes optimizācijas nepieciešamības pamatojums</w:t>
      </w:r>
      <w:bookmarkEnd w:id="85"/>
      <w:bookmarkEnd w:id="86"/>
      <w:bookmarkEnd w:id="87"/>
      <w:bookmarkEnd w:id="88"/>
      <w:bookmarkEnd w:id="89"/>
      <w:bookmarkEnd w:id="90"/>
      <w:bookmarkEnd w:id="91"/>
    </w:p>
    <w:p w14:paraId="4C8B8C8F" w14:textId="77777777" w:rsidR="00B00345" w:rsidRPr="00DC6F66" w:rsidRDefault="00F5208C" w:rsidP="00114266">
      <w:pPr>
        <w:spacing w:before="80" w:after="80" w:line="240" w:lineRule="auto"/>
        <w:ind w:firstLine="709"/>
        <w:jc w:val="both"/>
        <w:rPr>
          <w:rFonts w:ascii="Times New Roman" w:hAnsi="Times New Roman" w:cs="Times New Roman"/>
          <w:color w:val="000000" w:themeColor="text1"/>
          <w:sz w:val="24"/>
          <w:szCs w:val="24"/>
        </w:rPr>
      </w:pPr>
      <w:r w:rsidRPr="00DC6F66">
        <w:rPr>
          <w:rFonts w:ascii="Times New Roman" w:hAnsi="Times New Roman" w:cs="Times New Roman"/>
          <w:color w:val="000000" w:themeColor="text1"/>
          <w:sz w:val="24"/>
          <w:szCs w:val="24"/>
        </w:rPr>
        <w:t>Sabiedrība pilda tai deleģētos</w:t>
      </w:r>
      <w:r w:rsidR="00122ABC" w:rsidRPr="00DC6F66">
        <w:rPr>
          <w:rFonts w:ascii="Times New Roman" w:hAnsi="Times New Roman" w:cs="Times New Roman"/>
          <w:color w:val="000000" w:themeColor="text1"/>
          <w:sz w:val="24"/>
          <w:szCs w:val="24"/>
        </w:rPr>
        <w:t>/uzdotos</w:t>
      </w:r>
      <w:r w:rsidRPr="00DC6F66">
        <w:rPr>
          <w:rFonts w:ascii="Times New Roman" w:hAnsi="Times New Roman" w:cs="Times New Roman"/>
          <w:color w:val="000000" w:themeColor="text1"/>
          <w:sz w:val="24"/>
          <w:szCs w:val="24"/>
        </w:rPr>
        <w:t xml:space="preserve"> valsts pārvaldes uzdevumus, t.i.</w:t>
      </w:r>
      <w:r w:rsidR="0052114F">
        <w:rPr>
          <w:rFonts w:ascii="Times New Roman" w:hAnsi="Times New Roman" w:cs="Times New Roman"/>
          <w:color w:val="000000" w:themeColor="text1"/>
          <w:sz w:val="24"/>
          <w:szCs w:val="24"/>
        </w:rPr>
        <w:t>,</w:t>
      </w:r>
      <w:r w:rsidRPr="00DC6F66">
        <w:rPr>
          <w:rFonts w:ascii="Times New Roman" w:hAnsi="Times New Roman" w:cs="Times New Roman"/>
          <w:color w:val="000000" w:themeColor="text1"/>
          <w:sz w:val="24"/>
          <w:szCs w:val="24"/>
        </w:rPr>
        <w:t xml:space="preserve"> veic komercdarbību, kas pamatā saistīta ar pakalpojuma sniegšanu valstij. Izrietoši, uz Sabiedrību (</w:t>
      </w:r>
      <w:r w:rsidRPr="00114266">
        <w:rPr>
          <w:rFonts w:ascii="Times New Roman" w:hAnsi="Times New Roman"/>
          <w:color w:val="000000" w:themeColor="text1"/>
          <w:sz w:val="24"/>
        </w:rPr>
        <w:t>pēc analoģijas</w:t>
      </w:r>
      <w:r w:rsidRPr="00DC6F66">
        <w:rPr>
          <w:rFonts w:ascii="Times New Roman" w:hAnsi="Times New Roman" w:cs="Times New Roman"/>
          <w:color w:val="000000" w:themeColor="text1"/>
          <w:sz w:val="24"/>
          <w:szCs w:val="24"/>
        </w:rPr>
        <w:t xml:space="preserve">) ir attiecināmi nacionālajos attīstības plānošanas dokumentos noteiktie mērķi un rezultāti, kas vērsti uz valsts pārvaldes darbības pilnveidi un efektivitātes veicināšanu. </w:t>
      </w:r>
    </w:p>
    <w:p w14:paraId="209C3360" w14:textId="77777777" w:rsidR="00492523" w:rsidRPr="00DC6F66" w:rsidRDefault="00F5208C" w:rsidP="00114266">
      <w:pPr>
        <w:spacing w:before="80" w:after="80" w:line="240" w:lineRule="auto"/>
        <w:ind w:firstLine="709"/>
        <w:jc w:val="both"/>
        <w:rPr>
          <w:rFonts w:ascii="Times New Roman" w:hAnsi="Times New Roman" w:cs="Times New Roman"/>
          <w:color w:val="000000" w:themeColor="text1"/>
          <w:sz w:val="24"/>
          <w:szCs w:val="24"/>
        </w:rPr>
      </w:pPr>
      <w:r w:rsidRPr="00DC6F66">
        <w:rPr>
          <w:rFonts w:ascii="Times New Roman" w:hAnsi="Times New Roman" w:cs="Times New Roman"/>
          <w:color w:val="000000" w:themeColor="text1"/>
          <w:sz w:val="24"/>
          <w:szCs w:val="24"/>
        </w:rPr>
        <w:t>Nacionāla līmeņa vidēja termiņa attīstības plānošanas dokumentā - Latvijas Nacionālajā attīstības plānā 2014. – 2020.gadam, Prioritātē “Tautas saimniecības izaugsme”, kā rīcības virziena “Izcila uzņēmēj</w:t>
      </w:r>
      <w:r w:rsidR="00522968" w:rsidRPr="00DC6F66">
        <w:rPr>
          <w:rFonts w:ascii="Times New Roman" w:hAnsi="Times New Roman" w:cs="Times New Roman"/>
          <w:color w:val="000000" w:themeColor="text1"/>
          <w:sz w:val="24"/>
          <w:szCs w:val="24"/>
        </w:rPr>
        <w:t>darbības vide” 1.</w:t>
      </w:r>
      <w:r w:rsidRPr="00DC6F66">
        <w:rPr>
          <w:rFonts w:ascii="Times New Roman" w:hAnsi="Times New Roman" w:cs="Times New Roman"/>
          <w:color w:val="000000" w:themeColor="text1"/>
          <w:sz w:val="24"/>
          <w:szCs w:val="24"/>
        </w:rPr>
        <w:t xml:space="preserve">mērķis ir uzstādīts </w:t>
      </w:r>
      <w:r w:rsidRPr="00BC6B7D">
        <w:rPr>
          <w:rFonts w:ascii="Times New Roman" w:hAnsi="Times New Roman" w:cs="Times New Roman"/>
          <w:i/>
          <w:color w:val="000000" w:themeColor="text1"/>
          <w:sz w:val="24"/>
          <w:szCs w:val="24"/>
        </w:rPr>
        <w:t>“Izveidot izcilu uzņēmējdarbības vidi, optimāli samazinot administratīvo slogu, ēnu ekonomikas īpatsvaru tautas saimniecībā, kā arī korupciju, nodrošinot prognozējamu nodokļu politiku, uzlabojot tieslietu sistēmas darbību, kā arī paaugstinot valsts pārvaldes darbības efektivitāti.”</w:t>
      </w:r>
      <w:r w:rsidRPr="00DC6F66">
        <w:rPr>
          <w:rFonts w:ascii="Times New Roman" w:hAnsi="Times New Roman" w:cs="Times New Roman"/>
          <w:color w:val="000000" w:themeColor="text1"/>
          <w:sz w:val="24"/>
          <w:szCs w:val="24"/>
        </w:rPr>
        <w:t xml:space="preserve"> Arī politikas plānošanas dokumentā - Valsts pārvaldes politikas attīstības pamatnostādnēs 2014.-2020.gadam ir norādīts, ka </w:t>
      </w:r>
      <w:r w:rsidRPr="003417EB">
        <w:rPr>
          <w:rFonts w:ascii="Times New Roman" w:hAnsi="Times New Roman" w:cs="Times New Roman"/>
          <w:i/>
          <w:color w:val="000000" w:themeColor="text1"/>
          <w:sz w:val="24"/>
          <w:szCs w:val="24"/>
        </w:rPr>
        <w:t>“[…] Institūciju pakalpojumu kvalitātes uzlabošana ir cieši saistīta ar vienas pieturas aģentūras principa ieviešanu pakalpojumu sniegšanas organizācijā, kas ļauj ietaupīt laika un finanšu resursus, samazinot administratīvo slogu iedzīvotājiem un uzņēmējiem, vienlaikus ceļot valsts pārvaldes efektivitāti</w:t>
      </w:r>
      <w:r w:rsidR="00971E1D" w:rsidRPr="003417EB">
        <w:rPr>
          <w:rFonts w:ascii="Times New Roman" w:hAnsi="Times New Roman" w:cs="Times New Roman"/>
          <w:i/>
          <w:color w:val="000000" w:themeColor="text1"/>
          <w:sz w:val="24"/>
          <w:szCs w:val="24"/>
        </w:rPr>
        <w:t xml:space="preserve"> </w:t>
      </w:r>
      <w:r w:rsidRPr="003417EB">
        <w:rPr>
          <w:rFonts w:ascii="Times New Roman" w:hAnsi="Times New Roman" w:cs="Times New Roman"/>
          <w:i/>
          <w:color w:val="000000" w:themeColor="text1"/>
          <w:sz w:val="24"/>
          <w:szCs w:val="24"/>
        </w:rPr>
        <w:t>[…]”</w:t>
      </w:r>
      <w:r w:rsidRPr="00114266">
        <w:rPr>
          <w:rFonts w:ascii="Times New Roman" w:hAnsi="Times New Roman"/>
          <w:color w:val="000000" w:themeColor="text1"/>
          <w:sz w:val="24"/>
        </w:rPr>
        <w:t>.</w:t>
      </w:r>
      <w:r w:rsidRPr="00DC6F66">
        <w:rPr>
          <w:rFonts w:ascii="Times New Roman" w:hAnsi="Times New Roman" w:cs="Times New Roman"/>
          <w:color w:val="000000" w:themeColor="text1"/>
          <w:sz w:val="24"/>
          <w:szCs w:val="24"/>
        </w:rPr>
        <w:t xml:space="preserve"> </w:t>
      </w:r>
    </w:p>
    <w:p w14:paraId="75C4D1BB" w14:textId="3EB5C1BD" w:rsidR="00971E1D" w:rsidRPr="00114266" w:rsidRDefault="00DE3003" w:rsidP="00114266">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K</w:t>
      </w:r>
      <w:r w:rsidR="00431BE2" w:rsidRPr="00114266">
        <w:rPr>
          <w:rFonts w:ascii="Times New Roman" w:hAnsi="Times New Roman"/>
          <w:color w:val="000000" w:themeColor="text1"/>
          <w:sz w:val="24"/>
        </w:rPr>
        <w:t xml:space="preserve">ā </w:t>
      </w:r>
      <w:r w:rsidR="00971E1D" w:rsidRPr="00114266">
        <w:rPr>
          <w:rFonts w:ascii="Times New Roman" w:hAnsi="Times New Roman"/>
          <w:color w:val="000000" w:themeColor="text1"/>
          <w:sz w:val="24"/>
        </w:rPr>
        <w:t>veiksmīgs</w:t>
      </w:r>
      <w:r w:rsidR="00431BE2" w:rsidRPr="00114266">
        <w:rPr>
          <w:rFonts w:ascii="Times New Roman" w:hAnsi="Times New Roman"/>
          <w:color w:val="000000" w:themeColor="text1"/>
          <w:sz w:val="24"/>
        </w:rPr>
        <w:t xml:space="preserve"> </w:t>
      </w:r>
      <w:r w:rsidR="00B00345" w:rsidRPr="00114266">
        <w:rPr>
          <w:rFonts w:ascii="Times New Roman" w:hAnsi="Times New Roman"/>
          <w:color w:val="000000" w:themeColor="text1"/>
          <w:sz w:val="24"/>
        </w:rPr>
        <w:t xml:space="preserve">valsts pārvaldes uzdevumu izpildes </w:t>
      </w:r>
      <w:r>
        <w:rPr>
          <w:rFonts w:ascii="Times New Roman" w:hAnsi="Times New Roman"/>
          <w:color w:val="000000" w:themeColor="text1"/>
          <w:sz w:val="24"/>
        </w:rPr>
        <w:t xml:space="preserve">optimizācijas </w:t>
      </w:r>
      <w:r w:rsidR="00431BE2" w:rsidRPr="00114266">
        <w:rPr>
          <w:rFonts w:ascii="Times New Roman" w:hAnsi="Times New Roman"/>
          <w:color w:val="000000" w:themeColor="text1"/>
          <w:sz w:val="24"/>
        </w:rPr>
        <w:t xml:space="preserve">precedents ir </w:t>
      </w:r>
      <w:r w:rsidRPr="00114266">
        <w:rPr>
          <w:rFonts w:ascii="Times New Roman" w:hAnsi="Times New Roman"/>
          <w:color w:val="000000" w:themeColor="text1"/>
          <w:sz w:val="24"/>
        </w:rPr>
        <w:t xml:space="preserve">Valsts </w:t>
      </w:r>
      <w:r>
        <w:rPr>
          <w:rFonts w:ascii="Times New Roman" w:hAnsi="Times New Roman"/>
          <w:color w:val="000000" w:themeColor="text1"/>
          <w:sz w:val="24"/>
        </w:rPr>
        <w:t>sociālās apdrošināšanas aģentūras</w:t>
      </w:r>
      <w:r w:rsidRPr="00114266">
        <w:rPr>
          <w:rFonts w:ascii="Times New Roman" w:hAnsi="Times New Roman"/>
          <w:color w:val="000000" w:themeColor="text1"/>
          <w:sz w:val="24"/>
        </w:rPr>
        <w:t xml:space="preserve"> (turpmāk – VSAA)</w:t>
      </w:r>
      <w:r w:rsidRPr="00DE3003">
        <w:rPr>
          <w:rFonts w:ascii="Times New Roman" w:hAnsi="Times New Roman"/>
          <w:color w:val="000000" w:themeColor="text1"/>
          <w:sz w:val="24"/>
        </w:rPr>
        <w:t xml:space="preserve"> </w:t>
      </w:r>
      <w:r w:rsidRPr="00114266">
        <w:rPr>
          <w:rFonts w:ascii="Times New Roman" w:hAnsi="Times New Roman"/>
          <w:color w:val="000000" w:themeColor="text1"/>
          <w:sz w:val="24"/>
        </w:rPr>
        <w:t>turējumā esošo valsts pensiju speciālajam budžetam nodoto valsts kapitāla daļu atsavināšan</w:t>
      </w:r>
      <w:r>
        <w:rPr>
          <w:rFonts w:ascii="Times New Roman" w:hAnsi="Times New Roman"/>
          <w:color w:val="000000" w:themeColor="text1"/>
          <w:sz w:val="24"/>
        </w:rPr>
        <w:t>a.</w:t>
      </w:r>
      <w:r w:rsidRPr="00114266">
        <w:rPr>
          <w:rFonts w:ascii="Times New Roman" w:hAnsi="Times New Roman"/>
          <w:color w:val="000000" w:themeColor="text1"/>
          <w:sz w:val="24"/>
        </w:rPr>
        <w:t xml:space="preserve"> </w:t>
      </w:r>
      <w:r w:rsidR="00431BE2" w:rsidRPr="00114266">
        <w:rPr>
          <w:rFonts w:ascii="Times New Roman" w:hAnsi="Times New Roman"/>
          <w:color w:val="000000" w:themeColor="text1"/>
          <w:sz w:val="24"/>
        </w:rPr>
        <w:t>2013.gada 28.decembrī noslēgtā sadarbības līguma ietvaros</w:t>
      </w:r>
      <w:r w:rsidRPr="00DE3003">
        <w:rPr>
          <w:rFonts w:ascii="Times New Roman" w:hAnsi="Times New Roman"/>
          <w:color w:val="000000" w:themeColor="text1"/>
          <w:sz w:val="24"/>
        </w:rPr>
        <w:t xml:space="preserve"> </w:t>
      </w:r>
      <w:r w:rsidRPr="00114266">
        <w:rPr>
          <w:rFonts w:ascii="Times New Roman" w:hAnsi="Times New Roman"/>
          <w:color w:val="000000" w:themeColor="text1"/>
          <w:sz w:val="24"/>
        </w:rPr>
        <w:t xml:space="preserve">Sabiedrība </w:t>
      </w:r>
      <w:r>
        <w:rPr>
          <w:rFonts w:ascii="Times New Roman" w:hAnsi="Times New Roman"/>
          <w:color w:val="000000" w:themeColor="text1"/>
          <w:sz w:val="24"/>
        </w:rPr>
        <w:t xml:space="preserve">uzsāka </w:t>
      </w:r>
      <w:r w:rsidRPr="00114266">
        <w:rPr>
          <w:rFonts w:ascii="Times New Roman" w:hAnsi="Times New Roman"/>
          <w:color w:val="000000" w:themeColor="text1"/>
          <w:sz w:val="24"/>
        </w:rPr>
        <w:t>VSAA</w:t>
      </w:r>
      <w:r w:rsidR="00DF0644">
        <w:rPr>
          <w:rFonts w:ascii="Times New Roman" w:hAnsi="Times New Roman"/>
          <w:color w:val="000000" w:themeColor="text1"/>
          <w:sz w:val="24"/>
        </w:rPr>
        <w:t xml:space="preserve"> turējumā esošo </w:t>
      </w:r>
      <w:r w:rsidR="00DF0644" w:rsidRPr="00114266">
        <w:rPr>
          <w:rFonts w:ascii="Times New Roman" w:hAnsi="Times New Roman"/>
          <w:color w:val="000000" w:themeColor="text1"/>
          <w:sz w:val="24"/>
        </w:rPr>
        <w:t>valsts kapitāla daļu atsavināšan</w:t>
      </w:r>
      <w:r w:rsidR="00DF0644">
        <w:rPr>
          <w:rFonts w:ascii="Times New Roman" w:hAnsi="Times New Roman"/>
          <w:color w:val="000000" w:themeColor="text1"/>
          <w:sz w:val="24"/>
        </w:rPr>
        <w:t>u</w:t>
      </w:r>
      <w:r w:rsidR="00431BE2" w:rsidRPr="00114266">
        <w:rPr>
          <w:rFonts w:ascii="Times New Roman" w:hAnsi="Times New Roman"/>
          <w:color w:val="000000" w:themeColor="text1"/>
          <w:sz w:val="24"/>
        </w:rPr>
        <w:t xml:space="preserve">. </w:t>
      </w:r>
      <w:r w:rsidR="00DF0644">
        <w:rPr>
          <w:rFonts w:ascii="Times New Roman" w:hAnsi="Times New Roman"/>
          <w:color w:val="000000" w:themeColor="text1"/>
          <w:sz w:val="24"/>
        </w:rPr>
        <w:t>V</w:t>
      </w:r>
      <w:r w:rsidR="00971E1D" w:rsidRPr="00114266">
        <w:rPr>
          <w:rFonts w:ascii="Times New Roman" w:hAnsi="Times New Roman"/>
          <w:color w:val="000000" w:themeColor="text1"/>
          <w:sz w:val="24"/>
        </w:rPr>
        <w:t>ēlāk - 2015.gada 1.jūlijā un 2015.gada 28.decembrī, s</w:t>
      </w:r>
      <w:r w:rsidR="00431BE2" w:rsidRPr="00114266">
        <w:rPr>
          <w:rFonts w:ascii="Times New Roman" w:hAnsi="Times New Roman"/>
          <w:color w:val="000000" w:themeColor="text1"/>
          <w:sz w:val="24"/>
        </w:rPr>
        <w:t xml:space="preserve">askaņā </w:t>
      </w:r>
      <w:r w:rsidR="00971E1D" w:rsidRPr="00114266">
        <w:rPr>
          <w:rFonts w:ascii="Times New Roman" w:hAnsi="Times New Roman"/>
          <w:color w:val="000000" w:themeColor="text1"/>
          <w:sz w:val="24"/>
        </w:rPr>
        <w:t xml:space="preserve">ar </w:t>
      </w:r>
      <w:r w:rsidR="0052114F">
        <w:rPr>
          <w:rFonts w:ascii="Times New Roman" w:hAnsi="Times New Roman"/>
          <w:color w:val="000000" w:themeColor="text1"/>
          <w:sz w:val="24"/>
        </w:rPr>
        <w:t>Kapitālsabiedrības p</w:t>
      </w:r>
      <w:r w:rsidR="00431BE2" w:rsidRPr="00114266">
        <w:rPr>
          <w:rFonts w:ascii="Times New Roman" w:hAnsi="Times New Roman"/>
          <w:color w:val="000000" w:themeColor="text1"/>
          <w:sz w:val="24"/>
        </w:rPr>
        <w:t xml:space="preserve">ārvaldības likumu Sabiedrība pārņēma </w:t>
      </w:r>
      <w:r w:rsidR="00971E1D" w:rsidRPr="00114266">
        <w:rPr>
          <w:rFonts w:ascii="Times New Roman" w:hAnsi="Times New Roman"/>
          <w:color w:val="000000" w:themeColor="text1"/>
          <w:sz w:val="24"/>
        </w:rPr>
        <w:t xml:space="preserve">valsts pensiju speciālajam budžetam nodotās kapitāla daļas </w:t>
      </w:r>
      <w:r w:rsidR="00431BE2" w:rsidRPr="00114266">
        <w:rPr>
          <w:rFonts w:ascii="Times New Roman" w:hAnsi="Times New Roman"/>
          <w:color w:val="000000" w:themeColor="text1"/>
          <w:sz w:val="24"/>
        </w:rPr>
        <w:t>no VSAA turējumā</w:t>
      </w:r>
      <w:r w:rsidR="00B00345" w:rsidRPr="00114266">
        <w:rPr>
          <w:rFonts w:ascii="Times New Roman" w:hAnsi="Times New Roman"/>
          <w:color w:val="000000" w:themeColor="text1"/>
          <w:sz w:val="24"/>
        </w:rPr>
        <w:t xml:space="preserve"> un </w:t>
      </w:r>
      <w:r w:rsidR="00DF0644">
        <w:rPr>
          <w:rFonts w:ascii="Times New Roman" w:hAnsi="Times New Roman"/>
          <w:color w:val="000000" w:themeColor="text1"/>
          <w:sz w:val="24"/>
        </w:rPr>
        <w:t xml:space="preserve">turpināja </w:t>
      </w:r>
      <w:r w:rsidR="00B00345" w:rsidRPr="00114266">
        <w:rPr>
          <w:rFonts w:ascii="Times New Roman" w:hAnsi="Times New Roman"/>
          <w:color w:val="000000" w:themeColor="text1"/>
          <w:sz w:val="24"/>
        </w:rPr>
        <w:t>to atsavināšanu</w:t>
      </w:r>
      <w:r w:rsidR="00893336">
        <w:rPr>
          <w:rFonts w:ascii="Times New Roman" w:hAnsi="Times New Roman"/>
          <w:color w:val="000000" w:themeColor="text1"/>
          <w:sz w:val="24"/>
        </w:rPr>
        <w:t>, izmantojot sadarbības līguma ietvaros iegūto informāciju un zināšanas par konkrētajām kapitālsabiedrībām</w:t>
      </w:r>
      <w:r w:rsidR="00431BE2" w:rsidRPr="00114266">
        <w:rPr>
          <w:rFonts w:ascii="Times New Roman" w:hAnsi="Times New Roman"/>
          <w:color w:val="000000" w:themeColor="text1"/>
          <w:sz w:val="24"/>
        </w:rPr>
        <w:t xml:space="preserve">. </w:t>
      </w:r>
    </w:p>
    <w:p w14:paraId="4322C95D" w14:textId="1231C98B" w:rsidR="00431BE2" w:rsidRDefault="00893336" w:rsidP="00871245">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Kā vēl vienu valsts pārvaldes optimizācijas piemēru var minēt 2015. un 2016.gadā </w:t>
      </w:r>
      <w:r w:rsidR="00431BE2" w:rsidRPr="00114266">
        <w:rPr>
          <w:rFonts w:ascii="Times New Roman" w:hAnsi="Times New Roman"/>
          <w:color w:val="000000" w:themeColor="text1"/>
          <w:sz w:val="24"/>
        </w:rPr>
        <w:t xml:space="preserve">Sabiedrībai </w:t>
      </w:r>
      <w:r>
        <w:rPr>
          <w:rFonts w:ascii="Times New Roman" w:hAnsi="Times New Roman"/>
          <w:color w:val="000000" w:themeColor="text1"/>
          <w:sz w:val="24"/>
        </w:rPr>
        <w:t xml:space="preserve">deleģētos </w:t>
      </w:r>
      <w:r w:rsidR="00431BE2" w:rsidRPr="00114266">
        <w:rPr>
          <w:rFonts w:ascii="Times New Roman" w:hAnsi="Times New Roman"/>
          <w:color w:val="000000" w:themeColor="text1"/>
          <w:sz w:val="24"/>
        </w:rPr>
        <w:t xml:space="preserve">valsts pārvaldes uzdevumus, kuru ietvaros tiek apkalpoti privatizācijas sertifikātu konti, slēgti un administrēti zemes izpirkuma (pirkuma) līgumi, administrēti maksājumi </w:t>
      </w:r>
      <w:r w:rsidR="00431BE2" w:rsidRPr="00114266">
        <w:rPr>
          <w:rFonts w:ascii="Times New Roman" w:hAnsi="Times New Roman"/>
          <w:color w:val="000000" w:themeColor="text1"/>
          <w:sz w:val="24"/>
        </w:rPr>
        <w:lastRenderedPageBreak/>
        <w:t>par valsts un pašvaldību dzīvojamo māju privatizāciju, kas veikti privatizācijas sertifikātos, kā arī kontrolēta privatizācijas sertifikātu piešķiršana, emitēšana, to izmantošana un dzēšana, nodrošinot privatizācijas se</w:t>
      </w:r>
      <w:r w:rsidR="006D5CB6" w:rsidRPr="00114266">
        <w:rPr>
          <w:rFonts w:ascii="Times New Roman" w:hAnsi="Times New Roman"/>
          <w:color w:val="000000" w:themeColor="text1"/>
          <w:sz w:val="24"/>
        </w:rPr>
        <w:t>rtifikātu apgrozības uzraudzību</w:t>
      </w:r>
      <w:r w:rsidR="00431BE2" w:rsidRPr="00114266">
        <w:rPr>
          <w:rFonts w:ascii="Times New Roman" w:hAnsi="Times New Roman"/>
          <w:color w:val="000000" w:themeColor="text1"/>
          <w:sz w:val="24"/>
        </w:rPr>
        <w:t xml:space="preserve">. </w:t>
      </w:r>
      <w:r w:rsidR="00A922D9">
        <w:rPr>
          <w:rFonts w:ascii="Times New Roman" w:hAnsi="Times New Roman"/>
          <w:color w:val="000000" w:themeColor="text1"/>
          <w:sz w:val="24"/>
        </w:rPr>
        <w:t>Līdz ar to</w:t>
      </w:r>
      <w:r w:rsidR="00431BE2" w:rsidRPr="00114266">
        <w:rPr>
          <w:rFonts w:ascii="Times New Roman" w:hAnsi="Times New Roman"/>
          <w:color w:val="000000" w:themeColor="text1"/>
          <w:sz w:val="24"/>
        </w:rPr>
        <w:t xml:space="preserve"> no 2016.gada 1.oktobra Sabiedrība ir vienīgā institūcija valstī, kura nodrošina privatizācijas sertifikātu kontu apkalpošanu, zemes izpirkuma (pirkuma) līgumu slēgšanu un privatizācijas sertifikātu maksājumu, kas saņemti par dzīvojamo māju privatizāciju, administrēšanu. </w:t>
      </w:r>
    </w:p>
    <w:p w14:paraId="675F5322" w14:textId="54945BBC" w:rsidR="00BD2BBB" w:rsidRPr="00DC6F66" w:rsidRDefault="00BD2BBB">
      <w:pPr>
        <w:pStyle w:val="Heading2"/>
      </w:pPr>
      <w:bookmarkStart w:id="92" w:name="_Toc468974769"/>
      <w:bookmarkStart w:id="93" w:name="_Toc482084446"/>
      <w:bookmarkStart w:id="94" w:name="_Toc482084610"/>
      <w:bookmarkStart w:id="95" w:name="_Toc482084645"/>
      <w:bookmarkStart w:id="96" w:name="_Toc482084680"/>
      <w:bookmarkStart w:id="97" w:name="_Toc482084808"/>
      <w:bookmarkStart w:id="98" w:name="_Toc478473157"/>
      <w:r w:rsidRPr="00DC6F66">
        <w:t>Privatizācijas procesa pabeigšana</w:t>
      </w:r>
      <w:r w:rsidR="005179F1" w:rsidRPr="00DC6F66">
        <w:t>: izaicinājumi un piedāvātie risinājumi</w:t>
      </w:r>
      <w:bookmarkEnd w:id="92"/>
      <w:bookmarkEnd w:id="93"/>
      <w:bookmarkEnd w:id="94"/>
      <w:bookmarkEnd w:id="95"/>
      <w:bookmarkEnd w:id="96"/>
      <w:bookmarkEnd w:id="97"/>
      <w:bookmarkEnd w:id="98"/>
    </w:p>
    <w:p w14:paraId="4F05222E" w14:textId="1C054FD4" w:rsidR="00CA0636" w:rsidRPr="00DC6F66" w:rsidRDefault="005B225B" w:rsidP="00114266">
      <w:pPr>
        <w:spacing w:before="80" w:after="80" w:line="240" w:lineRule="auto"/>
        <w:ind w:firstLine="709"/>
        <w:jc w:val="both"/>
        <w:rPr>
          <w:rFonts w:ascii="Times New Roman" w:hAnsi="Times New Roman" w:cs="Times New Roman"/>
          <w:color w:val="000000" w:themeColor="text1"/>
          <w:sz w:val="24"/>
          <w:szCs w:val="24"/>
        </w:rPr>
      </w:pPr>
      <w:r w:rsidRPr="00DC6F66">
        <w:rPr>
          <w:rFonts w:ascii="Times New Roman" w:hAnsi="Times New Roman" w:cs="Times New Roman"/>
          <w:color w:val="000000" w:themeColor="text1"/>
          <w:sz w:val="24"/>
          <w:szCs w:val="24"/>
        </w:rPr>
        <w:t>V</w:t>
      </w:r>
      <w:r w:rsidR="00672F9D" w:rsidRPr="00DC6F66">
        <w:rPr>
          <w:rFonts w:ascii="Times New Roman" w:hAnsi="Times New Roman" w:cs="Times New Roman"/>
          <w:color w:val="000000" w:themeColor="text1"/>
          <w:sz w:val="24"/>
          <w:szCs w:val="24"/>
        </w:rPr>
        <w:t xml:space="preserve">idējā termiņā </w:t>
      </w:r>
      <w:r w:rsidRPr="00DC6F66">
        <w:rPr>
          <w:rFonts w:ascii="Times New Roman" w:hAnsi="Times New Roman" w:cs="Times New Roman"/>
          <w:color w:val="000000" w:themeColor="text1"/>
          <w:sz w:val="24"/>
          <w:szCs w:val="24"/>
        </w:rPr>
        <w:t xml:space="preserve">Latvijā </w:t>
      </w:r>
      <w:r w:rsidR="00672F9D" w:rsidRPr="00DC6F66">
        <w:rPr>
          <w:rFonts w:ascii="Times New Roman" w:hAnsi="Times New Roman" w:cs="Times New Roman"/>
          <w:color w:val="000000" w:themeColor="text1"/>
          <w:sz w:val="24"/>
          <w:szCs w:val="24"/>
        </w:rPr>
        <w:t>ir nepieciešam</w:t>
      </w:r>
      <w:r w:rsidR="00C7113B">
        <w:rPr>
          <w:rFonts w:ascii="Times New Roman" w:hAnsi="Times New Roman" w:cs="Times New Roman"/>
          <w:color w:val="000000" w:themeColor="text1"/>
          <w:sz w:val="24"/>
          <w:szCs w:val="24"/>
        </w:rPr>
        <w:t>s</w:t>
      </w:r>
      <w:r w:rsidR="00672F9D" w:rsidRPr="00DC6F66">
        <w:rPr>
          <w:rFonts w:ascii="Times New Roman" w:hAnsi="Times New Roman" w:cs="Times New Roman"/>
          <w:color w:val="000000" w:themeColor="text1"/>
          <w:sz w:val="24"/>
          <w:szCs w:val="24"/>
        </w:rPr>
        <w:t xml:space="preserve"> veicināt vairāk kā 20 gadus </w:t>
      </w:r>
      <w:r w:rsidR="00C22456">
        <w:rPr>
          <w:rFonts w:ascii="Times New Roman" w:hAnsi="Times New Roman" w:cs="Times New Roman"/>
          <w:color w:val="000000" w:themeColor="text1"/>
          <w:sz w:val="24"/>
          <w:szCs w:val="24"/>
        </w:rPr>
        <w:t>veiktās zemes reformas un privatizācijas mērķu sasniegšanu</w:t>
      </w:r>
      <w:r w:rsidRPr="00DC6F66">
        <w:rPr>
          <w:rFonts w:ascii="Times New Roman" w:hAnsi="Times New Roman" w:cs="Times New Roman"/>
          <w:color w:val="000000" w:themeColor="text1"/>
          <w:sz w:val="24"/>
          <w:szCs w:val="24"/>
        </w:rPr>
        <w:t>, kas rezultētos atsevišķu Privatizācijas aģentūrai deleģētu valsts pārvaldes uzdevumu izpildes izbeigšanu. Ņemot vērā esošo situāciju un identificētās problēmas, tiek izteikti zemāk minētie</w:t>
      </w:r>
      <w:r w:rsidR="00CA0636" w:rsidRPr="00DC6F66">
        <w:rPr>
          <w:rFonts w:ascii="Times New Roman" w:hAnsi="Times New Roman" w:cs="Times New Roman"/>
          <w:color w:val="000000" w:themeColor="text1"/>
          <w:sz w:val="24"/>
          <w:szCs w:val="24"/>
        </w:rPr>
        <w:t xml:space="preserve"> priekšlikumi par vēlamajiem grozījumiem attiecināmajos normatīvajos aktos</w:t>
      </w:r>
      <w:r w:rsidR="005E2A4F" w:rsidRPr="00DC6F66">
        <w:rPr>
          <w:rFonts w:ascii="Times New Roman" w:hAnsi="Times New Roman" w:cs="Times New Roman"/>
          <w:color w:val="000000" w:themeColor="text1"/>
          <w:sz w:val="24"/>
          <w:szCs w:val="24"/>
        </w:rPr>
        <w:t xml:space="preserve"> vai noteiktu rīcību publiskās personas iestādei</w:t>
      </w:r>
      <w:r w:rsidR="00CA0636" w:rsidRPr="00DC6F66">
        <w:rPr>
          <w:rFonts w:ascii="Times New Roman" w:hAnsi="Times New Roman" w:cs="Times New Roman"/>
          <w:color w:val="000000" w:themeColor="text1"/>
          <w:sz w:val="24"/>
          <w:szCs w:val="24"/>
        </w:rPr>
        <w:t>.</w:t>
      </w:r>
    </w:p>
    <w:p w14:paraId="12FD2EF5" w14:textId="19D33DDA" w:rsidR="005179F1" w:rsidRPr="00DC6F66" w:rsidRDefault="00E966B9" w:rsidP="00114266">
      <w:pPr>
        <w:pStyle w:val="Heading3"/>
        <w:numPr>
          <w:ilvl w:val="2"/>
          <w:numId w:val="2"/>
        </w:numPr>
        <w:pBdr>
          <w:bottom w:val="single" w:sz="2" w:space="1" w:color="auto"/>
        </w:pBdr>
        <w:spacing w:before="240" w:after="120"/>
        <w:rPr>
          <w:rFonts w:ascii="Times New Roman" w:hAnsi="Times New Roman" w:cs="Times New Roman"/>
          <w:i/>
          <w:color w:val="auto"/>
        </w:rPr>
      </w:pPr>
      <w:bookmarkStart w:id="99" w:name="_Toc468974770"/>
      <w:bookmarkStart w:id="100" w:name="_Toc482084447"/>
      <w:bookmarkStart w:id="101" w:name="_Toc482084611"/>
      <w:bookmarkStart w:id="102" w:name="_Toc482084646"/>
      <w:bookmarkStart w:id="103" w:name="_Toc482084681"/>
      <w:bookmarkStart w:id="104" w:name="_Toc482084809"/>
      <w:bookmarkStart w:id="105" w:name="_Toc478473158"/>
      <w:r w:rsidRPr="00DC6F66">
        <w:rPr>
          <w:rFonts w:ascii="Times New Roman" w:hAnsi="Times New Roman" w:cs="Times New Roman"/>
          <w:i/>
          <w:color w:val="auto"/>
        </w:rPr>
        <w:t xml:space="preserve">Valsts īpašumu objekti un </w:t>
      </w:r>
      <w:r w:rsidR="006C0BA2" w:rsidRPr="00DC6F66">
        <w:rPr>
          <w:rFonts w:ascii="Times New Roman" w:hAnsi="Times New Roman" w:cs="Times New Roman"/>
          <w:i/>
          <w:color w:val="auto"/>
        </w:rPr>
        <w:t xml:space="preserve">valsts </w:t>
      </w:r>
      <w:r w:rsidRPr="00DC6F66">
        <w:rPr>
          <w:rFonts w:ascii="Times New Roman" w:hAnsi="Times New Roman" w:cs="Times New Roman"/>
          <w:i/>
          <w:color w:val="auto"/>
        </w:rPr>
        <w:t>zemesgabali</w:t>
      </w:r>
      <w:bookmarkEnd w:id="99"/>
      <w:bookmarkEnd w:id="100"/>
      <w:bookmarkEnd w:id="101"/>
      <w:bookmarkEnd w:id="102"/>
      <w:bookmarkEnd w:id="103"/>
      <w:bookmarkEnd w:id="104"/>
      <w:bookmarkEnd w:id="105"/>
    </w:p>
    <w:p w14:paraId="5203925B" w14:textId="6C8ED4C1" w:rsidR="007512D5" w:rsidRPr="001F3906" w:rsidRDefault="007512D5" w:rsidP="007512D5">
      <w:pPr>
        <w:pStyle w:val="Heading3"/>
        <w:pBdr>
          <w:bottom w:val="single" w:sz="2" w:space="1" w:color="auto"/>
        </w:pBdr>
        <w:spacing w:before="240" w:after="120"/>
        <w:ind w:firstLine="360"/>
        <w:rPr>
          <w:rFonts w:ascii="Times New Roman" w:hAnsi="Times New Roman" w:cs="Times New Roman"/>
          <w:i/>
          <w:color w:val="auto"/>
        </w:rPr>
      </w:pPr>
      <w:bookmarkStart w:id="106" w:name="_Toc482084448"/>
      <w:bookmarkStart w:id="107" w:name="_Toc482084612"/>
      <w:bookmarkStart w:id="108" w:name="_Toc482084647"/>
      <w:bookmarkStart w:id="109" w:name="_Toc482084682"/>
      <w:bookmarkStart w:id="110" w:name="_Toc482084810"/>
      <w:bookmarkStart w:id="111" w:name="_Toc478473159"/>
      <w:r>
        <w:rPr>
          <w:rFonts w:ascii="Times New Roman" w:hAnsi="Times New Roman" w:cs="Times New Roman"/>
          <w:i/>
          <w:color w:val="auto"/>
        </w:rPr>
        <w:t>4.2.1.1. Ieviestie pasākumi</w:t>
      </w:r>
      <w:bookmarkEnd w:id="106"/>
      <w:bookmarkEnd w:id="107"/>
      <w:bookmarkEnd w:id="108"/>
      <w:bookmarkEnd w:id="109"/>
      <w:bookmarkEnd w:id="110"/>
      <w:bookmarkEnd w:id="111"/>
    </w:p>
    <w:p w14:paraId="6E128519" w14:textId="77777777" w:rsidR="007512D5" w:rsidRPr="00986608" w:rsidRDefault="007512D5" w:rsidP="00655F3C">
      <w:pPr>
        <w:pStyle w:val="ListParagraph"/>
        <w:numPr>
          <w:ilvl w:val="0"/>
          <w:numId w:val="10"/>
        </w:numPr>
        <w:spacing w:before="120"/>
        <w:jc w:val="both"/>
        <w:rPr>
          <w:rFonts w:cs="Times New Roman"/>
        </w:rPr>
      </w:pPr>
      <w:r>
        <w:rPr>
          <w:rFonts w:cs="Times New Roman"/>
        </w:rPr>
        <w:t>2017.gada 1.februārī stājās spēkā Ministru kabineta 2017.gada 3.janvāra noteikumi Nr.12 “</w:t>
      </w:r>
      <w:r w:rsidRPr="00F80D1D">
        <w:rPr>
          <w:rFonts w:cs="Times New Roman"/>
        </w:rPr>
        <w:t>Privatizācijas sertifikātu kontu apkalpošanas, privatizācijas sertifikātu izmantošanas un aprites administrēšanas noteikumi</w:t>
      </w:r>
      <w:r>
        <w:rPr>
          <w:rFonts w:cs="Times New Roman"/>
        </w:rPr>
        <w:t>” (turpmāk – Ministru kabineta noteikumi Nr.12), kas</w:t>
      </w:r>
      <w:r w:rsidRPr="00DC6F66">
        <w:rPr>
          <w:rFonts w:cs="Times New Roman"/>
        </w:rPr>
        <w:t>, cita starpā, paredz ieviest privatizācijas sertifikātu kontu apkalpošanas maks</w:t>
      </w:r>
      <w:r>
        <w:rPr>
          <w:rFonts w:cs="Times New Roman"/>
        </w:rPr>
        <w:t>u</w:t>
      </w:r>
      <w:r w:rsidRPr="00DC6F66">
        <w:rPr>
          <w:rFonts w:cs="Times New Roman"/>
        </w:rPr>
        <w:t xml:space="preserve"> fiziskām personām</w:t>
      </w:r>
      <w:r>
        <w:rPr>
          <w:rFonts w:cs="Times New Roman"/>
        </w:rPr>
        <w:t xml:space="preserve">. Tādējādi </w:t>
      </w:r>
      <w:r w:rsidRPr="00DC6F66">
        <w:rPr>
          <w:rFonts w:cs="Times New Roman"/>
        </w:rPr>
        <w:t xml:space="preserve">fiziskām personām </w:t>
      </w:r>
      <w:r>
        <w:rPr>
          <w:rFonts w:cs="Times New Roman"/>
        </w:rPr>
        <w:t>n</w:t>
      </w:r>
      <w:r w:rsidRPr="00DC6F66">
        <w:rPr>
          <w:rFonts w:cs="Times New Roman"/>
        </w:rPr>
        <w:t>oteikt</w:t>
      </w:r>
      <w:r>
        <w:rPr>
          <w:rFonts w:cs="Times New Roman"/>
        </w:rPr>
        <w:t>ā</w:t>
      </w:r>
      <w:r w:rsidRPr="00DC6F66">
        <w:rPr>
          <w:rFonts w:cs="Times New Roman"/>
        </w:rPr>
        <w:t xml:space="preserve"> maks</w:t>
      </w:r>
      <w:r>
        <w:rPr>
          <w:rFonts w:cs="Times New Roman"/>
        </w:rPr>
        <w:t>a</w:t>
      </w:r>
      <w:r w:rsidRPr="00DC6F66">
        <w:rPr>
          <w:rFonts w:cs="Times New Roman"/>
        </w:rPr>
        <w:t xml:space="preserve"> par privatizācijas sertifikātu kontu uzturēšanu</w:t>
      </w:r>
      <w:r>
        <w:rPr>
          <w:rFonts w:cs="Times New Roman"/>
        </w:rPr>
        <w:t xml:space="preserve"> </w:t>
      </w:r>
      <w:r w:rsidRPr="0011095B">
        <w:rPr>
          <w:rFonts w:cs="Times New Roman"/>
        </w:rPr>
        <w:t>veicin</w:t>
      </w:r>
      <w:r>
        <w:rPr>
          <w:rFonts w:cs="Times New Roman"/>
        </w:rPr>
        <w:t>ās</w:t>
      </w:r>
      <w:r w:rsidRPr="0011095B">
        <w:rPr>
          <w:rFonts w:cs="Times New Roman"/>
        </w:rPr>
        <w:t xml:space="preserve"> ātrāku valsts un pašvaldību objektu un zemesgabalu privatizācijas nomaksas līgumos noteikto saistību izpildi, veicot samaksu privatizācijas sertifikātos. </w:t>
      </w:r>
    </w:p>
    <w:p w14:paraId="5788FA54" w14:textId="0D3226DA" w:rsidR="007512D5" w:rsidRPr="00986608" w:rsidRDefault="007512D5" w:rsidP="007512D5">
      <w:pPr>
        <w:pStyle w:val="Heading3"/>
        <w:pBdr>
          <w:bottom w:val="single" w:sz="2" w:space="1" w:color="auto"/>
        </w:pBdr>
        <w:spacing w:before="240" w:after="120"/>
        <w:ind w:firstLine="360"/>
        <w:rPr>
          <w:rFonts w:ascii="Times New Roman" w:hAnsi="Times New Roman" w:cs="Times New Roman"/>
          <w:i/>
          <w:color w:val="auto"/>
        </w:rPr>
      </w:pPr>
      <w:bookmarkStart w:id="112" w:name="_Toc482084449"/>
      <w:bookmarkStart w:id="113" w:name="_Toc482084613"/>
      <w:bookmarkStart w:id="114" w:name="_Toc482084648"/>
      <w:bookmarkStart w:id="115" w:name="_Toc482084683"/>
      <w:bookmarkStart w:id="116" w:name="_Toc482084811"/>
      <w:bookmarkStart w:id="117" w:name="_Toc478473160"/>
      <w:r>
        <w:rPr>
          <w:rFonts w:ascii="Times New Roman" w:hAnsi="Times New Roman" w:cs="Times New Roman"/>
          <w:i/>
          <w:color w:val="auto"/>
        </w:rPr>
        <w:t>4.2.1.2. Plānotie pasākumi</w:t>
      </w:r>
      <w:bookmarkEnd w:id="112"/>
      <w:bookmarkEnd w:id="113"/>
      <w:bookmarkEnd w:id="114"/>
      <w:bookmarkEnd w:id="115"/>
      <w:bookmarkEnd w:id="116"/>
      <w:bookmarkEnd w:id="117"/>
    </w:p>
    <w:p w14:paraId="3CF8583C" w14:textId="77777777" w:rsidR="007512D5" w:rsidRPr="00DC6F66" w:rsidRDefault="007512D5" w:rsidP="00655F3C">
      <w:pPr>
        <w:pStyle w:val="ListParagraph"/>
        <w:numPr>
          <w:ilvl w:val="0"/>
          <w:numId w:val="10"/>
        </w:numPr>
        <w:spacing w:before="120"/>
        <w:jc w:val="both"/>
        <w:rPr>
          <w:rFonts w:cs="Times New Roman"/>
        </w:rPr>
      </w:pPr>
      <w:r w:rsidRPr="00DC6F66">
        <w:rPr>
          <w:rFonts w:cs="Times New Roman"/>
        </w:rPr>
        <w:t>Ar grozījumu Privatizācijas pabeigšanas likuma 13.panta pirmajā daļā samazināt maksimālo termiņu norēķiniem par valsts un pašvaldības īpašuma objektu, kā arī apbūvētu un neapbūvētu zemesgabalu</w:t>
      </w:r>
      <w:r>
        <w:rPr>
          <w:rFonts w:cs="Times New Roman"/>
        </w:rPr>
        <w:t xml:space="preserve"> </w:t>
      </w:r>
      <w:r w:rsidRPr="00DC6F66">
        <w:rPr>
          <w:rFonts w:cs="Times New Roman"/>
        </w:rPr>
        <w:t>no 10 līdz 5 gadiem no pirkuma līguma noslēgšanas dienas</w:t>
      </w:r>
      <w:r>
        <w:rPr>
          <w:rFonts w:cs="Times New Roman"/>
        </w:rPr>
        <w:t>, kas, cita starpā, dos iespēju samazināt administratīvās izmaksas, kas saistītas ar līgumu nosacījumu izpildes kontroles nodrošināšanu</w:t>
      </w:r>
      <w:r w:rsidRPr="00DC6F66">
        <w:rPr>
          <w:rFonts w:cs="Times New Roman"/>
        </w:rPr>
        <w:t>.</w:t>
      </w:r>
      <w:r w:rsidRPr="00DC6F66">
        <w:t xml:space="preserve"> </w:t>
      </w:r>
      <w:r w:rsidRPr="00DC6F66">
        <w:rPr>
          <w:rFonts w:cs="Times New Roman"/>
        </w:rPr>
        <w:t>Minētais nosacījums attiektos uz jaunajiem nomaksas līgumiem;</w:t>
      </w:r>
    </w:p>
    <w:p w14:paraId="1E5DC8F8" w14:textId="77777777" w:rsidR="007512D5" w:rsidRPr="00986608" w:rsidRDefault="007512D5" w:rsidP="00655F3C">
      <w:pPr>
        <w:pStyle w:val="ListParagraph"/>
        <w:numPr>
          <w:ilvl w:val="0"/>
          <w:numId w:val="10"/>
        </w:numPr>
        <w:spacing w:before="120"/>
        <w:jc w:val="both"/>
        <w:rPr>
          <w:rFonts w:cs="Times New Roman"/>
        </w:rPr>
      </w:pPr>
      <w:r w:rsidRPr="00DC6F66">
        <w:rPr>
          <w:rFonts w:cs="Times New Roman"/>
        </w:rPr>
        <w:t>Jāpaaugstina zemes nomas maksa atsevišķi apbūvētiem zemesgabaliem, sekmējot apbūvētu zemesgabalu privatizāciju, tādejādi veicinot lietu kopības veidošanu. Attiecīgi Finanšu ministrija ir sagatavojusi</w:t>
      </w:r>
      <w:r w:rsidRPr="00DC6F66">
        <w:t xml:space="preserve"> </w:t>
      </w:r>
      <w:r w:rsidRPr="00DC6F66">
        <w:rPr>
          <w:rFonts w:cs="Times New Roman"/>
        </w:rPr>
        <w:t>un Valsts sekretāru 2016.gada 15.septembra sanāksmē (prot.Nr.36 5.§) izsludinājusi saskaņošanai Ministru kabineta noteikumu projektu “Grozījumi Ministru kabineta 2007.gada 30.oktobra noteikumos Nr.735 “Noteikumi par publiskas personas zemes nomu</w:t>
      </w:r>
      <w:r w:rsidRPr="00AF37D0">
        <w:rPr>
          <w:rFonts w:cs="Times New Roman"/>
        </w:rPr>
        <w:t>””</w:t>
      </w:r>
      <w:r>
        <w:rPr>
          <w:rFonts w:cs="Times New Roman"/>
        </w:rPr>
        <w:t xml:space="preserve"> </w:t>
      </w:r>
      <w:r w:rsidRPr="00AF37D0">
        <w:rPr>
          <w:rFonts w:cs="Times New Roman"/>
        </w:rPr>
        <w:t>(VSS-870)</w:t>
      </w:r>
      <w:r w:rsidRPr="00DC6F66">
        <w:rPr>
          <w:rFonts w:cs="Times New Roman"/>
        </w:rPr>
        <w:t>, kas, cita starpā,</w:t>
      </w:r>
      <w:r>
        <w:rPr>
          <w:rFonts w:cs="Times New Roman"/>
        </w:rPr>
        <w:t xml:space="preserve"> </w:t>
      </w:r>
      <w:r w:rsidRPr="00DC6F66">
        <w:rPr>
          <w:rFonts w:cs="Times New Roman"/>
        </w:rPr>
        <w:t>paredz pakāpenisku apbūvēta publiskas personas zemesgabala nomas maksas palielināšanu līdz 4,5% no zemes kadastrālās vērtības;</w:t>
      </w:r>
    </w:p>
    <w:p w14:paraId="0EF39D66" w14:textId="77777777" w:rsidR="007512D5" w:rsidRPr="00DC6F66" w:rsidRDefault="007512D5" w:rsidP="00655F3C">
      <w:pPr>
        <w:pStyle w:val="ListParagraph"/>
        <w:numPr>
          <w:ilvl w:val="0"/>
          <w:numId w:val="10"/>
        </w:numPr>
        <w:spacing w:before="120"/>
        <w:jc w:val="both"/>
        <w:rPr>
          <w:rFonts w:cs="Times New Roman"/>
        </w:rPr>
      </w:pPr>
      <w:r w:rsidRPr="00DC6F66">
        <w:rPr>
          <w:rFonts w:cs="Times New Roman"/>
        </w:rPr>
        <w:t>Ekonomikas ministrija, izvērtējot pašvaldību norādītās problēmas privatizācijas ierosinājumu izskatīšanā, konsultēs pašvaldības, lai tās atbilstoši Privatizācijas likumā un Privatizācijas pabeigšanas likumā noteiktajam izskatītu vai atstātu bez izskatīšanas</w:t>
      </w:r>
      <w:r>
        <w:rPr>
          <w:rFonts w:cs="Times New Roman"/>
        </w:rPr>
        <w:t xml:space="preserve"> </w:t>
      </w:r>
      <w:r w:rsidRPr="00DC6F66">
        <w:rPr>
          <w:rFonts w:cs="Times New Roman"/>
        </w:rPr>
        <w:t>vēl neizskatītos privatizācijas ierosinājumus;</w:t>
      </w:r>
    </w:p>
    <w:p w14:paraId="32EA1A96" w14:textId="77777777" w:rsidR="007512D5" w:rsidRPr="00DC6F66" w:rsidRDefault="007512D5" w:rsidP="00655F3C">
      <w:pPr>
        <w:pStyle w:val="ListParagraph"/>
        <w:numPr>
          <w:ilvl w:val="0"/>
          <w:numId w:val="10"/>
        </w:numPr>
        <w:spacing w:before="120" w:after="120"/>
        <w:jc w:val="both"/>
        <w:rPr>
          <w:rFonts w:cs="Times New Roman"/>
        </w:rPr>
      </w:pPr>
      <w:r w:rsidRPr="007512D5">
        <w:rPr>
          <w:rFonts w:cs="Times New Roman"/>
          <w:color w:val="000000" w:themeColor="text1"/>
        </w:rPr>
        <w:t>Ministru kabinetam, ņemot vērā sabiedrības ar ierobežotu atbildību “KPMG Baltics” 2017.gada pirmajā ceturksnī sagatavoto stratēģiju par mikro un makro ekonomisko un sociālo analīzi par turpmāko rīcību ar Lattelecom un</w:t>
      </w:r>
      <w:r w:rsidRPr="00DC6F66">
        <w:rPr>
          <w:rFonts w:cs="Times New Roman"/>
          <w:color w:val="000000" w:themeColor="text1"/>
        </w:rPr>
        <w:t xml:space="preserve"> LMT kapitāla daļām, izskatot ne mazāk kā piecus turpmākās rīcības variantus un novērtējot katra piedāvātā varianta stiprās un vājās puses, kura pasūtīta ievērojot Saeimas Publisko izdevumu un revīzijas komisija</w:t>
      </w:r>
      <w:r>
        <w:rPr>
          <w:rFonts w:cs="Times New Roman"/>
          <w:color w:val="000000" w:themeColor="text1"/>
        </w:rPr>
        <w:t>s</w:t>
      </w:r>
      <w:r w:rsidRPr="00DC6F66">
        <w:rPr>
          <w:rFonts w:cs="Times New Roman"/>
          <w:color w:val="000000" w:themeColor="text1"/>
        </w:rPr>
        <w:t xml:space="preserve"> 2016.gada 5.aprīļa sēdē lemto,</w:t>
      </w:r>
      <w:r>
        <w:rPr>
          <w:rFonts w:cs="Times New Roman"/>
          <w:color w:val="000000" w:themeColor="text1"/>
        </w:rPr>
        <w:t xml:space="preserve"> </w:t>
      </w:r>
      <w:r w:rsidRPr="00DC6F66">
        <w:rPr>
          <w:rFonts w:cs="Times New Roman"/>
          <w:color w:val="000000" w:themeColor="text1"/>
        </w:rPr>
        <w:t xml:space="preserve">pieņemt lēmumu par turpmāko rīcību ar </w:t>
      </w:r>
      <w:r w:rsidRPr="00157B34">
        <w:rPr>
          <w:rFonts w:cs="Times New Roman"/>
          <w:color w:val="000000" w:themeColor="text1"/>
        </w:rPr>
        <w:t>kapitāl</w:t>
      </w:r>
      <w:r w:rsidRPr="00EE3EE3">
        <w:rPr>
          <w:rFonts w:cs="Times New Roman"/>
          <w:color w:val="000000" w:themeColor="text1"/>
        </w:rPr>
        <w:t>sabiedrības valsts kapitāla daļām</w:t>
      </w:r>
      <w:r w:rsidRPr="00157B34">
        <w:rPr>
          <w:rFonts w:cs="Times New Roman"/>
          <w:color w:val="000000" w:themeColor="text1"/>
        </w:rPr>
        <w:t>.</w:t>
      </w:r>
    </w:p>
    <w:p w14:paraId="5A0ABFBC" w14:textId="77777777" w:rsidR="007512D5" w:rsidRPr="00114266" w:rsidRDefault="007512D5" w:rsidP="007512D5">
      <w:pPr>
        <w:spacing w:before="80" w:after="80" w:line="240" w:lineRule="auto"/>
        <w:ind w:firstLine="709"/>
        <w:jc w:val="both"/>
        <w:rPr>
          <w:rFonts w:ascii="Times New Roman" w:hAnsi="Times New Roman"/>
          <w:color w:val="000000" w:themeColor="text1"/>
          <w:sz w:val="24"/>
        </w:rPr>
      </w:pPr>
      <w:r w:rsidRPr="00DC6F66">
        <w:rPr>
          <w:rFonts w:ascii="Times New Roman" w:hAnsi="Times New Roman" w:cs="Times New Roman"/>
          <w:color w:val="000000" w:themeColor="text1"/>
          <w:sz w:val="24"/>
          <w:szCs w:val="24"/>
        </w:rPr>
        <w:lastRenderedPageBreak/>
        <w:t xml:space="preserve">Vispārējs pārskats par valsts īpašumu objektu un zemesgabalu privatizāciju sniegts šī informatīvā </w:t>
      </w:r>
      <w:r w:rsidRPr="00114266">
        <w:rPr>
          <w:rFonts w:ascii="Times New Roman" w:hAnsi="Times New Roman"/>
          <w:color w:val="000000" w:themeColor="text1"/>
          <w:sz w:val="24"/>
        </w:rPr>
        <w:t>ziņojuma 2.pielikumā.</w:t>
      </w:r>
    </w:p>
    <w:p w14:paraId="696A87EE" w14:textId="4AB04F96" w:rsidR="007512D5" w:rsidRPr="00DC6F66" w:rsidRDefault="007512D5" w:rsidP="007512D5">
      <w:pPr>
        <w:pStyle w:val="Heading3"/>
        <w:numPr>
          <w:ilvl w:val="2"/>
          <w:numId w:val="2"/>
        </w:numPr>
        <w:pBdr>
          <w:bottom w:val="single" w:sz="2" w:space="1" w:color="auto"/>
        </w:pBdr>
        <w:spacing w:before="240" w:after="120"/>
        <w:rPr>
          <w:rFonts w:ascii="Times New Roman" w:hAnsi="Times New Roman" w:cs="Times New Roman"/>
          <w:i/>
          <w:color w:val="auto"/>
        </w:rPr>
      </w:pPr>
      <w:bookmarkStart w:id="118" w:name="_Toc468974771"/>
      <w:bookmarkStart w:id="119" w:name="_Toc482084450"/>
      <w:bookmarkStart w:id="120" w:name="_Toc482084614"/>
      <w:bookmarkStart w:id="121" w:name="_Toc482084649"/>
      <w:bookmarkStart w:id="122" w:name="_Toc482084684"/>
      <w:bookmarkStart w:id="123" w:name="_Toc482084812"/>
      <w:bookmarkStart w:id="124" w:name="_Toc478473161"/>
      <w:r w:rsidRPr="00DC6F66">
        <w:rPr>
          <w:rFonts w:ascii="Times New Roman" w:hAnsi="Times New Roman" w:cs="Times New Roman"/>
          <w:i/>
          <w:color w:val="auto"/>
        </w:rPr>
        <w:t>Zemes izpirkšana zemes reformas ietvaros</w:t>
      </w:r>
      <w:bookmarkEnd w:id="118"/>
      <w:bookmarkEnd w:id="119"/>
      <w:bookmarkEnd w:id="120"/>
      <w:bookmarkEnd w:id="121"/>
      <w:bookmarkEnd w:id="122"/>
      <w:bookmarkEnd w:id="123"/>
      <w:bookmarkEnd w:id="124"/>
    </w:p>
    <w:p w14:paraId="36EDA03C" w14:textId="1AD07F89" w:rsidR="007512D5" w:rsidRPr="001F3906" w:rsidRDefault="007512D5" w:rsidP="007512D5">
      <w:pPr>
        <w:pStyle w:val="Heading3"/>
        <w:pBdr>
          <w:bottom w:val="single" w:sz="2" w:space="1" w:color="auto"/>
        </w:pBdr>
        <w:spacing w:before="240" w:after="120"/>
        <w:ind w:firstLine="360"/>
        <w:rPr>
          <w:rFonts w:ascii="Times New Roman" w:hAnsi="Times New Roman" w:cs="Times New Roman"/>
          <w:i/>
          <w:color w:val="auto"/>
        </w:rPr>
      </w:pPr>
      <w:bookmarkStart w:id="125" w:name="_Toc482084451"/>
      <w:bookmarkStart w:id="126" w:name="_Toc482084615"/>
      <w:bookmarkStart w:id="127" w:name="_Toc482084650"/>
      <w:bookmarkStart w:id="128" w:name="_Toc482084685"/>
      <w:bookmarkStart w:id="129" w:name="_Toc482084813"/>
      <w:bookmarkStart w:id="130" w:name="_Toc478473162"/>
      <w:r>
        <w:rPr>
          <w:rFonts w:ascii="Times New Roman" w:hAnsi="Times New Roman" w:cs="Times New Roman"/>
          <w:i/>
          <w:color w:val="auto"/>
        </w:rPr>
        <w:t>4.2.2.1. Ieviestie pasākumi</w:t>
      </w:r>
      <w:bookmarkEnd w:id="125"/>
      <w:bookmarkEnd w:id="126"/>
      <w:bookmarkEnd w:id="127"/>
      <w:bookmarkEnd w:id="128"/>
      <w:bookmarkEnd w:id="129"/>
      <w:bookmarkEnd w:id="130"/>
    </w:p>
    <w:p w14:paraId="5528F16A" w14:textId="77777777" w:rsidR="007512D5" w:rsidRDefault="007512D5" w:rsidP="00655F3C">
      <w:pPr>
        <w:pStyle w:val="ListParagraph"/>
        <w:numPr>
          <w:ilvl w:val="0"/>
          <w:numId w:val="11"/>
        </w:numPr>
        <w:spacing w:after="160"/>
        <w:jc w:val="both"/>
        <w:rPr>
          <w:rFonts w:cs="Times New Roman"/>
        </w:rPr>
      </w:pPr>
      <w:r w:rsidRPr="00513B1A">
        <w:rPr>
          <w:rFonts w:cs="Times New Roman"/>
        </w:rPr>
        <w:t>2017.gada 1.februārī stājās spēkā Ministru kabineta Nr.12, kas, cita starpā, paredz ieviest privatizācijas sertifikātu kontu apkalpošanas maksu fiziskām personām</w:t>
      </w:r>
      <w:r>
        <w:rPr>
          <w:rFonts w:cs="Times New Roman"/>
        </w:rPr>
        <w:t>.</w:t>
      </w:r>
      <w:r w:rsidRPr="00E96126">
        <w:t xml:space="preserve"> </w:t>
      </w:r>
      <w:r w:rsidRPr="00E96126">
        <w:rPr>
          <w:rFonts w:cs="Times New Roman"/>
        </w:rPr>
        <w:t xml:space="preserve">Tādējādi fiziskām personām noteiktā maksa par privatizācijas sertifikātu kontu uzturēšanu veicinās ātrāku zemes izpirkuma (pirkuma) līgumos noteikto saistību izpildi veicot samaksu privatizācijas sertifikātos. </w:t>
      </w:r>
    </w:p>
    <w:p w14:paraId="1EC264A0" w14:textId="0B60ECEE" w:rsidR="007512D5" w:rsidRPr="00986608" w:rsidRDefault="007512D5" w:rsidP="007512D5">
      <w:pPr>
        <w:pStyle w:val="Heading3"/>
        <w:pBdr>
          <w:bottom w:val="single" w:sz="2" w:space="1" w:color="auto"/>
        </w:pBdr>
        <w:spacing w:before="240" w:after="120"/>
        <w:ind w:firstLine="360"/>
        <w:rPr>
          <w:rFonts w:ascii="Times New Roman" w:hAnsi="Times New Roman" w:cs="Times New Roman"/>
          <w:i/>
          <w:color w:val="auto"/>
        </w:rPr>
      </w:pPr>
      <w:bookmarkStart w:id="131" w:name="_Toc482084452"/>
      <w:bookmarkStart w:id="132" w:name="_Toc482084616"/>
      <w:bookmarkStart w:id="133" w:name="_Toc482084651"/>
      <w:bookmarkStart w:id="134" w:name="_Toc482084686"/>
      <w:bookmarkStart w:id="135" w:name="_Toc482084814"/>
      <w:bookmarkStart w:id="136" w:name="_Toc478473163"/>
      <w:r>
        <w:rPr>
          <w:rFonts w:ascii="Times New Roman" w:hAnsi="Times New Roman" w:cs="Times New Roman"/>
          <w:i/>
          <w:color w:val="auto"/>
        </w:rPr>
        <w:t>4.2.2.2. Plānotie pasākumi</w:t>
      </w:r>
      <w:bookmarkEnd w:id="131"/>
      <w:bookmarkEnd w:id="132"/>
      <w:bookmarkEnd w:id="133"/>
      <w:bookmarkEnd w:id="134"/>
      <w:bookmarkEnd w:id="135"/>
      <w:bookmarkEnd w:id="136"/>
    </w:p>
    <w:p w14:paraId="229AFDEE" w14:textId="77777777" w:rsidR="007512D5" w:rsidRPr="00714169" w:rsidRDefault="007512D5" w:rsidP="00655F3C">
      <w:pPr>
        <w:pStyle w:val="ListParagraph"/>
        <w:numPr>
          <w:ilvl w:val="0"/>
          <w:numId w:val="11"/>
        </w:numPr>
        <w:spacing w:after="160"/>
        <w:jc w:val="both"/>
        <w:rPr>
          <w:rFonts w:cs="Times New Roman"/>
        </w:rPr>
      </w:pPr>
      <w:r w:rsidRPr="00DC6F66">
        <w:rPr>
          <w:rFonts w:cs="Times New Roman"/>
        </w:rPr>
        <w:t>Jāsekmē</w:t>
      </w:r>
      <w:r w:rsidRPr="00DC6F66">
        <w:t xml:space="preserve"> </w:t>
      </w:r>
      <w:r w:rsidRPr="00DC6F66">
        <w:rPr>
          <w:rFonts w:cs="Times New Roman"/>
        </w:rPr>
        <w:t xml:space="preserve">iegūtās zemes kadastrālā uzmērīšana, vērtējot iespēju palielināt valsts finansējumu zemes kadastrālās uzmērīšanas veikšanai par valsts budžeta līdzekļiem atbilstoši Ministru kabineta 2012. gada 17. janvāra noteikumos Nr. 60 </w:t>
      </w:r>
      <w:r>
        <w:rPr>
          <w:rFonts w:cs="Times New Roman"/>
        </w:rPr>
        <w:t>“</w:t>
      </w:r>
      <w:r w:rsidRPr="00DC6F66">
        <w:rPr>
          <w:rFonts w:cs="Times New Roman"/>
        </w:rPr>
        <w:t>Kārtība, kādā veic zemes kadastrālo uzmērīšanu par valsts budžeta līdzekļiem” noteiktajai kārtībai;</w:t>
      </w:r>
    </w:p>
    <w:p w14:paraId="2F0C68F5" w14:textId="12D44113" w:rsidR="007512D5" w:rsidRPr="00DC6F66" w:rsidRDefault="007512D5" w:rsidP="00655F3C">
      <w:pPr>
        <w:pStyle w:val="ListParagraph"/>
        <w:numPr>
          <w:ilvl w:val="0"/>
          <w:numId w:val="11"/>
        </w:numPr>
        <w:spacing w:after="160"/>
        <w:jc w:val="both"/>
        <w:rPr>
          <w:rFonts w:cs="Times New Roman"/>
        </w:rPr>
      </w:pPr>
      <w:r w:rsidRPr="00DC6F66">
        <w:rPr>
          <w:rFonts w:cs="Times New Roman"/>
        </w:rPr>
        <w:t>Ar grozījumu Privatizācijas pabeigšanas likumā 32.panta devītajā daļā samazināt maksimālo zemes izpirkuma (pirkuma) līgumā termiņu no 10 līdz 5 gadiem</w:t>
      </w:r>
      <w:r>
        <w:rPr>
          <w:rFonts w:cs="Times New Roman"/>
        </w:rPr>
        <w:t>,</w:t>
      </w:r>
      <w:r>
        <w:rPr>
          <w:rStyle w:val="FootnoteReference"/>
          <w:rFonts w:cs="Times New Roman"/>
        </w:rPr>
        <w:footnoteReference w:id="7"/>
      </w:r>
      <w:r w:rsidRPr="008F0434">
        <w:t xml:space="preserve"> </w:t>
      </w:r>
      <w:r w:rsidRPr="008F0434">
        <w:rPr>
          <w:rFonts w:cs="Times New Roman"/>
        </w:rPr>
        <w:t>kas dos iespēju samazināt administratīvās izmaksas, kas saistītas ar līgumu nosacījumu izpildes kontroles nodrošināšanu.</w:t>
      </w:r>
      <w:r w:rsidRPr="00DC6F66">
        <w:rPr>
          <w:rFonts w:cs="Times New Roman"/>
        </w:rPr>
        <w:t xml:space="preserve"> Minētais nosacījums attiektos uz jaunajiem izpirkuma (pirkuma) līgumiem.</w:t>
      </w:r>
    </w:p>
    <w:p w14:paraId="0A233C26" w14:textId="77777777" w:rsidR="007512D5" w:rsidRPr="00DC6F66" w:rsidRDefault="007512D5" w:rsidP="007512D5">
      <w:pPr>
        <w:spacing w:before="80" w:after="80" w:line="240" w:lineRule="auto"/>
        <w:ind w:firstLine="709"/>
        <w:jc w:val="both"/>
        <w:rPr>
          <w:rFonts w:ascii="Times New Roman" w:hAnsi="Times New Roman" w:cs="Times New Roman"/>
          <w:color w:val="000000" w:themeColor="text1"/>
          <w:sz w:val="24"/>
          <w:szCs w:val="24"/>
        </w:rPr>
      </w:pPr>
      <w:r w:rsidRPr="00DC6F66">
        <w:rPr>
          <w:rFonts w:ascii="Times New Roman" w:hAnsi="Times New Roman" w:cs="Times New Roman"/>
          <w:color w:val="000000" w:themeColor="text1"/>
          <w:sz w:val="24"/>
          <w:szCs w:val="24"/>
        </w:rPr>
        <w:t>Vispārējs pārskats par zemes izpirkšanu zemes reformas ietvaros sniegts šī informatīvā ziņojuma 4.pielikumā.</w:t>
      </w:r>
    </w:p>
    <w:p w14:paraId="04C739AD" w14:textId="66F31D4B" w:rsidR="007512D5" w:rsidRPr="00DC6F66" w:rsidRDefault="007512D5" w:rsidP="007512D5">
      <w:pPr>
        <w:pStyle w:val="Heading3"/>
        <w:numPr>
          <w:ilvl w:val="2"/>
          <w:numId w:val="2"/>
        </w:numPr>
        <w:pBdr>
          <w:bottom w:val="single" w:sz="2" w:space="1" w:color="auto"/>
        </w:pBdr>
        <w:spacing w:before="240" w:after="120"/>
        <w:rPr>
          <w:rFonts w:ascii="Times New Roman" w:hAnsi="Times New Roman" w:cs="Times New Roman"/>
          <w:i/>
          <w:color w:val="auto"/>
        </w:rPr>
      </w:pPr>
      <w:bookmarkStart w:id="137" w:name="_Toc468974772"/>
      <w:bookmarkStart w:id="138" w:name="_Toc482084453"/>
      <w:bookmarkStart w:id="139" w:name="_Toc482084617"/>
      <w:bookmarkStart w:id="140" w:name="_Toc482084652"/>
      <w:bookmarkStart w:id="141" w:name="_Toc482084687"/>
      <w:bookmarkStart w:id="142" w:name="_Toc482084815"/>
      <w:bookmarkStart w:id="143" w:name="_Toc478473164"/>
      <w:r w:rsidRPr="00DC6F66">
        <w:rPr>
          <w:rFonts w:ascii="Times New Roman" w:hAnsi="Times New Roman" w:cs="Times New Roman"/>
          <w:i/>
          <w:color w:val="auto"/>
        </w:rPr>
        <w:t>Valsts dzīvojamās mājas un dzīvokļu īpašumi</w:t>
      </w:r>
      <w:bookmarkEnd w:id="137"/>
      <w:bookmarkEnd w:id="138"/>
      <w:bookmarkEnd w:id="139"/>
      <w:bookmarkEnd w:id="140"/>
      <w:bookmarkEnd w:id="141"/>
      <w:bookmarkEnd w:id="142"/>
      <w:bookmarkEnd w:id="143"/>
    </w:p>
    <w:p w14:paraId="69FC5A57" w14:textId="27BB077A" w:rsidR="007512D5" w:rsidRPr="00470038" w:rsidRDefault="007512D5" w:rsidP="007512D5">
      <w:pPr>
        <w:pStyle w:val="Heading3"/>
        <w:pBdr>
          <w:bottom w:val="single" w:sz="2" w:space="1" w:color="auto"/>
        </w:pBdr>
        <w:spacing w:before="240" w:after="120"/>
        <w:ind w:firstLine="360"/>
        <w:rPr>
          <w:rFonts w:ascii="Times New Roman" w:hAnsi="Times New Roman" w:cs="Times New Roman"/>
          <w:i/>
          <w:color w:val="auto"/>
        </w:rPr>
      </w:pPr>
      <w:bookmarkStart w:id="144" w:name="_Toc482084454"/>
      <w:bookmarkStart w:id="145" w:name="_Toc482084618"/>
      <w:bookmarkStart w:id="146" w:name="_Toc482084653"/>
      <w:bookmarkStart w:id="147" w:name="_Toc482084688"/>
      <w:bookmarkStart w:id="148" w:name="_Toc482084816"/>
      <w:bookmarkStart w:id="149" w:name="_Toc478473165"/>
      <w:r>
        <w:rPr>
          <w:rFonts w:ascii="Times New Roman" w:hAnsi="Times New Roman" w:cs="Times New Roman"/>
          <w:i/>
          <w:color w:val="auto"/>
        </w:rPr>
        <w:t>4.2.3.1. Ieviestie pasākumi</w:t>
      </w:r>
      <w:bookmarkEnd w:id="144"/>
      <w:bookmarkEnd w:id="145"/>
      <w:bookmarkEnd w:id="146"/>
      <w:bookmarkEnd w:id="147"/>
      <w:bookmarkEnd w:id="148"/>
      <w:bookmarkEnd w:id="149"/>
    </w:p>
    <w:p w14:paraId="1122BA2A" w14:textId="73D12D32" w:rsidR="007512D5" w:rsidRDefault="007512D5" w:rsidP="00655F3C">
      <w:pPr>
        <w:pStyle w:val="ListParagraph"/>
        <w:numPr>
          <w:ilvl w:val="0"/>
          <w:numId w:val="15"/>
        </w:numPr>
        <w:spacing w:before="120" w:after="80"/>
        <w:ind w:left="709" w:hanging="283"/>
        <w:jc w:val="both"/>
        <w:rPr>
          <w:rFonts w:cs="Times New Roman"/>
        </w:rPr>
      </w:pPr>
      <w:r w:rsidRPr="008A65CD">
        <w:rPr>
          <w:rFonts w:cs="Times New Roman"/>
        </w:rPr>
        <w:t xml:space="preserve">2017.gada 1.februārī stājās spēkā Ministru kabineta noteikumi Nr.12, kas paredz ieviest privatizācijas sertifikātu kontu apkalpošanas maksu fiziskām personām. Tādējādi fiziskām personām noteiktā maksa par privatizācijas sertifikātu kontu uzturēšanu veicinās </w:t>
      </w:r>
      <w:r w:rsidRPr="00157B34">
        <w:rPr>
          <w:rFonts w:cs="Times New Roman"/>
        </w:rPr>
        <w:t>ātrāku īpašuma objektu pirkuma līgumos noteikto saistību izpildi, veicot sama</w:t>
      </w:r>
      <w:r>
        <w:rPr>
          <w:rFonts w:cs="Times New Roman"/>
        </w:rPr>
        <w:t>ksu privatizācijas sertifikātos</w:t>
      </w:r>
      <w:r w:rsidRPr="0052114F">
        <w:rPr>
          <w:rFonts w:cs="Times New Roman"/>
        </w:rPr>
        <w:t>.</w:t>
      </w:r>
    </w:p>
    <w:p w14:paraId="7C4C88B6" w14:textId="3364ED62" w:rsidR="007512D5" w:rsidRPr="00470038" w:rsidRDefault="007512D5" w:rsidP="007512D5">
      <w:pPr>
        <w:pStyle w:val="Heading3"/>
        <w:pBdr>
          <w:bottom w:val="single" w:sz="2" w:space="1" w:color="auto"/>
        </w:pBdr>
        <w:spacing w:before="240" w:after="120"/>
        <w:ind w:firstLine="360"/>
        <w:rPr>
          <w:rFonts w:ascii="Times New Roman" w:hAnsi="Times New Roman" w:cs="Times New Roman"/>
          <w:i/>
          <w:color w:val="auto"/>
        </w:rPr>
      </w:pPr>
      <w:bookmarkStart w:id="150" w:name="_Toc482084455"/>
      <w:bookmarkStart w:id="151" w:name="_Toc482084619"/>
      <w:bookmarkStart w:id="152" w:name="_Toc482084654"/>
      <w:bookmarkStart w:id="153" w:name="_Toc482084689"/>
      <w:bookmarkStart w:id="154" w:name="_Toc482084817"/>
      <w:bookmarkStart w:id="155" w:name="_Toc478473166"/>
      <w:r>
        <w:rPr>
          <w:rFonts w:ascii="Times New Roman" w:hAnsi="Times New Roman" w:cs="Times New Roman"/>
          <w:i/>
          <w:color w:val="auto"/>
        </w:rPr>
        <w:t>4.2.3.2. Plānotie pasākumi</w:t>
      </w:r>
      <w:bookmarkEnd w:id="150"/>
      <w:bookmarkEnd w:id="151"/>
      <w:bookmarkEnd w:id="152"/>
      <w:bookmarkEnd w:id="153"/>
      <w:bookmarkEnd w:id="154"/>
      <w:bookmarkEnd w:id="155"/>
    </w:p>
    <w:p w14:paraId="1F25BBCF" w14:textId="77777777" w:rsidR="007512D5" w:rsidRPr="00DC6F66" w:rsidRDefault="007512D5" w:rsidP="00655F3C">
      <w:pPr>
        <w:pStyle w:val="ListParagraph"/>
        <w:numPr>
          <w:ilvl w:val="0"/>
          <w:numId w:val="15"/>
        </w:numPr>
        <w:spacing w:before="120"/>
        <w:ind w:left="709" w:hanging="283"/>
        <w:jc w:val="both"/>
        <w:rPr>
          <w:rFonts w:cs="Times New Roman"/>
        </w:rPr>
      </w:pPr>
      <w:r w:rsidRPr="00DC6F66">
        <w:rPr>
          <w:rFonts w:cs="Times New Roman"/>
        </w:rPr>
        <w:t>Lai nodrošinātu Ministru kabineta 2015.gada 17.novembra sēdē (prot. Nr.60 2.§ 3.punkts) uzdotā uzdevuma izpildi, Ekonomikas ministrija izveidojusi darba grupu, kurai jāsagatavo likumprojekts, kas paredz ar dzīvojamo māju privatizācijas procesa pabeigšanu saistītu jautājumu regulējumu. Plānots, ka valsts un pašvaldību dzīvojamo māju privatizācijas jomā likums noteiks:</w:t>
      </w:r>
    </w:p>
    <w:p w14:paraId="05A2BA43" w14:textId="77777777" w:rsidR="007512D5" w:rsidRPr="00114266" w:rsidRDefault="007512D5" w:rsidP="00655F3C">
      <w:pPr>
        <w:pStyle w:val="ListParagraph"/>
        <w:numPr>
          <w:ilvl w:val="0"/>
          <w:numId w:val="14"/>
        </w:numPr>
        <w:spacing w:before="120"/>
        <w:jc w:val="both"/>
      </w:pPr>
      <w:r w:rsidRPr="00114266">
        <w:t xml:space="preserve">termiņu, līdz kuram privatizācijai tiek nodotas valsts un pašvaldības dzīvojamās mājas, dzīvokļi, mākslinieku darbnīcas un neapdzīvojamās telpas; </w:t>
      </w:r>
    </w:p>
    <w:p w14:paraId="4ED04972" w14:textId="77777777" w:rsidR="007512D5" w:rsidRPr="00114266" w:rsidRDefault="007512D5" w:rsidP="00655F3C">
      <w:pPr>
        <w:pStyle w:val="ListParagraph"/>
        <w:numPr>
          <w:ilvl w:val="0"/>
          <w:numId w:val="14"/>
        </w:numPr>
        <w:spacing w:before="120"/>
        <w:jc w:val="both"/>
      </w:pPr>
      <w:r w:rsidRPr="00114266">
        <w:t>turpmāko rīcību ar īpašumā līdz dzīvojamās mājas privatizācijai nodotajiem dzīvokļiem, neapdzīvojamām telpām un mākslinieku darbnīcām, par kurām nav noslēgti pirkuma līgumi;</w:t>
      </w:r>
    </w:p>
    <w:p w14:paraId="279E8198" w14:textId="77777777" w:rsidR="007512D5" w:rsidRPr="00114266" w:rsidRDefault="007512D5" w:rsidP="00655F3C">
      <w:pPr>
        <w:pStyle w:val="ListParagraph"/>
        <w:numPr>
          <w:ilvl w:val="0"/>
          <w:numId w:val="14"/>
        </w:numPr>
        <w:spacing w:before="120"/>
        <w:jc w:val="both"/>
      </w:pPr>
      <w:r w:rsidRPr="00114266">
        <w:lastRenderedPageBreak/>
        <w:t>turpmāko rīcību ar valsts un pašvaldību neprivatizētajiem dzīvokļiem, neapdzīvojamām telpām,</w:t>
      </w:r>
      <w:r>
        <w:t xml:space="preserve"> </w:t>
      </w:r>
      <w:r w:rsidRPr="00114266">
        <w:t>mākslinieku darbnīcām un viendzīvokļa mājām;</w:t>
      </w:r>
    </w:p>
    <w:p w14:paraId="06DE5C45" w14:textId="77777777" w:rsidR="007512D5" w:rsidRPr="00114266" w:rsidRDefault="007512D5" w:rsidP="00655F3C">
      <w:pPr>
        <w:pStyle w:val="ListParagraph"/>
        <w:numPr>
          <w:ilvl w:val="0"/>
          <w:numId w:val="14"/>
        </w:numPr>
        <w:spacing w:before="120"/>
        <w:jc w:val="both"/>
      </w:pPr>
      <w:r w:rsidRPr="00114266">
        <w:t>turpmāko rīcību ar neprivatizētajiem dzīvokļiem paju sabiedrību, lauksaimniecības uzņēmumu un zvejnieku kolhozu dzīvojamās mājās;</w:t>
      </w:r>
    </w:p>
    <w:p w14:paraId="1B867173" w14:textId="77777777" w:rsidR="007512D5" w:rsidRPr="00114266" w:rsidRDefault="007512D5" w:rsidP="00655F3C">
      <w:pPr>
        <w:pStyle w:val="ListParagraph"/>
        <w:numPr>
          <w:ilvl w:val="0"/>
          <w:numId w:val="14"/>
        </w:numPr>
        <w:spacing w:before="120"/>
        <w:jc w:val="both"/>
      </w:pPr>
      <w:r w:rsidRPr="00114266">
        <w:t>privatizācijas sertifikātu izmantošanas nosacījumus valsts un pašvaldību dzīvojamo māju privatizācijas procesā;</w:t>
      </w:r>
    </w:p>
    <w:p w14:paraId="0FBB0CF7" w14:textId="77777777" w:rsidR="007512D5" w:rsidRPr="00114266" w:rsidRDefault="007512D5" w:rsidP="00655F3C">
      <w:pPr>
        <w:pStyle w:val="ListParagraph"/>
        <w:numPr>
          <w:ilvl w:val="0"/>
          <w:numId w:val="14"/>
        </w:numPr>
        <w:spacing w:before="120"/>
        <w:jc w:val="both"/>
      </w:pPr>
      <w:r w:rsidRPr="00114266">
        <w:t>kārtību, kādā tiek nostiprinātas īpašuma tiesības zemesgrāmatā uz privatizētajiem dzīvokļu īpašumiem un dzīvojamām mājām, kuru īpašnieki savas īpašuma tiesības nav</w:t>
      </w:r>
      <w:r>
        <w:t xml:space="preserve"> </w:t>
      </w:r>
      <w:r w:rsidRPr="00114266">
        <w:t>nostiprinājuši zemesgrāmatā.</w:t>
      </w:r>
    </w:p>
    <w:p w14:paraId="15ED1E73" w14:textId="2DD14763" w:rsidR="007512D5" w:rsidRDefault="007512D5" w:rsidP="00655F3C">
      <w:pPr>
        <w:pStyle w:val="ListParagraph"/>
        <w:numPr>
          <w:ilvl w:val="0"/>
          <w:numId w:val="12"/>
        </w:numPr>
        <w:spacing w:before="120" w:after="80"/>
        <w:jc w:val="both"/>
        <w:rPr>
          <w:rFonts w:cs="Times New Roman"/>
        </w:rPr>
      </w:pPr>
      <w:r>
        <w:rPr>
          <w:rFonts w:cs="Times New Roman"/>
        </w:rPr>
        <w:t>J</w:t>
      </w:r>
      <w:r w:rsidRPr="00DC6F66">
        <w:rPr>
          <w:rFonts w:cs="Times New Roman"/>
        </w:rPr>
        <w:t>āvērtē iespēja valstij un pašvaldībām kā izīrētājam saņemt peļņu no valsts un pašvaldību dzīvojamo telpu izīrēšanas vismaz tādā apmērā, lai segtu administratīvās izmaksas</w:t>
      </w:r>
      <w:r>
        <w:rPr>
          <w:rFonts w:cs="Times New Roman"/>
        </w:rPr>
        <w:t xml:space="preserve"> </w:t>
      </w:r>
      <w:r w:rsidRPr="00DC6F66">
        <w:rPr>
          <w:rFonts w:cs="Times New Roman"/>
        </w:rPr>
        <w:t>un stimulētu īrniekus iegādāties valsts un pašvaldību dzīvokļu īpašumus</w:t>
      </w:r>
      <w:r>
        <w:rPr>
          <w:rFonts w:cs="Times New Roman"/>
        </w:rPr>
        <w:t>;</w:t>
      </w:r>
      <w:r w:rsidRPr="00DC6F66">
        <w:rPr>
          <w:rFonts w:cs="Times New Roman"/>
        </w:rPr>
        <w:t xml:space="preserve"> </w:t>
      </w:r>
    </w:p>
    <w:p w14:paraId="44B5D687" w14:textId="1F930FFF" w:rsidR="007512D5" w:rsidRPr="00DC6F66" w:rsidRDefault="007512D5" w:rsidP="00655F3C">
      <w:pPr>
        <w:pStyle w:val="ListParagraph"/>
        <w:numPr>
          <w:ilvl w:val="0"/>
          <w:numId w:val="12"/>
        </w:numPr>
        <w:spacing w:before="120" w:after="80"/>
        <w:jc w:val="both"/>
        <w:rPr>
          <w:rFonts w:cs="Times New Roman"/>
        </w:rPr>
      </w:pPr>
      <w:r>
        <w:rPr>
          <w:rFonts w:cs="Times New Roman"/>
        </w:rPr>
        <w:t>L</w:t>
      </w:r>
      <w:r w:rsidRPr="00DC6F66">
        <w:rPr>
          <w:rFonts w:cs="Times New Roman"/>
        </w:rPr>
        <w:t xml:space="preserve">ai sekmētu </w:t>
      </w:r>
      <w:r w:rsidRPr="00BF0D64">
        <w:rPr>
          <w:rFonts w:cs="Times New Roman"/>
        </w:rPr>
        <w:t>privatizācijas subjektu norēķināšanos par privatizācijas objektiem, jāgroza likums “Par valsts un pašvaldību dzīvojamo māju privatizāciju”, izslēdzot pārejas noteikumu 45.punktu</w:t>
      </w:r>
      <w:r>
        <w:rPr>
          <w:rFonts w:cs="Times New Roman"/>
        </w:rPr>
        <w:t>, kas šobrīd nosaka p</w:t>
      </w:r>
      <w:r w:rsidRPr="002201D7">
        <w:rPr>
          <w:rFonts w:cs="Times New Roman"/>
        </w:rPr>
        <w:t xml:space="preserve">irkuma līgumos, kuri noslēgti šā likuma </w:t>
      </w:r>
      <w:hyperlink r:id="rId13" w:anchor="p46" w:tgtFrame="_blank" w:history="1">
        <w:r w:rsidRPr="00E30E33">
          <w:rPr>
            <w:rStyle w:val="Hyperlink"/>
            <w:rFonts w:cs="Times New Roman"/>
            <w:color w:val="auto"/>
            <w:u w:val="none"/>
          </w:rPr>
          <w:t>46.pantā</w:t>
        </w:r>
      </w:hyperlink>
      <w:r w:rsidRPr="00163A7D">
        <w:rPr>
          <w:rFonts w:cs="Times New Roman"/>
        </w:rPr>
        <w:t xml:space="preserve"> </w:t>
      </w:r>
      <w:r w:rsidRPr="002201D7">
        <w:rPr>
          <w:rFonts w:cs="Times New Roman"/>
        </w:rPr>
        <w:t>noteiktajā kārtībā,</w:t>
      </w:r>
      <w:r w:rsidR="00C7113B">
        <w:rPr>
          <w:rFonts w:cs="Times New Roman"/>
        </w:rPr>
        <w:t xml:space="preserve"> ka</w:t>
      </w:r>
      <w:r w:rsidRPr="002201D7">
        <w:rPr>
          <w:rFonts w:cs="Times New Roman"/>
        </w:rPr>
        <w:t xml:space="preserve"> pēc pušu vienošanās var pagarināt pirkuma maksas samaksas termiņu, izdarot periodiskus maksājumus ne ilgāk kā 10 gadu laikā no pirkuma līguma noslēgšanas dienas</w:t>
      </w:r>
      <w:r w:rsidRPr="00BF0D64">
        <w:rPr>
          <w:rFonts w:cs="Times New Roman"/>
        </w:rPr>
        <w:t>;</w:t>
      </w:r>
    </w:p>
    <w:p w14:paraId="0EF3CE17" w14:textId="77777777" w:rsidR="007512D5" w:rsidRPr="00DC6F66" w:rsidRDefault="007512D5" w:rsidP="007512D5">
      <w:pPr>
        <w:spacing w:before="80" w:after="80" w:line="240" w:lineRule="auto"/>
        <w:ind w:firstLine="709"/>
        <w:jc w:val="both"/>
        <w:rPr>
          <w:rFonts w:ascii="Times New Roman" w:hAnsi="Times New Roman" w:cs="Times New Roman"/>
          <w:color w:val="000000" w:themeColor="text1"/>
          <w:sz w:val="24"/>
          <w:szCs w:val="24"/>
        </w:rPr>
      </w:pPr>
      <w:r w:rsidRPr="00DC6F66">
        <w:rPr>
          <w:rFonts w:ascii="Times New Roman" w:hAnsi="Times New Roman" w:cs="Times New Roman"/>
          <w:color w:val="000000" w:themeColor="text1"/>
          <w:sz w:val="24"/>
          <w:szCs w:val="24"/>
        </w:rPr>
        <w:t>Vispārējs pārskats par valsts dzīvojamo māju un dzīvokļu īpašumu privatizāciju sniegts šī informatīvā ziņojuma 3.pielikumā.</w:t>
      </w:r>
    </w:p>
    <w:p w14:paraId="3A36020D" w14:textId="6977FE35" w:rsidR="007512D5" w:rsidRDefault="007512D5" w:rsidP="007512D5">
      <w:pPr>
        <w:pStyle w:val="Heading3"/>
        <w:numPr>
          <w:ilvl w:val="2"/>
          <w:numId w:val="2"/>
        </w:numPr>
        <w:pBdr>
          <w:bottom w:val="single" w:sz="2" w:space="1" w:color="auto"/>
        </w:pBdr>
        <w:spacing w:before="240" w:after="120"/>
        <w:rPr>
          <w:rFonts w:ascii="Times New Roman" w:hAnsi="Times New Roman" w:cs="Times New Roman"/>
          <w:i/>
          <w:color w:val="auto"/>
        </w:rPr>
      </w:pPr>
      <w:bookmarkStart w:id="156" w:name="_Toc468974774"/>
      <w:bookmarkStart w:id="157" w:name="_Toc482084456"/>
      <w:bookmarkStart w:id="158" w:name="_Toc482084620"/>
      <w:bookmarkStart w:id="159" w:name="_Toc482084655"/>
      <w:bookmarkStart w:id="160" w:name="_Toc482084690"/>
      <w:bookmarkStart w:id="161" w:name="_Toc482084818"/>
      <w:bookmarkStart w:id="162" w:name="_Toc478473167"/>
      <w:r w:rsidRPr="00DC6F66">
        <w:rPr>
          <w:rFonts w:ascii="Times New Roman" w:hAnsi="Times New Roman" w:cs="Times New Roman"/>
          <w:i/>
          <w:color w:val="auto"/>
        </w:rPr>
        <w:t>Privatizācijas sertifikāti</w:t>
      </w:r>
      <w:bookmarkEnd w:id="156"/>
      <w:bookmarkEnd w:id="157"/>
      <w:bookmarkEnd w:id="158"/>
      <w:bookmarkEnd w:id="159"/>
      <w:bookmarkEnd w:id="160"/>
      <w:bookmarkEnd w:id="161"/>
      <w:bookmarkEnd w:id="162"/>
    </w:p>
    <w:p w14:paraId="44F98151" w14:textId="01B9EE53" w:rsidR="007512D5" w:rsidRPr="00470038" w:rsidRDefault="007512D5" w:rsidP="007512D5">
      <w:pPr>
        <w:pStyle w:val="Heading3"/>
        <w:pBdr>
          <w:bottom w:val="single" w:sz="2" w:space="1" w:color="auto"/>
        </w:pBdr>
        <w:spacing w:before="240" w:after="120"/>
        <w:ind w:firstLine="360"/>
        <w:rPr>
          <w:rFonts w:ascii="Times New Roman" w:hAnsi="Times New Roman" w:cs="Times New Roman"/>
          <w:i/>
          <w:color w:val="auto"/>
        </w:rPr>
      </w:pPr>
      <w:bookmarkStart w:id="163" w:name="_Toc482084457"/>
      <w:bookmarkStart w:id="164" w:name="_Toc482084621"/>
      <w:bookmarkStart w:id="165" w:name="_Toc482084656"/>
      <w:bookmarkStart w:id="166" w:name="_Toc482084691"/>
      <w:bookmarkStart w:id="167" w:name="_Toc482084819"/>
      <w:bookmarkStart w:id="168" w:name="_Toc478473168"/>
      <w:r>
        <w:rPr>
          <w:rFonts w:ascii="Times New Roman" w:hAnsi="Times New Roman" w:cs="Times New Roman"/>
          <w:i/>
          <w:color w:val="auto"/>
        </w:rPr>
        <w:t>4.2.4.1. Ieviestie pasākumi</w:t>
      </w:r>
      <w:bookmarkEnd w:id="163"/>
      <w:bookmarkEnd w:id="164"/>
      <w:bookmarkEnd w:id="165"/>
      <w:bookmarkEnd w:id="166"/>
      <w:bookmarkEnd w:id="167"/>
      <w:bookmarkEnd w:id="168"/>
    </w:p>
    <w:p w14:paraId="32E2DD0A" w14:textId="6D00BF88" w:rsidR="007512D5" w:rsidRDefault="007512D5" w:rsidP="00655F3C">
      <w:pPr>
        <w:pStyle w:val="ListParagraph"/>
        <w:numPr>
          <w:ilvl w:val="0"/>
          <w:numId w:val="16"/>
        </w:numPr>
        <w:ind w:left="709" w:hanging="283"/>
        <w:jc w:val="both"/>
      </w:pPr>
      <w:r w:rsidRPr="00221DB1">
        <w:t>2017.gada 1.februārī stājās spēkā Ministru kabineta noteikumi Nr.12</w:t>
      </w:r>
      <w:r>
        <w:t>, kas</w:t>
      </w:r>
      <w:r w:rsidR="00585E67">
        <w:t xml:space="preserve"> </w:t>
      </w:r>
      <w:r w:rsidRPr="00DC6F66">
        <w:t>paredz ieviest privatizācijas sertifikātu kontu apkalpošanas maks</w:t>
      </w:r>
      <w:r>
        <w:t>u</w:t>
      </w:r>
      <w:r w:rsidRPr="00DC6F66">
        <w:t xml:space="preserve"> fiziskām personām: par privatizācijas sertifikātu kontu, kurā ieskaita personai piešķirtos sertifikātus - 0,02 % no nominālvērtības gada sākumā, bet ne mazāk kā 24,00 </w:t>
      </w:r>
      <w:proofErr w:type="spellStart"/>
      <w:r w:rsidRPr="00221DB1">
        <w:rPr>
          <w:i/>
        </w:rPr>
        <w:t>euro</w:t>
      </w:r>
      <w:proofErr w:type="spellEnd"/>
      <w:r w:rsidRPr="00DC6F66">
        <w:t xml:space="preserve"> </w:t>
      </w:r>
      <w:r>
        <w:t xml:space="preserve">gadā </w:t>
      </w:r>
      <w:r w:rsidRPr="00DC6F66">
        <w:t xml:space="preserve">un par pārējiem privatizācijas sertifikātu kontiem 0,02 % no nominālvērtības mēneša sākumā, bet ne mazāk kā 2,00 </w:t>
      </w:r>
      <w:proofErr w:type="spellStart"/>
      <w:r w:rsidRPr="00221DB1">
        <w:rPr>
          <w:i/>
        </w:rPr>
        <w:t>euro</w:t>
      </w:r>
      <w:proofErr w:type="spellEnd"/>
      <w:r w:rsidRPr="00221DB1">
        <w:rPr>
          <w:i/>
        </w:rPr>
        <w:t xml:space="preserve"> </w:t>
      </w:r>
      <w:r w:rsidRPr="00DC6F66">
        <w:t>mēnesī.</w:t>
      </w:r>
      <w:r>
        <w:t xml:space="preserve"> Ņemot vērā, ka Ministru kabineta noteikumi stājās spēkā 2017.gada 1.februārī, tad ir iekļauts pārejas noteikums, ka par kontu, kurā ieskaita personai piešķirtos sertifikātus, tā īpašnieks 2017.gadā veic samaksu par konta apkalpošanu no 2017.gada 1.februāra līdz 31.decembrim, maksājot 0,02 % no sertifikātu nominālvērtības 2017.gada 1.februārī, bet ne mazāk kā 22,00 </w:t>
      </w:r>
      <w:proofErr w:type="spellStart"/>
      <w:r w:rsidRPr="00221DB1">
        <w:rPr>
          <w:i/>
        </w:rPr>
        <w:t>euro</w:t>
      </w:r>
      <w:proofErr w:type="spellEnd"/>
      <w:r>
        <w:t>;</w:t>
      </w:r>
    </w:p>
    <w:p w14:paraId="44468F97" w14:textId="77777777" w:rsidR="007512D5" w:rsidRDefault="007512D5" w:rsidP="00655F3C">
      <w:pPr>
        <w:pStyle w:val="ListParagraph"/>
        <w:numPr>
          <w:ilvl w:val="0"/>
          <w:numId w:val="16"/>
        </w:numPr>
        <w:ind w:left="709"/>
        <w:jc w:val="both"/>
      </w:pPr>
      <w:r>
        <w:t xml:space="preserve">Latvijas iedzīvotājiem ir nodrošināta iespēja, izmantojot portālu www.latvija.lv, neklātienē iesniegt iesniegumu Sabiedrībai, pieprasot informāciju par privatizācijas sertifikātu konta statusu un kontā esošo privatizācijas sertifikātu skaitu. Šādas informācijas sniegšanu klientiem Sabiedrība veic bez maksas. Tāpat jāuzsver, ka sertifikātu kontu īpašnieki saskaņā ar Ministru kabineta noteikumiem Nr.12, ir tiesīgi iesniegt Sabiedrībai privatizācijas sertifikātu pārvedumu uzdevumus elektroniskā formā, kas parakstīti ar drošu elektronisko parakstu. Tādējādi klienti var veikt pamatdarbības ar savu privatizācijas sertifikātu kontu, neierodoties Sabiedrībā. </w:t>
      </w:r>
    </w:p>
    <w:p w14:paraId="19CA8D97" w14:textId="77777777" w:rsidR="00A85AF3" w:rsidRPr="00BB3A90" w:rsidRDefault="00A85AF3" w:rsidP="00A85AF3">
      <w:pPr>
        <w:pStyle w:val="ListParagraph"/>
        <w:ind w:left="709"/>
        <w:jc w:val="both"/>
      </w:pPr>
    </w:p>
    <w:p w14:paraId="61FF6E38" w14:textId="22EE43E6" w:rsidR="007512D5" w:rsidRPr="00470038" w:rsidRDefault="007512D5" w:rsidP="007512D5">
      <w:pPr>
        <w:pStyle w:val="Heading3"/>
        <w:pBdr>
          <w:bottom w:val="single" w:sz="2" w:space="1" w:color="auto"/>
        </w:pBdr>
        <w:spacing w:before="240" w:after="120"/>
        <w:ind w:firstLine="360"/>
        <w:rPr>
          <w:rFonts w:ascii="Times New Roman" w:hAnsi="Times New Roman" w:cs="Times New Roman"/>
          <w:i/>
          <w:color w:val="auto"/>
        </w:rPr>
      </w:pPr>
      <w:bookmarkStart w:id="169" w:name="_Toc482084458"/>
      <w:bookmarkStart w:id="170" w:name="_Toc482084622"/>
      <w:bookmarkStart w:id="171" w:name="_Toc482084657"/>
      <w:bookmarkStart w:id="172" w:name="_Toc482084692"/>
      <w:bookmarkStart w:id="173" w:name="_Toc482084820"/>
      <w:bookmarkStart w:id="174" w:name="_Toc478473169"/>
      <w:r>
        <w:rPr>
          <w:rFonts w:ascii="Times New Roman" w:hAnsi="Times New Roman" w:cs="Times New Roman"/>
          <w:i/>
          <w:color w:val="auto"/>
        </w:rPr>
        <w:t>4.2.4.2. Plānotie pasākumi</w:t>
      </w:r>
      <w:bookmarkEnd w:id="169"/>
      <w:bookmarkEnd w:id="170"/>
      <w:bookmarkEnd w:id="171"/>
      <w:bookmarkEnd w:id="172"/>
      <w:bookmarkEnd w:id="173"/>
      <w:bookmarkEnd w:id="174"/>
    </w:p>
    <w:p w14:paraId="3118FCDE" w14:textId="77777777" w:rsidR="007512D5" w:rsidRDefault="007512D5" w:rsidP="00655F3C">
      <w:pPr>
        <w:pStyle w:val="ListParagraph"/>
        <w:numPr>
          <w:ilvl w:val="0"/>
          <w:numId w:val="13"/>
        </w:numPr>
        <w:spacing w:after="80"/>
        <w:jc w:val="both"/>
        <w:rPr>
          <w:rFonts w:cs="Times New Roman"/>
        </w:rPr>
      </w:pPr>
      <w:r w:rsidRPr="00DC6F66">
        <w:rPr>
          <w:rFonts w:cs="Times New Roman"/>
        </w:rPr>
        <w:t>Jāveicina valsts un pašvaldības īpašumu privatizācijas un zemes izpirkšanas procesu pabeigšana;</w:t>
      </w:r>
    </w:p>
    <w:p w14:paraId="26A9A17F" w14:textId="77777777" w:rsidR="007512D5" w:rsidRPr="00DC6F66" w:rsidRDefault="007512D5" w:rsidP="00655F3C">
      <w:pPr>
        <w:pStyle w:val="ListParagraph"/>
        <w:numPr>
          <w:ilvl w:val="0"/>
          <w:numId w:val="13"/>
        </w:numPr>
        <w:spacing w:after="80"/>
        <w:jc w:val="both"/>
        <w:rPr>
          <w:rFonts w:cs="Times New Roman"/>
        </w:rPr>
      </w:pPr>
      <w:r w:rsidRPr="00DC6F66">
        <w:rPr>
          <w:rFonts w:cs="Times New Roman"/>
        </w:rPr>
        <w:t xml:space="preserve">Jāsekmē valsts vai pašvaldības īpašuma objekta, kā arī apbūvēta vai neapbūvēta zemesgabala pirkuma līgumā noteikto atlikto maksājumu veikšana īsākā termiņā - jāveic grozījumi Privatizācijas pabeigšanas likuma 13.panta pirmajā daļā un 32.panta devītajā daļā, </w:t>
      </w:r>
      <w:r w:rsidRPr="00DC6F66">
        <w:rPr>
          <w:rFonts w:cs="Times New Roman"/>
        </w:rPr>
        <w:lastRenderedPageBreak/>
        <w:t xml:space="preserve">samazinot maksimālo </w:t>
      </w:r>
      <w:r>
        <w:rPr>
          <w:rFonts w:cs="Times New Roman"/>
        </w:rPr>
        <w:t xml:space="preserve">no jauna noslēdzamo </w:t>
      </w:r>
      <w:r w:rsidRPr="00DC6F66">
        <w:rPr>
          <w:rFonts w:cs="Times New Roman"/>
        </w:rPr>
        <w:t>pirkuma līguma par valsts vai pašvaldību īpašuma objektu, apbūvētu un neapbūvētu zemesgabalu un zemes izpirkuma (pirkuma) līguma termiņu no 10 līdz 5 gadiem;</w:t>
      </w:r>
    </w:p>
    <w:p w14:paraId="54A55E9A" w14:textId="77777777" w:rsidR="007512D5" w:rsidRDefault="007512D5" w:rsidP="00655F3C">
      <w:pPr>
        <w:pStyle w:val="ListParagraph"/>
        <w:numPr>
          <w:ilvl w:val="0"/>
          <w:numId w:val="13"/>
        </w:numPr>
        <w:spacing w:after="80"/>
        <w:jc w:val="both"/>
        <w:rPr>
          <w:rFonts w:cs="Times New Roman"/>
        </w:rPr>
      </w:pPr>
      <w:r w:rsidRPr="00DC6F66">
        <w:rPr>
          <w:rFonts w:cs="Times New Roman"/>
        </w:rPr>
        <w:t>Pilnībā jāievieš privatizācijas sertifikātu kontu apkalpošanas sistēma, t.sk. jāveic Latvijas Krājbankā uzkrāto privatizācijas sertifikātu kontu lietās uzkrāto datu pārcelšanu uz Privatizācijas aģentūras sertifikātu kontu apkalpošanas sistēmu;</w:t>
      </w:r>
    </w:p>
    <w:p w14:paraId="672B0F23" w14:textId="77777777" w:rsidR="007512D5" w:rsidRPr="00BB3A90" w:rsidRDefault="007512D5" w:rsidP="00655F3C">
      <w:pPr>
        <w:pStyle w:val="ListParagraph"/>
        <w:numPr>
          <w:ilvl w:val="0"/>
          <w:numId w:val="13"/>
        </w:numPr>
        <w:spacing w:after="80"/>
        <w:jc w:val="both"/>
        <w:rPr>
          <w:rFonts w:cs="Times New Roman"/>
        </w:rPr>
      </w:pPr>
      <w:r>
        <w:rPr>
          <w:rFonts w:cs="Times New Roman"/>
        </w:rPr>
        <w:t>Jāvērtē</w:t>
      </w:r>
      <w:r w:rsidRPr="00BB3A90">
        <w:rPr>
          <w:rFonts w:cs="Times New Roman"/>
        </w:rPr>
        <w:t xml:space="preserve"> iespēj</w:t>
      </w:r>
      <w:r>
        <w:rPr>
          <w:rFonts w:cs="Times New Roman"/>
        </w:rPr>
        <w:t>a</w:t>
      </w:r>
      <w:r w:rsidRPr="00BB3A90">
        <w:rPr>
          <w:rFonts w:cs="Times New Roman"/>
        </w:rPr>
        <w:t xml:space="preserve"> portālā www.latvija.lv ieviest jaunu maksas pakalpojumu – privatizācijas sertifikātu konta iz</w:t>
      </w:r>
      <w:r>
        <w:rPr>
          <w:rFonts w:cs="Times New Roman"/>
        </w:rPr>
        <w:t xml:space="preserve">raksta izsniegšana. </w:t>
      </w:r>
      <w:r w:rsidRPr="00BB3A90">
        <w:rPr>
          <w:rFonts w:cs="Times New Roman"/>
        </w:rPr>
        <w:t xml:space="preserve">Vienlaikus </w:t>
      </w:r>
      <w:r>
        <w:rPr>
          <w:rFonts w:cs="Times New Roman"/>
        </w:rPr>
        <w:t>Sabiedrība</w:t>
      </w:r>
      <w:r w:rsidRPr="00BB3A90">
        <w:rPr>
          <w:rFonts w:cs="Times New Roman"/>
        </w:rPr>
        <w:t xml:space="preserve"> ved sarunas ar </w:t>
      </w:r>
      <w:r>
        <w:rPr>
          <w:rFonts w:cs="Times New Roman"/>
        </w:rPr>
        <w:t xml:space="preserve">valsts akciju sabiedrību </w:t>
      </w:r>
      <w:r w:rsidRPr="00BB3A90">
        <w:rPr>
          <w:rFonts w:cs="Times New Roman"/>
        </w:rPr>
        <w:t xml:space="preserve">“Latvijas Pasts” par iespēju Latvijas iedzīvotājiem saņemt informāciju par privatizācijas sertifikātu konta statusu un kontā esošo privatizācijas sertifikātu skaitu ar </w:t>
      </w:r>
      <w:r>
        <w:rPr>
          <w:rFonts w:cs="Times New Roman"/>
        </w:rPr>
        <w:t>valsts akciju sabiedrības</w:t>
      </w:r>
      <w:r w:rsidRPr="00BB3A90">
        <w:rPr>
          <w:rFonts w:cs="Times New Roman"/>
        </w:rPr>
        <w:t xml:space="preserve"> “Latvijas Pasts” starpniecību;</w:t>
      </w:r>
    </w:p>
    <w:p w14:paraId="1F2BD579" w14:textId="0AAE6F9A" w:rsidR="007512D5" w:rsidRPr="00DC6F66" w:rsidRDefault="007512D5" w:rsidP="00655F3C">
      <w:pPr>
        <w:pStyle w:val="ListParagraph"/>
        <w:numPr>
          <w:ilvl w:val="0"/>
          <w:numId w:val="13"/>
        </w:numPr>
        <w:jc w:val="both"/>
      </w:pPr>
      <w:r w:rsidRPr="00DC6F66">
        <w:rPr>
          <w:rFonts w:cs="Times New Roman"/>
        </w:rPr>
        <w:t xml:space="preserve">Jāsakārto uzkrātie privatizācijas sertifikātu kontu lietās esošie dokumenti atbilstoši dokumentu un arhīvu pārvaldības noteikumiem. </w:t>
      </w:r>
      <w:r w:rsidRPr="006F1E68">
        <w:rPr>
          <w:rFonts w:cs="Times New Roman"/>
        </w:rPr>
        <w:t>2017.gada 1.februārī stājās spēkā Ministru kabineta 2017.gada 3.janvāra noteikumi Nr.12 “Privatizācijas sertifikātu kontu apkalpošanas, privatizācijas sertifikātu izmantošanas un aprites administrēšanas noteikumi”</w:t>
      </w:r>
      <w:r>
        <w:rPr>
          <w:rFonts w:cs="Times New Roman"/>
        </w:rPr>
        <w:t>, kas</w:t>
      </w:r>
      <w:r w:rsidR="000413EB">
        <w:rPr>
          <w:rFonts w:cs="Times New Roman"/>
        </w:rPr>
        <w:t xml:space="preserve"> </w:t>
      </w:r>
      <w:r w:rsidRPr="00DC6F66">
        <w:rPr>
          <w:rFonts w:cs="Times New Roman"/>
        </w:rPr>
        <w:t>paredz ar privatizācijas sertifikātu konta apkalpošanu saistītos papīra dokumentus glabāt ne mazāk kā 10 gadus pēc konta slēgšanas dienas</w:t>
      </w:r>
      <w:r>
        <w:rPr>
          <w:rFonts w:cs="Times New Roman"/>
        </w:rPr>
        <w:t>, ja normatīvajos aktos nav noteikts cits termiņš.</w:t>
      </w:r>
    </w:p>
    <w:p w14:paraId="6FA93A07" w14:textId="77777777" w:rsidR="007512D5" w:rsidRPr="00114266" w:rsidRDefault="007512D5" w:rsidP="007512D5">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Vispārējs pārskats par privatizācijas sertifikātiem sniegts šī informatīvā ziņojuma 1.pielikumā.</w:t>
      </w:r>
    </w:p>
    <w:p w14:paraId="3EA94CF2" w14:textId="4921C98F" w:rsidR="00C614F5" w:rsidRPr="00DC6F66" w:rsidRDefault="00C614F5" w:rsidP="00C614F5">
      <w:pPr>
        <w:pStyle w:val="Heading2"/>
      </w:pPr>
      <w:bookmarkStart w:id="175" w:name="_Toc468974775"/>
      <w:bookmarkStart w:id="176" w:name="_Toc482084459"/>
      <w:bookmarkStart w:id="177" w:name="_Toc482084623"/>
      <w:bookmarkStart w:id="178" w:name="_Toc482084658"/>
      <w:bookmarkStart w:id="179" w:name="_Toc482084693"/>
      <w:bookmarkStart w:id="180" w:name="_Toc482084821"/>
      <w:bookmarkStart w:id="181" w:name="_Toc478473170"/>
      <w:bookmarkStart w:id="182" w:name="_Toc468974776"/>
      <w:r>
        <w:t>Pilna cikla pakalpojumu nodrošināšana</w:t>
      </w:r>
      <w:bookmarkEnd w:id="175"/>
      <w:bookmarkEnd w:id="176"/>
      <w:bookmarkEnd w:id="177"/>
      <w:bookmarkEnd w:id="178"/>
      <w:bookmarkEnd w:id="179"/>
      <w:bookmarkEnd w:id="180"/>
      <w:bookmarkEnd w:id="181"/>
    </w:p>
    <w:p w14:paraId="7FF9AE6F" w14:textId="5743FC9E" w:rsidR="00C614F5" w:rsidRDefault="00E90BD5" w:rsidP="00C614F5">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Sabiedrībai ir ilgstoša pieredze dzīvojamo māju un dzīvokļu īpašumu, kā arī kapitāla daļu privatizācijā un atsavināšanā. </w:t>
      </w:r>
      <w:r w:rsidR="00C614F5">
        <w:rPr>
          <w:rFonts w:ascii="Times New Roman" w:hAnsi="Times New Roman"/>
          <w:color w:val="000000" w:themeColor="text1"/>
          <w:sz w:val="24"/>
        </w:rPr>
        <w:t>Savukārt, a</w:t>
      </w:r>
      <w:r w:rsidR="00C614F5" w:rsidRPr="001E7CAB">
        <w:rPr>
          <w:rFonts w:ascii="Times New Roman" w:hAnsi="Times New Roman"/>
          <w:color w:val="000000" w:themeColor="text1"/>
          <w:sz w:val="24"/>
        </w:rPr>
        <w:t xml:space="preserve">tbilstoši Privatizācijas likumam un Atsavināšanas likumam valsts īpašuma objekti un zemesgabali, </w:t>
      </w:r>
      <w:r>
        <w:rPr>
          <w:rFonts w:ascii="Times New Roman" w:hAnsi="Times New Roman"/>
          <w:color w:val="000000" w:themeColor="text1"/>
          <w:sz w:val="24"/>
        </w:rPr>
        <w:t xml:space="preserve">kuri ir Sabiedrības turējumā un </w:t>
      </w:r>
      <w:r w:rsidR="00C614F5" w:rsidRPr="001E7CAB">
        <w:rPr>
          <w:rFonts w:ascii="Times New Roman" w:hAnsi="Times New Roman"/>
          <w:color w:val="000000" w:themeColor="text1"/>
          <w:sz w:val="24"/>
        </w:rPr>
        <w:t xml:space="preserve">kuru privatizācijai saskaņā ar apstiprinātajiem privatizācijas noteikumiem (paziņojumu) nav pieteicies neviens pretendents, privatizācija var tikt izbeigta un objekti var tikt nodoti </w:t>
      </w:r>
      <w:r w:rsidR="00C614F5">
        <w:rPr>
          <w:rFonts w:ascii="Times New Roman" w:hAnsi="Times New Roman"/>
          <w:color w:val="000000" w:themeColor="text1"/>
          <w:sz w:val="24"/>
        </w:rPr>
        <w:t>valsts akciju sabiedrībai</w:t>
      </w:r>
      <w:r w:rsidR="00C614F5" w:rsidRPr="0005040C">
        <w:rPr>
          <w:rFonts w:ascii="Times New Roman" w:hAnsi="Times New Roman"/>
          <w:color w:val="000000" w:themeColor="text1"/>
          <w:sz w:val="24"/>
        </w:rPr>
        <w:t xml:space="preserve"> "Valsts nekustamie īpašumi" (turpmāk – VNĪ)</w:t>
      </w:r>
      <w:r w:rsidR="00C614F5">
        <w:rPr>
          <w:rFonts w:ascii="Times New Roman" w:hAnsi="Times New Roman"/>
          <w:color w:val="000000" w:themeColor="text1"/>
          <w:sz w:val="24"/>
        </w:rPr>
        <w:t xml:space="preserve"> </w:t>
      </w:r>
      <w:r w:rsidR="00C614F5" w:rsidRPr="001E7CAB">
        <w:rPr>
          <w:rFonts w:ascii="Times New Roman" w:hAnsi="Times New Roman"/>
          <w:color w:val="000000" w:themeColor="text1"/>
          <w:sz w:val="24"/>
        </w:rPr>
        <w:t>to turpmākai atsavināšanai.</w:t>
      </w:r>
      <w:r w:rsidR="00C614F5">
        <w:rPr>
          <w:rFonts w:ascii="Times New Roman" w:hAnsi="Times New Roman"/>
          <w:color w:val="000000" w:themeColor="text1"/>
          <w:sz w:val="24"/>
        </w:rPr>
        <w:t xml:space="preserve"> </w:t>
      </w:r>
    </w:p>
    <w:p w14:paraId="43D02E37" w14:textId="3E786159" w:rsidR="00E90BD5" w:rsidRDefault="00E90BD5" w:rsidP="00E90BD5">
      <w:pPr>
        <w:spacing w:before="80" w:after="80" w:line="240" w:lineRule="auto"/>
        <w:ind w:firstLine="709"/>
        <w:jc w:val="both"/>
        <w:rPr>
          <w:rFonts w:ascii="Times New Roman" w:hAnsi="Times New Roman"/>
          <w:color w:val="000000" w:themeColor="text1"/>
          <w:sz w:val="24"/>
        </w:rPr>
      </w:pPr>
      <w:bookmarkStart w:id="183" w:name="_Hlk482015012"/>
      <w:r>
        <w:rPr>
          <w:rFonts w:ascii="Times New Roman" w:hAnsi="Times New Roman"/>
          <w:color w:val="000000" w:themeColor="text1"/>
          <w:sz w:val="24"/>
        </w:rPr>
        <w:t>V</w:t>
      </w:r>
      <w:r w:rsidRPr="00D02817">
        <w:rPr>
          <w:rFonts w:ascii="Times New Roman" w:hAnsi="Times New Roman"/>
          <w:color w:val="000000" w:themeColor="text1"/>
          <w:sz w:val="24"/>
        </w:rPr>
        <w:t xml:space="preserve">eicot valsts īpašuma objektu un zemesgabalu privatizācijas darbības, </w:t>
      </w:r>
      <w:r>
        <w:rPr>
          <w:rFonts w:ascii="Times New Roman" w:hAnsi="Times New Roman"/>
          <w:color w:val="000000" w:themeColor="text1"/>
          <w:sz w:val="24"/>
        </w:rPr>
        <w:t xml:space="preserve">Sabiedrība </w:t>
      </w:r>
      <w:r w:rsidRPr="00D02817">
        <w:rPr>
          <w:rFonts w:ascii="Times New Roman" w:hAnsi="Times New Roman"/>
          <w:color w:val="000000" w:themeColor="text1"/>
          <w:sz w:val="24"/>
        </w:rPr>
        <w:t>ieguld</w:t>
      </w:r>
      <w:r>
        <w:rPr>
          <w:rFonts w:ascii="Times New Roman" w:hAnsi="Times New Roman"/>
          <w:color w:val="000000" w:themeColor="text1"/>
          <w:sz w:val="24"/>
        </w:rPr>
        <w:t>a ievērojamus</w:t>
      </w:r>
      <w:r w:rsidRPr="00D02817">
        <w:rPr>
          <w:rFonts w:ascii="Times New Roman" w:hAnsi="Times New Roman"/>
          <w:color w:val="000000" w:themeColor="text1"/>
          <w:sz w:val="24"/>
        </w:rPr>
        <w:t xml:space="preserve"> </w:t>
      </w:r>
      <w:r>
        <w:rPr>
          <w:rFonts w:ascii="Times New Roman" w:hAnsi="Times New Roman"/>
          <w:color w:val="000000" w:themeColor="text1"/>
          <w:sz w:val="24"/>
        </w:rPr>
        <w:t xml:space="preserve">resursus, </w:t>
      </w:r>
      <w:r w:rsidRPr="00D02817">
        <w:rPr>
          <w:rFonts w:ascii="Times New Roman" w:hAnsi="Times New Roman"/>
          <w:color w:val="000000" w:themeColor="text1"/>
          <w:sz w:val="24"/>
        </w:rPr>
        <w:t>apzin</w:t>
      </w:r>
      <w:r>
        <w:rPr>
          <w:rFonts w:ascii="Times New Roman" w:hAnsi="Times New Roman"/>
          <w:color w:val="000000" w:themeColor="text1"/>
          <w:sz w:val="24"/>
        </w:rPr>
        <w:t xml:space="preserve">ot katra objekta specifiskos </w:t>
      </w:r>
      <w:proofErr w:type="spellStart"/>
      <w:r>
        <w:rPr>
          <w:rFonts w:ascii="Times New Roman" w:hAnsi="Times New Roman"/>
          <w:color w:val="000000" w:themeColor="text1"/>
          <w:sz w:val="24"/>
        </w:rPr>
        <w:t>problēmjautājumus</w:t>
      </w:r>
      <w:proofErr w:type="spellEnd"/>
      <w:r>
        <w:rPr>
          <w:rFonts w:ascii="Times New Roman" w:hAnsi="Times New Roman"/>
          <w:color w:val="000000" w:themeColor="text1"/>
          <w:sz w:val="24"/>
        </w:rPr>
        <w:t xml:space="preserve"> un potenciālos pircējus</w:t>
      </w:r>
      <w:r w:rsidRPr="00D02817">
        <w:rPr>
          <w:rFonts w:ascii="Times New Roman" w:hAnsi="Times New Roman"/>
          <w:color w:val="000000" w:themeColor="text1"/>
          <w:sz w:val="24"/>
        </w:rPr>
        <w:t xml:space="preserve">. </w:t>
      </w:r>
      <w:r>
        <w:rPr>
          <w:rFonts w:ascii="Times New Roman" w:hAnsi="Times New Roman"/>
          <w:color w:val="000000" w:themeColor="text1"/>
          <w:sz w:val="24"/>
        </w:rPr>
        <w:t xml:space="preserve">Izbeidzot </w:t>
      </w:r>
      <w:r w:rsidRPr="00A63A5B">
        <w:rPr>
          <w:rFonts w:ascii="Times New Roman" w:hAnsi="Times New Roman"/>
          <w:color w:val="000000" w:themeColor="text1"/>
          <w:sz w:val="24"/>
        </w:rPr>
        <w:t xml:space="preserve">valsts īpašuma objektu un zemesgabalu </w:t>
      </w:r>
      <w:r>
        <w:rPr>
          <w:rFonts w:ascii="Times New Roman" w:hAnsi="Times New Roman"/>
          <w:color w:val="000000" w:themeColor="text1"/>
          <w:sz w:val="24"/>
        </w:rPr>
        <w:t>privatizācijas procesu,</w:t>
      </w:r>
      <w:r w:rsidRPr="00D02817">
        <w:rPr>
          <w:rFonts w:ascii="Times New Roman" w:hAnsi="Times New Roman"/>
          <w:color w:val="000000" w:themeColor="text1"/>
          <w:sz w:val="24"/>
        </w:rPr>
        <w:t xml:space="preserve"> </w:t>
      </w:r>
      <w:r>
        <w:rPr>
          <w:rFonts w:ascii="Times New Roman" w:hAnsi="Times New Roman"/>
          <w:color w:val="000000" w:themeColor="text1"/>
          <w:sz w:val="24"/>
        </w:rPr>
        <w:t>tie ir nododami atsavināšanai cita resora institūcijai</w:t>
      </w:r>
      <w:r w:rsidRPr="00D02817">
        <w:rPr>
          <w:rFonts w:ascii="Times New Roman" w:hAnsi="Times New Roman"/>
          <w:color w:val="000000" w:themeColor="text1"/>
          <w:sz w:val="24"/>
        </w:rPr>
        <w:t>, kura savukārt veic to sagatavošanu ats</w:t>
      </w:r>
      <w:r>
        <w:rPr>
          <w:rFonts w:ascii="Times New Roman" w:hAnsi="Times New Roman"/>
          <w:color w:val="000000" w:themeColor="text1"/>
          <w:sz w:val="24"/>
        </w:rPr>
        <w:t>avināšanai un veic atsavināšanu. Tādējādi tiek nelietderīgi patērēti divu resoru institūciju resursi, process aizņem ievērojamu laiku, kā rezultātā, cita starpā, nevajadzīgi palielinās to uzturēšanas izmaksas valstij, un šis process kopumā ir vērtējams kā izteikti neefektīvs.</w:t>
      </w:r>
    </w:p>
    <w:p w14:paraId="265CECD5" w14:textId="77777777" w:rsidR="00CF10CC" w:rsidRDefault="00CF10CC" w:rsidP="00CF10CC">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Viens no Sabiedrības turējumā esošo nekustamā īpašuma objektu un zemesgabalu neveiksmīgas</w:t>
      </w:r>
      <w:r w:rsidRPr="00425169">
        <w:rPr>
          <w:rFonts w:ascii="Times New Roman" w:hAnsi="Times New Roman"/>
          <w:color w:val="000000" w:themeColor="text1"/>
          <w:sz w:val="24"/>
        </w:rPr>
        <w:t xml:space="preserve"> </w:t>
      </w:r>
      <w:r>
        <w:rPr>
          <w:rFonts w:ascii="Times New Roman" w:hAnsi="Times New Roman"/>
          <w:color w:val="000000" w:themeColor="text1"/>
          <w:sz w:val="24"/>
        </w:rPr>
        <w:t>privatizācijas galvenajiem iemesliem</w:t>
      </w:r>
      <w:r w:rsidRPr="00937986">
        <w:rPr>
          <w:rFonts w:ascii="Times New Roman" w:hAnsi="Times New Roman"/>
          <w:color w:val="000000" w:themeColor="text1"/>
          <w:sz w:val="24"/>
        </w:rPr>
        <w:t xml:space="preserve"> </w:t>
      </w:r>
      <w:r>
        <w:rPr>
          <w:rFonts w:ascii="Times New Roman" w:hAnsi="Times New Roman"/>
          <w:color w:val="000000" w:themeColor="text1"/>
          <w:sz w:val="24"/>
        </w:rPr>
        <w:t xml:space="preserve">ir </w:t>
      </w:r>
      <w:r w:rsidRPr="00937986">
        <w:rPr>
          <w:rFonts w:ascii="Times New Roman" w:hAnsi="Times New Roman"/>
          <w:color w:val="000000" w:themeColor="text1"/>
          <w:sz w:val="24"/>
        </w:rPr>
        <w:t>īpašum</w:t>
      </w:r>
      <w:r>
        <w:rPr>
          <w:rFonts w:ascii="Times New Roman" w:hAnsi="Times New Roman"/>
          <w:color w:val="000000" w:themeColor="text1"/>
          <w:sz w:val="24"/>
        </w:rPr>
        <w:t>u</w:t>
      </w:r>
      <w:r w:rsidRPr="00937986">
        <w:rPr>
          <w:rFonts w:ascii="Times New Roman" w:hAnsi="Times New Roman"/>
          <w:color w:val="000000" w:themeColor="text1"/>
          <w:sz w:val="24"/>
        </w:rPr>
        <w:t xml:space="preserve"> (zeme</w:t>
      </w:r>
      <w:r>
        <w:rPr>
          <w:rFonts w:ascii="Times New Roman" w:hAnsi="Times New Roman"/>
          <w:color w:val="000000" w:themeColor="text1"/>
          <w:sz w:val="24"/>
        </w:rPr>
        <w:t>s</w:t>
      </w:r>
      <w:r w:rsidRPr="00937986">
        <w:rPr>
          <w:rFonts w:ascii="Times New Roman" w:hAnsi="Times New Roman"/>
          <w:color w:val="000000" w:themeColor="text1"/>
          <w:sz w:val="24"/>
        </w:rPr>
        <w:t xml:space="preserve">) tirgus </w:t>
      </w:r>
      <w:r>
        <w:rPr>
          <w:rFonts w:ascii="Times New Roman" w:hAnsi="Times New Roman"/>
          <w:color w:val="000000" w:themeColor="text1"/>
          <w:sz w:val="24"/>
        </w:rPr>
        <w:t xml:space="preserve">situācijai neatbilstoša </w:t>
      </w:r>
      <w:r w:rsidRPr="00937986">
        <w:rPr>
          <w:rFonts w:ascii="Times New Roman" w:hAnsi="Times New Roman"/>
          <w:color w:val="000000" w:themeColor="text1"/>
          <w:sz w:val="24"/>
        </w:rPr>
        <w:t>cen</w:t>
      </w:r>
      <w:r>
        <w:rPr>
          <w:rFonts w:ascii="Times New Roman" w:hAnsi="Times New Roman"/>
          <w:color w:val="000000" w:themeColor="text1"/>
          <w:sz w:val="24"/>
        </w:rPr>
        <w:t>a,</w:t>
      </w:r>
      <w:r w:rsidRPr="00937986">
        <w:rPr>
          <w:rFonts w:ascii="Times New Roman" w:hAnsi="Times New Roman"/>
          <w:color w:val="000000" w:themeColor="text1"/>
          <w:sz w:val="24"/>
        </w:rPr>
        <w:t xml:space="preserve"> jo </w:t>
      </w:r>
      <w:r>
        <w:rPr>
          <w:rFonts w:ascii="Times New Roman" w:hAnsi="Times New Roman"/>
          <w:color w:val="000000" w:themeColor="text1"/>
          <w:sz w:val="24"/>
        </w:rPr>
        <w:t xml:space="preserve">privatizācijas vajadzībām to nosaka Valsts zemes dienests un nevis neatkarīgs vērtētājs. Tā rezultātā potenciālie pircēji nepiedalās privatizācijā, bet </w:t>
      </w:r>
      <w:r w:rsidRPr="00937986">
        <w:rPr>
          <w:rFonts w:ascii="Times New Roman" w:hAnsi="Times New Roman"/>
          <w:color w:val="000000" w:themeColor="text1"/>
          <w:sz w:val="24"/>
        </w:rPr>
        <w:t>gaida</w:t>
      </w:r>
      <w:r>
        <w:rPr>
          <w:rFonts w:ascii="Times New Roman" w:hAnsi="Times New Roman"/>
          <w:color w:val="000000" w:themeColor="text1"/>
          <w:sz w:val="24"/>
        </w:rPr>
        <w:t xml:space="preserve"> līdz privatizācijas izbeigšanai</w:t>
      </w:r>
      <w:r w:rsidRPr="00937986">
        <w:rPr>
          <w:rFonts w:ascii="Times New Roman" w:hAnsi="Times New Roman"/>
          <w:color w:val="000000" w:themeColor="text1"/>
          <w:sz w:val="24"/>
        </w:rPr>
        <w:t xml:space="preserve"> un </w:t>
      </w:r>
      <w:r w:rsidRPr="00114266">
        <w:rPr>
          <w:rFonts w:ascii="Times New Roman" w:hAnsi="Times New Roman"/>
          <w:color w:val="000000" w:themeColor="text1"/>
          <w:sz w:val="24"/>
        </w:rPr>
        <w:t xml:space="preserve">valsts īpašuma objektu un zemesgabalu </w:t>
      </w:r>
      <w:r>
        <w:rPr>
          <w:rFonts w:ascii="Times New Roman" w:hAnsi="Times New Roman"/>
          <w:color w:val="000000" w:themeColor="text1"/>
          <w:sz w:val="24"/>
        </w:rPr>
        <w:t xml:space="preserve">nodošanas </w:t>
      </w:r>
      <w:r w:rsidRPr="00937986">
        <w:rPr>
          <w:rFonts w:ascii="Times New Roman" w:hAnsi="Times New Roman"/>
          <w:color w:val="000000" w:themeColor="text1"/>
          <w:sz w:val="24"/>
        </w:rPr>
        <w:t>atsavināšana</w:t>
      </w:r>
      <w:r>
        <w:rPr>
          <w:rFonts w:ascii="Times New Roman" w:hAnsi="Times New Roman"/>
          <w:color w:val="000000" w:themeColor="text1"/>
          <w:sz w:val="24"/>
        </w:rPr>
        <w:t>i.</w:t>
      </w:r>
    </w:p>
    <w:bookmarkEnd w:id="183"/>
    <w:p w14:paraId="7D10A636" w14:textId="77777777" w:rsidR="00E90BD5" w:rsidRDefault="00C614F5" w:rsidP="00E90BD5">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Šobrīd Sabiedrības portfelī ir tās realizācijas kapacitātēm atbilstošs nekustamo īpašumu skaits. Sabiedrības funkciju papildināšana ar tās turējumā esošo</w:t>
      </w:r>
      <w:r w:rsidRPr="00937986">
        <w:rPr>
          <w:rFonts w:ascii="Times New Roman" w:hAnsi="Times New Roman"/>
          <w:color w:val="000000" w:themeColor="text1"/>
          <w:sz w:val="24"/>
        </w:rPr>
        <w:t xml:space="preserve"> nekust</w:t>
      </w:r>
      <w:r>
        <w:rPr>
          <w:rFonts w:ascii="Times New Roman" w:hAnsi="Times New Roman"/>
          <w:color w:val="000000" w:themeColor="text1"/>
          <w:sz w:val="24"/>
        </w:rPr>
        <w:t>amā īpašuma objektu un zemesgabalu atsavināšanu</w:t>
      </w:r>
      <w:r w:rsidRPr="00937986">
        <w:rPr>
          <w:rFonts w:ascii="Times New Roman" w:hAnsi="Times New Roman"/>
          <w:color w:val="000000" w:themeColor="text1"/>
          <w:sz w:val="24"/>
        </w:rPr>
        <w:t xml:space="preserve"> </w:t>
      </w:r>
      <w:r>
        <w:rPr>
          <w:rFonts w:ascii="Times New Roman" w:hAnsi="Times New Roman"/>
          <w:color w:val="000000" w:themeColor="text1"/>
          <w:sz w:val="24"/>
        </w:rPr>
        <w:t>dotu iespēju</w:t>
      </w:r>
      <w:r w:rsidRPr="00114266">
        <w:rPr>
          <w:rFonts w:ascii="Times New Roman" w:hAnsi="Times New Roman"/>
          <w:color w:val="000000" w:themeColor="text1"/>
          <w:sz w:val="24"/>
        </w:rPr>
        <w:t xml:space="preserve"> </w:t>
      </w:r>
      <w:r>
        <w:rPr>
          <w:rFonts w:ascii="Times New Roman" w:hAnsi="Times New Roman"/>
          <w:color w:val="000000" w:themeColor="text1"/>
          <w:sz w:val="24"/>
        </w:rPr>
        <w:t>padarīt</w:t>
      </w:r>
      <w:r w:rsidRPr="00114266">
        <w:rPr>
          <w:rFonts w:ascii="Times New Roman" w:hAnsi="Times New Roman"/>
          <w:color w:val="000000" w:themeColor="text1"/>
          <w:sz w:val="24"/>
        </w:rPr>
        <w:t xml:space="preserve"> valstij nevajadzīgo </w:t>
      </w:r>
      <w:r>
        <w:rPr>
          <w:rFonts w:ascii="Times New Roman" w:hAnsi="Times New Roman"/>
          <w:color w:val="000000" w:themeColor="text1"/>
          <w:sz w:val="24"/>
        </w:rPr>
        <w:t xml:space="preserve">un Sabiedrības turējumā esošo </w:t>
      </w:r>
      <w:r w:rsidRPr="00114266">
        <w:rPr>
          <w:rFonts w:ascii="Times New Roman" w:hAnsi="Times New Roman"/>
          <w:color w:val="000000" w:themeColor="text1"/>
          <w:sz w:val="24"/>
        </w:rPr>
        <w:t xml:space="preserve">aktīvu </w:t>
      </w:r>
      <w:r>
        <w:rPr>
          <w:rFonts w:ascii="Times New Roman" w:hAnsi="Times New Roman"/>
          <w:color w:val="000000" w:themeColor="text1"/>
          <w:sz w:val="24"/>
        </w:rPr>
        <w:t>realizācijas</w:t>
      </w:r>
      <w:r w:rsidRPr="00114266">
        <w:rPr>
          <w:rFonts w:ascii="Times New Roman" w:hAnsi="Times New Roman"/>
          <w:color w:val="000000" w:themeColor="text1"/>
          <w:sz w:val="24"/>
        </w:rPr>
        <w:t xml:space="preserve"> procesu operatīvāku, efektīvāku, saprotamāku un uz klientu orientētāku. </w:t>
      </w:r>
    </w:p>
    <w:p w14:paraId="400B2AB6" w14:textId="4200BDBE" w:rsidR="00C614F5" w:rsidRDefault="00E90BD5" w:rsidP="00C614F5">
      <w:pPr>
        <w:spacing w:before="80" w:after="80" w:line="240" w:lineRule="auto"/>
        <w:ind w:firstLine="709"/>
        <w:jc w:val="both"/>
        <w:rPr>
          <w:rFonts w:ascii="Times New Roman" w:hAnsi="Times New Roman"/>
          <w:color w:val="000000" w:themeColor="text1"/>
          <w:sz w:val="24"/>
        </w:rPr>
      </w:pPr>
      <w:r w:rsidRPr="00ED3A6A">
        <w:rPr>
          <w:rFonts w:ascii="Times New Roman" w:hAnsi="Times New Roman"/>
          <w:color w:val="000000" w:themeColor="text1"/>
          <w:sz w:val="24"/>
        </w:rPr>
        <w:t>Atsavināšanas likuma 9.panta pirmajā daļā noteikts, ka valsts nekustamā īpašuma atsavināšanu organizē VNĪ, izņemot šā panta 1.</w:t>
      </w:r>
      <w:r w:rsidRPr="00ED3A6A">
        <w:rPr>
          <w:rFonts w:ascii="Times New Roman" w:hAnsi="Times New Roman"/>
          <w:color w:val="000000" w:themeColor="text1"/>
          <w:sz w:val="24"/>
          <w:vertAlign w:val="superscript"/>
        </w:rPr>
        <w:t>1</w:t>
      </w:r>
      <w:r w:rsidRPr="00ED3A6A">
        <w:rPr>
          <w:rFonts w:ascii="Times New Roman" w:hAnsi="Times New Roman"/>
          <w:color w:val="000000" w:themeColor="text1"/>
          <w:sz w:val="24"/>
        </w:rPr>
        <w:t>, 1.</w:t>
      </w:r>
      <w:r w:rsidRPr="00ED3A6A">
        <w:rPr>
          <w:rFonts w:ascii="Times New Roman" w:hAnsi="Times New Roman"/>
          <w:color w:val="000000" w:themeColor="text1"/>
          <w:sz w:val="24"/>
          <w:vertAlign w:val="superscript"/>
        </w:rPr>
        <w:t xml:space="preserve">2 </w:t>
      </w:r>
      <w:r w:rsidRPr="00ED3A6A">
        <w:rPr>
          <w:rFonts w:ascii="Times New Roman" w:hAnsi="Times New Roman"/>
          <w:color w:val="000000" w:themeColor="text1"/>
          <w:sz w:val="24"/>
        </w:rPr>
        <w:t>un 1.</w:t>
      </w:r>
      <w:r w:rsidRPr="00ED3A6A">
        <w:rPr>
          <w:rFonts w:ascii="Times New Roman" w:hAnsi="Times New Roman"/>
          <w:color w:val="000000" w:themeColor="text1"/>
          <w:sz w:val="24"/>
          <w:vertAlign w:val="superscript"/>
        </w:rPr>
        <w:t>3</w:t>
      </w:r>
      <w:r w:rsidRPr="00ED3A6A">
        <w:rPr>
          <w:rFonts w:ascii="Times New Roman" w:hAnsi="Times New Roman"/>
          <w:color w:val="000000" w:themeColor="text1"/>
          <w:sz w:val="24"/>
        </w:rPr>
        <w:t xml:space="preserve"> daļā minētos gadījumus, t.i.: 1) valsts nekustamā īpašuma maiņu organizē tā ministrija, valsts iestāde, aģentūra vai valsts kapitālsabiedrība, kuras valdījumā ir maināmais valsts nekustamais īpašums; 2) valsts nekustamā īpašuma ieguldīšanu valsts kapitālsabiedrības pamatkapitālā organizē tā valsts kapitālsabiedrība, </w:t>
      </w:r>
      <w:r w:rsidRPr="00ED3A6A">
        <w:rPr>
          <w:rFonts w:ascii="Times New Roman" w:hAnsi="Times New Roman"/>
          <w:color w:val="000000" w:themeColor="text1"/>
          <w:sz w:val="24"/>
        </w:rPr>
        <w:lastRenderedPageBreak/>
        <w:t>kuras pamatkapitālā iegulda valsts nekustamo īpašumu; 3) ja dzīvojamā māja, tās domājamā daļa vai dzīvokļa īpašums ir Sabiedrības valdījumā, dzīvojamās mājas, tās domājamās daļas vai dzīvokļa īpašuma atsavināšanu organizē pati Sabiedrība.</w:t>
      </w:r>
      <w:r w:rsidRPr="00114266">
        <w:rPr>
          <w:rFonts w:ascii="Times New Roman" w:hAnsi="Times New Roman"/>
          <w:color w:val="000000" w:themeColor="text1"/>
          <w:sz w:val="24"/>
        </w:rPr>
        <w:t xml:space="preserve"> </w:t>
      </w:r>
      <w:r w:rsidRPr="00114266">
        <w:rPr>
          <w:rFonts w:ascii="Times New Roman" w:hAnsi="Times New Roman"/>
          <w:b/>
          <w:color w:val="000000" w:themeColor="text1"/>
          <w:sz w:val="24"/>
        </w:rPr>
        <w:t xml:space="preserve">Priekšlikums Atsavināšanas likumā </w:t>
      </w:r>
      <w:r>
        <w:rPr>
          <w:rFonts w:ascii="Times New Roman" w:hAnsi="Times New Roman"/>
          <w:b/>
          <w:color w:val="000000" w:themeColor="text1"/>
          <w:sz w:val="24"/>
        </w:rPr>
        <w:t xml:space="preserve">paredzēt, ka Sabiedrība </w:t>
      </w:r>
      <w:r w:rsidRPr="00DC7543">
        <w:rPr>
          <w:rFonts w:ascii="Times New Roman" w:hAnsi="Times New Roman"/>
          <w:b/>
          <w:color w:val="000000" w:themeColor="text1"/>
          <w:sz w:val="24"/>
        </w:rPr>
        <w:t xml:space="preserve">veic </w:t>
      </w:r>
      <w:r>
        <w:rPr>
          <w:rFonts w:ascii="Times New Roman" w:hAnsi="Times New Roman"/>
          <w:b/>
          <w:color w:val="000000" w:themeColor="text1"/>
          <w:sz w:val="24"/>
        </w:rPr>
        <w:t xml:space="preserve">tās turējumā esošo </w:t>
      </w:r>
      <w:r w:rsidRPr="00DC7543">
        <w:rPr>
          <w:rFonts w:ascii="Times New Roman" w:hAnsi="Times New Roman"/>
          <w:b/>
          <w:color w:val="000000" w:themeColor="text1"/>
          <w:sz w:val="24"/>
        </w:rPr>
        <w:t>valsts īpašuma objektu un zemesgabalu, kuru privatizācija tiek izbeigta, atsavināšanu</w:t>
      </w:r>
      <w:r w:rsidRPr="00E44204">
        <w:rPr>
          <w:rFonts w:ascii="Times New Roman" w:hAnsi="Times New Roman"/>
          <w:b/>
          <w:color w:val="000000" w:themeColor="text1"/>
          <w:sz w:val="24"/>
        </w:rPr>
        <w:t>.</w:t>
      </w:r>
      <w:r>
        <w:rPr>
          <w:rFonts w:ascii="Times New Roman" w:hAnsi="Times New Roman"/>
          <w:b/>
          <w:color w:val="000000" w:themeColor="text1"/>
          <w:sz w:val="24"/>
        </w:rPr>
        <w:t xml:space="preserve"> </w:t>
      </w:r>
    </w:p>
    <w:p w14:paraId="037DA0C4" w14:textId="77777777" w:rsidR="00E90BD5" w:rsidRDefault="00E90BD5" w:rsidP="00E90BD5">
      <w:pPr>
        <w:pStyle w:val="Caption"/>
        <w:keepNext/>
        <w:keepLines/>
        <w:spacing w:after="40"/>
        <w:jc w:val="right"/>
        <w:rPr>
          <w:rFonts w:ascii="Times New Roman" w:hAnsi="Times New Roman" w:cs="Times New Roman"/>
          <w:color w:val="auto"/>
          <w:sz w:val="24"/>
          <w:szCs w:val="22"/>
        </w:rPr>
      </w:pPr>
      <w:r w:rsidRPr="00DC6F66">
        <w:rPr>
          <w:rFonts w:ascii="Times New Roman" w:hAnsi="Times New Roman" w:cs="Times New Roman"/>
          <w:b w:val="0"/>
          <w:i/>
          <w:color w:val="auto"/>
          <w:sz w:val="24"/>
          <w:szCs w:val="22"/>
        </w:rPr>
        <w:fldChar w:fldCharType="begin"/>
      </w:r>
      <w:r w:rsidRPr="00DC6F66">
        <w:rPr>
          <w:rFonts w:ascii="Times New Roman" w:hAnsi="Times New Roman" w:cs="Times New Roman"/>
          <w:b w:val="0"/>
          <w:i/>
          <w:color w:val="auto"/>
          <w:sz w:val="24"/>
          <w:szCs w:val="22"/>
        </w:rPr>
        <w:instrText xml:space="preserve"> SEQ Tabula \* ARABIC </w:instrText>
      </w:r>
      <w:r w:rsidRPr="00DC6F66">
        <w:rPr>
          <w:rFonts w:ascii="Times New Roman" w:hAnsi="Times New Roman" w:cs="Times New Roman"/>
          <w:b w:val="0"/>
          <w:i/>
          <w:color w:val="auto"/>
          <w:sz w:val="24"/>
          <w:szCs w:val="22"/>
        </w:rPr>
        <w:fldChar w:fldCharType="separate"/>
      </w:r>
      <w:r>
        <w:rPr>
          <w:rFonts w:ascii="Times New Roman" w:hAnsi="Times New Roman" w:cs="Times New Roman"/>
          <w:b w:val="0"/>
          <w:i/>
          <w:noProof/>
          <w:color w:val="auto"/>
          <w:sz w:val="24"/>
          <w:szCs w:val="22"/>
        </w:rPr>
        <w:t>4</w:t>
      </w:r>
      <w:r w:rsidRPr="00DC6F66">
        <w:rPr>
          <w:rFonts w:ascii="Times New Roman" w:hAnsi="Times New Roman" w:cs="Times New Roman"/>
          <w:b w:val="0"/>
          <w:i/>
          <w:color w:val="auto"/>
          <w:sz w:val="24"/>
          <w:szCs w:val="22"/>
        </w:rPr>
        <w:fldChar w:fldCharType="end"/>
      </w:r>
      <w:r w:rsidRPr="00DC6F66">
        <w:rPr>
          <w:rFonts w:ascii="Times New Roman" w:hAnsi="Times New Roman" w:cs="Times New Roman"/>
          <w:b w:val="0"/>
          <w:i/>
          <w:color w:val="auto"/>
          <w:sz w:val="24"/>
          <w:szCs w:val="22"/>
        </w:rPr>
        <w:t xml:space="preserve">.tabula. </w:t>
      </w:r>
      <w:r w:rsidRPr="00DC6F66">
        <w:rPr>
          <w:rFonts w:ascii="Times New Roman" w:hAnsi="Times New Roman" w:cs="Times New Roman"/>
          <w:color w:val="auto"/>
          <w:sz w:val="24"/>
          <w:szCs w:val="22"/>
        </w:rPr>
        <w:t>Sabiedrības biznesa līnijas</w:t>
      </w:r>
    </w:p>
    <w:tbl>
      <w:tblPr>
        <w:tblStyle w:val="TableGrid"/>
        <w:tblW w:w="932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799"/>
        <w:gridCol w:w="236"/>
        <w:gridCol w:w="1465"/>
        <w:gridCol w:w="283"/>
        <w:gridCol w:w="1560"/>
        <w:gridCol w:w="283"/>
        <w:gridCol w:w="1701"/>
      </w:tblGrid>
      <w:tr w:rsidR="00E90BD5" w:rsidRPr="00DC6F66" w14:paraId="64446E6D" w14:textId="77777777" w:rsidTr="00D250DC">
        <w:tc>
          <w:tcPr>
            <w:tcW w:w="3799" w:type="dxa"/>
            <w:vMerge w:val="restart"/>
            <w:tcBorders>
              <w:left w:val="single" w:sz="4" w:space="0" w:color="404040" w:themeColor="text1" w:themeTint="BF"/>
              <w:right w:val="single" w:sz="4" w:space="0" w:color="auto"/>
            </w:tcBorders>
            <w:shd w:val="clear" w:color="auto" w:fill="262626" w:themeFill="text1" w:themeFillTint="D9"/>
            <w:vAlign w:val="center"/>
          </w:tcPr>
          <w:p w14:paraId="058D23FF" w14:textId="77777777" w:rsidR="00E90BD5" w:rsidRPr="00DC6F66" w:rsidRDefault="00E90BD5" w:rsidP="00D250DC">
            <w:pPr>
              <w:keepNext/>
              <w:keepLines/>
              <w:rPr>
                <w:rFonts w:ascii="Times New Roman" w:hAnsi="Times New Roman" w:cs="Times New Roman"/>
                <w:color w:val="FFFFFF" w:themeColor="background1"/>
                <w:sz w:val="20"/>
                <w:szCs w:val="22"/>
                <w:lang w:val="lv-LV"/>
              </w:rPr>
            </w:pPr>
            <w:r w:rsidRPr="00DC6F66">
              <w:rPr>
                <w:rFonts w:ascii="Times New Roman" w:hAnsi="Times New Roman" w:cs="Times New Roman"/>
                <w:color w:val="FFFFFF" w:themeColor="background1"/>
                <w:sz w:val="20"/>
                <w:szCs w:val="22"/>
                <w:lang w:val="lv-LV"/>
              </w:rPr>
              <w:t>BIZNESA LĪNIJAS</w:t>
            </w:r>
          </w:p>
        </w:tc>
        <w:tc>
          <w:tcPr>
            <w:tcW w:w="236" w:type="dxa"/>
            <w:vMerge w:val="restart"/>
            <w:tcBorders>
              <w:left w:val="single" w:sz="4" w:space="0" w:color="auto"/>
              <w:right w:val="single" w:sz="12" w:space="0" w:color="404040" w:themeColor="text1" w:themeTint="BF"/>
            </w:tcBorders>
            <w:vAlign w:val="center"/>
          </w:tcPr>
          <w:p w14:paraId="12AAA83C" w14:textId="77777777" w:rsidR="00E90BD5" w:rsidRPr="00DC6F66" w:rsidRDefault="00E90BD5" w:rsidP="00D250DC">
            <w:pPr>
              <w:keepNext/>
              <w:keepLines/>
              <w:rPr>
                <w:rFonts w:ascii="Times New Roman" w:hAnsi="Times New Roman" w:cs="Times New Roman"/>
                <w:color w:val="FFFFFF" w:themeColor="background1"/>
                <w:sz w:val="20"/>
                <w:szCs w:val="22"/>
                <w:lang w:val="lv-LV"/>
              </w:rPr>
            </w:pPr>
          </w:p>
        </w:tc>
        <w:tc>
          <w:tcPr>
            <w:tcW w:w="1465" w:type="dxa"/>
            <w:vMerge w:val="restart"/>
            <w:tcBorders>
              <w:left w:val="single" w:sz="12" w:space="0" w:color="404040" w:themeColor="text1" w:themeTint="BF"/>
              <w:right w:val="single" w:sz="12" w:space="0" w:color="404040" w:themeColor="text1" w:themeTint="BF"/>
            </w:tcBorders>
            <w:shd w:val="clear" w:color="auto" w:fill="262626" w:themeFill="text1" w:themeFillTint="D9"/>
            <w:vAlign w:val="center"/>
          </w:tcPr>
          <w:p w14:paraId="3804BAEC" w14:textId="77777777" w:rsidR="00E90BD5" w:rsidRPr="00DC6F66" w:rsidRDefault="00E90BD5" w:rsidP="00D250DC">
            <w:pPr>
              <w:keepNext/>
              <w:keepLines/>
              <w:rPr>
                <w:rFonts w:ascii="Times New Roman" w:hAnsi="Times New Roman" w:cs="Times New Roman"/>
                <w:color w:val="FFFFFF" w:themeColor="background1"/>
                <w:sz w:val="20"/>
                <w:szCs w:val="22"/>
                <w:lang w:val="lv-LV"/>
              </w:rPr>
            </w:pPr>
            <w:r w:rsidRPr="00DC6F66">
              <w:rPr>
                <w:rFonts w:ascii="Times New Roman" w:hAnsi="Times New Roman" w:cs="Times New Roman"/>
                <w:color w:val="FFFFFF" w:themeColor="background1"/>
                <w:sz w:val="18"/>
                <w:szCs w:val="22"/>
                <w:lang w:val="lv-LV"/>
              </w:rPr>
              <w:t>PĀRVALDĪBA</w:t>
            </w:r>
          </w:p>
        </w:tc>
        <w:tc>
          <w:tcPr>
            <w:tcW w:w="283" w:type="dxa"/>
            <w:vMerge w:val="restart"/>
            <w:tcBorders>
              <w:left w:val="single" w:sz="12" w:space="0" w:color="404040" w:themeColor="text1" w:themeTint="BF"/>
              <w:right w:val="single" w:sz="12" w:space="0" w:color="404040" w:themeColor="text1" w:themeTint="BF"/>
            </w:tcBorders>
            <w:vAlign w:val="center"/>
          </w:tcPr>
          <w:p w14:paraId="2883C142" w14:textId="77777777" w:rsidR="00E90BD5" w:rsidRPr="00DC6F66" w:rsidRDefault="00E90BD5" w:rsidP="00D250DC">
            <w:pPr>
              <w:keepNext/>
              <w:keepLines/>
              <w:rPr>
                <w:rFonts w:ascii="Times New Roman" w:hAnsi="Times New Roman" w:cs="Times New Roman"/>
                <w:color w:val="FFFFFF" w:themeColor="background1"/>
                <w:sz w:val="22"/>
                <w:szCs w:val="22"/>
                <w:lang w:val="lv-LV"/>
              </w:rPr>
            </w:pPr>
          </w:p>
        </w:tc>
        <w:tc>
          <w:tcPr>
            <w:tcW w:w="3544" w:type="dxa"/>
            <w:gridSpan w:val="3"/>
            <w:tcBorders>
              <w:left w:val="single" w:sz="12" w:space="0" w:color="404040" w:themeColor="text1" w:themeTint="BF"/>
              <w:right w:val="nil"/>
            </w:tcBorders>
            <w:shd w:val="clear" w:color="auto" w:fill="262626" w:themeFill="text1" w:themeFillTint="D9"/>
            <w:vAlign w:val="center"/>
          </w:tcPr>
          <w:p w14:paraId="6199CC6D" w14:textId="77777777" w:rsidR="00E90BD5" w:rsidRPr="00DC6F66" w:rsidRDefault="00E90BD5" w:rsidP="00D250DC">
            <w:pPr>
              <w:keepNext/>
              <w:keepLines/>
              <w:spacing w:before="40" w:after="40"/>
              <w:jc w:val="center"/>
              <w:rPr>
                <w:rFonts w:ascii="Times New Roman" w:hAnsi="Times New Roman" w:cs="Times New Roman"/>
                <w:color w:val="FFFFFF" w:themeColor="background1"/>
                <w:sz w:val="22"/>
                <w:szCs w:val="22"/>
                <w:lang w:val="lv-LV"/>
              </w:rPr>
            </w:pPr>
            <w:r w:rsidRPr="00DC6F66">
              <w:rPr>
                <w:rFonts w:ascii="Times New Roman" w:hAnsi="Times New Roman" w:cs="Times New Roman"/>
                <w:color w:val="FFFFFF" w:themeColor="background1"/>
                <w:sz w:val="18"/>
                <w:szCs w:val="22"/>
                <w:lang w:val="lv-LV"/>
              </w:rPr>
              <w:t>REALIZĀCIJA</w:t>
            </w:r>
          </w:p>
        </w:tc>
      </w:tr>
      <w:tr w:rsidR="00E90BD5" w:rsidRPr="00DC6F66" w14:paraId="580BE986" w14:textId="77777777" w:rsidTr="00D250DC">
        <w:trPr>
          <w:trHeight w:val="302"/>
        </w:trPr>
        <w:tc>
          <w:tcPr>
            <w:tcW w:w="3799" w:type="dxa"/>
            <w:vMerge/>
            <w:tcBorders>
              <w:left w:val="single" w:sz="4" w:space="0" w:color="404040" w:themeColor="text1" w:themeTint="BF"/>
              <w:bottom w:val="single" w:sz="4" w:space="0" w:color="FFFFFF" w:themeColor="background1"/>
              <w:right w:val="single" w:sz="4" w:space="0" w:color="auto"/>
            </w:tcBorders>
            <w:shd w:val="clear" w:color="auto" w:fill="262626" w:themeFill="text1" w:themeFillTint="D9"/>
            <w:vAlign w:val="center"/>
          </w:tcPr>
          <w:p w14:paraId="304D3CF7" w14:textId="77777777" w:rsidR="00E90BD5" w:rsidRPr="00DC6F66" w:rsidRDefault="00E90BD5" w:rsidP="00D250DC">
            <w:pPr>
              <w:keepNext/>
              <w:keepLines/>
              <w:rPr>
                <w:rFonts w:ascii="Times New Roman" w:hAnsi="Times New Roman" w:cs="Times New Roman"/>
                <w:color w:val="FFFFFF" w:themeColor="background1"/>
                <w:sz w:val="22"/>
                <w:szCs w:val="22"/>
                <w:lang w:val="lv-LV"/>
              </w:rPr>
            </w:pPr>
          </w:p>
        </w:tc>
        <w:tc>
          <w:tcPr>
            <w:tcW w:w="236" w:type="dxa"/>
            <w:vMerge/>
            <w:tcBorders>
              <w:left w:val="single" w:sz="4" w:space="0" w:color="auto"/>
              <w:bottom w:val="single" w:sz="4" w:space="0" w:color="FFFFFF" w:themeColor="background1"/>
              <w:right w:val="single" w:sz="12" w:space="0" w:color="404040" w:themeColor="text1" w:themeTint="BF"/>
            </w:tcBorders>
            <w:vAlign w:val="center"/>
          </w:tcPr>
          <w:p w14:paraId="1E28A2C1" w14:textId="77777777" w:rsidR="00E90BD5" w:rsidRPr="00DC6F66" w:rsidRDefault="00E90BD5" w:rsidP="00D250DC">
            <w:pPr>
              <w:keepNext/>
              <w:keepLines/>
              <w:rPr>
                <w:rFonts w:ascii="Times New Roman" w:hAnsi="Times New Roman" w:cs="Times New Roman"/>
                <w:color w:val="FFFFFF" w:themeColor="background1"/>
                <w:sz w:val="22"/>
                <w:szCs w:val="22"/>
                <w:lang w:val="lv-LV"/>
              </w:rPr>
            </w:pPr>
          </w:p>
        </w:tc>
        <w:tc>
          <w:tcPr>
            <w:tcW w:w="1465" w:type="dxa"/>
            <w:vMerge/>
            <w:tcBorders>
              <w:left w:val="single" w:sz="12" w:space="0" w:color="404040" w:themeColor="text1" w:themeTint="BF"/>
              <w:bottom w:val="single" w:sz="4" w:space="0" w:color="FFFFFF" w:themeColor="background1"/>
              <w:right w:val="single" w:sz="12" w:space="0" w:color="404040" w:themeColor="text1" w:themeTint="BF"/>
            </w:tcBorders>
            <w:shd w:val="clear" w:color="auto" w:fill="262626" w:themeFill="text1" w:themeFillTint="D9"/>
            <w:vAlign w:val="center"/>
          </w:tcPr>
          <w:p w14:paraId="17F8837B" w14:textId="77777777" w:rsidR="00E90BD5" w:rsidRPr="00DC6F66" w:rsidRDefault="00E90BD5" w:rsidP="00D250DC">
            <w:pPr>
              <w:keepNext/>
              <w:keepLines/>
              <w:rPr>
                <w:rFonts w:ascii="Times New Roman" w:hAnsi="Times New Roman" w:cs="Times New Roman"/>
                <w:color w:val="FFFFFF" w:themeColor="background1"/>
                <w:sz w:val="22"/>
                <w:szCs w:val="22"/>
                <w:lang w:val="lv-LV"/>
              </w:rPr>
            </w:pPr>
          </w:p>
        </w:tc>
        <w:tc>
          <w:tcPr>
            <w:tcW w:w="283" w:type="dxa"/>
            <w:vMerge/>
            <w:tcBorders>
              <w:left w:val="single" w:sz="12" w:space="0" w:color="404040" w:themeColor="text1" w:themeTint="BF"/>
              <w:bottom w:val="single" w:sz="4" w:space="0" w:color="FFFFFF" w:themeColor="background1"/>
              <w:right w:val="single" w:sz="12" w:space="0" w:color="404040" w:themeColor="text1" w:themeTint="BF"/>
            </w:tcBorders>
            <w:vAlign w:val="center"/>
          </w:tcPr>
          <w:p w14:paraId="33D8D675" w14:textId="77777777" w:rsidR="00E90BD5" w:rsidRPr="00DC6F66" w:rsidRDefault="00E90BD5" w:rsidP="00D250DC">
            <w:pPr>
              <w:keepNext/>
              <w:keepLines/>
              <w:rPr>
                <w:rFonts w:ascii="Times New Roman" w:hAnsi="Times New Roman" w:cs="Times New Roman"/>
                <w:color w:val="FFFFFF" w:themeColor="background1"/>
                <w:sz w:val="22"/>
                <w:szCs w:val="22"/>
                <w:lang w:val="lv-LV"/>
              </w:rPr>
            </w:pPr>
          </w:p>
        </w:tc>
        <w:tc>
          <w:tcPr>
            <w:tcW w:w="1560" w:type="dxa"/>
            <w:tcBorders>
              <w:left w:val="single" w:sz="12" w:space="0" w:color="404040" w:themeColor="text1" w:themeTint="BF"/>
              <w:bottom w:val="single" w:sz="4" w:space="0" w:color="FFFFFF" w:themeColor="background1"/>
            </w:tcBorders>
            <w:shd w:val="clear" w:color="auto" w:fill="767171" w:themeFill="background2" w:themeFillShade="80"/>
            <w:vAlign w:val="center"/>
          </w:tcPr>
          <w:p w14:paraId="20A81901" w14:textId="77777777" w:rsidR="00E90BD5" w:rsidRPr="00DC6F66" w:rsidRDefault="00E90BD5" w:rsidP="00D250DC">
            <w:pPr>
              <w:keepNext/>
              <w:keepLines/>
              <w:spacing w:after="40"/>
              <w:jc w:val="center"/>
              <w:rPr>
                <w:rFonts w:ascii="Times New Roman" w:hAnsi="Times New Roman" w:cs="Times New Roman"/>
                <w:color w:val="FFFFFF" w:themeColor="background1"/>
                <w:sz w:val="18"/>
                <w:szCs w:val="22"/>
                <w:lang w:val="lv-LV"/>
              </w:rPr>
            </w:pPr>
            <w:r w:rsidRPr="00DC6F66">
              <w:rPr>
                <w:rFonts w:ascii="Times New Roman" w:hAnsi="Times New Roman" w:cs="Times New Roman"/>
                <w:color w:val="FFFFFF" w:themeColor="background1"/>
                <w:sz w:val="18"/>
                <w:szCs w:val="22"/>
                <w:lang w:val="lv-LV"/>
              </w:rPr>
              <w:t>Privatizācija</w:t>
            </w:r>
          </w:p>
        </w:tc>
        <w:tc>
          <w:tcPr>
            <w:tcW w:w="283" w:type="dxa"/>
            <w:tcBorders>
              <w:bottom w:val="single" w:sz="4" w:space="0" w:color="FFFFFF" w:themeColor="background1"/>
              <w:right w:val="nil"/>
            </w:tcBorders>
            <w:vAlign w:val="center"/>
          </w:tcPr>
          <w:p w14:paraId="6BD3EE50" w14:textId="77777777" w:rsidR="00E90BD5" w:rsidRPr="00DC6F66" w:rsidRDefault="00E90BD5" w:rsidP="00D250DC">
            <w:pPr>
              <w:keepNext/>
              <w:keepLines/>
              <w:spacing w:after="40"/>
              <w:jc w:val="center"/>
              <w:rPr>
                <w:rFonts w:ascii="Times New Roman" w:hAnsi="Times New Roman" w:cs="Times New Roman"/>
                <w:color w:val="FFFFFF" w:themeColor="background1"/>
                <w:sz w:val="18"/>
                <w:szCs w:val="22"/>
                <w:lang w:val="lv-LV"/>
              </w:rPr>
            </w:pPr>
          </w:p>
        </w:tc>
        <w:tc>
          <w:tcPr>
            <w:tcW w:w="1701" w:type="dxa"/>
            <w:tcBorders>
              <w:top w:val="nil"/>
              <w:left w:val="nil"/>
              <w:bottom w:val="single" w:sz="4" w:space="0" w:color="FFFFFF" w:themeColor="background1"/>
              <w:right w:val="nil"/>
            </w:tcBorders>
            <w:shd w:val="clear" w:color="auto" w:fill="767171" w:themeFill="background2" w:themeFillShade="80"/>
            <w:vAlign w:val="center"/>
          </w:tcPr>
          <w:p w14:paraId="3C6A60AF" w14:textId="77777777" w:rsidR="00E90BD5" w:rsidRPr="00DC6F66" w:rsidRDefault="00E90BD5" w:rsidP="00D250DC">
            <w:pPr>
              <w:keepNext/>
              <w:keepLines/>
              <w:spacing w:after="40"/>
              <w:jc w:val="center"/>
              <w:rPr>
                <w:rFonts w:ascii="Times New Roman" w:hAnsi="Times New Roman" w:cs="Times New Roman"/>
                <w:color w:val="FFFFFF" w:themeColor="background1"/>
                <w:sz w:val="18"/>
                <w:szCs w:val="22"/>
                <w:lang w:val="lv-LV"/>
              </w:rPr>
            </w:pPr>
            <w:r w:rsidRPr="00DC6F66">
              <w:rPr>
                <w:rFonts w:ascii="Times New Roman" w:hAnsi="Times New Roman" w:cs="Times New Roman"/>
                <w:color w:val="FFFFFF" w:themeColor="background1"/>
                <w:sz w:val="18"/>
                <w:szCs w:val="22"/>
                <w:lang w:val="lv-LV"/>
              </w:rPr>
              <w:t>Atsavināšana</w:t>
            </w:r>
          </w:p>
        </w:tc>
      </w:tr>
      <w:tr w:rsidR="00E90BD5" w:rsidRPr="00DC6F66" w14:paraId="1BB35389" w14:textId="77777777" w:rsidTr="00D250DC">
        <w:trPr>
          <w:trHeight w:val="49"/>
        </w:trPr>
        <w:tc>
          <w:tcPr>
            <w:tcW w:w="9327" w:type="dxa"/>
            <w:gridSpan w:val="7"/>
            <w:tcBorders>
              <w:left w:val="single" w:sz="12" w:space="0" w:color="404040" w:themeColor="text1" w:themeTint="BF"/>
              <w:right w:val="single" w:sz="6" w:space="0" w:color="FFFFFF" w:themeColor="background1"/>
            </w:tcBorders>
            <w:shd w:val="clear" w:color="auto" w:fill="auto"/>
            <w:vAlign w:val="center"/>
          </w:tcPr>
          <w:p w14:paraId="5C0A8C40" w14:textId="77777777" w:rsidR="00E90BD5" w:rsidRPr="00DC6F66" w:rsidRDefault="00E90BD5" w:rsidP="00D250DC">
            <w:pPr>
              <w:keepNext/>
              <w:keepLines/>
              <w:spacing w:after="40"/>
              <w:jc w:val="center"/>
              <w:rPr>
                <w:rFonts w:ascii="Times New Roman" w:hAnsi="Times New Roman" w:cs="Times New Roman"/>
                <w:color w:val="FFFFFF" w:themeColor="background1"/>
                <w:sz w:val="2"/>
                <w:lang w:val="lv-LV"/>
              </w:rPr>
            </w:pPr>
          </w:p>
        </w:tc>
      </w:tr>
      <w:tr w:rsidR="00E90BD5" w:rsidRPr="00DC6F66" w14:paraId="680DDA80" w14:textId="77777777" w:rsidTr="00D250DC">
        <w:tc>
          <w:tcPr>
            <w:tcW w:w="3799" w:type="dxa"/>
            <w:tcBorders>
              <w:left w:val="single" w:sz="12" w:space="0" w:color="404040" w:themeColor="text1" w:themeTint="BF"/>
              <w:bottom w:val="single" w:sz="4" w:space="0" w:color="FFFFFF" w:themeColor="background1"/>
            </w:tcBorders>
            <w:vAlign w:val="center"/>
          </w:tcPr>
          <w:p w14:paraId="499871E8" w14:textId="77777777" w:rsidR="00E90BD5" w:rsidRPr="00DC6F66" w:rsidRDefault="00E90BD5" w:rsidP="00D250DC">
            <w:pPr>
              <w:keepNext/>
              <w:keepLines/>
              <w:rPr>
                <w:rFonts w:ascii="Times New Roman" w:hAnsi="Times New Roman" w:cs="Times New Roman"/>
                <w:sz w:val="20"/>
                <w:szCs w:val="20"/>
                <w:lang w:val="lv-LV"/>
              </w:rPr>
            </w:pPr>
            <w:r w:rsidRPr="00DC6F66">
              <w:rPr>
                <w:rFonts w:ascii="Times New Roman" w:hAnsi="Times New Roman" w:cs="Times New Roman"/>
                <w:sz w:val="20"/>
                <w:szCs w:val="20"/>
                <w:lang w:val="lv-LV"/>
              </w:rPr>
              <w:t>Nekustamā īpašuma objekti un zemesgabali</w:t>
            </w:r>
          </w:p>
        </w:tc>
        <w:tc>
          <w:tcPr>
            <w:tcW w:w="236" w:type="dxa"/>
            <w:tcBorders>
              <w:bottom w:val="single" w:sz="4" w:space="0" w:color="FFFFFF" w:themeColor="background1"/>
              <w:right w:val="thinThickSmallGap" w:sz="24" w:space="0" w:color="00642D"/>
            </w:tcBorders>
            <w:vAlign w:val="center"/>
          </w:tcPr>
          <w:p w14:paraId="7856A187" w14:textId="77777777" w:rsidR="00E90BD5" w:rsidRPr="00DC6F66" w:rsidRDefault="00E90BD5" w:rsidP="00D250DC">
            <w:pPr>
              <w:keepNext/>
              <w:keepLines/>
              <w:rPr>
                <w:rFonts w:ascii="Times New Roman" w:hAnsi="Times New Roman" w:cs="Times New Roman"/>
                <w:sz w:val="22"/>
                <w:szCs w:val="22"/>
                <w:lang w:val="lv-LV"/>
              </w:rPr>
            </w:pPr>
          </w:p>
        </w:tc>
        <w:tc>
          <w:tcPr>
            <w:tcW w:w="1465" w:type="dxa"/>
            <w:tcBorders>
              <w:top w:val="thinThickSmallGap" w:sz="24" w:space="0" w:color="00642D"/>
              <w:left w:val="thinThickSmallGap" w:sz="24" w:space="0" w:color="00642D"/>
              <w:bottom w:val="thinThickSmallGap" w:sz="24" w:space="0" w:color="00642D"/>
              <w:right w:val="thickThinSmallGap" w:sz="24" w:space="0" w:color="00642D"/>
            </w:tcBorders>
            <w:vAlign w:val="center"/>
          </w:tcPr>
          <w:p w14:paraId="2E7FA67D" w14:textId="77777777" w:rsidR="00E90BD5" w:rsidRPr="00DC6F66" w:rsidRDefault="00E90BD5" w:rsidP="00D250DC">
            <w:pPr>
              <w:keepNext/>
              <w:keepLines/>
              <w:jc w:val="center"/>
              <w:rPr>
                <w:rFonts w:ascii="Times New Roman" w:hAnsi="Times New Roman" w:cs="Times New Roman"/>
                <w:color w:val="00642D"/>
                <w:sz w:val="20"/>
                <w:szCs w:val="20"/>
                <w:lang w:val="lv-LV"/>
              </w:rPr>
            </w:pPr>
            <w:r w:rsidRPr="00DC6F66">
              <w:rPr>
                <w:rFonts w:ascii="Times New Roman" w:hAnsi="Times New Roman" w:cs="Times New Roman"/>
                <w:b/>
                <w:i/>
                <w:color w:val="00642D"/>
                <w:sz w:val="22"/>
                <w:szCs w:val="20"/>
                <w:lang w:val="lv-LV"/>
              </w:rPr>
              <w:t>√</w:t>
            </w:r>
          </w:p>
        </w:tc>
        <w:tc>
          <w:tcPr>
            <w:tcW w:w="283" w:type="dxa"/>
            <w:tcBorders>
              <w:left w:val="thickThinSmallGap" w:sz="24" w:space="0" w:color="00642D"/>
              <w:bottom w:val="single" w:sz="4" w:space="0" w:color="FFFFFF" w:themeColor="background1"/>
              <w:right w:val="thinThickSmallGap" w:sz="24" w:space="0" w:color="00642D"/>
            </w:tcBorders>
            <w:vAlign w:val="center"/>
          </w:tcPr>
          <w:p w14:paraId="7222D935" w14:textId="77777777" w:rsidR="00E90BD5" w:rsidRPr="00DC6F66" w:rsidRDefault="00E90BD5" w:rsidP="00D250DC">
            <w:pPr>
              <w:keepNext/>
              <w:keepLines/>
              <w:rPr>
                <w:rFonts w:ascii="Times New Roman" w:hAnsi="Times New Roman" w:cs="Times New Roman"/>
                <w:sz w:val="20"/>
                <w:szCs w:val="20"/>
                <w:lang w:val="lv-LV"/>
              </w:rPr>
            </w:pPr>
          </w:p>
        </w:tc>
        <w:tc>
          <w:tcPr>
            <w:tcW w:w="1560" w:type="dxa"/>
            <w:tcBorders>
              <w:top w:val="thinThickSmallGap" w:sz="24" w:space="0" w:color="00642D"/>
              <w:left w:val="thinThickSmallGap" w:sz="24" w:space="0" w:color="00642D"/>
              <w:bottom w:val="thinThickSmallGap" w:sz="24" w:space="0" w:color="00642D"/>
              <w:right w:val="thickThinSmallGap" w:sz="24" w:space="0" w:color="00642D"/>
            </w:tcBorders>
            <w:vAlign w:val="center"/>
          </w:tcPr>
          <w:p w14:paraId="3DF3B141" w14:textId="77777777" w:rsidR="00E90BD5" w:rsidRPr="00DC6F66" w:rsidRDefault="00E90BD5" w:rsidP="00D250DC">
            <w:pPr>
              <w:keepNext/>
              <w:keepLines/>
              <w:jc w:val="center"/>
              <w:rPr>
                <w:rFonts w:ascii="Times New Roman" w:hAnsi="Times New Roman" w:cs="Times New Roman"/>
                <w:b/>
                <w:i/>
                <w:color w:val="00642D"/>
                <w:sz w:val="22"/>
                <w:szCs w:val="20"/>
                <w:lang w:val="lv-LV"/>
              </w:rPr>
            </w:pPr>
            <w:r w:rsidRPr="00DC6F66">
              <w:rPr>
                <w:rFonts w:ascii="Times New Roman" w:hAnsi="Times New Roman" w:cs="Times New Roman"/>
                <w:b/>
                <w:i/>
                <w:color w:val="00642D"/>
                <w:sz w:val="22"/>
                <w:szCs w:val="20"/>
                <w:lang w:val="lv-LV"/>
              </w:rPr>
              <w:t>√</w:t>
            </w:r>
          </w:p>
        </w:tc>
        <w:tc>
          <w:tcPr>
            <w:tcW w:w="283" w:type="dxa"/>
            <w:tcBorders>
              <w:left w:val="thickThinSmallGap" w:sz="24" w:space="0" w:color="00642D"/>
              <w:bottom w:val="single" w:sz="4" w:space="0" w:color="FFFFFF" w:themeColor="background1"/>
              <w:right w:val="dashDotStroked" w:sz="24" w:space="0" w:color="007033"/>
            </w:tcBorders>
            <w:vAlign w:val="center"/>
          </w:tcPr>
          <w:p w14:paraId="48E3CCC6" w14:textId="77777777" w:rsidR="00E90BD5" w:rsidRPr="00DC6F66" w:rsidRDefault="00E90BD5" w:rsidP="00D250DC">
            <w:pPr>
              <w:keepNext/>
              <w:keepLines/>
              <w:rPr>
                <w:rFonts w:ascii="Times New Roman" w:hAnsi="Times New Roman" w:cs="Times New Roman"/>
                <w:sz w:val="20"/>
                <w:szCs w:val="20"/>
                <w:lang w:val="lv-LV"/>
              </w:rPr>
            </w:pPr>
          </w:p>
        </w:tc>
        <w:tc>
          <w:tcPr>
            <w:tcW w:w="1701" w:type="dxa"/>
            <w:tcBorders>
              <w:top w:val="dashDotStroked" w:sz="24" w:space="0" w:color="007033"/>
              <w:left w:val="dashDotStroked" w:sz="24" w:space="0" w:color="007033"/>
              <w:bottom w:val="dashDotStroked" w:sz="24" w:space="0" w:color="007033"/>
              <w:right w:val="dashDotStroked" w:sz="24" w:space="0" w:color="007033"/>
            </w:tcBorders>
            <w:shd w:val="clear" w:color="auto" w:fill="007033"/>
            <w:vAlign w:val="center"/>
          </w:tcPr>
          <w:p w14:paraId="6633B0AD" w14:textId="77777777" w:rsidR="00E90BD5" w:rsidRPr="00DC6F66" w:rsidRDefault="00E90BD5" w:rsidP="00D250DC">
            <w:pPr>
              <w:keepNext/>
              <w:keepLines/>
              <w:jc w:val="center"/>
              <w:rPr>
                <w:rFonts w:ascii="Times New Roman" w:hAnsi="Times New Roman" w:cs="Times New Roman"/>
                <w:color w:val="C00000"/>
                <w:sz w:val="20"/>
                <w:szCs w:val="20"/>
                <w:lang w:val="lv-LV"/>
              </w:rPr>
            </w:pPr>
            <w:r w:rsidRPr="00DC6F66">
              <w:rPr>
                <w:rFonts w:ascii="Times New Roman" w:hAnsi="Times New Roman" w:cs="Times New Roman"/>
                <w:color w:val="FFFFFF" w:themeColor="background1"/>
                <w:sz w:val="20"/>
                <w:szCs w:val="20"/>
                <w:lang w:val="lv-LV"/>
              </w:rPr>
              <w:t xml:space="preserve"> *</w:t>
            </w:r>
          </w:p>
        </w:tc>
      </w:tr>
      <w:tr w:rsidR="00E90BD5" w:rsidRPr="00DC6F66" w14:paraId="4D42A4CC" w14:textId="77777777" w:rsidTr="00D250DC">
        <w:trPr>
          <w:trHeight w:val="51"/>
        </w:trPr>
        <w:tc>
          <w:tcPr>
            <w:tcW w:w="9327" w:type="dxa"/>
            <w:gridSpan w:val="7"/>
            <w:tcBorders>
              <w:left w:val="single" w:sz="12" w:space="0" w:color="404040" w:themeColor="text1" w:themeTint="BF"/>
              <w:right w:val="single" w:sz="6" w:space="0" w:color="FFFFFF" w:themeColor="background1"/>
            </w:tcBorders>
          </w:tcPr>
          <w:p w14:paraId="768451CA" w14:textId="77777777" w:rsidR="00E90BD5" w:rsidRPr="00DC6F66" w:rsidRDefault="00E90BD5" w:rsidP="00D250DC">
            <w:pPr>
              <w:keepNext/>
              <w:keepLines/>
              <w:jc w:val="center"/>
              <w:rPr>
                <w:rFonts w:ascii="Times New Roman" w:hAnsi="Times New Roman" w:cs="Times New Roman"/>
                <w:sz w:val="8"/>
                <w:szCs w:val="22"/>
                <w:lang w:val="lv-LV"/>
              </w:rPr>
            </w:pPr>
          </w:p>
        </w:tc>
      </w:tr>
      <w:tr w:rsidR="00E90BD5" w:rsidRPr="00DC6F66" w14:paraId="426290C6" w14:textId="77777777" w:rsidTr="00D250DC">
        <w:tc>
          <w:tcPr>
            <w:tcW w:w="3799" w:type="dxa"/>
            <w:tcBorders>
              <w:left w:val="single" w:sz="12" w:space="0" w:color="404040" w:themeColor="text1" w:themeTint="BF"/>
            </w:tcBorders>
          </w:tcPr>
          <w:p w14:paraId="10B90E0A" w14:textId="77777777" w:rsidR="00E90BD5" w:rsidRPr="00DC6F66" w:rsidRDefault="00E90BD5" w:rsidP="00D250DC">
            <w:pPr>
              <w:keepNext/>
              <w:keepLines/>
              <w:rPr>
                <w:rFonts w:ascii="Times New Roman" w:hAnsi="Times New Roman" w:cs="Times New Roman"/>
                <w:sz w:val="20"/>
                <w:szCs w:val="20"/>
                <w:lang w:val="lv-LV"/>
              </w:rPr>
            </w:pPr>
            <w:r w:rsidRPr="00DC6F66">
              <w:rPr>
                <w:rFonts w:ascii="Times New Roman" w:hAnsi="Times New Roman" w:cs="Times New Roman"/>
                <w:sz w:val="20"/>
                <w:szCs w:val="20"/>
                <w:lang w:val="lv-LV"/>
              </w:rPr>
              <w:t>Dzīvojamās mājas un dzīvokļu īpašumi</w:t>
            </w:r>
          </w:p>
        </w:tc>
        <w:tc>
          <w:tcPr>
            <w:tcW w:w="236" w:type="dxa"/>
            <w:tcBorders>
              <w:right w:val="thinThickSmallGap" w:sz="24" w:space="0" w:color="00642D"/>
            </w:tcBorders>
          </w:tcPr>
          <w:p w14:paraId="265C46A3" w14:textId="77777777" w:rsidR="00E90BD5" w:rsidRPr="00DC6F66" w:rsidRDefault="00E90BD5" w:rsidP="00D250DC">
            <w:pPr>
              <w:keepNext/>
              <w:keepLines/>
              <w:rPr>
                <w:rFonts w:ascii="Times New Roman" w:hAnsi="Times New Roman" w:cs="Times New Roman"/>
                <w:sz w:val="22"/>
                <w:szCs w:val="22"/>
                <w:lang w:val="lv-LV"/>
              </w:rPr>
            </w:pPr>
          </w:p>
        </w:tc>
        <w:tc>
          <w:tcPr>
            <w:tcW w:w="1465" w:type="dxa"/>
            <w:tcBorders>
              <w:top w:val="thinThickSmallGap" w:sz="24" w:space="0" w:color="00642D"/>
              <w:left w:val="thinThickSmallGap" w:sz="24" w:space="0" w:color="00642D"/>
              <w:bottom w:val="thickThinSmallGap" w:sz="24" w:space="0" w:color="00642D"/>
              <w:right w:val="thickThinSmallGap" w:sz="24" w:space="0" w:color="00642D"/>
            </w:tcBorders>
          </w:tcPr>
          <w:p w14:paraId="3D0EAD1D" w14:textId="77777777" w:rsidR="00E90BD5" w:rsidRPr="00DC6F66" w:rsidRDefault="00E90BD5" w:rsidP="00D250DC">
            <w:pPr>
              <w:keepNext/>
              <w:keepLines/>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3" w:type="dxa"/>
            <w:tcBorders>
              <w:left w:val="thickThinSmallGap" w:sz="24" w:space="0" w:color="00642D"/>
              <w:right w:val="thinThickSmallGap" w:sz="24" w:space="0" w:color="00642D"/>
            </w:tcBorders>
          </w:tcPr>
          <w:p w14:paraId="7713F977" w14:textId="77777777" w:rsidR="00E90BD5" w:rsidRPr="00DC6F66" w:rsidRDefault="00E90BD5" w:rsidP="00D250DC">
            <w:pPr>
              <w:keepNext/>
              <w:keepLines/>
              <w:rPr>
                <w:rFonts w:ascii="Times New Roman" w:hAnsi="Times New Roman" w:cs="Times New Roman"/>
                <w:sz w:val="20"/>
                <w:szCs w:val="20"/>
                <w:lang w:val="lv-LV"/>
              </w:rPr>
            </w:pPr>
          </w:p>
        </w:tc>
        <w:tc>
          <w:tcPr>
            <w:tcW w:w="1560" w:type="dxa"/>
            <w:tcBorders>
              <w:top w:val="thinThickSmallGap" w:sz="24" w:space="0" w:color="00642D"/>
              <w:left w:val="thinThickSmallGap" w:sz="24" w:space="0" w:color="00642D"/>
              <w:bottom w:val="thickThinSmallGap" w:sz="24" w:space="0" w:color="00642D"/>
              <w:right w:val="thickThinSmallGap" w:sz="24" w:space="0" w:color="00642D"/>
            </w:tcBorders>
          </w:tcPr>
          <w:p w14:paraId="54563274" w14:textId="77777777" w:rsidR="00E90BD5" w:rsidRPr="00DC6F66" w:rsidRDefault="00E90BD5" w:rsidP="00D250DC">
            <w:pPr>
              <w:keepNext/>
              <w:keepLines/>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3" w:type="dxa"/>
            <w:tcBorders>
              <w:left w:val="thickThinSmallGap" w:sz="24" w:space="0" w:color="00642D"/>
              <w:right w:val="thinThickSmallGap" w:sz="24" w:space="0" w:color="00642D"/>
            </w:tcBorders>
          </w:tcPr>
          <w:p w14:paraId="09DA7F75" w14:textId="77777777" w:rsidR="00E90BD5" w:rsidRPr="00DC6F66" w:rsidRDefault="00E90BD5" w:rsidP="00D250DC">
            <w:pPr>
              <w:keepNext/>
              <w:keepLines/>
              <w:rPr>
                <w:rFonts w:ascii="Times New Roman" w:hAnsi="Times New Roman" w:cs="Times New Roman"/>
                <w:sz w:val="20"/>
                <w:szCs w:val="20"/>
                <w:lang w:val="lv-LV"/>
              </w:rPr>
            </w:pPr>
          </w:p>
        </w:tc>
        <w:tc>
          <w:tcPr>
            <w:tcW w:w="1701" w:type="dxa"/>
            <w:tcBorders>
              <w:top w:val="thinThickSmallGap" w:sz="24" w:space="0" w:color="00642D"/>
              <w:left w:val="thinThickSmallGap" w:sz="24" w:space="0" w:color="00642D"/>
              <w:bottom w:val="thickThinSmallGap" w:sz="24" w:space="0" w:color="00642D"/>
              <w:right w:val="thinThickSmallGap" w:sz="24" w:space="0" w:color="00642D"/>
            </w:tcBorders>
            <w:shd w:val="clear" w:color="auto" w:fill="auto"/>
            <w:vAlign w:val="center"/>
          </w:tcPr>
          <w:p w14:paraId="1E5873E3" w14:textId="77777777" w:rsidR="00E90BD5" w:rsidRPr="00DC6F66" w:rsidRDefault="00E90BD5" w:rsidP="00D250DC">
            <w:pPr>
              <w:keepNext/>
              <w:keepLines/>
              <w:jc w:val="center"/>
              <w:rPr>
                <w:rFonts w:ascii="Times New Roman" w:hAnsi="Times New Roman" w:cs="Times New Roman"/>
                <w:sz w:val="20"/>
                <w:szCs w:val="20"/>
                <w:lang w:val="lv-LV"/>
              </w:rPr>
            </w:pPr>
            <w:r w:rsidRPr="00DC6F66">
              <w:rPr>
                <w:rFonts w:ascii="Times New Roman" w:hAnsi="Times New Roman" w:cs="Times New Roman"/>
                <w:b/>
                <w:color w:val="00642D"/>
                <w:sz w:val="18"/>
                <w:szCs w:val="20"/>
                <w:lang w:val="lv-LV"/>
              </w:rPr>
              <w:t>PAPILDINĀTS</w:t>
            </w:r>
            <w:r w:rsidRPr="00DC6F66">
              <w:rPr>
                <w:rFonts w:ascii="Times New Roman" w:hAnsi="Times New Roman" w:cs="Times New Roman"/>
                <w:b/>
                <w:i/>
                <w:color w:val="00642D"/>
                <w:sz w:val="22"/>
                <w:szCs w:val="20"/>
                <w:lang w:val="lv-LV"/>
              </w:rPr>
              <w:t>**</w:t>
            </w:r>
          </w:p>
        </w:tc>
      </w:tr>
      <w:tr w:rsidR="00E90BD5" w:rsidRPr="00DC6F66" w14:paraId="404175BF" w14:textId="77777777" w:rsidTr="00D250DC">
        <w:tc>
          <w:tcPr>
            <w:tcW w:w="3799" w:type="dxa"/>
            <w:tcBorders>
              <w:left w:val="single" w:sz="12" w:space="0" w:color="404040" w:themeColor="text1" w:themeTint="BF"/>
              <w:bottom w:val="single" w:sz="12" w:space="0" w:color="FFFFFF" w:themeColor="background1"/>
            </w:tcBorders>
          </w:tcPr>
          <w:p w14:paraId="5A58D671" w14:textId="77777777" w:rsidR="00E90BD5" w:rsidRPr="00DC6F66" w:rsidRDefault="00E90BD5" w:rsidP="00D250DC">
            <w:pPr>
              <w:keepNext/>
              <w:keepLines/>
              <w:rPr>
                <w:rFonts w:ascii="Times New Roman" w:hAnsi="Times New Roman" w:cs="Times New Roman"/>
                <w:sz w:val="8"/>
                <w:szCs w:val="22"/>
                <w:lang w:val="lv-LV"/>
              </w:rPr>
            </w:pPr>
          </w:p>
        </w:tc>
        <w:tc>
          <w:tcPr>
            <w:tcW w:w="236" w:type="dxa"/>
            <w:tcBorders>
              <w:bottom w:val="single" w:sz="12" w:space="0" w:color="FFFFFF" w:themeColor="background1"/>
            </w:tcBorders>
          </w:tcPr>
          <w:p w14:paraId="1D279714" w14:textId="77777777" w:rsidR="00E90BD5" w:rsidRPr="00DC6F66" w:rsidRDefault="00E90BD5" w:rsidP="00D250DC">
            <w:pPr>
              <w:keepNext/>
              <w:keepLines/>
              <w:rPr>
                <w:rFonts w:ascii="Times New Roman" w:hAnsi="Times New Roman" w:cs="Times New Roman"/>
                <w:sz w:val="8"/>
                <w:szCs w:val="22"/>
                <w:lang w:val="lv-LV"/>
              </w:rPr>
            </w:pPr>
          </w:p>
        </w:tc>
        <w:tc>
          <w:tcPr>
            <w:tcW w:w="1465" w:type="dxa"/>
            <w:tcBorders>
              <w:bottom w:val="single" w:sz="12" w:space="0" w:color="FFFFFF" w:themeColor="background1"/>
            </w:tcBorders>
          </w:tcPr>
          <w:p w14:paraId="12DB8E92" w14:textId="77777777" w:rsidR="00E90BD5" w:rsidRPr="00DC6F66" w:rsidRDefault="00E90BD5" w:rsidP="00D250DC">
            <w:pPr>
              <w:keepNext/>
              <w:keepLines/>
              <w:jc w:val="center"/>
              <w:rPr>
                <w:rFonts w:ascii="Times New Roman" w:hAnsi="Times New Roman" w:cs="Times New Roman"/>
                <w:sz w:val="8"/>
                <w:szCs w:val="22"/>
                <w:lang w:val="lv-LV"/>
              </w:rPr>
            </w:pPr>
          </w:p>
        </w:tc>
        <w:tc>
          <w:tcPr>
            <w:tcW w:w="283" w:type="dxa"/>
            <w:tcBorders>
              <w:bottom w:val="single" w:sz="12" w:space="0" w:color="FFFFFF" w:themeColor="background1"/>
            </w:tcBorders>
          </w:tcPr>
          <w:p w14:paraId="0BF92247" w14:textId="77777777" w:rsidR="00E90BD5" w:rsidRPr="00DC6F66" w:rsidRDefault="00E90BD5" w:rsidP="00D250DC">
            <w:pPr>
              <w:keepNext/>
              <w:keepLines/>
              <w:rPr>
                <w:rFonts w:ascii="Times New Roman" w:hAnsi="Times New Roman" w:cs="Times New Roman"/>
                <w:sz w:val="8"/>
                <w:szCs w:val="22"/>
                <w:lang w:val="lv-LV"/>
              </w:rPr>
            </w:pPr>
          </w:p>
        </w:tc>
        <w:tc>
          <w:tcPr>
            <w:tcW w:w="1560" w:type="dxa"/>
            <w:tcBorders>
              <w:bottom w:val="single" w:sz="12" w:space="0" w:color="FFFFFF" w:themeColor="background1"/>
            </w:tcBorders>
          </w:tcPr>
          <w:p w14:paraId="6FA4A9D9" w14:textId="77777777" w:rsidR="00E90BD5" w:rsidRPr="00DC6F66" w:rsidRDefault="00E90BD5" w:rsidP="00D250DC">
            <w:pPr>
              <w:keepNext/>
              <w:keepLines/>
              <w:jc w:val="center"/>
              <w:rPr>
                <w:rFonts w:ascii="Times New Roman" w:hAnsi="Times New Roman" w:cs="Times New Roman"/>
                <w:sz w:val="8"/>
                <w:szCs w:val="22"/>
                <w:lang w:val="lv-LV"/>
              </w:rPr>
            </w:pPr>
          </w:p>
        </w:tc>
        <w:tc>
          <w:tcPr>
            <w:tcW w:w="283" w:type="dxa"/>
            <w:tcBorders>
              <w:bottom w:val="single" w:sz="12" w:space="0" w:color="FFFFFF" w:themeColor="background1"/>
            </w:tcBorders>
          </w:tcPr>
          <w:p w14:paraId="1B14E28B" w14:textId="77777777" w:rsidR="00E90BD5" w:rsidRPr="00DC6F66" w:rsidRDefault="00E90BD5" w:rsidP="00D250DC">
            <w:pPr>
              <w:keepNext/>
              <w:keepLines/>
              <w:rPr>
                <w:rFonts w:ascii="Times New Roman" w:hAnsi="Times New Roman" w:cs="Times New Roman"/>
                <w:sz w:val="8"/>
                <w:szCs w:val="22"/>
                <w:lang w:val="lv-LV"/>
              </w:rPr>
            </w:pPr>
          </w:p>
        </w:tc>
        <w:tc>
          <w:tcPr>
            <w:tcW w:w="1701" w:type="dxa"/>
            <w:tcBorders>
              <w:top w:val="thickThinSmallGap" w:sz="24" w:space="0" w:color="00642D"/>
              <w:bottom w:val="single" w:sz="12" w:space="0" w:color="FFFFFF" w:themeColor="background1"/>
              <w:right w:val="single" w:sz="6" w:space="0" w:color="FFFFFF" w:themeColor="background1"/>
            </w:tcBorders>
          </w:tcPr>
          <w:p w14:paraId="0B43B9F4" w14:textId="77777777" w:rsidR="00E90BD5" w:rsidRPr="00DC6F66" w:rsidRDefault="00E90BD5" w:rsidP="00D250DC">
            <w:pPr>
              <w:keepNext/>
              <w:keepLines/>
              <w:jc w:val="center"/>
              <w:rPr>
                <w:rFonts w:ascii="Times New Roman" w:hAnsi="Times New Roman" w:cs="Times New Roman"/>
                <w:sz w:val="8"/>
                <w:szCs w:val="22"/>
                <w:lang w:val="lv-LV"/>
              </w:rPr>
            </w:pPr>
          </w:p>
        </w:tc>
      </w:tr>
      <w:tr w:rsidR="00E90BD5" w:rsidRPr="00DC6F66" w14:paraId="0A82DB65" w14:textId="77777777" w:rsidTr="00D250DC">
        <w:tc>
          <w:tcPr>
            <w:tcW w:w="3799" w:type="dxa"/>
            <w:tcBorders>
              <w:top w:val="single" w:sz="12" w:space="0" w:color="FFFFFF" w:themeColor="background1"/>
              <w:left w:val="single" w:sz="12" w:space="0" w:color="404040" w:themeColor="text1" w:themeTint="BF"/>
              <w:bottom w:val="single" w:sz="12" w:space="0" w:color="FFFFFF" w:themeColor="background1"/>
              <w:right w:val="nil"/>
            </w:tcBorders>
            <w:shd w:val="clear" w:color="auto" w:fill="FFFFFF" w:themeFill="background1"/>
          </w:tcPr>
          <w:p w14:paraId="2A4EEB64" w14:textId="77777777" w:rsidR="00E90BD5" w:rsidRPr="00DC6F66" w:rsidRDefault="00E90BD5" w:rsidP="00D250DC">
            <w:pPr>
              <w:keepNext/>
              <w:keepLines/>
              <w:spacing w:line="192" w:lineRule="auto"/>
              <w:rPr>
                <w:rFonts w:ascii="Times New Roman" w:hAnsi="Times New Roman" w:cs="Times New Roman"/>
                <w:sz w:val="20"/>
                <w:szCs w:val="20"/>
                <w:lang w:val="lv-LV"/>
              </w:rPr>
            </w:pPr>
            <w:r w:rsidRPr="00DC6F66">
              <w:rPr>
                <w:rFonts w:ascii="Times New Roman" w:hAnsi="Times New Roman" w:cs="Times New Roman"/>
                <w:sz w:val="20"/>
                <w:szCs w:val="20"/>
                <w:lang w:val="lv-LV"/>
              </w:rPr>
              <w:t>Kapitāla daļas un problemātiskie aktīvi</w:t>
            </w:r>
          </w:p>
        </w:tc>
        <w:tc>
          <w:tcPr>
            <w:tcW w:w="236" w:type="dxa"/>
            <w:tcBorders>
              <w:top w:val="single" w:sz="12" w:space="0" w:color="FFFFFF" w:themeColor="background1"/>
              <w:left w:val="nil"/>
              <w:bottom w:val="single" w:sz="12" w:space="0" w:color="FFFFFF" w:themeColor="background1"/>
              <w:right w:val="nil"/>
            </w:tcBorders>
            <w:shd w:val="clear" w:color="auto" w:fill="FFFFFF" w:themeFill="background1"/>
          </w:tcPr>
          <w:p w14:paraId="30A92E5A" w14:textId="77777777" w:rsidR="00E90BD5" w:rsidRPr="00DC6F66" w:rsidRDefault="00E90BD5" w:rsidP="00D250DC">
            <w:pPr>
              <w:keepNext/>
              <w:keepLines/>
              <w:spacing w:line="192" w:lineRule="auto"/>
              <w:rPr>
                <w:rFonts w:ascii="Times New Roman" w:hAnsi="Times New Roman" w:cs="Times New Roman"/>
                <w:lang w:val="lv-LV"/>
              </w:rPr>
            </w:pPr>
          </w:p>
        </w:tc>
        <w:tc>
          <w:tcPr>
            <w:tcW w:w="1465" w:type="dxa"/>
            <w:tcBorders>
              <w:top w:val="single" w:sz="12" w:space="0" w:color="FFFFFF" w:themeColor="background1"/>
              <w:left w:val="nil"/>
              <w:bottom w:val="thinThickSmallGap" w:sz="24" w:space="0" w:color="00642D"/>
              <w:right w:val="nil"/>
            </w:tcBorders>
            <w:shd w:val="clear" w:color="auto" w:fill="FFFFFF" w:themeFill="background1"/>
          </w:tcPr>
          <w:p w14:paraId="6563F00F" w14:textId="77777777" w:rsidR="00E90BD5" w:rsidRPr="00DC6F66" w:rsidRDefault="00E90BD5" w:rsidP="00D250DC">
            <w:pPr>
              <w:keepNext/>
              <w:keepLines/>
              <w:spacing w:line="192" w:lineRule="auto"/>
              <w:jc w:val="center"/>
              <w:rPr>
                <w:rFonts w:ascii="Times New Roman" w:hAnsi="Times New Roman" w:cs="Times New Roman"/>
                <w:b/>
                <w:i/>
                <w:color w:val="00642D"/>
                <w:szCs w:val="20"/>
                <w:lang w:val="lv-LV"/>
              </w:rPr>
            </w:pPr>
          </w:p>
        </w:tc>
        <w:tc>
          <w:tcPr>
            <w:tcW w:w="283" w:type="dxa"/>
            <w:tcBorders>
              <w:top w:val="single" w:sz="12" w:space="0" w:color="FFFFFF" w:themeColor="background1"/>
              <w:left w:val="nil"/>
              <w:bottom w:val="single" w:sz="12" w:space="0" w:color="FFFFFF" w:themeColor="background1"/>
              <w:right w:val="nil"/>
            </w:tcBorders>
          </w:tcPr>
          <w:p w14:paraId="45FD6696" w14:textId="77777777" w:rsidR="00E90BD5" w:rsidRPr="00DC6F66" w:rsidRDefault="00E90BD5" w:rsidP="00D250DC">
            <w:pPr>
              <w:keepNext/>
              <w:keepLines/>
              <w:spacing w:line="192" w:lineRule="auto"/>
              <w:rPr>
                <w:rFonts w:ascii="Times New Roman" w:hAnsi="Times New Roman" w:cs="Times New Roman"/>
                <w:sz w:val="20"/>
                <w:szCs w:val="20"/>
                <w:lang w:val="lv-LV"/>
              </w:rPr>
            </w:pPr>
          </w:p>
        </w:tc>
        <w:tc>
          <w:tcPr>
            <w:tcW w:w="1560" w:type="dxa"/>
            <w:tcBorders>
              <w:top w:val="single" w:sz="12" w:space="0" w:color="FFFFFF" w:themeColor="background1"/>
              <w:left w:val="nil"/>
              <w:bottom w:val="thinThickSmallGap" w:sz="24" w:space="0" w:color="00642D"/>
              <w:right w:val="nil"/>
            </w:tcBorders>
          </w:tcPr>
          <w:p w14:paraId="25555AFD" w14:textId="77777777" w:rsidR="00E90BD5" w:rsidRPr="00DC6F66" w:rsidRDefault="00E90BD5" w:rsidP="00D250DC">
            <w:pPr>
              <w:keepNext/>
              <w:keepLines/>
              <w:spacing w:line="192" w:lineRule="auto"/>
              <w:jc w:val="center"/>
              <w:rPr>
                <w:rFonts w:ascii="Times New Roman" w:hAnsi="Times New Roman" w:cs="Times New Roman"/>
                <w:b/>
                <w:i/>
                <w:color w:val="00642D"/>
                <w:szCs w:val="20"/>
                <w:lang w:val="lv-LV"/>
              </w:rPr>
            </w:pPr>
          </w:p>
        </w:tc>
        <w:tc>
          <w:tcPr>
            <w:tcW w:w="283" w:type="dxa"/>
            <w:tcBorders>
              <w:top w:val="single" w:sz="12" w:space="0" w:color="FFFFFF" w:themeColor="background1"/>
              <w:left w:val="nil"/>
              <w:bottom w:val="single" w:sz="12" w:space="0" w:color="FFFFFF" w:themeColor="background1"/>
              <w:right w:val="nil"/>
            </w:tcBorders>
          </w:tcPr>
          <w:p w14:paraId="56907539" w14:textId="77777777" w:rsidR="00E90BD5" w:rsidRPr="00DC6F66" w:rsidRDefault="00E90BD5" w:rsidP="00D250DC">
            <w:pPr>
              <w:keepNext/>
              <w:keepLines/>
              <w:spacing w:line="192" w:lineRule="auto"/>
              <w:rPr>
                <w:rFonts w:ascii="Times New Roman" w:hAnsi="Times New Roman" w:cs="Times New Roman"/>
                <w:sz w:val="20"/>
                <w:szCs w:val="20"/>
                <w:lang w:val="lv-LV"/>
              </w:rPr>
            </w:pPr>
          </w:p>
        </w:tc>
        <w:tc>
          <w:tcPr>
            <w:tcW w:w="1701" w:type="dxa"/>
            <w:tcBorders>
              <w:top w:val="single" w:sz="12" w:space="0" w:color="FFFFFF" w:themeColor="background1"/>
              <w:left w:val="nil"/>
              <w:bottom w:val="thinThickSmallGap" w:sz="24" w:space="0" w:color="00642D"/>
              <w:right w:val="single" w:sz="12" w:space="0" w:color="FFFFFF" w:themeColor="background1"/>
            </w:tcBorders>
          </w:tcPr>
          <w:p w14:paraId="7EEDF953" w14:textId="77777777" w:rsidR="00E90BD5" w:rsidRPr="00DC6F66" w:rsidRDefault="00E90BD5" w:rsidP="00D250DC">
            <w:pPr>
              <w:keepNext/>
              <w:keepLines/>
              <w:spacing w:line="192" w:lineRule="auto"/>
              <w:jc w:val="center"/>
              <w:rPr>
                <w:rFonts w:ascii="Times New Roman" w:hAnsi="Times New Roman" w:cs="Times New Roman"/>
                <w:b/>
                <w:i/>
                <w:color w:val="00642D"/>
                <w:szCs w:val="20"/>
                <w:lang w:val="lv-LV"/>
              </w:rPr>
            </w:pPr>
          </w:p>
        </w:tc>
      </w:tr>
      <w:tr w:rsidR="00E90BD5" w:rsidRPr="00DC6F66" w14:paraId="1541678C" w14:textId="77777777" w:rsidTr="00D250DC">
        <w:tc>
          <w:tcPr>
            <w:tcW w:w="3799" w:type="dxa"/>
            <w:tcBorders>
              <w:top w:val="single" w:sz="12" w:space="0" w:color="FFFFFF" w:themeColor="background1"/>
              <w:left w:val="single" w:sz="12" w:space="0" w:color="404040" w:themeColor="text1" w:themeTint="BF"/>
            </w:tcBorders>
          </w:tcPr>
          <w:p w14:paraId="592756EE" w14:textId="77777777" w:rsidR="00E90BD5" w:rsidRPr="00DC6F66" w:rsidRDefault="00E90BD5" w:rsidP="00D250DC">
            <w:pPr>
              <w:keepNext/>
              <w:keepLines/>
              <w:ind w:left="720"/>
              <w:rPr>
                <w:rFonts w:ascii="Times New Roman" w:hAnsi="Times New Roman" w:cs="Times New Roman"/>
                <w:i/>
                <w:lang w:val="lv-LV"/>
              </w:rPr>
            </w:pPr>
            <w:r w:rsidRPr="00DC6F66">
              <w:rPr>
                <w:rFonts w:ascii="Times New Roman" w:hAnsi="Times New Roman" w:cs="Times New Roman"/>
                <w:i/>
                <w:sz w:val="20"/>
                <w:szCs w:val="20"/>
                <w:lang w:val="lv-LV"/>
              </w:rPr>
              <w:t>Kapitāla daļas</w:t>
            </w:r>
          </w:p>
        </w:tc>
        <w:tc>
          <w:tcPr>
            <w:tcW w:w="236" w:type="dxa"/>
            <w:tcBorders>
              <w:top w:val="single" w:sz="12" w:space="0" w:color="FFFFFF" w:themeColor="background1"/>
              <w:right w:val="thinThickSmallGap" w:sz="24" w:space="0" w:color="00642D"/>
            </w:tcBorders>
          </w:tcPr>
          <w:p w14:paraId="553ECCDD" w14:textId="77777777" w:rsidR="00E90BD5" w:rsidRPr="00DC6F66" w:rsidRDefault="00E90BD5" w:rsidP="00D250DC">
            <w:pPr>
              <w:keepNext/>
              <w:keepLines/>
              <w:rPr>
                <w:rFonts w:ascii="Times New Roman" w:hAnsi="Times New Roman" w:cs="Times New Roman"/>
                <w:lang w:val="lv-LV"/>
              </w:rPr>
            </w:pPr>
          </w:p>
        </w:tc>
        <w:tc>
          <w:tcPr>
            <w:tcW w:w="1465" w:type="dxa"/>
            <w:tcBorders>
              <w:top w:val="thinThickSmallGap" w:sz="24" w:space="0" w:color="00642D"/>
              <w:left w:val="thinThickSmallGap" w:sz="24" w:space="0" w:color="00642D"/>
              <w:bottom w:val="thickThinSmallGap" w:sz="24" w:space="0" w:color="00642D"/>
              <w:right w:val="thickThinSmallGap" w:sz="24" w:space="0" w:color="00642D"/>
            </w:tcBorders>
          </w:tcPr>
          <w:p w14:paraId="65462368" w14:textId="77777777" w:rsidR="00E90BD5" w:rsidRPr="00DC6F66" w:rsidRDefault="00E90BD5" w:rsidP="00D250DC">
            <w:pPr>
              <w:keepNext/>
              <w:keepLines/>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3" w:type="dxa"/>
            <w:tcBorders>
              <w:top w:val="single" w:sz="12" w:space="0" w:color="FFFFFF" w:themeColor="background1"/>
              <w:left w:val="thickThinSmallGap" w:sz="24" w:space="0" w:color="00642D"/>
              <w:right w:val="thinThickSmallGap" w:sz="24" w:space="0" w:color="00642D"/>
            </w:tcBorders>
          </w:tcPr>
          <w:p w14:paraId="4EC946EA" w14:textId="77777777" w:rsidR="00E90BD5" w:rsidRPr="00DC6F66" w:rsidRDefault="00E90BD5" w:rsidP="00D250DC">
            <w:pPr>
              <w:keepNext/>
              <w:keepLines/>
              <w:rPr>
                <w:rFonts w:ascii="Times New Roman" w:hAnsi="Times New Roman" w:cs="Times New Roman"/>
                <w:sz w:val="20"/>
                <w:szCs w:val="20"/>
                <w:lang w:val="lv-LV"/>
              </w:rPr>
            </w:pPr>
          </w:p>
        </w:tc>
        <w:tc>
          <w:tcPr>
            <w:tcW w:w="1560" w:type="dxa"/>
            <w:tcBorders>
              <w:top w:val="thinThickSmallGap" w:sz="24" w:space="0" w:color="00642D"/>
              <w:left w:val="thinThickSmallGap" w:sz="24" w:space="0" w:color="00642D"/>
              <w:bottom w:val="thickThinSmallGap" w:sz="24" w:space="0" w:color="00642D"/>
              <w:right w:val="thickThinSmallGap" w:sz="24" w:space="0" w:color="00642D"/>
            </w:tcBorders>
          </w:tcPr>
          <w:p w14:paraId="1AB25BB2" w14:textId="77777777" w:rsidR="00E90BD5" w:rsidRPr="00DC6F66" w:rsidRDefault="00E90BD5" w:rsidP="00D250DC">
            <w:pPr>
              <w:keepNext/>
              <w:keepLines/>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3" w:type="dxa"/>
            <w:tcBorders>
              <w:top w:val="single" w:sz="12" w:space="0" w:color="FFFFFF" w:themeColor="background1"/>
              <w:left w:val="thickThinSmallGap" w:sz="24" w:space="0" w:color="00642D"/>
              <w:right w:val="thinThickSmallGap" w:sz="24" w:space="0" w:color="00642D"/>
            </w:tcBorders>
          </w:tcPr>
          <w:p w14:paraId="47748997" w14:textId="77777777" w:rsidR="00E90BD5" w:rsidRPr="00DC6F66" w:rsidRDefault="00E90BD5" w:rsidP="00D250DC">
            <w:pPr>
              <w:keepNext/>
              <w:keepLines/>
              <w:rPr>
                <w:rFonts w:ascii="Times New Roman" w:hAnsi="Times New Roman" w:cs="Times New Roman"/>
                <w:sz w:val="20"/>
                <w:szCs w:val="20"/>
                <w:lang w:val="lv-LV"/>
              </w:rPr>
            </w:pPr>
          </w:p>
        </w:tc>
        <w:tc>
          <w:tcPr>
            <w:tcW w:w="1701" w:type="dxa"/>
            <w:tcBorders>
              <w:top w:val="thinThickSmallGap" w:sz="24" w:space="0" w:color="00642D"/>
              <w:left w:val="thinThickSmallGap" w:sz="24" w:space="0" w:color="00642D"/>
              <w:bottom w:val="thickThinSmallGap" w:sz="24" w:space="0" w:color="00642D"/>
              <w:right w:val="thickThinSmallGap" w:sz="24" w:space="0" w:color="00642D"/>
            </w:tcBorders>
          </w:tcPr>
          <w:p w14:paraId="5CCF3C19" w14:textId="77777777" w:rsidR="00E90BD5" w:rsidRPr="00DC6F66" w:rsidRDefault="00E90BD5" w:rsidP="00D250DC">
            <w:pPr>
              <w:keepNext/>
              <w:keepLines/>
              <w:jc w:val="center"/>
              <w:rPr>
                <w:rFonts w:ascii="Times New Roman" w:hAnsi="Times New Roman" w:cs="Times New Roman"/>
                <w:color w:val="00642D"/>
                <w:sz w:val="20"/>
                <w:szCs w:val="20"/>
                <w:lang w:val="lv-LV"/>
              </w:rPr>
            </w:pPr>
            <w:r w:rsidRPr="00DC6F66">
              <w:rPr>
                <w:rFonts w:ascii="Times New Roman" w:hAnsi="Times New Roman" w:cs="Times New Roman"/>
                <w:b/>
                <w:i/>
                <w:color w:val="00642D"/>
                <w:sz w:val="22"/>
                <w:szCs w:val="20"/>
                <w:lang w:val="lv-LV"/>
              </w:rPr>
              <w:t>√</w:t>
            </w:r>
          </w:p>
        </w:tc>
      </w:tr>
      <w:tr w:rsidR="00E90BD5" w:rsidRPr="00DC6F66" w14:paraId="7811C7C4" w14:textId="77777777" w:rsidTr="00D250DC">
        <w:tc>
          <w:tcPr>
            <w:tcW w:w="3799" w:type="dxa"/>
            <w:tcBorders>
              <w:left w:val="single" w:sz="12" w:space="0" w:color="404040" w:themeColor="text1" w:themeTint="BF"/>
            </w:tcBorders>
          </w:tcPr>
          <w:p w14:paraId="092E1EE2" w14:textId="77777777" w:rsidR="00E90BD5" w:rsidRPr="00DC6F66" w:rsidRDefault="00E90BD5" w:rsidP="00D250DC">
            <w:pPr>
              <w:keepNext/>
              <w:keepLines/>
              <w:rPr>
                <w:rFonts w:ascii="Times New Roman" w:hAnsi="Times New Roman" w:cs="Times New Roman"/>
                <w:i/>
                <w:sz w:val="8"/>
                <w:szCs w:val="22"/>
                <w:lang w:val="lv-LV"/>
              </w:rPr>
            </w:pPr>
          </w:p>
        </w:tc>
        <w:tc>
          <w:tcPr>
            <w:tcW w:w="236" w:type="dxa"/>
          </w:tcPr>
          <w:p w14:paraId="49638058" w14:textId="77777777" w:rsidR="00E90BD5" w:rsidRPr="00DC6F66" w:rsidRDefault="00E90BD5" w:rsidP="00D250DC">
            <w:pPr>
              <w:keepNext/>
              <w:keepLines/>
              <w:rPr>
                <w:rFonts w:ascii="Times New Roman" w:hAnsi="Times New Roman" w:cs="Times New Roman"/>
                <w:sz w:val="8"/>
                <w:szCs w:val="22"/>
                <w:lang w:val="lv-LV"/>
              </w:rPr>
            </w:pPr>
          </w:p>
        </w:tc>
        <w:tc>
          <w:tcPr>
            <w:tcW w:w="1465" w:type="dxa"/>
            <w:tcBorders>
              <w:top w:val="thickThinSmallGap" w:sz="24" w:space="0" w:color="00642D"/>
              <w:bottom w:val="thinThickSmallGap" w:sz="24" w:space="0" w:color="00642D"/>
            </w:tcBorders>
          </w:tcPr>
          <w:p w14:paraId="093F8B4F" w14:textId="77777777" w:rsidR="00E90BD5" w:rsidRPr="00DC6F66" w:rsidRDefault="00E90BD5" w:rsidP="00D250DC">
            <w:pPr>
              <w:keepNext/>
              <w:keepLines/>
              <w:jc w:val="center"/>
              <w:rPr>
                <w:rFonts w:ascii="Times New Roman" w:hAnsi="Times New Roman" w:cs="Times New Roman"/>
                <w:sz w:val="8"/>
                <w:szCs w:val="22"/>
                <w:lang w:val="lv-LV"/>
              </w:rPr>
            </w:pPr>
          </w:p>
        </w:tc>
        <w:tc>
          <w:tcPr>
            <w:tcW w:w="283" w:type="dxa"/>
          </w:tcPr>
          <w:p w14:paraId="65D01948" w14:textId="77777777" w:rsidR="00E90BD5" w:rsidRPr="00DC6F66" w:rsidRDefault="00E90BD5" w:rsidP="00D250DC">
            <w:pPr>
              <w:keepNext/>
              <w:keepLines/>
              <w:rPr>
                <w:rFonts w:ascii="Times New Roman" w:hAnsi="Times New Roman" w:cs="Times New Roman"/>
                <w:sz w:val="8"/>
                <w:szCs w:val="22"/>
                <w:lang w:val="lv-LV"/>
              </w:rPr>
            </w:pPr>
          </w:p>
        </w:tc>
        <w:tc>
          <w:tcPr>
            <w:tcW w:w="1560" w:type="dxa"/>
            <w:tcBorders>
              <w:top w:val="thickThinSmallGap" w:sz="24" w:space="0" w:color="00642D"/>
            </w:tcBorders>
          </w:tcPr>
          <w:p w14:paraId="7B66D936" w14:textId="77777777" w:rsidR="00E90BD5" w:rsidRPr="00DC6F66" w:rsidRDefault="00E90BD5" w:rsidP="00D250DC">
            <w:pPr>
              <w:keepNext/>
              <w:keepLines/>
              <w:jc w:val="center"/>
              <w:rPr>
                <w:rFonts w:ascii="Times New Roman" w:hAnsi="Times New Roman" w:cs="Times New Roman"/>
                <w:sz w:val="8"/>
                <w:szCs w:val="22"/>
                <w:lang w:val="lv-LV"/>
              </w:rPr>
            </w:pPr>
          </w:p>
        </w:tc>
        <w:tc>
          <w:tcPr>
            <w:tcW w:w="283" w:type="dxa"/>
          </w:tcPr>
          <w:p w14:paraId="33A7E8B3" w14:textId="77777777" w:rsidR="00E90BD5" w:rsidRPr="00DC6F66" w:rsidRDefault="00E90BD5" w:rsidP="00D250DC">
            <w:pPr>
              <w:keepNext/>
              <w:keepLines/>
              <w:rPr>
                <w:rFonts w:ascii="Times New Roman" w:hAnsi="Times New Roman" w:cs="Times New Roman"/>
                <w:sz w:val="8"/>
                <w:szCs w:val="22"/>
                <w:lang w:val="lv-LV"/>
              </w:rPr>
            </w:pPr>
          </w:p>
        </w:tc>
        <w:tc>
          <w:tcPr>
            <w:tcW w:w="1701" w:type="dxa"/>
            <w:tcBorders>
              <w:top w:val="thickThinSmallGap" w:sz="24" w:space="0" w:color="00642D"/>
              <w:bottom w:val="dotted" w:sz="18" w:space="0" w:color="00642D"/>
              <w:right w:val="single" w:sz="6" w:space="0" w:color="FFFFFF" w:themeColor="background1"/>
            </w:tcBorders>
          </w:tcPr>
          <w:p w14:paraId="4B96ED13" w14:textId="77777777" w:rsidR="00E90BD5" w:rsidRPr="00DC6F66" w:rsidRDefault="00E90BD5" w:rsidP="00D250DC">
            <w:pPr>
              <w:keepNext/>
              <w:keepLines/>
              <w:jc w:val="center"/>
              <w:rPr>
                <w:rFonts w:ascii="Times New Roman" w:hAnsi="Times New Roman" w:cs="Times New Roman"/>
                <w:sz w:val="8"/>
                <w:szCs w:val="22"/>
                <w:lang w:val="lv-LV"/>
              </w:rPr>
            </w:pPr>
          </w:p>
        </w:tc>
      </w:tr>
      <w:tr w:rsidR="00E90BD5" w:rsidRPr="00DC6F66" w14:paraId="3C0B63C9" w14:textId="77777777" w:rsidTr="00D250DC">
        <w:tc>
          <w:tcPr>
            <w:tcW w:w="3799" w:type="dxa"/>
            <w:tcBorders>
              <w:left w:val="single" w:sz="12" w:space="0" w:color="404040" w:themeColor="text1" w:themeTint="BF"/>
            </w:tcBorders>
          </w:tcPr>
          <w:p w14:paraId="5D29B08C" w14:textId="77777777" w:rsidR="00E90BD5" w:rsidRPr="00DC6F66" w:rsidRDefault="00E90BD5" w:rsidP="00D250DC">
            <w:pPr>
              <w:keepNext/>
              <w:keepLines/>
              <w:ind w:left="720"/>
              <w:rPr>
                <w:rFonts w:ascii="Times New Roman" w:hAnsi="Times New Roman" w:cs="Times New Roman"/>
                <w:i/>
                <w:lang w:val="lv-LV"/>
              </w:rPr>
            </w:pPr>
            <w:r w:rsidRPr="00DC6F66">
              <w:rPr>
                <w:rFonts w:ascii="Times New Roman" w:hAnsi="Times New Roman" w:cs="Times New Roman"/>
                <w:i/>
                <w:sz w:val="20"/>
                <w:szCs w:val="20"/>
                <w:lang w:val="lv-LV"/>
              </w:rPr>
              <w:t>Problemātiskie aktīvi</w:t>
            </w:r>
          </w:p>
        </w:tc>
        <w:tc>
          <w:tcPr>
            <w:tcW w:w="236" w:type="dxa"/>
            <w:tcBorders>
              <w:right w:val="thinThickSmallGap" w:sz="24" w:space="0" w:color="00642D"/>
            </w:tcBorders>
          </w:tcPr>
          <w:p w14:paraId="2366DEED" w14:textId="77777777" w:rsidR="00E90BD5" w:rsidRPr="00DC6F66" w:rsidRDefault="00E90BD5" w:rsidP="00D250DC">
            <w:pPr>
              <w:keepNext/>
              <w:keepLines/>
              <w:rPr>
                <w:rFonts w:ascii="Times New Roman" w:hAnsi="Times New Roman" w:cs="Times New Roman"/>
                <w:lang w:val="lv-LV"/>
              </w:rPr>
            </w:pPr>
          </w:p>
        </w:tc>
        <w:tc>
          <w:tcPr>
            <w:tcW w:w="1465" w:type="dxa"/>
            <w:tcBorders>
              <w:top w:val="thinThickSmallGap" w:sz="24" w:space="0" w:color="00642D"/>
              <w:left w:val="thinThickSmallGap" w:sz="24" w:space="0" w:color="00642D"/>
              <w:bottom w:val="thickThinSmallGap" w:sz="24" w:space="0" w:color="00642D"/>
              <w:right w:val="thickThinSmallGap" w:sz="24" w:space="0" w:color="00642D"/>
            </w:tcBorders>
          </w:tcPr>
          <w:p w14:paraId="3C82EB70" w14:textId="77777777" w:rsidR="00E90BD5" w:rsidRPr="00DC6F66" w:rsidRDefault="00E90BD5" w:rsidP="00D250DC">
            <w:pPr>
              <w:keepNext/>
              <w:keepLines/>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3" w:type="dxa"/>
            <w:tcBorders>
              <w:left w:val="thickThinSmallGap" w:sz="24" w:space="0" w:color="00642D"/>
            </w:tcBorders>
          </w:tcPr>
          <w:p w14:paraId="058EEA27" w14:textId="77777777" w:rsidR="00E90BD5" w:rsidRPr="00DC6F66" w:rsidRDefault="00E90BD5" w:rsidP="00D250DC">
            <w:pPr>
              <w:keepNext/>
              <w:keepLines/>
              <w:rPr>
                <w:rFonts w:ascii="Times New Roman" w:hAnsi="Times New Roman" w:cs="Times New Roman"/>
                <w:sz w:val="20"/>
                <w:szCs w:val="20"/>
                <w:lang w:val="lv-LV"/>
              </w:rPr>
            </w:pPr>
          </w:p>
        </w:tc>
        <w:tc>
          <w:tcPr>
            <w:tcW w:w="1560" w:type="dxa"/>
          </w:tcPr>
          <w:p w14:paraId="56B99210" w14:textId="77777777" w:rsidR="00E90BD5" w:rsidRPr="00DC6F66" w:rsidRDefault="00E90BD5" w:rsidP="00D250DC">
            <w:pPr>
              <w:keepNext/>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3" w:type="dxa"/>
            <w:tcBorders>
              <w:right w:val="dotted" w:sz="18" w:space="0" w:color="00642D"/>
            </w:tcBorders>
          </w:tcPr>
          <w:p w14:paraId="28255CFC" w14:textId="77777777" w:rsidR="00E90BD5" w:rsidRPr="00DC6F66" w:rsidRDefault="00E90BD5" w:rsidP="00D250DC">
            <w:pPr>
              <w:keepNext/>
              <w:keepLines/>
              <w:rPr>
                <w:rFonts w:ascii="Times New Roman" w:hAnsi="Times New Roman" w:cs="Times New Roman"/>
                <w:sz w:val="20"/>
                <w:szCs w:val="20"/>
                <w:lang w:val="lv-LV"/>
              </w:rPr>
            </w:pPr>
          </w:p>
        </w:tc>
        <w:tc>
          <w:tcPr>
            <w:tcW w:w="1701" w:type="dxa"/>
            <w:tcBorders>
              <w:top w:val="dotted" w:sz="18" w:space="0" w:color="00642D"/>
              <w:left w:val="dotted" w:sz="18" w:space="0" w:color="00642D"/>
              <w:bottom w:val="dotted" w:sz="18" w:space="0" w:color="00642D"/>
              <w:right w:val="dotted" w:sz="18" w:space="0" w:color="00642D"/>
            </w:tcBorders>
          </w:tcPr>
          <w:p w14:paraId="3C6CFBF9" w14:textId="77777777" w:rsidR="00E90BD5" w:rsidRPr="00DC6F66" w:rsidRDefault="00E90BD5" w:rsidP="00D250DC">
            <w:pPr>
              <w:keepNext/>
              <w:keepLines/>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r>
      <w:tr w:rsidR="00E90BD5" w:rsidRPr="00DC6F66" w14:paraId="56BFB8EB" w14:textId="77777777" w:rsidTr="00D250DC">
        <w:tc>
          <w:tcPr>
            <w:tcW w:w="3799" w:type="dxa"/>
            <w:tcBorders>
              <w:left w:val="single" w:sz="12" w:space="0" w:color="404040" w:themeColor="text1" w:themeTint="BF"/>
            </w:tcBorders>
          </w:tcPr>
          <w:p w14:paraId="1BFFF82E" w14:textId="77777777" w:rsidR="00E90BD5" w:rsidRPr="00DC6F66" w:rsidRDefault="00E90BD5" w:rsidP="00D250DC">
            <w:pPr>
              <w:keepNext/>
              <w:keepLines/>
              <w:rPr>
                <w:rFonts w:ascii="Times New Roman" w:hAnsi="Times New Roman" w:cs="Times New Roman"/>
                <w:sz w:val="8"/>
                <w:szCs w:val="22"/>
                <w:lang w:val="lv-LV"/>
              </w:rPr>
            </w:pPr>
          </w:p>
        </w:tc>
        <w:tc>
          <w:tcPr>
            <w:tcW w:w="236" w:type="dxa"/>
          </w:tcPr>
          <w:p w14:paraId="45E0AE3D" w14:textId="77777777" w:rsidR="00E90BD5" w:rsidRPr="00DC6F66" w:rsidRDefault="00E90BD5" w:rsidP="00D250DC">
            <w:pPr>
              <w:keepNext/>
              <w:keepLines/>
              <w:rPr>
                <w:rFonts w:ascii="Times New Roman" w:hAnsi="Times New Roman" w:cs="Times New Roman"/>
                <w:sz w:val="8"/>
                <w:szCs w:val="22"/>
                <w:lang w:val="lv-LV"/>
              </w:rPr>
            </w:pPr>
          </w:p>
        </w:tc>
        <w:tc>
          <w:tcPr>
            <w:tcW w:w="1465" w:type="dxa"/>
            <w:tcBorders>
              <w:top w:val="thickThinSmallGap" w:sz="24" w:space="0" w:color="00642D"/>
              <w:bottom w:val="thinThickSmallGap" w:sz="24" w:space="0" w:color="00642D"/>
            </w:tcBorders>
          </w:tcPr>
          <w:p w14:paraId="57893678" w14:textId="77777777" w:rsidR="00E90BD5" w:rsidRPr="00DC6F66" w:rsidRDefault="00E90BD5" w:rsidP="00D250DC">
            <w:pPr>
              <w:keepNext/>
              <w:keepLines/>
              <w:jc w:val="center"/>
              <w:rPr>
                <w:rFonts w:ascii="Times New Roman" w:hAnsi="Times New Roman" w:cs="Times New Roman"/>
                <w:sz w:val="8"/>
                <w:szCs w:val="22"/>
                <w:lang w:val="lv-LV"/>
              </w:rPr>
            </w:pPr>
          </w:p>
        </w:tc>
        <w:tc>
          <w:tcPr>
            <w:tcW w:w="283" w:type="dxa"/>
          </w:tcPr>
          <w:p w14:paraId="45FB9167" w14:textId="77777777" w:rsidR="00E90BD5" w:rsidRPr="00DC6F66" w:rsidRDefault="00E90BD5" w:rsidP="00D250DC">
            <w:pPr>
              <w:keepNext/>
              <w:keepLines/>
              <w:rPr>
                <w:rFonts w:ascii="Times New Roman" w:hAnsi="Times New Roman" w:cs="Times New Roman"/>
                <w:sz w:val="8"/>
                <w:szCs w:val="22"/>
                <w:lang w:val="lv-LV"/>
              </w:rPr>
            </w:pPr>
          </w:p>
        </w:tc>
        <w:tc>
          <w:tcPr>
            <w:tcW w:w="1560" w:type="dxa"/>
          </w:tcPr>
          <w:p w14:paraId="5F060744" w14:textId="77777777" w:rsidR="00E90BD5" w:rsidRPr="00DC6F66" w:rsidRDefault="00E90BD5" w:rsidP="00D250DC">
            <w:pPr>
              <w:keepNext/>
              <w:keepLines/>
              <w:jc w:val="center"/>
              <w:rPr>
                <w:rFonts w:ascii="Times New Roman" w:hAnsi="Times New Roman" w:cs="Times New Roman"/>
                <w:sz w:val="8"/>
                <w:szCs w:val="22"/>
                <w:lang w:val="lv-LV"/>
              </w:rPr>
            </w:pPr>
          </w:p>
        </w:tc>
        <w:tc>
          <w:tcPr>
            <w:tcW w:w="283" w:type="dxa"/>
          </w:tcPr>
          <w:p w14:paraId="0551964C" w14:textId="77777777" w:rsidR="00E90BD5" w:rsidRPr="00DC6F66" w:rsidRDefault="00E90BD5" w:rsidP="00D250DC">
            <w:pPr>
              <w:keepNext/>
              <w:keepLines/>
              <w:rPr>
                <w:rFonts w:ascii="Times New Roman" w:hAnsi="Times New Roman" w:cs="Times New Roman"/>
                <w:sz w:val="8"/>
                <w:szCs w:val="22"/>
                <w:lang w:val="lv-LV"/>
              </w:rPr>
            </w:pPr>
          </w:p>
        </w:tc>
        <w:tc>
          <w:tcPr>
            <w:tcW w:w="1701" w:type="dxa"/>
            <w:tcBorders>
              <w:top w:val="dotted" w:sz="18" w:space="0" w:color="00642D"/>
              <w:right w:val="single" w:sz="6" w:space="0" w:color="FFFFFF" w:themeColor="background1"/>
            </w:tcBorders>
          </w:tcPr>
          <w:p w14:paraId="25FF85E0" w14:textId="77777777" w:rsidR="00E90BD5" w:rsidRPr="00DC6F66" w:rsidRDefault="00E90BD5" w:rsidP="00D250DC">
            <w:pPr>
              <w:keepNext/>
              <w:keepLines/>
              <w:jc w:val="center"/>
              <w:rPr>
                <w:rFonts w:ascii="Times New Roman" w:hAnsi="Times New Roman" w:cs="Times New Roman"/>
                <w:sz w:val="8"/>
                <w:szCs w:val="22"/>
                <w:lang w:val="lv-LV"/>
              </w:rPr>
            </w:pPr>
          </w:p>
        </w:tc>
      </w:tr>
      <w:tr w:rsidR="00E90BD5" w:rsidRPr="00DC6F66" w14:paraId="2EE25C1D" w14:textId="77777777" w:rsidTr="00D250DC">
        <w:tc>
          <w:tcPr>
            <w:tcW w:w="3799" w:type="dxa"/>
            <w:tcBorders>
              <w:left w:val="single" w:sz="12" w:space="0" w:color="404040" w:themeColor="text1" w:themeTint="BF"/>
              <w:bottom w:val="single" w:sz="4" w:space="0" w:color="FFFFFF" w:themeColor="background1"/>
            </w:tcBorders>
          </w:tcPr>
          <w:p w14:paraId="1425E158" w14:textId="77777777" w:rsidR="00E90BD5" w:rsidRPr="00DC6F66" w:rsidRDefault="00E90BD5" w:rsidP="00D250DC">
            <w:pPr>
              <w:keepNext/>
              <w:keepLines/>
              <w:rPr>
                <w:rFonts w:ascii="Times New Roman" w:hAnsi="Times New Roman" w:cs="Times New Roman"/>
                <w:sz w:val="20"/>
                <w:szCs w:val="20"/>
                <w:lang w:val="lv-LV"/>
              </w:rPr>
            </w:pPr>
            <w:r w:rsidRPr="00DC6F66">
              <w:rPr>
                <w:rFonts w:ascii="Times New Roman" w:hAnsi="Times New Roman" w:cs="Times New Roman"/>
                <w:sz w:val="20"/>
                <w:szCs w:val="20"/>
                <w:lang w:val="lv-LV"/>
              </w:rPr>
              <w:t>Līgumu un to nosacījumu izpildes kontrole</w:t>
            </w:r>
          </w:p>
        </w:tc>
        <w:tc>
          <w:tcPr>
            <w:tcW w:w="236" w:type="dxa"/>
            <w:tcBorders>
              <w:right w:val="thinThickSmallGap" w:sz="24" w:space="0" w:color="00642D"/>
            </w:tcBorders>
          </w:tcPr>
          <w:p w14:paraId="0C42BBDF" w14:textId="77777777" w:rsidR="00E90BD5" w:rsidRPr="00DC6F66" w:rsidRDefault="00E90BD5" w:rsidP="00D250DC">
            <w:pPr>
              <w:keepNext/>
              <w:keepLines/>
              <w:rPr>
                <w:rFonts w:ascii="Times New Roman" w:hAnsi="Times New Roman" w:cs="Times New Roman"/>
                <w:lang w:val="lv-LV"/>
              </w:rPr>
            </w:pPr>
          </w:p>
        </w:tc>
        <w:tc>
          <w:tcPr>
            <w:tcW w:w="1465" w:type="dxa"/>
            <w:tcBorders>
              <w:top w:val="thinThickSmallGap" w:sz="24" w:space="0" w:color="00642D"/>
              <w:left w:val="thinThickSmallGap" w:sz="24" w:space="0" w:color="00642D"/>
              <w:bottom w:val="thickThinSmallGap" w:sz="24" w:space="0" w:color="00642D"/>
              <w:right w:val="thickThinSmallGap" w:sz="24" w:space="0" w:color="00642D"/>
            </w:tcBorders>
          </w:tcPr>
          <w:p w14:paraId="772E17C0" w14:textId="77777777" w:rsidR="00E90BD5" w:rsidRPr="00DC6F66" w:rsidRDefault="00E90BD5" w:rsidP="00D250DC">
            <w:pPr>
              <w:keepNext/>
              <w:keepLines/>
              <w:jc w:val="center"/>
              <w:rPr>
                <w:rFonts w:ascii="Times New Roman" w:hAnsi="Times New Roman" w:cs="Times New Roman"/>
                <w:color w:val="00642D"/>
                <w:sz w:val="20"/>
                <w:szCs w:val="20"/>
                <w:lang w:val="lv-LV"/>
              </w:rPr>
            </w:pPr>
            <w:r w:rsidRPr="00DC6F66">
              <w:rPr>
                <w:rFonts w:ascii="Times New Roman" w:hAnsi="Times New Roman" w:cs="Times New Roman"/>
                <w:b/>
                <w:i/>
                <w:color w:val="00642D"/>
                <w:sz w:val="22"/>
                <w:szCs w:val="20"/>
                <w:lang w:val="lv-LV"/>
              </w:rPr>
              <w:t>√</w:t>
            </w:r>
          </w:p>
        </w:tc>
        <w:tc>
          <w:tcPr>
            <w:tcW w:w="283" w:type="dxa"/>
            <w:tcBorders>
              <w:left w:val="thickThinSmallGap" w:sz="24" w:space="0" w:color="00642D"/>
              <w:bottom w:val="nil"/>
            </w:tcBorders>
          </w:tcPr>
          <w:p w14:paraId="3E52145D" w14:textId="77777777" w:rsidR="00E90BD5" w:rsidRPr="00DC6F66" w:rsidRDefault="00E90BD5" w:rsidP="00D250DC">
            <w:pPr>
              <w:keepNext/>
              <w:keepLines/>
              <w:rPr>
                <w:rFonts w:ascii="Times New Roman" w:hAnsi="Times New Roman" w:cs="Times New Roman"/>
                <w:sz w:val="20"/>
                <w:szCs w:val="20"/>
                <w:lang w:val="lv-LV"/>
              </w:rPr>
            </w:pPr>
          </w:p>
        </w:tc>
        <w:tc>
          <w:tcPr>
            <w:tcW w:w="1560" w:type="dxa"/>
          </w:tcPr>
          <w:p w14:paraId="6DE4181D" w14:textId="77777777" w:rsidR="00E90BD5" w:rsidRPr="00DC6F66" w:rsidRDefault="00E90BD5" w:rsidP="00D250DC">
            <w:pPr>
              <w:keepNext/>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3" w:type="dxa"/>
          </w:tcPr>
          <w:p w14:paraId="627DF2B0" w14:textId="77777777" w:rsidR="00E90BD5" w:rsidRPr="00DC6F66" w:rsidRDefault="00E90BD5" w:rsidP="00D250DC">
            <w:pPr>
              <w:keepNext/>
              <w:keepLines/>
              <w:rPr>
                <w:rFonts w:ascii="Times New Roman" w:hAnsi="Times New Roman" w:cs="Times New Roman"/>
                <w:sz w:val="20"/>
                <w:szCs w:val="20"/>
                <w:lang w:val="lv-LV"/>
              </w:rPr>
            </w:pPr>
          </w:p>
        </w:tc>
        <w:tc>
          <w:tcPr>
            <w:tcW w:w="1701" w:type="dxa"/>
            <w:tcBorders>
              <w:right w:val="single" w:sz="6" w:space="0" w:color="FFFFFF" w:themeColor="background1"/>
            </w:tcBorders>
          </w:tcPr>
          <w:p w14:paraId="14D44832" w14:textId="77777777" w:rsidR="00E90BD5" w:rsidRPr="00DC6F66" w:rsidRDefault="00E90BD5" w:rsidP="00D250DC">
            <w:pPr>
              <w:keepNext/>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r>
      <w:tr w:rsidR="00E90BD5" w:rsidRPr="00DC6F66" w14:paraId="100523E6" w14:textId="77777777" w:rsidTr="00D250DC">
        <w:tc>
          <w:tcPr>
            <w:tcW w:w="3799" w:type="dxa"/>
            <w:tcBorders>
              <w:top w:val="single" w:sz="4" w:space="0" w:color="FFFFFF" w:themeColor="background1"/>
              <w:left w:val="single" w:sz="12" w:space="0" w:color="404040" w:themeColor="text1" w:themeTint="BF"/>
              <w:bottom w:val="single" w:sz="4" w:space="0" w:color="FFFFFF" w:themeColor="background1"/>
              <w:right w:val="single" w:sz="4" w:space="0" w:color="FFFFFF" w:themeColor="background1"/>
            </w:tcBorders>
          </w:tcPr>
          <w:p w14:paraId="3CF495FC" w14:textId="77777777" w:rsidR="00E90BD5" w:rsidRPr="00DC6F66" w:rsidRDefault="00E90BD5" w:rsidP="00D250DC">
            <w:pPr>
              <w:keepNext/>
              <w:keepLines/>
              <w:rPr>
                <w:rFonts w:ascii="Times New Roman" w:hAnsi="Times New Roman" w:cs="Times New Roman"/>
                <w:sz w:val="8"/>
                <w:szCs w:val="22"/>
                <w:lang w:val="lv-LV"/>
              </w:rPr>
            </w:pPr>
          </w:p>
        </w:tc>
        <w:tc>
          <w:tcPr>
            <w:tcW w:w="236" w:type="dxa"/>
            <w:tcBorders>
              <w:left w:val="single" w:sz="4" w:space="0" w:color="FFFFFF" w:themeColor="background1"/>
              <w:right w:val="nil"/>
            </w:tcBorders>
          </w:tcPr>
          <w:p w14:paraId="0E2AA909" w14:textId="77777777" w:rsidR="00E90BD5" w:rsidRPr="00DC6F66" w:rsidRDefault="00E90BD5" w:rsidP="00D250DC">
            <w:pPr>
              <w:keepNext/>
              <w:keepLines/>
              <w:rPr>
                <w:rFonts w:ascii="Times New Roman" w:hAnsi="Times New Roman" w:cs="Times New Roman"/>
                <w:sz w:val="8"/>
                <w:szCs w:val="22"/>
                <w:lang w:val="lv-LV"/>
              </w:rPr>
            </w:pPr>
          </w:p>
        </w:tc>
        <w:tc>
          <w:tcPr>
            <w:tcW w:w="1465" w:type="dxa"/>
            <w:tcBorders>
              <w:top w:val="thickThinSmallGap" w:sz="24" w:space="0" w:color="00642D"/>
              <w:left w:val="nil"/>
              <w:bottom w:val="thinThickSmallGap" w:sz="24" w:space="0" w:color="00642D"/>
              <w:right w:val="nil"/>
            </w:tcBorders>
          </w:tcPr>
          <w:p w14:paraId="15A3727F" w14:textId="77777777" w:rsidR="00E90BD5" w:rsidRPr="00DC6F66" w:rsidRDefault="00E90BD5" w:rsidP="00D250DC">
            <w:pPr>
              <w:keepNext/>
              <w:keepLines/>
              <w:rPr>
                <w:rFonts w:ascii="Times New Roman" w:hAnsi="Times New Roman" w:cs="Times New Roman"/>
                <w:sz w:val="8"/>
                <w:szCs w:val="22"/>
                <w:lang w:val="lv-LV"/>
              </w:rPr>
            </w:pPr>
          </w:p>
        </w:tc>
        <w:tc>
          <w:tcPr>
            <w:tcW w:w="283" w:type="dxa"/>
            <w:tcBorders>
              <w:top w:val="nil"/>
              <w:left w:val="nil"/>
              <w:bottom w:val="nil"/>
              <w:right w:val="nil"/>
            </w:tcBorders>
          </w:tcPr>
          <w:p w14:paraId="3A6C3CC4" w14:textId="77777777" w:rsidR="00E90BD5" w:rsidRPr="00DC6F66" w:rsidRDefault="00E90BD5" w:rsidP="00D250DC">
            <w:pPr>
              <w:keepNext/>
              <w:keepLines/>
              <w:rPr>
                <w:rFonts w:ascii="Times New Roman" w:hAnsi="Times New Roman" w:cs="Times New Roman"/>
                <w:sz w:val="8"/>
                <w:szCs w:val="22"/>
                <w:lang w:val="lv-LV"/>
              </w:rPr>
            </w:pPr>
          </w:p>
        </w:tc>
        <w:tc>
          <w:tcPr>
            <w:tcW w:w="1560" w:type="dxa"/>
            <w:tcBorders>
              <w:left w:val="nil"/>
            </w:tcBorders>
          </w:tcPr>
          <w:p w14:paraId="656401BE" w14:textId="77777777" w:rsidR="00E90BD5" w:rsidRPr="00DC6F66" w:rsidRDefault="00E90BD5" w:rsidP="00D250DC">
            <w:pPr>
              <w:keepNext/>
              <w:keepLines/>
              <w:rPr>
                <w:rFonts w:ascii="Times New Roman" w:hAnsi="Times New Roman" w:cs="Times New Roman"/>
                <w:sz w:val="8"/>
                <w:szCs w:val="22"/>
                <w:lang w:val="lv-LV"/>
              </w:rPr>
            </w:pPr>
          </w:p>
        </w:tc>
        <w:tc>
          <w:tcPr>
            <w:tcW w:w="283" w:type="dxa"/>
          </w:tcPr>
          <w:p w14:paraId="48A3CE5C" w14:textId="77777777" w:rsidR="00E90BD5" w:rsidRPr="00DC6F66" w:rsidRDefault="00E90BD5" w:rsidP="00D250DC">
            <w:pPr>
              <w:keepNext/>
              <w:keepLines/>
              <w:rPr>
                <w:rFonts w:ascii="Times New Roman" w:hAnsi="Times New Roman" w:cs="Times New Roman"/>
                <w:sz w:val="8"/>
                <w:szCs w:val="22"/>
                <w:lang w:val="lv-LV"/>
              </w:rPr>
            </w:pPr>
          </w:p>
        </w:tc>
        <w:tc>
          <w:tcPr>
            <w:tcW w:w="1701" w:type="dxa"/>
            <w:tcBorders>
              <w:right w:val="single" w:sz="6" w:space="0" w:color="FFFFFF" w:themeColor="background1"/>
            </w:tcBorders>
          </w:tcPr>
          <w:p w14:paraId="4F306E52" w14:textId="77777777" w:rsidR="00E90BD5" w:rsidRPr="00DC6F66" w:rsidRDefault="00E90BD5" w:rsidP="00D250DC">
            <w:pPr>
              <w:keepNext/>
              <w:keepLines/>
              <w:rPr>
                <w:rFonts w:ascii="Times New Roman" w:hAnsi="Times New Roman" w:cs="Times New Roman"/>
                <w:sz w:val="8"/>
                <w:szCs w:val="22"/>
                <w:lang w:val="lv-LV"/>
              </w:rPr>
            </w:pPr>
          </w:p>
        </w:tc>
      </w:tr>
      <w:tr w:rsidR="00E90BD5" w:rsidRPr="00DC6F66" w14:paraId="47336C38" w14:textId="77777777" w:rsidTr="00D250DC">
        <w:tc>
          <w:tcPr>
            <w:tcW w:w="3799" w:type="dxa"/>
            <w:tcBorders>
              <w:top w:val="single" w:sz="4" w:space="0" w:color="FFFFFF" w:themeColor="background1"/>
              <w:left w:val="single" w:sz="12" w:space="0" w:color="404040" w:themeColor="text1" w:themeTint="BF"/>
            </w:tcBorders>
          </w:tcPr>
          <w:p w14:paraId="303ED572" w14:textId="77777777" w:rsidR="00E90BD5" w:rsidRPr="00DC6F66" w:rsidRDefault="00E90BD5" w:rsidP="00D250DC">
            <w:pPr>
              <w:keepNext/>
              <w:keepLines/>
              <w:rPr>
                <w:rFonts w:ascii="Times New Roman" w:hAnsi="Times New Roman" w:cs="Times New Roman"/>
                <w:sz w:val="20"/>
                <w:szCs w:val="20"/>
                <w:lang w:val="lv-LV"/>
              </w:rPr>
            </w:pPr>
            <w:r w:rsidRPr="00DC6F66">
              <w:rPr>
                <w:rFonts w:ascii="Times New Roman" w:hAnsi="Times New Roman" w:cs="Times New Roman"/>
                <w:sz w:val="20"/>
                <w:szCs w:val="20"/>
                <w:lang w:val="lv-LV"/>
              </w:rPr>
              <w:t>Sertifikātu uzskaite, norēķini, apkalpošana</w:t>
            </w:r>
          </w:p>
        </w:tc>
        <w:tc>
          <w:tcPr>
            <w:tcW w:w="236" w:type="dxa"/>
            <w:tcBorders>
              <w:right w:val="thinThickSmallGap" w:sz="24" w:space="0" w:color="00642D"/>
            </w:tcBorders>
          </w:tcPr>
          <w:p w14:paraId="758F344D" w14:textId="77777777" w:rsidR="00E90BD5" w:rsidRPr="00DC6F66" w:rsidRDefault="00E90BD5" w:rsidP="00D250DC">
            <w:pPr>
              <w:keepNext/>
              <w:keepLines/>
              <w:rPr>
                <w:rFonts w:ascii="Times New Roman" w:hAnsi="Times New Roman" w:cs="Times New Roman"/>
                <w:lang w:val="lv-LV"/>
              </w:rPr>
            </w:pPr>
          </w:p>
        </w:tc>
        <w:tc>
          <w:tcPr>
            <w:tcW w:w="1465" w:type="dxa"/>
            <w:tcBorders>
              <w:top w:val="thinThickSmallGap" w:sz="24" w:space="0" w:color="00642D"/>
              <w:left w:val="thinThickSmallGap" w:sz="24" w:space="0" w:color="00642D"/>
              <w:bottom w:val="thickThinSmallGap" w:sz="24" w:space="0" w:color="00642D"/>
              <w:right w:val="thickThinSmallGap" w:sz="24" w:space="0" w:color="00642D"/>
            </w:tcBorders>
          </w:tcPr>
          <w:p w14:paraId="11D66F87" w14:textId="77777777" w:rsidR="00E90BD5" w:rsidRPr="00DC6F66" w:rsidRDefault="00E90BD5" w:rsidP="00D250DC">
            <w:pPr>
              <w:keepNext/>
              <w:keepLines/>
              <w:jc w:val="center"/>
              <w:rPr>
                <w:rFonts w:ascii="Times New Roman" w:hAnsi="Times New Roman" w:cs="Times New Roman"/>
                <w:b/>
                <w:i/>
                <w:color w:val="00642D"/>
                <w:sz w:val="20"/>
                <w:szCs w:val="20"/>
                <w:lang w:val="lv-LV"/>
              </w:rPr>
            </w:pPr>
            <w:r w:rsidRPr="00DC6F66">
              <w:rPr>
                <w:rFonts w:ascii="Times New Roman" w:hAnsi="Times New Roman" w:cs="Times New Roman"/>
                <w:b/>
                <w:i/>
                <w:color w:val="00642D"/>
                <w:sz w:val="22"/>
                <w:szCs w:val="20"/>
                <w:lang w:val="lv-LV"/>
              </w:rPr>
              <w:t>√</w:t>
            </w:r>
          </w:p>
        </w:tc>
        <w:tc>
          <w:tcPr>
            <w:tcW w:w="283" w:type="dxa"/>
            <w:tcBorders>
              <w:top w:val="nil"/>
              <w:left w:val="thickThinSmallGap" w:sz="24" w:space="0" w:color="00642D"/>
            </w:tcBorders>
          </w:tcPr>
          <w:p w14:paraId="6A8143C4" w14:textId="77777777" w:rsidR="00E90BD5" w:rsidRPr="00DC6F66" w:rsidRDefault="00E90BD5" w:rsidP="00D250DC">
            <w:pPr>
              <w:keepNext/>
              <w:keepLines/>
              <w:rPr>
                <w:rFonts w:ascii="Times New Roman" w:hAnsi="Times New Roman" w:cs="Times New Roman"/>
                <w:sz w:val="20"/>
                <w:szCs w:val="20"/>
                <w:lang w:val="lv-LV"/>
              </w:rPr>
            </w:pPr>
          </w:p>
        </w:tc>
        <w:tc>
          <w:tcPr>
            <w:tcW w:w="1560" w:type="dxa"/>
          </w:tcPr>
          <w:p w14:paraId="7C11991B" w14:textId="77777777" w:rsidR="00E90BD5" w:rsidRPr="00DC6F66" w:rsidRDefault="00E90BD5" w:rsidP="00D250DC">
            <w:pPr>
              <w:keepNext/>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3" w:type="dxa"/>
          </w:tcPr>
          <w:p w14:paraId="4A2B9805" w14:textId="77777777" w:rsidR="00E90BD5" w:rsidRPr="00DC6F66" w:rsidRDefault="00E90BD5" w:rsidP="00D250DC">
            <w:pPr>
              <w:keepNext/>
              <w:keepLines/>
              <w:rPr>
                <w:rFonts w:ascii="Times New Roman" w:hAnsi="Times New Roman" w:cs="Times New Roman"/>
                <w:sz w:val="20"/>
                <w:szCs w:val="20"/>
                <w:lang w:val="lv-LV"/>
              </w:rPr>
            </w:pPr>
          </w:p>
        </w:tc>
        <w:tc>
          <w:tcPr>
            <w:tcW w:w="1701" w:type="dxa"/>
            <w:tcBorders>
              <w:right w:val="single" w:sz="6" w:space="0" w:color="FFFFFF" w:themeColor="background1"/>
            </w:tcBorders>
          </w:tcPr>
          <w:p w14:paraId="0573D15C" w14:textId="77777777" w:rsidR="00E90BD5" w:rsidRPr="00DC6F66" w:rsidRDefault="00E90BD5" w:rsidP="00D250DC">
            <w:pPr>
              <w:keepNext/>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r>
    </w:tbl>
    <w:p w14:paraId="1ACB8A38" w14:textId="77777777" w:rsidR="00E90BD5" w:rsidRPr="00DC6F66" w:rsidRDefault="00E90BD5" w:rsidP="00E90BD5">
      <w:pPr>
        <w:spacing w:line="240" w:lineRule="auto"/>
        <w:rPr>
          <w:rFonts w:ascii="Times New Roman" w:hAnsi="Times New Roman" w:cs="Times New Roman"/>
          <w:sz w:val="2"/>
          <w:lang w:eastAsia="zh-CN"/>
        </w:rPr>
      </w:pPr>
    </w:p>
    <w:p w14:paraId="0D825313" w14:textId="77777777" w:rsidR="00E90BD5" w:rsidRDefault="00E90BD5" w:rsidP="00E90BD5">
      <w:pPr>
        <w:pBdr>
          <w:top w:val="single" w:sz="12" w:space="1" w:color="FFFFFF" w:themeColor="background1"/>
        </w:pBdr>
        <w:spacing w:after="0" w:line="240" w:lineRule="auto"/>
        <w:rPr>
          <w:rFonts w:ascii="Times New Roman" w:hAnsi="Times New Roman" w:cs="Times New Roman"/>
          <w:b/>
          <w:i/>
          <w:sz w:val="20"/>
          <w:szCs w:val="16"/>
        </w:rPr>
      </w:pPr>
      <w:r w:rsidRPr="00DC6F66">
        <w:rPr>
          <w:rFonts w:ascii="Times New Roman" w:hAnsi="Times New Roman" w:cs="Times New Roman"/>
          <w:b/>
          <w:i/>
          <w:sz w:val="20"/>
          <w:szCs w:val="16"/>
        </w:rPr>
        <w:t>Apzīmējumi un piezīmes:</w:t>
      </w:r>
    </w:p>
    <w:tbl>
      <w:tblPr>
        <w:tblStyle w:val="TableGrid"/>
        <w:tblW w:w="9878" w:type="dxa"/>
        <w:tblLook w:val="04A0" w:firstRow="1" w:lastRow="0" w:firstColumn="1" w:lastColumn="0" w:noHBand="0" w:noVBand="1"/>
      </w:tblPr>
      <w:tblGrid>
        <w:gridCol w:w="806"/>
        <w:gridCol w:w="215"/>
        <w:gridCol w:w="2195"/>
        <w:gridCol w:w="694"/>
        <w:gridCol w:w="2282"/>
        <w:gridCol w:w="567"/>
        <w:gridCol w:w="2694"/>
        <w:gridCol w:w="425"/>
      </w:tblGrid>
      <w:tr w:rsidR="00E90BD5" w:rsidRPr="00DC6F66" w14:paraId="0365AD00" w14:textId="77777777" w:rsidTr="00D250DC">
        <w:tc>
          <w:tcPr>
            <w:tcW w:w="806" w:type="dxa"/>
            <w:tcBorders>
              <w:top w:val="thinThickSmallGap" w:sz="24" w:space="0" w:color="2A411B"/>
              <w:left w:val="thinThickSmallGap" w:sz="24" w:space="0" w:color="2A411B"/>
              <w:bottom w:val="thickThinSmallGap" w:sz="24" w:space="0" w:color="2A411B"/>
              <w:right w:val="thickThinSmallGap" w:sz="24" w:space="0" w:color="2A411B"/>
            </w:tcBorders>
          </w:tcPr>
          <w:p w14:paraId="5BB9B360" w14:textId="77777777" w:rsidR="00E90BD5" w:rsidRPr="00DC6F66" w:rsidRDefault="00E90BD5" w:rsidP="00D250DC">
            <w:pPr>
              <w:jc w:val="center"/>
              <w:rPr>
                <w:rFonts w:ascii="Times New Roman" w:hAnsi="Times New Roman" w:cs="Times New Roman"/>
                <w:b/>
                <w:i/>
                <w:color w:val="404040" w:themeColor="text1" w:themeTint="BF"/>
                <w:sz w:val="18"/>
                <w:szCs w:val="16"/>
                <w:lang w:val="lv-LV"/>
              </w:rPr>
            </w:pPr>
            <w:r w:rsidRPr="00DC6F66">
              <w:rPr>
                <w:rFonts w:ascii="Times New Roman" w:hAnsi="Times New Roman" w:cs="Times New Roman"/>
                <w:b/>
                <w:i/>
                <w:color w:val="00642D"/>
                <w:sz w:val="18"/>
                <w:szCs w:val="16"/>
                <w:lang w:val="lv-LV"/>
              </w:rPr>
              <w:t>√</w:t>
            </w:r>
          </w:p>
        </w:tc>
        <w:tc>
          <w:tcPr>
            <w:tcW w:w="2410" w:type="dxa"/>
            <w:gridSpan w:val="2"/>
            <w:tcBorders>
              <w:top w:val="single" w:sz="12" w:space="0" w:color="FFFFFF" w:themeColor="background1"/>
              <w:left w:val="thickThinSmallGap" w:sz="24" w:space="0" w:color="2A411B"/>
              <w:bottom w:val="single" w:sz="12" w:space="0" w:color="FFFFFF" w:themeColor="background1"/>
              <w:right w:val="dashDotStroked" w:sz="24" w:space="0" w:color="2A411B"/>
            </w:tcBorders>
          </w:tcPr>
          <w:p w14:paraId="7E2361E8" w14:textId="77777777" w:rsidR="00E90BD5" w:rsidRPr="00DC6F66" w:rsidRDefault="00E90BD5" w:rsidP="00D250DC">
            <w:pPr>
              <w:rPr>
                <w:rFonts w:ascii="Times New Roman" w:hAnsi="Times New Roman" w:cs="Times New Roman"/>
                <w:b/>
                <w:i/>
                <w:sz w:val="18"/>
                <w:szCs w:val="16"/>
                <w:lang w:val="lv-LV"/>
              </w:rPr>
            </w:pPr>
            <w:r w:rsidRPr="00DC6F66">
              <w:rPr>
                <w:rFonts w:ascii="Times New Roman" w:hAnsi="Times New Roman" w:cs="Times New Roman"/>
                <w:i/>
                <w:sz w:val="18"/>
                <w:szCs w:val="16"/>
                <w:lang w:val="lv-LV"/>
              </w:rPr>
              <w:t>- tiek īstenota</w:t>
            </w:r>
          </w:p>
        </w:tc>
        <w:tc>
          <w:tcPr>
            <w:tcW w:w="694" w:type="dxa"/>
            <w:tcBorders>
              <w:top w:val="dashDotStroked" w:sz="24" w:space="0" w:color="2A411B"/>
              <w:left w:val="dashDotStroked" w:sz="24" w:space="0" w:color="2A411B"/>
              <w:bottom w:val="dashDotStroked" w:sz="24" w:space="0" w:color="2A411B"/>
              <w:right w:val="dashDotStroked" w:sz="24" w:space="0" w:color="2A411B"/>
            </w:tcBorders>
            <w:shd w:val="clear" w:color="auto" w:fill="007033"/>
            <w:vAlign w:val="center"/>
          </w:tcPr>
          <w:p w14:paraId="2E700109" w14:textId="77777777" w:rsidR="00E90BD5" w:rsidRPr="00DC6F66" w:rsidRDefault="00E90BD5" w:rsidP="00D250DC">
            <w:pPr>
              <w:jc w:val="center"/>
              <w:rPr>
                <w:rFonts w:ascii="Times New Roman" w:hAnsi="Times New Roman" w:cs="Times New Roman"/>
                <w:b/>
                <w:color w:val="007033"/>
                <w:sz w:val="18"/>
                <w:szCs w:val="16"/>
                <w:lang w:val="lv-LV"/>
              </w:rPr>
            </w:pPr>
          </w:p>
        </w:tc>
        <w:tc>
          <w:tcPr>
            <w:tcW w:w="2282" w:type="dxa"/>
            <w:tcBorders>
              <w:top w:val="single" w:sz="12" w:space="0" w:color="FFFFFF" w:themeColor="background1"/>
              <w:left w:val="dashDotStroked" w:sz="24" w:space="0" w:color="2A411B"/>
              <w:bottom w:val="single" w:sz="6" w:space="0" w:color="FFFFFF" w:themeColor="background1"/>
              <w:right w:val="dotted" w:sz="18" w:space="0" w:color="00642D"/>
            </w:tcBorders>
          </w:tcPr>
          <w:p w14:paraId="19E48492" w14:textId="77777777" w:rsidR="00E90BD5" w:rsidRPr="00DC6F66" w:rsidRDefault="00E90BD5" w:rsidP="00D250DC">
            <w:pPr>
              <w:rPr>
                <w:rFonts w:ascii="Times New Roman" w:hAnsi="Times New Roman" w:cs="Times New Roman"/>
                <w:b/>
                <w:i/>
                <w:sz w:val="18"/>
                <w:szCs w:val="16"/>
                <w:lang w:val="lv-LV"/>
              </w:rPr>
            </w:pPr>
            <w:r>
              <w:rPr>
                <w:rFonts w:ascii="Times New Roman" w:hAnsi="Times New Roman" w:cs="Times New Roman"/>
                <w:i/>
                <w:sz w:val="18"/>
                <w:szCs w:val="20"/>
                <w:lang w:val="lv-LV"/>
              </w:rPr>
              <w:t>- jauns</w:t>
            </w:r>
          </w:p>
        </w:tc>
        <w:tc>
          <w:tcPr>
            <w:tcW w:w="567" w:type="dxa"/>
            <w:tcBorders>
              <w:top w:val="dotted" w:sz="18" w:space="0" w:color="00642D"/>
              <w:left w:val="dotted" w:sz="18" w:space="0" w:color="00642D"/>
              <w:bottom w:val="dotted" w:sz="18" w:space="0" w:color="00642D"/>
              <w:right w:val="dotted" w:sz="18" w:space="0" w:color="00642D"/>
            </w:tcBorders>
          </w:tcPr>
          <w:p w14:paraId="6EBEA7C2" w14:textId="77777777" w:rsidR="00E90BD5" w:rsidRPr="00DC6F66" w:rsidRDefault="00E90BD5" w:rsidP="00D250DC">
            <w:pPr>
              <w:jc w:val="center"/>
              <w:rPr>
                <w:rFonts w:ascii="Times New Roman" w:hAnsi="Times New Roman" w:cs="Times New Roman"/>
                <w:b/>
                <w:i/>
                <w:color w:val="404040" w:themeColor="text1" w:themeTint="BF"/>
                <w:sz w:val="18"/>
                <w:szCs w:val="16"/>
                <w:highlight w:val="yellow"/>
                <w:lang w:val="lv-LV"/>
              </w:rPr>
            </w:pPr>
          </w:p>
        </w:tc>
        <w:tc>
          <w:tcPr>
            <w:tcW w:w="3119" w:type="dxa"/>
            <w:gridSpan w:val="2"/>
            <w:tcBorders>
              <w:top w:val="single" w:sz="6" w:space="0" w:color="FFFFFF" w:themeColor="background1"/>
              <w:left w:val="dotted" w:sz="18" w:space="0" w:color="00642D"/>
              <w:bottom w:val="single" w:sz="6" w:space="0" w:color="FFFFFF" w:themeColor="background1"/>
              <w:right w:val="single" w:sz="6" w:space="0" w:color="FFFFFF" w:themeColor="background1"/>
            </w:tcBorders>
            <w:shd w:val="clear" w:color="auto" w:fill="auto"/>
          </w:tcPr>
          <w:p w14:paraId="2336ABB3" w14:textId="77777777" w:rsidR="00E90BD5" w:rsidRPr="00DC6F66" w:rsidRDefault="00E90BD5" w:rsidP="00D250DC">
            <w:pPr>
              <w:rPr>
                <w:rFonts w:ascii="Times New Roman" w:hAnsi="Times New Roman" w:cs="Times New Roman"/>
                <w:i/>
                <w:sz w:val="18"/>
                <w:szCs w:val="16"/>
                <w:lang w:val="lv-LV"/>
              </w:rPr>
            </w:pPr>
            <w:r w:rsidRPr="00DC6F66">
              <w:rPr>
                <w:rFonts w:ascii="Times New Roman" w:hAnsi="Times New Roman" w:cs="Times New Roman"/>
                <w:i/>
                <w:sz w:val="18"/>
                <w:szCs w:val="16"/>
                <w:lang w:val="lv-LV"/>
              </w:rPr>
              <w:t>- atsevišķos gadījumos un/vai izstrāde</w:t>
            </w:r>
          </w:p>
        </w:tc>
      </w:tr>
      <w:tr w:rsidR="00E90BD5" w:rsidRPr="00DC6F66" w14:paraId="419CD38A" w14:textId="77777777" w:rsidTr="00D250DC">
        <w:tc>
          <w:tcPr>
            <w:tcW w:w="806" w:type="dxa"/>
            <w:tcBorders>
              <w:top w:val="thickThinSmallGap" w:sz="24" w:space="0" w:color="2A411B"/>
              <w:left w:val="single" w:sz="6" w:space="0" w:color="FFFFFF" w:themeColor="background1"/>
              <w:bottom w:val="single" w:sz="6" w:space="0" w:color="FFFFFF" w:themeColor="background1"/>
              <w:right w:val="single" w:sz="6" w:space="0" w:color="FFFFFF" w:themeColor="background1"/>
            </w:tcBorders>
          </w:tcPr>
          <w:p w14:paraId="6EAA8A9A" w14:textId="77777777" w:rsidR="00E90BD5" w:rsidRPr="00DC6F66" w:rsidRDefault="00E90BD5" w:rsidP="00D250DC">
            <w:pPr>
              <w:jc w:val="center"/>
              <w:rPr>
                <w:rFonts w:ascii="Times New Roman" w:hAnsi="Times New Roman" w:cs="Times New Roman"/>
                <w:b/>
                <w:i/>
                <w:color w:val="00642D"/>
                <w:sz w:val="18"/>
                <w:szCs w:val="16"/>
                <w:lang w:val="lv-LV"/>
              </w:rPr>
            </w:pPr>
          </w:p>
        </w:tc>
        <w:tc>
          <w:tcPr>
            <w:tcW w:w="2410" w:type="dxa"/>
            <w:gridSpan w:val="2"/>
            <w:tcBorders>
              <w:top w:val="single" w:sz="12" w:space="0" w:color="FFFFFF" w:themeColor="background1"/>
              <w:left w:val="single" w:sz="6" w:space="0" w:color="FFFFFF" w:themeColor="background1"/>
              <w:bottom w:val="single" w:sz="12" w:space="0" w:color="FFFFFF" w:themeColor="background1"/>
              <w:right w:val="single" w:sz="6" w:space="0" w:color="FFFFFF" w:themeColor="background1"/>
            </w:tcBorders>
          </w:tcPr>
          <w:p w14:paraId="1F94193A" w14:textId="77777777" w:rsidR="00E90BD5" w:rsidRPr="00DC6F66" w:rsidRDefault="00E90BD5" w:rsidP="00D250DC">
            <w:pPr>
              <w:rPr>
                <w:rFonts w:ascii="Times New Roman" w:hAnsi="Times New Roman" w:cs="Times New Roman"/>
                <w:i/>
                <w:color w:val="404040" w:themeColor="text1" w:themeTint="BF"/>
                <w:sz w:val="18"/>
                <w:szCs w:val="16"/>
                <w:lang w:val="lv-LV"/>
              </w:rPr>
            </w:pPr>
          </w:p>
        </w:tc>
        <w:tc>
          <w:tcPr>
            <w:tcW w:w="694" w:type="dxa"/>
            <w:tcBorders>
              <w:top w:val="dashDotStroked" w:sz="24" w:space="0" w:color="2A411B"/>
              <w:left w:val="single" w:sz="6" w:space="0" w:color="FFFFFF" w:themeColor="background1"/>
              <w:bottom w:val="single" w:sz="6" w:space="0" w:color="FFFFFF" w:themeColor="background1"/>
              <w:right w:val="single" w:sz="6" w:space="0" w:color="FFFFFF" w:themeColor="background1"/>
            </w:tcBorders>
            <w:shd w:val="clear" w:color="auto" w:fill="auto"/>
            <w:vAlign w:val="center"/>
          </w:tcPr>
          <w:p w14:paraId="0F989379" w14:textId="77777777" w:rsidR="00E90BD5" w:rsidRPr="00DC6F66" w:rsidRDefault="00E90BD5" w:rsidP="00D250DC">
            <w:pPr>
              <w:jc w:val="center"/>
              <w:rPr>
                <w:rFonts w:ascii="Times New Roman" w:hAnsi="Times New Roman" w:cs="Times New Roman"/>
                <w:b/>
                <w:color w:val="FFFFFF" w:themeColor="background1"/>
                <w:sz w:val="18"/>
                <w:szCs w:val="16"/>
                <w:lang w:val="lv-LV"/>
              </w:rPr>
            </w:pPr>
          </w:p>
        </w:tc>
        <w:tc>
          <w:tcPr>
            <w:tcW w:w="228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6B5E54C8" w14:textId="77777777" w:rsidR="00E90BD5" w:rsidRPr="00DC6F66" w:rsidRDefault="00E90BD5" w:rsidP="00D250DC">
            <w:pPr>
              <w:rPr>
                <w:rFonts w:ascii="Times New Roman" w:hAnsi="Times New Roman" w:cs="Times New Roman"/>
                <w:i/>
                <w:color w:val="404040" w:themeColor="text1" w:themeTint="BF"/>
                <w:sz w:val="18"/>
                <w:szCs w:val="20"/>
                <w:lang w:val="lv-LV"/>
              </w:rPr>
            </w:pPr>
          </w:p>
        </w:tc>
        <w:tc>
          <w:tcPr>
            <w:tcW w:w="567" w:type="dxa"/>
            <w:tcBorders>
              <w:top w:val="dotted" w:sz="18" w:space="0" w:color="00642D"/>
              <w:left w:val="single" w:sz="6" w:space="0" w:color="FFFFFF" w:themeColor="background1"/>
              <w:bottom w:val="single" w:sz="6" w:space="0" w:color="FFFFFF" w:themeColor="background1"/>
              <w:right w:val="single" w:sz="6" w:space="0" w:color="FFFFFF" w:themeColor="background1"/>
            </w:tcBorders>
            <w:shd w:val="clear" w:color="auto" w:fill="auto"/>
          </w:tcPr>
          <w:p w14:paraId="1CE775F8" w14:textId="77777777" w:rsidR="00E90BD5" w:rsidRPr="00DC6F66" w:rsidRDefault="00E90BD5" w:rsidP="00D250DC">
            <w:pPr>
              <w:jc w:val="center"/>
              <w:rPr>
                <w:rFonts w:ascii="Times New Roman" w:hAnsi="Times New Roman" w:cs="Times New Roman"/>
                <w:b/>
                <w:i/>
                <w:color w:val="404040" w:themeColor="text1" w:themeTint="BF"/>
                <w:sz w:val="18"/>
                <w:szCs w:val="16"/>
                <w:highlight w:val="yellow"/>
                <w:lang w:val="lv-LV"/>
              </w:rPr>
            </w:pPr>
          </w:p>
        </w:tc>
        <w:tc>
          <w:tcPr>
            <w:tcW w:w="311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76A56190" w14:textId="77777777" w:rsidR="00E90BD5" w:rsidRPr="00DC6F66" w:rsidRDefault="00E90BD5" w:rsidP="00D250DC">
            <w:pPr>
              <w:rPr>
                <w:rFonts w:ascii="Times New Roman" w:hAnsi="Times New Roman" w:cs="Times New Roman"/>
                <w:i/>
                <w:sz w:val="18"/>
                <w:szCs w:val="16"/>
                <w:lang w:val="lv-LV"/>
              </w:rPr>
            </w:pPr>
          </w:p>
        </w:tc>
      </w:tr>
      <w:tr w:rsidR="00E90BD5" w:rsidRPr="00DC6F66" w14:paraId="5AC4E8A7" w14:textId="77777777" w:rsidTr="00F7627F">
        <w:trPr>
          <w:gridAfter w:val="1"/>
          <w:wAfter w:w="425" w:type="dxa"/>
        </w:trPr>
        <w:tc>
          <w:tcPr>
            <w:tcW w:w="1021" w:type="dxa"/>
            <w:gridSpan w:val="2"/>
            <w:tcBorders>
              <w:top w:val="single" w:sz="6" w:space="0" w:color="FFFFFF" w:themeColor="background1"/>
              <w:left w:val="single" w:sz="12" w:space="0" w:color="FFFFFF" w:themeColor="background1"/>
              <w:bottom w:val="single" w:sz="12" w:space="0" w:color="FFFFFF" w:themeColor="background1"/>
              <w:right w:val="single" w:sz="12" w:space="0" w:color="FFFFFF" w:themeColor="background1"/>
            </w:tcBorders>
          </w:tcPr>
          <w:p w14:paraId="386C2322" w14:textId="77777777" w:rsidR="00E90BD5" w:rsidRPr="00DC6F66" w:rsidRDefault="00E90BD5" w:rsidP="00D250DC">
            <w:pPr>
              <w:spacing w:before="120"/>
              <w:rPr>
                <w:rFonts w:ascii="Times New Roman" w:hAnsi="Times New Roman" w:cs="Times New Roman"/>
                <w:b/>
                <w:i/>
                <w:color w:val="005828"/>
                <w:sz w:val="18"/>
                <w:szCs w:val="22"/>
                <w:lang w:val="lv-LV"/>
              </w:rPr>
            </w:pPr>
            <w:r w:rsidRPr="00DC6F66">
              <w:rPr>
                <w:rFonts w:ascii="Times New Roman" w:hAnsi="Times New Roman" w:cs="Times New Roman"/>
                <w:b/>
                <w:i/>
                <w:color w:val="005828"/>
                <w:sz w:val="18"/>
                <w:szCs w:val="22"/>
                <w:lang w:val="lv-LV"/>
              </w:rPr>
              <w:t>*</w:t>
            </w:r>
          </w:p>
        </w:tc>
        <w:tc>
          <w:tcPr>
            <w:tcW w:w="8432"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78CAC90" w14:textId="70B8E697" w:rsidR="00E90BD5" w:rsidRPr="00DC6F66" w:rsidRDefault="00E90BD5" w:rsidP="00D250DC">
            <w:pPr>
              <w:spacing w:before="120"/>
              <w:jc w:val="both"/>
              <w:rPr>
                <w:rFonts w:ascii="Times New Roman" w:hAnsi="Times New Roman" w:cs="Times New Roman"/>
                <w:i/>
                <w:sz w:val="18"/>
                <w:szCs w:val="22"/>
                <w:lang w:val="lv-LV"/>
              </w:rPr>
            </w:pPr>
            <w:r w:rsidRPr="00DC6F66">
              <w:rPr>
                <w:rFonts w:ascii="Times New Roman" w:hAnsi="Times New Roman" w:cs="Times New Roman"/>
                <w:i/>
                <w:sz w:val="18"/>
                <w:szCs w:val="22"/>
                <w:lang w:val="lv-LV"/>
              </w:rPr>
              <w:t xml:space="preserve">Nekustamā īpašuma objektu un zemesgabalu, </w:t>
            </w:r>
            <w:r>
              <w:rPr>
                <w:rFonts w:ascii="Times New Roman" w:hAnsi="Times New Roman" w:cs="Times New Roman"/>
                <w:i/>
                <w:sz w:val="18"/>
                <w:szCs w:val="22"/>
                <w:lang w:val="lv-LV"/>
              </w:rPr>
              <w:t xml:space="preserve">kuri ir Sabiedrības turējumā un </w:t>
            </w:r>
            <w:r w:rsidRPr="00DC6F66">
              <w:rPr>
                <w:rFonts w:ascii="Times New Roman" w:hAnsi="Times New Roman" w:cs="Times New Roman"/>
                <w:i/>
                <w:sz w:val="18"/>
                <w:szCs w:val="22"/>
                <w:lang w:val="lv-LV"/>
              </w:rPr>
              <w:t>kuru privatizācija ir izbeigta, kā arī bezmantinieku mantas atsavināšana.</w:t>
            </w:r>
          </w:p>
        </w:tc>
      </w:tr>
      <w:tr w:rsidR="00E90BD5" w:rsidRPr="00DC6F66" w14:paraId="03230250" w14:textId="77777777" w:rsidTr="00F7627F">
        <w:trPr>
          <w:gridAfter w:val="1"/>
          <w:wAfter w:w="425" w:type="dxa"/>
        </w:trPr>
        <w:tc>
          <w:tcPr>
            <w:tcW w:w="102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F1E2E6D" w14:textId="77777777" w:rsidR="00E90BD5" w:rsidRPr="00DC6F66" w:rsidRDefault="00E90BD5" w:rsidP="00D250DC">
            <w:pPr>
              <w:rPr>
                <w:rFonts w:ascii="Times New Roman" w:hAnsi="Times New Roman" w:cs="Times New Roman"/>
                <w:b/>
                <w:i/>
                <w:color w:val="005828"/>
                <w:sz w:val="18"/>
                <w:szCs w:val="22"/>
                <w:lang w:val="lv-LV"/>
              </w:rPr>
            </w:pPr>
            <w:r w:rsidRPr="00DC6F66">
              <w:rPr>
                <w:rFonts w:ascii="Times New Roman" w:hAnsi="Times New Roman" w:cs="Times New Roman"/>
                <w:b/>
                <w:i/>
                <w:color w:val="005828"/>
                <w:sz w:val="18"/>
                <w:szCs w:val="22"/>
                <w:lang w:val="lv-LV"/>
              </w:rPr>
              <w:t>**</w:t>
            </w:r>
          </w:p>
        </w:tc>
        <w:tc>
          <w:tcPr>
            <w:tcW w:w="8432"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3E7EAAE" w14:textId="77777777" w:rsidR="00E90BD5" w:rsidRPr="00DC6F66" w:rsidRDefault="00E90BD5" w:rsidP="00D250DC">
            <w:pPr>
              <w:rPr>
                <w:rFonts w:ascii="Times New Roman" w:hAnsi="Times New Roman" w:cs="Times New Roman"/>
                <w:i/>
                <w:sz w:val="18"/>
                <w:szCs w:val="22"/>
                <w:lang w:val="lv-LV"/>
              </w:rPr>
            </w:pPr>
            <w:r w:rsidRPr="00DC6F66">
              <w:rPr>
                <w:rFonts w:ascii="Times New Roman" w:hAnsi="Times New Roman" w:cs="Times New Roman"/>
                <w:i/>
                <w:sz w:val="18"/>
                <w:szCs w:val="22"/>
                <w:lang w:val="lv-LV"/>
              </w:rPr>
              <w:t>Visu (ne tikai Atsavināšanas likuma 9.panta 1.</w:t>
            </w:r>
            <w:r w:rsidRPr="00DC6F66">
              <w:rPr>
                <w:rFonts w:ascii="Times New Roman" w:hAnsi="Times New Roman" w:cs="Times New Roman"/>
                <w:i/>
                <w:sz w:val="18"/>
                <w:vertAlign w:val="superscript"/>
                <w:lang w:val="lv-LV"/>
              </w:rPr>
              <w:t>3</w:t>
            </w:r>
            <w:r w:rsidRPr="00DC6F66">
              <w:rPr>
                <w:rFonts w:ascii="Times New Roman" w:hAnsi="Times New Roman" w:cs="Times New Roman"/>
                <w:i/>
                <w:sz w:val="18"/>
                <w:szCs w:val="22"/>
                <w:lang w:val="lv-LV"/>
              </w:rPr>
              <w:t xml:space="preserve"> daļā noteiktajos gadījumos) dzīvokļu īpašumu, t.sk. bezmantinieku mantas, atsavināšana.</w:t>
            </w:r>
          </w:p>
        </w:tc>
      </w:tr>
    </w:tbl>
    <w:p w14:paraId="1D31D7C7" w14:textId="1B78531B" w:rsidR="00AE5365" w:rsidRPr="00DC6F66" w:rsidRDefault="00AE5365">
      <w:pPr>
        <w:pStyle w:val="Heading2"/>
      </w:pPr>
      <w:bookmarkStart w:id="184" w:name="_Toc482084460"/>
      <w:bookmarkStart w:id="185" w:name="_Toc482084624"/>
      <w:bookmarkStart w:id="186" w:name="_Toc482084659"/>
      <w:bookmarkStart w:id="187" w:name="_Toc482084694"/>
      <w:bookmarkStart w:id="188" w:name="_Toc482084822"/>
      <w:bookmarkStart w:id="189" w:name="_Toc478473171"/>
      <w:r w:rsidRPr="00DC6F66">
        <w:t>Lēmumu pieņemšanas procesu optimizēšana</w:t>
      </w:r>
      <w:bookmarkEnd w:id="182"/>
      <w:bookmarkEnd w:id="184"/>
      <w:bookmarkEnd w:id="185"/>
      <w:bookmarkEnd w:id="186"/>
      <w:bookmarkEnd w:id="187"/>
      <w:bookmarkEnd w:id="188"/>
      <w:bookmarkEnd w:id="189"/>
    </w:p>
    <w:p w14:paraId="1C2FAC03" w14:textId="7FCCCFA3" w:rsidR="00507232" w:rsidRDefault="0009352A" w:rsidP="00271742">
      <w:pPr>
        <w:spacing w:before="80" w:after="80"/>
        <w:ind w:firstLine="709"/>
        <w:jc w:val="both"/>
        <w:rPr>
          <w:rFonts w:ascii="Times New Roman" w:hAnsi="Times New Roman"/>
          <w:color w:val="000000" w:themeColor="text1"/>
          <w:sz w:val="24"/>
          <w:szCs w:val="24"/>
        </w:rPr>
      </w:pPr>
      <w:r w:rsidRPr="00114266">
        <w:rPr>
          <w:rFonts w:ascii="Times New Roman" w:hAnsi="Times New Roman"/>
          <w:color w:val="000000" w:themeColor="text1"/>
          <w:sz w:val="24"/>
        </w:rPr>
        <w:t xml:space="preserve">Atbilstoši Atsavināšanas likumā noteiktajam </w:t>
      </w:r>
      <w:r w:rsidR="00BA2BD4" w:rsidRPr="00114266">
        <w:rPr>
          <w:rFonts w:ascii="Times New Roman" w:hAnsi="Times New Roman"/>
          <w:color w:val="000000" w:themeColor="text1"/>
          <w:sz w:val="24"/>
        </w:rPr>
        <w:t xml:space="preserve">Ministru kabinets izskata un izdod rīkojumu par nodošanu atsavināšanai attiecībā uz katru </w:t>
      </w:r>
      <w:r w:rsidR="00C704BB" w:rsidRPr="00114266">
        <w:rPr>
          <w:rFonts w:ascii="Times New Roman" w:hAnsi="Times New Roman"/>
          <w:color w:val="000000" w:themeColor="text1"/>
          <w:sz w:val="24"/>
        </w:rPr>
        <w:t xml:space="preserve">valsts </w:t>
      </w:r>
      <w:r w:rsidR="00BA2BD4" w:rsidRPr="00114266">
        <w:rPr>
          <w:rFonts w:ascii="Times New Roman" w:hAnsi="Times New Roman"/>
          <w:color w:val="000000" w:themeColor="text1"/>
          <w:sz w:val="24"/>
        </w:rPr>
        <w:t xml:space="preserve">nekustamā īpašuma objektu, kas jau iepriekš ticis atzīts kā valsts funkciju izpildei nevajadzīgs (piem., izbeidzot dzīvokļa īpašuma privatizāciju, tas tiek nodots atsavināšanai ar atsevišķu Ministru kabineta rīkojumu, kā arī, piemēram, valstij piekritīgā manta bez kreditoru pretenzijām, kuru Sabiedrība pārņem no VID, tiek nodota atsavināšanai ar atsevišķu Ministru kabineta rīkojumu), tādējādi </w:t>
      </w:r>
      <w:r w:rsidRPr="00114266">
        <w:rPr>
          <w:rFonts w:ascii="Times New Roman" w:hAnsi="Times New Roman"/>
          <w:color w:val="000000" w:themeColor="text1"/>
          <w:sz w:val="24"/>
        </w:rPr>
        <w:t xml:space="preserve">noslogojot augstāko valsts izpildvaras institūciju – Ministru kabinetu ar mazsvarīgiem jautājumiem. </w:t>
      </w:r>
      <w:r w:rsidR="00513813" w:rsidRPr="00513813">
        <w:rPr>
          <w:rFonts w:ascii="Times New Roman" w:hAnsi="Times New Roman"/>
          <w:color w:val="000000" w:themeColor="text1"/>
          <w:sz w:val="24"/>
          <w:szCs w:val="24"/>
        </w:rPr>
        <w:t xml:space="preserve">Atzīmējams, ka laika periodā no 2012. līdz 2016.gadam noslēgti 284 dzīvokļu īpašumu atsavināšanas līgumi, no tiem kopumā 258 jeb 91% atsavināšanas darījumu pirkuma cena bija zem 10 tūkst. </w:t>
      </w:r>
      <w:proofErr w:type="spellStart"/>
      <w:r w:rsidR="00513813" w:rsidRPr="00513813">
        <w:rPr>
          <w:rFonts w:ascii="Times New Roman" w:hAnsi="Times New Roman"/>
          <w:i/>
          <w:iCs/>
          <w:color w:val="000000" w:themeColor="text1"/>
          <w:sz w:val="24"/>
          <w:szCs w:val="24"/>
        </w:rPr>
        <w:t>euro</w:t>
      </w:r>
      <w:proofErr w:type="spellEnd"/>
      <w:r w:rsidR="00513813" w:rsidRPr="00513813">
        <w:rPr>
          <w:rFonts w:ascii="Times New Roman" w:hAnsi="Times New Roman"/>
          <w:color w:val="000000" w:themeColor="text1"/>
          <w:sz w:val="24"/>
          <w:szCs w:val="24"/>
        </w:rPr>
        <w:t xml:space="preserve">. Vēl jo vairāk, no visa atsavināto dzīvokļu īpašumu kopskaita (284 dzīvokļu īpašumi) 209 jeb 74% no visiem darījumiem bija vērtībā zem 5 tūkst. </w:t>
      </w:r>
      <w:proofErr w:type="spellStart"/>
      <w:r w:rsidR="00513813" w:rsidRPr="00513813">
        <w:rPr>
          <w:rFonts w:ascii="Times New Roman" w:hAnsi="Times New Roman"/>
          <w:i/>
          <w:iCs/>
          <w:color w:val="000000" w:themeColor="text1"/>
          <w:sz w:val="24"/>
          <w:szCs w:val="24"/>
        </w:rPr>
        <w:t>euro</w:t>
      </w:r>
      <w:proofErr w:type="spellEnd"/>
      <w:r w:rsidR="00513813" w:rsidRPr="00513813">
        <w:rPr>
          <w:rFonts w:ascii="Times New Roman" w:hAnsi="Times New Roman"/>
          <w:color w:val="000000" w:themeColor="text1"/>
          <w:sz w:val="24"/>
          <w:szCs w:val="24"/>
        </w:rPr>
        <w:t xml:space="preserve"> (6.attēls)</w:t>
      </w:r>
      <w:r w:rsidR="00194D9E" w:rsidRPr="004106CA">
        <w:rPr>
          <w:rFonts w:ascii="Times New Roman" w:hAnsi="Times New Roman"/>
          <w:color w:val="000000" w:themeColor="text1"/>
          <w:sz w:val="24"/>
          <w:szCs w:val="24"/>
        </w:rPr>
        <w:t>.</w:t>
      </w:r>
    </w:p>
    <w:p w14:paraId="0A284427" w14:textId="77777777" w:rsidR="00513813" w:rsidRDefault="004106CA" w:rsidP="002601F0">
      <w:pPr>
        <w:keepNext/>
        <w:spacing w:before="80" w:after="80"/>
        <w:ind w:firstLine="709"/>
        <w:jc w:val="right"/>
        <w:rPr>
          <w:rFonts w:ascii="Times New Roman" w:hAnsi="Times New Roman" w:cs="Times New Roman"/>
          <w:i/>
          <w:sz w:val="24"/>
        </w:rPr>
      </w:pPr>
      <w:r>
        <w:rPr>
          <w:rFonts w:ascii="Times New Roman" w:hAnsi="Times New Roman" w:cs="Times New Roman"/>
          <w:i/>
          <w:sz w:val="24"/>
        </w:rPr>
        <w:lastRenderedPageBreak/>
        <w:t>6.</w:t>
      </w:r>
      <w:r w:rsidR="00513813" w:rsidRPr="00852F7D">
        <w:rPr>
          <w:rFonts w:ascii="Times New Roman" w:hAnsi="Times New Roman" w:cs="Times New Roman"/>
          <w:i/>
          <w:sz w:val="24"/>
        </w:rPr>
        <w:t>attēls.</w:t>
      </w:r>
      <w:r w:rsidR="00513813" w:rsidRPr="00852F7D">
        <w:rPr>
          <w:rFonts w:ascii="Times New Roman" w:hAnsi="Times New Roman" w:cs="Times New Roman"/>
          <w:b/>
          <w:sz w:val="24"/>
        </w:rPr>
        <w:t xml:space="preserve"> </w:t>
      </w:r>
      <w:r w:rsidR="00513813" w:rsidRPr="004E29AB">
        <w:rPr>
          <w:rFonts w:ascii="Times New Roman" w:hAnsi="Times New Roman" w:cs="Times New Roman"/>
          <w:b/>
          <w:sz w:val="24"/>
        </w:rPr>
        <w:t>Laika periodā no 2012. līdz 2016.gadam noslēgto dzīvokļu īpašumu atsavināša</w:t>
      </w:r>
      <w:r w:rsidR="00513813" w:rsidRPr="009028DA">
        <w:rPr>
          <w:rFonts w:ascii="Times New Roman" w:hAnsi="Times New Roman" w:cs="Times New Roman"/>
          <w:b/>
          <w:sz w:val="24"/>
        </w:rPr>
        <w:t>nas līgumu vērtības diapazoni</w:t>
      </w:r>
    </w:p>
    <w:p w14:paraId="45CB45F0" w14:textId="77777777" w:rsidR="00194D9E" w:rsidRDefault="00513813" w:rsidP="002601F0">
      <w:pPr>
        <w:keepNext/>
        <w:spacing w:before="80" w:after="80"/>
        <w:ind w:firstLine="709"/>
        <w:jc w:val="right"/>
        <w:rPr>
          <w:rFonts w:ascii="Times New Roman" w:hAnsi="Times New Roman" w:cs="Times New Roman"/>
          <w:b/>
          <w:sz w:val="24"/>
        </w:rPr>
      </w:pPr>
      <w:r>
        <w:rPr>
          <w:rFonts w:ascii="Times New Roman" w:hAnsi="Times New Roman" w:cs="Times New Roman"/>
          <w:i/>
          <w:noProof/>
          <w:sz w:val="24"/>
          <w:lang w:eastAsia="lv-LV"/>
        </w:rPr>
        <w:drawing>
          <wp:inline distT="0" distB="0" distL="0" distR="0" wp14:anchorId="6246A34F" wp14:editId="4AF3F387">
            <wp:extent cx="3888188" cy="2269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3113" cy="2272331"/>
                    </a:xfrm>
                    <a:prstGeom prst="rect">
                      <a:avLst/>
                    </a:prstGeom>
                    <a:noFill/>
                  </pic:spPr>
                </pic:pic>
              </a:graphicData>
            </a:graphic>
          </wp:inline>
        </w:drawing>
      </w:r>
    </w:p>
    <w:p w14:paraId="2246E3C1" w14:textId="77777777" w:rsidR="00513813" w:rsidRDefault="00513813" w:rsidP="00852F7D">
      <w:pPr>
        <w:spacing w:before="80" w:after="80"/>
        <w:ind w:firstLine="709"/>
        <w:jc w:val="right"/>
        <w:rPr>
          <w:rFonts w:ascii="Times New Roman" w:hAnsi="Times New Roman" w:cs="Times New Roman"/>
          <w:b/>
          <w:sz w:val="24"/>
        </w:rPr>
      </w:pPr>
    </w:p>
    <w:p w14:paraId="149C153E" w14:textId="04F20A46" w:rsidR="00C0534A" w:rsidRPr="00C0534A" w:rsidRDefault="00515FA3" w:rsidP="009A5C1C">
      <w:pPr>
        <w:spacing w:before="80" w:after="80"/>
        <w:ind w:firstLine="709"/>
        <w:jc w:val="both"/>
        <w:rPr>
          <w:rFonts w:ascii="Times New Roman" w:hAnsi="Times New Roman"/>
          <w:color w:val="000000" w:themeColor="text1"/>
          <w:sz w:val="24"/>
        </w:rPr>
      </w:pPr>
      <w:r>
        <w:rPr>
          <w:rFonts w:ascii="Times New Roman" w:hAnsi="Times New Roman"/>
          <w:color w:val="000000" w:themeColor="text1"/>
          <w:sz w:val="24"/>
        </w:rPr>
        <w:t xml:space="preserve">Saskaņā ar </w:t>
      </w:r>
      <w:r w:rsidRPr="00515FA3">
        <w:rPr>
          <w:rFonts w:ascii="Times New Roman" w:hAnsi="Times New Roman"/>
          <w:color w:val="000000" w:themeColor="text1"/>
          <w:sz w:val="24"/>
        </w:rPr>
        <w:t>Ministru kabineta 2013.gada 26.novembra noteikumos Nr.1354 “Kārtība, kādā veicama valstij piekritīgās mantas uzskaite, novērtēšana, realizācija, nodošana bez maksas, iznīcināšana un realizācijas ieņēmumu ieskaitīšana valsts budžetā”</w:t>
      </w:r>
      <w:r>
        <w:rPr>
          <w:rFonts w:ascii="Times New Roman" w:hAnsi="Times New Roman"/>
          <w:color w:val="000000" w:themeColor="text1"/>
          <w:sz w:val="24"/>
        </w:rPr>
        <w:t xml:space="preserve"> 32.punktu bez maksas Sabiedrībai</w:t>
      </w:r>
      <w:r w:rsidR="004D2458">
        <w:rPr>
          <w:rFonts w:ascii="Times New Roman" w:hAnsi="Times New Roman"/>
          <w:color w:val="000000" w:themeColor="text1"/>
          <w:sz w:val="24"/>
        </w:rPr>
        <w:t xml:space="preserve"> </w:t>
      </w:r>
      <w:r>
        <w:rPr>
          <w:rFonts w:ascii="Times New Roman" w:hAnsi="Times New Roman"/>
          <w:color w:val="000000" w:themeColor="text1"/>
          <w:sz w:val="24"/>
        </w:rPr>
        <w:t>nodod šādu valstij piekritīgo mantu: 1) </w:t>
      </w:r>
      <w:r w:rsidRPr="00515FA3">
        <w:rPr>
          <w:rFonts w:ascii="Times New Roman" w:hAnsi="Times New Roman"/>
          <w:color w:val="000000" w:themeColor="text1"/>
          <w:sz w:val="24"/>
        </w:rPr>
        <w:t xml:space="preserve">saskaņā ar likumu "Par valsts un pašvaldību dzīvojamo māju privatizāciju" vai </w:t>
      </w:r>
      <w:r>
        <w:rPr>
          <w:rFonts w:ascii="Times New Roman" w:hAnsi="Times New Roman"/>
          <w:color w:val="000000" w:themeColor="text1"/>
          <w:sz w:val="24"/>
        </w:rPr>
        <w:t>A</w:t>
      </w:r>
      <w:r w:rsidRPr="00515FA3">
        <w:rPr>
          <w:rFonts w:ascii="Times New Roman" w:hAnsi="Times New Roman"/>
          <w:color w:val="000000" w:themeColor="text1"/>
          <w:sz w:val="24"/>
        </w:rPr>
        <w:t>tsavināšanas likumu privatizācijai vai atsavināšanai nododamās valstij piekritīgās dzīvojamās mājas, valstij piederošās kopīpašuma daļas valsts un kādas citas personas kopīpašumā esošajās viendzīvokļa dzīvojamās mājās</w:t>
      </w:r>
      <w:r w:rsidR="00513813">
        <w:rPr>
          <w:rFonts w:ascii="Times New Roman" w:hAnsi="Times New Roman"/>
          <w:color w:val="000000" w:themeColor="text1"/>
          <w:sz w:val="24"/>
        </w:rPr>
        <w:t xml:space="preserve"> un</w:t>
      </w:r>
      <w:r w:rsidRPr="00515FA3">
        <w:rPr>
          <w:rFonts w:ascii="Times New Roman" w:hAnsi="Times New Roman"/>
          <w:color w:val="000000" w:themeColor="text1"/>
          <w:sz w:val="24"/>
        </w:rPr>
        <w:t xml:space="preserve"> dzīvokļu īpašumos un dzīvokļu īpašumus, ja mēneša laikā pēc Valsts ieņēmumu dienesta informācijas saņemšanas attiecīgā pašvaldības dome nav pieņēmusi lēmumu vai atsakās pārņemt</w:t>
      </w:r>
      <w:r w:rsidR="004D2458" w:rsidRPr="004D2458">
        <w:rPr>
          <w:rFonts w:ascii="Times New Roman" w:hAnsi="Times New Roman"/>
          <w:color w:val="000000" w:themeColor="text1"/>
          <w:sz w:val="24"/>
        </w:rPr>
        <w:t>, pamatojoties</w:t>
      </w:r>
      <w:r w:rsidR="004D2458">
        <w:rPr>
          <w:rFonts w:ascii="Times New Roman" w:hAnsi="Times New Roman"/>
          <w:color w:val="000000" w:themeColor="text1"/>
          <w:sz w:val="24"/>
        </w:rPr>
        <w:t xml:space="preserve"> uz Ministru kabineta rīkojumu; </w:t>
      </w:r>
      <w:r>
        <w:rPr>
          <w:rFonts w:ascii="Times New Roman" w:hAnsi="Times New Roman"/>
          <w:color w:val="000000" w:themeColor="text1"/>
          <w:sz w:val="24"/>
        </w:rPr>
        <w:t>(32.4.apakšpunkts)</w:t>
      </w:r>
      <w:r w:rsidRPr="00515FA3">
        <w:rPr>
          <w:rFonts w:ascii="Times New Roman" w:hAnsi="Times New Roman"/>
          <w:color w:val="000000" w:themeColor="text1"/>
          <w:sz w:val="24"/>
        </w:rPr>
        <w:t>;</w:t>
      </w:r>
      <w:r>
        <w:rPr>
          <w:rFonts w:ascii="Times New Roman" w:hAnsi="Times New Roman"/>
          <w:color w:val="000000" w:themeColor="text1"/>
          <w:sz w:val="24"/>
        </w:rPr>
        <w:t xml:space="preserve"> 2) </w:t>
      </w:r>
      <w:r w:rsidRPr="00515FA3">
        <w:rPr>
          <w:rFonts w:ascii="Times New Roman" w:hAnsi="Times New Roman"/>
          <w:color w:val="000000" w:themeColor="text1"/>
          <w:sz w:val="24"/>
        </w:rPr>
        <w:t xml:space="preserve">valstij piekritīgo nekustamo īpašumu, par kuru </w:t>
      </w:r>
      <w:r w:rsidR="00E92938">
        <w:rPr>
          <w:rFonts w:ascii="Times New Roman" w:hAnsi="Times New Roman"/>
          <w:color w:val="000000" w:themeColor="text1"/>
          <w:sz w:val="24"/>
        </w:rPr>
        <w:t xml:space="preserve">Privatizācijas </w:t>
      </w:r>
      <w:r w:rsidRPr="00515FA3">
        <w:rPr>
          <w:rFonts w:ascii="Times New Roman" w:hAnsi="Times New Roman"/>
          <w:color w:val="000000" w:themeColor="text1"/>
          <w:sz w:val="24"/>
        </w:rPr>
        <w:t>pabeigšanas likuma 5.pantā noteiktajā kārtībā ir iesniegts privatizācijas ierosinājums un Ministru kabinets nav pieņēmis lēmumu par nekustamā īpašuma nodošanu privatizācijai vai atteikumu nodot privatizācijai</w:t>
      </w:r>
      <w:r>
        <w:rPr>
          <w:rFonts w:ascii="Times New Roman" w:hAnsi="Times New Roman"/>
          <w:color w:val="000000" w:themeColor="text1"/>
          <w:sz w:val="24"/>
        </w:rPr>
        <w:t xml:space="preserve"> (</w:t>
      </w:r>
      <w:r w:rsidR="00147812">
        <w:rPr>
          <w:rFonts w:ascii="Times New Roman" w:hAnsi="Times New Roman"/>
          <w:color w:val="000000" w:themeColor="text1"/>
          <w:sz w:val="24"/>
        </w:rPr>
        <w:t xml:space="preserve">32.9.apakšpunkts); 3) </w:t>
      </w:r>
      <w:r w:rsidR="00637970" w:rsidRPr="00637970">
        <w:rPr>
          <w:rFonts w:ascii="Times New Roman" w:hAnsi="Times New Roman"/>
          <w:color w:val="000000" w:themeColor="text1"/>
          <w:sz w:val="24"/>
        </w:rPr>
        <w:t>valstij piekritīgās kapitāla daļas – institūcijai, kura atsavina valsts kapitāla daļas, saskaņā ar likumu "Par valsts un pašvaldību kapitāla daļām un kapitālsabiedrībām"</w:t>
      </w:r>
      <w:r w:rsidR="00637970">
        <w:rPr>
          <w:rFonts w:ascii="Times New Roman" w:hAnsi="Times New Roman"/>
          <w:color w:val="000000" w:themeColor="text1"/>
          <w:sz w:val="24"/>
        </w:rPr>
        <w:t xml:space="preserve"> </w:t>
      </w:r>
      <w:r w:rsidR="00513813">
        <w:rPr>
          <w:rFonts w:ascii="Times New Roman" w:hAnsi="Times New Roman"/>
          <w:color w:val="000000" w:themeColor="text1"/>
          <w:sz w:val="24"/>
        </w:rPr>
        <w:t xml:space="preserve">(tagad  - Kapitālsabiedrību pārvaldības likumu) </w:t>
      </w:r>
      <w:r w:rsidR="00637970">
        <w:rPr>
          <w:rFonts w:ascii="Times New Roman" w:hAnsi="Times New Roman"/>
          <w:color w:val="000000" w:themeColor="text1"/>
          <w:sz w:val="24"/>
        </w:rPr>
        <w:t>(32.10.apakšpunkts).</w:t>
      </w:r>
      <w:r w:rsidR="009A5C1C">
        <w:rPr>
          <w:rFonts w:ascii="Times New Roman" w:hAnsi="Times New Roman"/>
          <w:color w:val="000000" w:themeColor="text1"/>
          <w:sz w:val="24"/>
        </w:rPr>
        <w:t xml:space="preserve"> </w:t>
      </w:r>
      <w:r w:rsidR="00C0534A" w:rsidRPr="00C0534A">
        <w:rPr>
          <w:rFonts w:ascii="Times New Roman" w:hAnsi="Times New Roman"/>
          <w:color w:val="000000" w:themeColor="text1"/>
          <w:sz w:val="24"/>
        </w:rPr>
        <w:t xml:space="preserve">Tādējādi, </w:t>
      </w:r>
      <w:r w:rsidR="00C0534A" w:rsidRPr="00852F7D">
        <w:rPr>
          <w:rFonts w:ascii="Times New Roman" w:hAnsi="Times New Roman"/>
          <w:b/>
          <w:color w:val="000000" w:themeColor="text1"/>
          <w:sz w:val="24"/>
        </w:rPr>
        <w:t xml:space="preserve">priekšlikums </w:t>
      </w:r>
      <w:r w:rsidR="003C6D41" w:rsidRPr="00852F7D">
        <w:rPr>
          <w:rFonts w:ascii="Times New Roman" w:hAnsi="Times New Roman"/>
          <w:b/>
          <w:color w:val="000000" w:themeColor="text1"/>
          <w:sz w:val="24"/>
        </w:rPr>
        <w:t xml:space="preserve">par </w:t>
      </w:r>
      <w:r w:rsidR="009A5C1C">
        <w:rPr>
          <w:rFonts w:ascii="Times New Roman" w:hAnsi="Times New Roman"/>
          <w:b/>
          <w:color w:val="000000" w:themeColor="text1"/>
          <w:sz w:val="24"/>
        </w:rPr>
        <w:t xml:space="preserve">Sabiedrībai nodotās </w:t>
      </w:r>
      <w:r w:rsidR="00C0534A" w:rsidRPr="00852F7D">
        <w:rPr>
          <w:rFonts w:ascii="Times New Roman" w:hAnsi="Times New Roman"/>
          <w:b/>
          <w:color w:val="000000" w:themeColor="text1"/>
          <w:sz w:val="24"/>
        </w:rPr>
        <w:t xml:space="preserve">valstij </w:t>
      </w:r>
      <w:r w:rsidR="009A5C1C" w:rsidRPr="00852F7D">
        <w:rPr>
          <w:rFonts w:ascii="Times New Roman" w:hAnsi="Times New Roman"/>
          <w:b/>
          <w:color w:val="000000" w:themeColor="text1"/>
          <w:sz w:val="24"/>
        </w:rPr>
        <w:t>piekritīg</w:t>
      </w:r>
      <w:r w:rsidR="009A5C1C">
        <w:rPr>
          <w:rFonts w:ascii="Times New Roman" w:hAnsi="Times New Roman"/>
          <w:b/>
          <w:color w:val="000000" w:themeColor="text1"/>
          <w:sz w:val="24"/>
        </w:rPr>
        <w:t>ā</w:t>
      </w:r>
      <w:r w:rsidR="009A5C1C" w:rsidRPr="00852F7D">
        <w:rPr>
          <w:rFonts w:ascii="Times New Roman" w:hAnsi="Times New Roman"/>
          <w:b/>
          <w:color w:val="000000" w:themeColor="text1"/>
          <w:sz w:val="24"/>
        </w:rPr>
        <w:t xml:space="preserve">s </w:t>
      </w:r>
      <w:r w:rsidR="00C0534A" w:rsidRPr="00852F7D">
        <w:rPr>
          <w:rFonts w:ascii="Times New Roman" w:hAnsi="Times New Roman"/>
          <w:b/>
          <w:color w:val="000000" w:themeColor="text1"/>
          <w:sz w:val="24"/>
        </w:rPr>
        <w:t xml:space="preserve">bezmantinieku mantas, par ko nav saņemtas kreditoru pretenzijas vai publiskas personas iestādes iebildumi par nepieciešamību saglabāt to valsts īpašumā, kā arī par tādiem valsts īpašuma objektiem, kas privatizācijai jau nodoti, bet nav privatizēti, </w:t>
      </w:r>
      <w:r w:rsidR="003C6D41" w:rsidRPr="00852F7D">
        <w:rPr>
          <w:rFonts w:ascii="Times New Roman" w:hAnsi="Times New Roman"/>
          <w:b/>
          <w:color w:val="000000" w:themeColor="text1"/>
          <w:sz w:val="24"/>
        </w:rPr>
        <w:t>nodošanu</w:t>
      </w:r>
      <w:r w:rsidR="00C0534A" w:rsidRPr="00852F7D">
        <w:rPr>
          <w:rFonts w:ascii="Times New Roman" w:hAnsi="Times New Roman"/>
          <w:b/>
          <w:color w:val="000000" w:themeColor="text1"/>
          <w:sz w:val="24"/>
        </w:rPr>
        <w:t xml:space="preserve"> atsavināšanai </w:t>
      </w:r>
      <w:r w:rsidR="00AD7F7E" w:rsidRPr="00852F7D">
        <w:rPr>
          <w:rFonts w:ascii="Times New Roman" w:hAnsi="Times New Roman"/>
          <w:b/>
          <w:color w:val="000000" w:themeColor="text1"/>
          <w:sz w:val="24"/>
        </w:rPr>
        <w:t>bez atsevišķ</w:t>
      </w:r>
      <w:r w:rsidR="007A61D8" w:rsidRPr="00852F7D">
        <w:rPr>
          <w:rFonts w:ascii="Times New Roman" w:hAnsi="Times New Roman"/>
          <w:b/>
          <w:color w:val="000000" w:themeColor="text1"/>
          <w:sz w:val="24"/>
        </w:rPr>
        <w:t>a</w:t>
      </w:r>
      <w:r w:rsidR="00AD7F7E" w:rsidRPr="00852F7D">
        <w:rPr>
          <w:rFonts w:ascii="Times New Roman" w:hAnsi="Times New Roman"/>
          <w:b/>
          <w:color w:val="000000" w:themeColor="text1"/>
          <w:sz w:val="24"/>
        </w:rPr>
        <w:t xml:space="preserve"> Ministru kabineta rīkojuma</w:t>
      </w:r>
      <w:r w:rsidR="00AD7F7E">
        <w:rPr>
          <w:rFonts w:ascii="Times New Roman" w:hAnsi="Times New Roman"/>
          <w:color w:val="000000" w:themeColor="text1"/>
          <w:sz w:val="24"/>
        </w:rPr>
        <w:t xml:space="preserve">, t.i., </w:t>
      </w:r>
      <w:r w:rsidR="00C0534A" w:rsidRPr="00C0534A">
        <w:rPr>
          <w:rFonts w:ascii="Times New Roman" w:hAnsi="Times New Roman"/>
          <w:color w:val="000000" w:themeColor="text1"/>
          <w:sz w:val="24"/>
        </w:rPr>
        <w:t>ar Sabiedrības valdes lēmumu.</w:t>
      </w:r>
    </w:p>
    <w:p w14:paraId="42E7B2DB" w14:textId="50859638" w:rsidR="00EF7CF4" w:rsidRPr="00DC6F66" w:rsidRDefault="003D2BAE">
      <w:pPr>
        <w:pStyle w:val="Heading2"/>
      </w:pPr>
      <w:bookmarkStart w:id="190" w:name="_Toc468974777"/>
      <w:bookmarkStart w:id="191" w:name="_Toc482084461"/>
      <w:bookmarkStart w:id="192" w:name="_Toc482084625"/>
      <w:bookmarkStart w:id="193" w:name="_Toc482084660"/>
      <w:bookmarkStart w:id="194" w:name="_Toc482084695"/>
      <w:bookmarkStart w:id="195" w:name="_Toc482084823"/>
      <w:bookmarkStart w:id="196" w:name="_Toc478473172"/>
      <w:r w:rsidRPr="00DC6F66">
        <w:t xml:space="preserve">Sabiedrības </w:t>
      </w:r>
      <w:bookmarkEnd w:id="190"/>
      <w:r w:rsidR="00BA2BD4" w:rsidRPr="00DC6F66">
        <w:t>pārvaldīšan</w:t>
      </w:r>
      <w:r w:rsidR="00190CA1">
        <w:t>as modeļa pilnveide</w:t>
      </w:r>
      <w:bookmarkEnd w:id="191"/>
      <w:bookmarkEnd w:id="192"/>
      <w:bookmarkEnd w:id="193"/>
      <w:bookmarkEnd w:id="194"/>
      <w:bookmarkEnd w:id="195"/>
      <w:bookmarkEnd w:id="196"/>
    </w:p>
    <w:p w14:paraId="4DC55266" w14:textId="5480C7D1" w:rsidR="00EF7CF4" w:rsidRPr="00114266" w:rsidRDefault="00EF7CF4"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Sabiedrība </w:t>
      </w:r>
      <w:r w:rsidR="0089090D" w:rsidRPr="00114266">
        <w:rPr>
          <w:rFonts w:ascii="Times New Roman" w:hAnsi="Times New Roman"/>
          <w:color w:val="000000" w:themeColor="text1"/>
          <w:sz w:val="24"/>
        </w:rPr>
        <w:t>tika</w:t>
      </w:r>
      <w:r w:rsidRPr="00114266">
        <w:rPr>
          <w:rFonts w:ascii="Times New Roman" w:hAnsi="Times New Roman"/>
          <w:color w:val="000000" w:themeColor="text1"/>
          <w:sz w:val="24"/>
        </w:rPr>
        <w:t xml:space="preserve"> dibināta</w:t>
      </w:r>
      <w:r w:rsidR="0089090D" w:rsidRPr="00114266">
        <w:rPr>
          <w:rFonts w:ascii="Times New Roman" w:hAnsi="Times New Roman"/>
          <w:color w:val="000000" w:themeColor="text1"/>
          <w:sz w:val="24"/>
        </w:rPr>
        <w:t>,</w:t>
      </w:r>
      <w:r w:rsidRPr="00114266">
        <w:rPr>
          <w:rFonts w:ascii="Times New Roman" w:hAnsi="Times New Roman"/>
          <w:color w:val="000000" w:themeColor="text1"/>
          <w:sz w:val="24"/>
        </w:rPr>
        <w:t xml:space="preserve"> pamatojoties uz Privatizācijas likumu, kas bija saistīts ar to, ka Sabiedrības darbība būs tikai un vienīgi </w:t>
      </w:r>
      <w:r w:rsidR="0089090D" w:rsidRPr="00114266">
        <w:rPr>
          <w:rFonts w:ascii="Times New Roman" w:hAnsi="Times New Roman"/>
          <w:color w:val="000000" w:themeColor="text1"/>
          <w:sz w:val="24"/>
        </w:rPr>
        <w:t>saistīta ar</w:t>
      </w:r>
      <w:r w:rsidRPr="00114266">
        <w:rPr>
          <w:rFonts w:ascii="Times New Roman" w:hAnsi="Times New Roman"/>
          <w:color w:val="000000" w:themeColor="text1"/>
          <w:sz w:val="24"/>
        </w:rPr>
        <w:t xml:space="preserve"> tai deleģēto valsts pārvaldes uzdevuma izpildi - valsts vārdā organizē</w:t>
      </w:r>
      <w:r w:rsidR="0089090D" w:rsidRPr="00114266">
        <w:rPr>
          <w:rFonts w:ascii="Times New Roman" w:hAnsi="Times New Roman"/>
          <w:color w:val="000000" w:themeColor="text1"/>
          <w:sz w:val="24"/>
        </w:rPr>
        <w:t>t un veikt</w:t>
      </w:r>
      <w:r w:rsidRPr="00114266">
        <w:rPr>
          <w:rFonts w:ascii="Times New Roman" w:hAnsi="Times New Roman"/>
          <w:color w:val="000000" w:themeColor="text1"/>
          <w:sz w:val="24"/>
        </w:rPr>
        <w:t xml:space="preserve"> valsts īpašuma objektu un zemesgabalu privatizāciju. Šis valsts pārvaldes uzdevums Sabiedrībai tika uzdots ar Privatizācijas likuma 5.panta pirmo daļu. Attiecīgi Privatizācijas likuma III daļā “Valsts īpašuma privatizācija” ir noteikts: 1) Sabiedrības juridiskais statuss; 2) Sabiedrības funkcijas, tiesības un pienākumi; 3) Sabiedrības darbības pārraudzība; 4) Sabiedrības līdzekļi un darbības finansēšana, kā arī 5) Sabiedrības darbības izbeigšana un likvidācija. Līdz ar to šajā likumā ir noteikti atšķirīgi no vispārējās kārtības Sabiedrības pārvaldības jautājumi, t.sk. valsts kapitāla daļas turētāja pārstāvis. Minētais</w:t>
      </w:r>
      <w:r w:rsidR="00A44846">
        <w:rPr>
          <w:rFonts w:ascii="Times New Roman" w:hAnsi="Times New Roman"/>
          <w:color w:val="000000" w:themeColor="text1"/>
          <w:sz w:val="24"/>
        </w:rPr>
        <w:t xml:space="preserve"> </w:t>
      </w:r>
      <w:r w:rsidRPr="00114266">
        <w:rPr>
          <w:rFonts w:ascii="Times New Roman" w:hAnsi="Times New Roman"/>
          <w:color w:val="000000" w:themeColor="text1"/>
          <w:sz w:val="24"/>
        </w:rPr>
        <w:t xml:space="preserve">saistīts ar to, ka pieņemot </w:t>
      </w:r>
      <w:r w:rsidRPr="00114266">
        <w:rPr>
          <w:rFonts w:ascii="Times New Roman" w:hAnsi="Times New Roman"/>
          <w:color w:val="000000" w:themeColor="text1"/>
          <w:sz w:val="24"/>
        </w:rPr>
        <w:lastRenderedPageBreak/>
        <w:t>Privatizācijas likumu, nebija izstrādāts vispārīgs valsts kapitālsabiedrību pārvaldības regulējums tādā izpratnē</w:t>
      </w:r>
      <w:r w:rsidR="0089090D" w:rsidRPr="00114266">
        <w:rPr>
          <w:rFonts w:ascii="Times New Roman" w:hAnsi="Times New Roman"/>
          <w:color w:val="000000" w:themeColor="text1"/>
          <w:sz w:val="24"/>
        </w:rPr>
        <w:t>,</w:t>
      </w:r>
      <w:r w:rsidRPr="00114266">
        <w:rPr>
          <w:rFonts w:ascii="Times New Roman" w:hAnsi="Times New Roman"/>
          <w:color w:val="000000" w:themeColor="text1"/>
          <w:sz w:val="24"/>
        </w:rPr>
        <w:t xml:space="preserve"> kā tas ir šobrīd.</w:t>
      </w:r>
    </w:p>
    <w:p w14:paraId="25F700E7" w14:textId="77777777" w:rsidR="00EF7CF4" w:rsidRPr="00114266" w:rsidRDefault="00EF7CF4"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Tāpat jānorāda, ka tā kā laika gaitā Sabiedrībai tika deleģēts veikt jaunus valsts pārvaldes uzdevumus vai uzdots realizēt noteiktus projektus, Privatizācijas likumā Sabiedrības noteikto uzdevumu uzskaitījums tika papildināts ar normu (Privatizācijas likuma 8.panta pirmās daļas 17.punkts), ko var aizpildīt ar citiem valsts pārvaldes uzdevumiem un uzdevumiem, ko uz ārējo normatīvo aktu </w:t>
      </w:r>
      <w:r w:rsidR="00522CBD">
        <w:rPr>
          <w:rFonts w:ascii="Times New Roman" w:hAnsi="Times New Roman"/>
          <w:color w:val="000000" w:themeColor="text1"/>
          <w:sz w:val="24"/>
        </w:rPr>
        <w:t>vai</w:t>
      </w:r>
      <w:r w:rsidRPr="00114266">
        <w:rPr>
          <w:rFonts w:ascii="Times New Roman" w:hAnsi="Times New Roman"/>
          <w:color w:val="000000" w:themeColor="text1"/>
          <w:sz w:val="24"/>
        </w:rPr>
        <w:t xml:space="preserve"> Ministru kabineta lēmumu pamata pilda kapitālsabiedrība.</w:t>
      </w:r>
    </w:p>
    <w:p w14:paraId="0FEA5C56" w14:textId="77777777" w:rsidR="00EF7CF4" w:rsidRPr="00114266" w:rsidRDefault="00563910" w:rsidP="00114266">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Kapitālsabiedrību p</w:t>
      </w:r>
      <w:r w:rsidR="00EF7CF4" w:rsidRPr="00114266">
        <w:rPr>
          <w:rFonts w:ascii="Times New Roman" w:hAnsi="Times New Roman"/>
          <w:color w:val="000000" w:themeColor="text1"/>
          <w:sz w:val="24"/>
        </w:rPr>
        <w:t>ārvaldības likums nosaka kārtību, kādā: 1) publiska persona iegūst un izbeidz līdzdalību kapitālsabiedrībās; 2) tiek pildīti publiskas personas kā kapitālsabiedrības dalībnieka (akcionāra) pienākumi un īstenotas tiesības; 3) tiek pārvaldītas publiskas personas kapitālsabiedrības, kā arī regulē atsevišķus publiskas personas kapitālsabiedrību meitas sabiedrību pārvaldības jautājumus; 4) darbojas un tiek likvidētas publiskas personas kapitālsabiedrības. Tā kā ir mainījusies faktiskā situācija, un Sabiedrības darbība vairs nav saistīta tikai ar valsts īpašuma objektu privatizāciju</w:t>
      </w:r>
      <w:r w:rsidR="0089090D" w:rsidRPr="00114266">
        <w:rPr>
          <w:rFonts w:ascii="Times New Roman" w:hAnsi="Times New Roman"/>
          <w:color w:val="000000" w:themeColor="text1"/>
          <w:sz w:val="24"/>
        </w:rPr>
        <w:t>,</w:t>
      </w:r>
      <w:r w:rsidR="00EF7CF4" w:rsidRPr="00114266">
        <w:rPr>
          <w:rFonts w:ascii="Times New Roman" w:hAnsi="Times New Roman"/>
          <w:color w:val="000000" w:themeColor="text1"/>
          <w:sz w:val="24"/>
        </w:rPr>
        <w:t xml:space="preserve"> un privatizācijas pabeigšana ir tikai daļa no Sabiedrības veiktajiem uzdevumiem, tad nav pamata noteikt speciālo tiesību regulējumu Sabiedrības darbībai un būtu piemērojams vispārīgais valsts kapitālsabiedrību pārvaldības regulējums atbilstoši </w:t>
      </w:r>
      <w:r>
        <w:rPr>
          <w:rFonts w:ascii="Times New Roman" w:hAnsi="Times New Roman"/>
          <w:color w:val="000000" w:themeColor="text1"/>
          <w:sz w:val="24"/>
        </w:rPr>
        <w:t>Kapitālsabiedrības p</w:t>
      </w:r>
      <w:r w:rsidR="00EF7CF4" w:rsidRPr="00114266">
        <w:rPr>
          <w:rFonts w:ascii="Times New Roman" w:hAnsi="Times New Roman"/>
          <w:color w:val="000000" w:themeColor="text1"/>
          <w:sz w:val="24"/>
        </w:rPr>
        <w:t>ārvaldības likumam. Attiecīgi Privatizācijas likumam būtu jāregulē tikai valsts īpašuma objektu privatizācijas kārtība un privatizācijas institūcijas tiesības un pienākumi attiecībā uz šajā likumā uzdotā valsts pārvaldes uzdevuma izpildi, kā arī šī uzdevuma finansēšanas kārtība.</w:t>
      </w:r>
    </w:p>
    <w:p w14:paraId="2CE50E7C" w14:textId="77777777" w:rsidR="00AA2C30" w:rsidRPr="00114266" w:rsidRDefault="0089090D"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Ņemot vērā iepriekšminēto atzīmējams, ka </w:t>
      </w:r>
      <w:r w:rsidR="00EF7CF4" w:rsidRPr="00114266">
        <w:rPr>
          <w:rFonts w:ascii="Times New Roman" w:hAnsi="Times New Roman"/>
          <w:color w:val="000000" w:themeColor="text1"/>
          <w:sz w:val="24"/>
        </w:rPr>
        <w:t>Sabiedrības šī brīža nosaukums, kas bija atbilstošs tās sākotnējās dibināšanas mērķim un pamatuzdevumam - nodrošināt valsts īpašuma objektu privatizāciju, vairs korekti neraksturo visu Sabiedrības īstenoto uzdevumu specifiku un tvērumu, jo privatizācijas process pamatā ir noslēdzies</w:t>
      </w:r>
      <w:r w:rsidRPr="00114266">
        <w:rPr>
          <w:rFonts w:ascii="Times New Roman" w:hAnsi="Times New Roman"/>
          <w:color w:val="000000" w:themeColor="text1"/>
          <w:sz w:val="24"/>
        </w:rPr>
        <w:t>,</w:t>
      </w:r>
      <w:r w:rsidR="00EF7CF4" w:rsidRPr="00114266">
        <w:rPr>
          <w:rFonts w:ascii="Times New Roman" w:hAnsi="Times New Roman"/>
          <w:color w:val="000000" w:themeColor="text1"/>
          <w:sz w:val="24"/>
        </w:rPr>
        <w:t xml:space="preserve"> un šobrīd Sabiedrība veic arī dzīvokļu īpašumu un valsts kapitāla daļu atsavināšanu</w:t>
      </w:r>
      <w:r w:rsidR="00C704BB" w:rsidRPr="00114266">
        <w:rPr>
          <w:rFonts w:ascii="Times New Roman" w:hAnsi="Times New Roman"/>
          <w:color w:val="000000" w:themeColor="text1"/>
          <w:sz w:val="24"/>
        </w:rPr>
        <w:t>, zemes izpirkuma (pirkuma) līgumu administrēšanu, privatizācijas sertifikātu kontu apkalpošanu un slēgšanu, maksājumu par valsts un pašvaldību dzīvojamo māju privatizāciju, kas veikti privatizācijas sertifikātos, administrēšanu, kā arī</w:t>
      </w:r>
      <w:r w:rsidR="00EF7CF4" w:rsidRPr="00114266">
        <w:rPr>
          <w:rFonts w:ascii="Times New Roman" w:hAnsi="Times New Roman"/>
          <w:color w:val="000000" w:themeColor="text1"/>
          <w:sz w:val="24"/>
        </w:rPr>
        <w:t xml:space="preserve">, atbilstoši deleģējumam, realizē citus speciālos projektus (pārvalda restrukturizējamos aktīvus - meitas sabiedrības), aizvien vairāk palielinoties tās turējumā esošā portfeļa pārvaldības komponentei. Līdz ar to ir nepieciešams mainīt Sabiedrības nosaukumu. </w:t>
      </w:r>
    </w:p>
    <w:p w14:paraId="691C782D" w14:textId="44B0DFB4" w:rsidR="004E29AB" w:rsidRDefault="00AA2C30" w:rsidP="002037EA">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Ņemot vērā iepriekš minēto, </w:t>
      </w:r>
      <w:r w:rsidRPr="00114266">
        <w:rPr>
          <w:rFonts w:ascii="Times New Roman" w:hAnsi="Times New Roman"/>
          <w:b/>
          <w:color w:val="000000" w:themeColor="text1"/>
          <w:sz w:val="24"/>
        </w:rPr>
        <w:t>p</w:t>
      </w:r>
      <w:r w:rsidR="00EF7CF4" w:rsidRPr="00114266">
        <w:rPr>
          <w:rFonts w:ascii="Times New Roman" w:hAnsi="Times New Roman"/>
          <w:b/>
          <w:color w:val="000000" w:themeColor="text1"/>
          <w:sz w:val="24"/>
        </w:rPr>
        <w:t xml:space="preserve">riekšlikums </w:t>
      </w:r>
      <w:r w:rsidRPr="00114266">
        <w:rPr>
          <w:rFonts w:ascii="Times New Roman" w:hAnsi="Times New Roman"/>
          <w:b/>
          <w:color w:val="000000" w:themeColor="text1"/>
          <w:sz w:val="24"/>
        </w:rPr>
        <w:t xml:space="preserve">veikt grozījumus </w:t>
      </w:r>
      <w:r w:rsidR="00522CBD">
        <w:rPr>
          <w:rFonts w:ascii="Times New Roman" w:hAnsi="Times New Roman"/>
          <w:b/>
          <w:color w:val="000000" w:themeColor="text1"/>
          <w:sz w:val="24"/>
        </w:rPr>
        <w:t>Privatizācijas likumā</w:t>
      </w:r>
      <w:r w:rsidRPr="00114266">
        <w:rPr>
          <w:rFonts w:ascii="Times New Roman" w:hAnsi="Times New Roman"/>
          <w:b/>
          <w:color w:val="000000" w:themeColor="text1"/>
          <w:sz w:val="24"/>
        </w:rPr>
        <w:t xml:space="preserve">, nosakot Sabiedrības pārvaldīšanu tikai saskaņā ar </w:t>
      </w:r>
      <w:r w:rsidR="00563910">
        <w:rPr>
          <w:rFonts w:ascii="Times New Roman" w:hAnsi="Times New Roman"/>
          <w:b/>
          <w:color w:val="000000" w:themeColor="text1"/>
          <w:sz w:val="24"/>
        </w:rPr>
        <w:t>Kapitālsabiedrību p</w:t>
      </w:r>
      <w:r w:rsidRPr="00114266">
        <w:rPr>
          <w:rFonts w:ascii="Times New Roman" w:hAnsi="Times New Roman"/>
          <w:b/>
          <w:color w:val="000000" w:themeColor="text1"/>
          <w:sz w:val="24"/>
        </w:rPr>
        <w:t>ārvaldības likumu vispārējā kārtībā, vienlaikus maino</w:t>
      </w:r>
      <w:r w:rsidR="00EF7CF4" w:rsidRPr="00114266">
        <w:rPr>
          <w:rFonts w:ascii="Times New Roman" w:hAnsi="Times New Roman"/>
          <w:b/>
          <w:color w:val="000000" w:themeColor="text1"/>
          <w:sz w:val="24"/>
        </w:rPr>
        <w:t>t Sabiedrības nosaukumu (firmu) uz tādu, kas atbilstu Sabiedrības darbības profilam un atspo</w:t>
      </w:r>
      <w:r w:rsidRPr="00114266">
        <w:rPr>
          <w:rFonts w:ascii="Times New Roman" w:hAnsi="Times New Roman"/>
          <w:b/>
          <w:color w:val="000000" w:themeColor="text1"/>
          <w:sz w:val="24"/>
        </w:rPr>
        <w:t>guļotu visas tās darbības jomas</w:t>
      </w:r>
      <w:r w:rsidR="00EF7CF4" w:rsidRPr="00114266">
        <w:rPr>
          <w:rFonts w:ascii="Times New Roman" w:hAnsi="Times New Roman"/>
          <w:color w:val="000000" w:themeColor="text1"/>
          <w:sz w:val="24"/>
        </w:rPr>
        <w:t xml:space="preserve">. </w:t>
      </w:r>
    </w:p>
    <w:p w14:paraId="043B3908" w14:textId="77777777" w:rsidR="007C4BDB" w:rsidRDefault="007C4BDB" w:rsidP="00114266">
      <w:pPr>
        <w:spacing w:before="80" w:after="80" w:line="240" w:lineRule="auto"/>
        <w:ind w:firstLine="709"/>
        <w:jc w:val="both"/>
        <w:rPr>
          <w:rFonts w:ascii="Times New Roman" w:hAnsi="Times New Roman"/>
          <w:color w:val="000000" w:themeColor="text1"/>
          <w:sz w:val="24"/>
        </w:rPr>
      </w:pPr>
    </w:p>
    <w:p w14:paraId="6F07A3D9" w14:textId="55E06C52" w:rsidR="007C4BDB" w:rsidRPr="00FF46DA" w:rsidRDefault="007C4BDB" w:rsidP="007C4BDB">
      <w:pPr>
        <w:pStyle w:val="Heading1"/>
        <w:numPr>
          <w:ilvl w:val="0"/>
          <w:numId w:val="2"/>
        </w:numPr>
        <w:spacing w:before="360"/>
        <w:ind w:left="714" w:hanging="357"/>
        <w:jc w:val="center"/>
        <w:rPr>
          <w:rStyle w:val="Heading1Char"/>
          <w:rFonts w:ascii="Times New Roman" w:hAnsi="Times New Roman" w:cs="Times New Roman"/>
          <w:b/>
          <w:color w:val="auto"/>
          <w:sz w:val="28"/>
        </w:rPr>
      </w:pPr>
      <w:bookmarkStart w:id="197" w:name="_Toc459121077"/>
      <w:bookmarkStart w:id="198" w:name="_Toc482084462"/>
      <w:bookmarkStart w:id="199" w:name="_Toc482084626"/>
      <w:bookmarkStart w:id="200" w:name="_Toc482084661"/>
      <w:bookmarkStart w:id="201" w:name="_Toc482084696"/>
      <w:bookmarkStart w:id="202" w:name="_Toc482084824"/>
      <w:bookmarkStart w:id="203" w:name="_Toc478473173"/>
      <w:r w:rsidRPr="00FF46DA">
        <w:rPr>
          <w:rStyle w:val="Heading1Char"/>
          <w:rFonts w:ascii="Times New Roman" w:hAnsi="Times New Roman" w:cs="Times New Roman"/>
          <w:b/>
          <w:color w:val="auto"/>
          <w:sz w:val="28"/>
        </w:rPr>
        <w:t>Priekšlikumi izmaiņām normatīvajos aktos</w:t>
      </w:r>
      <w:bookmarkEnd w:id="197"/>
      <w:bookmarkEnd w:id="198"/>
      <w:bookmarkEnd w:id="199"/>
      <w:bookmarkEnd w:id="200"/>
      <w:bookmarkEnd w:id="201"/>
      <w:bookmarkEnd w:id="202"/>
      <w:bookmarkEnd w:id="203"/>
    </w:p>
    <w:p w14:paraId="35FD7DD5" w14:textId="6D123536" w:rsidR="002037EA" w:rsidRPr="00967468" w:rsidRDefault="002037EA" w:rsidP="002037EA">
      <w:pPr>
        <w:pStyle w:val="tv2132"/>
        <w:spacing w:before="80" w:after="80" w:line="240" w:lineRule="auto"/>
        <w:ind w:firstLine="720"/>
        <w:jc w:val="both"/>
        <w:rPr>
          <w:color w:val="auto"/>
          <w:lang w:val="lv-LV"/>
        </w:rPr>
      </w:pPr>
      <w:r w:rsidRPr="00CD7459">
        <w:rPr>
          <w:color w:val="auto"/>
          <w:sz w:val="24"/>
          <w:szCs w:val="28"/>
          <w:lang w:val="lv-LV"/>
        </w:rPr>
        <w:t xml:space="preserve">Apkopojot </w:t>
      </w:r>
      <w:r w:rsidRPr="006D0077">
        <w:rPr>
          <w:color w:val="auto"/>
          <w:sz w:val="24"/>
          <w:szCs w:val="28"/>
          <w:lang w:val="lv-LV"/>
        </w:rPr>
        <w:t>informatīvā ziņojuma 4.sadaļā “</w:t>
      </w:r>
      <w:r w:rsidR="00682739" w:rsidRPr="00682739">
        <w:rPr>
          <w:color w:val="auto"/>
          <w:sz w:val="24"/>
          <w:szCs w:val="28"/>
          <w:lang w:val="lv-LV"/>
        </w:rPr>
        <w:t>Valsts pārvaldes uzdevumu izpildes pabeigšanas un optimizācijas iespējas</w:t>
      </w:r>
      <w:r w:rsidRPr="006D0077">
        <w:rPr>
          <w:color w:val="auto"/>
          <w:sz w:val="24"/>
          <w:szCs w:val="28"/>
          <w:lang w:val="lv-LV"/>
        </w:rPr>
        <w:t>” identificētās problēmas un plānotos pasākumus to risināšanai, nepieciešams veikt grozījumus šādos likumos:</w:t>
      </w:r>
    </w:p>
    <w:p w14:paraId="58D12DC4" w14:textId="6F25F028" w:rsidR="002037EA" w:rsidRPr="00CD7459" w:rsidRDefault="002037EA" w:rsidP="002037EA">
      <w:pPr>
        <w:pStyle w:val="Heading2"/>
      </w:pPr>
      <w:bookmarkStart w:id="204" w:name="_Toc482084463"/>
      <w:bookmarkStart w:id="205" w:name="_Toc482084627"/>
      <w:bookmarkStart w:id="206" w:name="_Toc482084662"/>
      <w:bookmarkStart w:id="207" w:name="_Toc482084697"/>
      <w:bookmarkStart w:id="208" w:name="_Toc482084825"/>
      <w:bookmarkStart w:id="209" w:name="_Toc478473174"/>
      <w:bookmarkStart w:id="210" w:name="_Toc459121078"/>
      <w:r w:rsidRPr="00CD7459">
        <w:t>Sabiedrības pārvaldīšana atbilstoši Publiskas personas kapitāla daļu un kapitālsabiedrību pārvaldības likumam</w:t>
      </w:r>
      <w:bookmarkEnd w:id="204"/>
      <w:bookmarkEnd w:id="205"/>
      <w:bookmarkEnd w:id="206"/>
      <w:bookmarkEnd w:id="207"/>
      <w:bookmarkEnd w:id="208"/>
      <w:bookmarkEnd w:id="209"/>
      <w:r w:rsidRPr="00CD7459">
        <w:t xml:space="preserve"> </w:t>
      </w:r>
    </w:p>
    <w:bookmarkEnd w:id="210"/>
    <w:p w14:paraId="6BD5ACCA" w14:textId="77777777" w:rsidR="002037EA" w:rsidRPr="007249C5" w:rsidRDefault="002037EA" w:rsidP="002037EA">
      <w:pPr>
        <w:pStyle w:val="tv2132"/>
        <w:spacing w:before="80" w:after="80" w:line="240" w:lineRule="auto"/>
        <w:ind w:firstLine="720"/>
        <w:jc w:val="both"/>
        <w:rPr>
          <w:color w:val="auto"/>
          <w:sz w:val="24"/>
          <w:szCs w:val="28"/>
          <w:lang w:val="lv-LV"/>
        </w:rPr>
      </w:pPr>
      <w:r w:rsidRPr="00CD7459">
        <w:rPr>
          <w:color w:val="auto"/>
          <w:sz w:val="24"/>
          <w:szCs w:val="28"/>
          <w:lang w:val="lv-LV"/>
        </w:rPr>
        <w:t>Likum</w:t>
      </w:r>
      <w:r>
        <w:rPr>
          <w:color w:val="auto"/>
          <w:sz w:val="24"/>
          <w:szCs w:val="28"/>
          <w:lang w:val="lv-LV"/>
        </w:rPr>
        <w:t>ā</w:t>
      </w:r>
      <w:r w:rsidRPr="00CD7459">
        <w:rPr>
          <w:color w:val="auto"/>
          <w:sz w:val="24"/>
          <w:szCs w:val="28"/>
          <w:lang w:val="lv-LV"/>
        </w:rPr>
        <w:t xml:space="preserve"> “Par valsts un pašvaldību īpašuma objektu privatizāciju” (s</w:t>
      </w:r>
      <w:r w:rsidRPr="00640322">
        <w:rPr>
          <w:color w:val="auto"/>
          <w:sz w:val="24"/>
          <w:szCs w:val="28"/>
          <w:lang w:val="lv-LV"/>
        </w:rPr>
        <w:t xml:space="preserve">katīt aprakstu pie 4.5.apakšsadaļas “Sabiedrības pārvaldīšanas </w:t>
      </w:r>
      <w:r w:rsidRPr="005C5964">
        <w:rPr>
          <w:color w:val="auto"/>
          <w:sz w:val="24"/>
          <w:szCs w:val="28"/>
          <w:lang w:val="lv-LV"/>
        </w:rPr>
        <w:t>modeļa pilnveide”</w:t>
      </w:r>
      <w:r w:rsidRPr="007249C5">
        <w:rPr>
          <w:color w:val="auto"/>
          <w:sz w:val="24"/>
          <w:szCs w:val="28"/>
          <w:lang w:val="lv-LV"/>
        </w:rPr>
        <w:t>).</w:t>
      </w:r>
    </w:p>
    <w:p w14:paraId="7F52B37F" w14:textId="77777777" w:rsidR="002037EA" w:rsidRPr="00CD7459" w:rsidRDefault="002037EA" w:rsidP="002037EA">
      <w:pPr>
        <w:pStyle w:val="tv2132"/>
        <w:spacing w:before="80" w:after="80" w:line="240" w:lineRule="auto"/>
        <w:ind w:firstLine="720"/>
        <w:jc w:val="both"/>
        <w:rPr>
          <w:color w:val="auto"/>
          <w:sz w:val="24"/>
          <w:szCs w:val="28"/>
          <w:lang w:val="lv-LV"/>
        </w:rPr>
      </w:pPr>
    </w:p>
    <w:p w14:paraId="22BD018E" w14:textId="499545BD" w:rsidR="002037EA" w:rsidRPr="00CD7459" w:rsidRDefault="002037EA" w:rsidP="002037EA">
      <w:pPr>
        <w:pStyle w:val="Heading2"/>
      </w:pPr>
      <w:bookmarkStart w:id="211" w:name="_Toc459121081"/>
      <w:bookmarkStart w:id="212" w:name="_Toc482084464"/>
      <w:bookmarkStart w:id="213" w:name="_Toc482084628"/>
      <w:bookmarkStart w:id="214" w:name="_Toc482084663"/>
      <w:bookmarkStart w:id="215" w:name="_Toc482084698"/>
      <w:bookmarkStart w:id="216" w:name="_Toc482084826"/>
      <w:bookmarkStart w:id="217" w:name="_Toc478473175"/>
      <w:r w:rsidRPr="00CD7459">
        <w:lastRenderedPageBreak/>
        <w:t>Likumi, kuros grozījumi nepieciešami tikai saistībā ar Sabiedrības nosaukuma (firmas)</w:t>
      </w:r>
      <w:bookmarkEnd w:id="211"/>
      <w:r w:rsidRPr="00CD7459">
        <w:t xml:space="preserve"> maiņu</w:t>
      </w:r>
      <w:bookmarkEnd w:id="212"/>
      <w:bookmarkEnd w:id="213"/>
      <w:bookmarkEnd w:id="214"/>
      <w:bookmarkEnd w:id="215"/>
      <w:bookmarkEnd w:id="216"/>
      <w:bookmarkEnd w:id="217"/>
    </w:p>
    <w:p w14:paraId="47F16626" w14:textId="77777777" w:rsidR="002037EA" w:rsidRPr="005C5964" w:rsidRDefault="002037EA" w:rsidP="002037EA">
      <w:pPr>
        <w:pStyle w:val="tv2132"/>
        <w:numPr>
          <w:ilvl w:val="0"/>
          <w:numId w:val="3"/>
        </w:numPr>
        <w:spacing w:before="80" w:after="80" w:line="240" w:lineRule="auto"/>
        <w:ind w:left="1080"/>
        <w:contextualSpacing/>
        <w:jc w:val="both"/>
        <w:rPr>
          <w:color w:val="auto"/>
          <w:sz w:val="24"/>
          <w:szCs w:val="28"/>
          <w:lang w:val="lv-LV"/>
        </w:rPr>
      </w:pPr>
      <w:r w:rsidRPr="00640322">
        <w:rPr>
          <w:color w:val="auto"/>
          <w:sz w:val="24"/>
          <w:szCs w:val="28"/>
          <w:lang w:val="lv-LV"/>
        </w:rPr>
        <w:t>Publiskas personas kapitāla daļu un kapitālsabiedrību pārvaldības likumā;</w:t>
      </w:r>
    </w:p>
    <w:p w14:paraId="12E8972D" w14:textId="77777777" w:rsidR="002037EA" w:rsidRPr="005C5964" w:rsidRDefault="002037EA" w:rsidP="002037EA">
      <w:pPr>
        <w:pStyle w:val="tv2132"/>
        <w:numPr>
          <w:ilvl w:val="0"/>
          <w:numId w:val="3"/>
        </w:numPr>
        <w:spacing w:before="80" w:after="80" w:line="240" w:lineRule="auto"/>
        <w:ind w:left="1080"/>
        <w:contextualSpacing/>
        <w:jc w:val="both"/>
        <w:rPr>
          <w:color w:val="auto"/>
          <w:sz w:val="24"/>
          <w:szCs w:val="28"/>
          <w:lang w:val="lv-LV"/>
        </w:rPr>
      </w:pPr>
      <w:r w:rsidRPr="005C5964">
        <w:rPr>
          <w:color w:val="auto"/>
          <w:sz w:val="24"/>
          <w:szCs w:val="28"/>
          <w:lang w:val="lv-LV"/>
        </w:rPr>
        <w:t>likumā “Par privatizējamo valsts un pašvaldību īpašuma objektu novērtēšanas kārtību”;</w:t>
      </w:r>
    </w:p>
    <w:p w14:paraId="7FFC44E1" w14:textId="77777777" w:rsidR="002037EA" w:rsidRPr="00CD7459" w:rsidRDefault="002037EA" w:rsidP="002037EA">
      <w:pPr>
        <w:pStyle w:val="tv2132"/>
        <w:numPr>
          <w:ilvl w:val="0"/>
          <w:numId w:val="3"/>
        </w:numPr>
        <w:spacing w:before="80" w:after="80" w:line="240" w:lineRule="auto"/>
        <w:ind w:left="1080"/>
        <w:contextualSpacing/>
        <w:jc w:val="both"/>
        <w:rPr>
          <w:color w:val="auto"/>
          <w:sz w:val="24"/>
          <w:szCs w:val="28"/>
          <w:lang w:val="lv-LV"/>
        </w:rPr>
      </w:pPr>
      <w:r w:rsidRPr="00CD7459">
        <w:rPr>
          <w:color w:val="auto"/>
          <w:sz w:val="24"/>
          <w:szCs w:val="28"/>
          <w:lang w:val="lv-LV"/>
        </w:rPr>
        <w:t>Nekustamā īpašuma valsts kadastra likumā;</w:t>
      </w:r>
    </w:p>
    <w:p w14:paraId="0BEB5A09" w14:textId="77777777" w:rsidR="002037EA" w:rsidRPr="00CD7459" w:rsidRDefault="002037EA" w:rsidP="002037EA">
      <w:pPr>
        <w:pStyle w:val="tv2132"/>
        <w:numPr>
          <w:ilvl w:val="0"/>
          <w:numId w:val="3"/>
        </w:numPr>
        <w:spacing w:before="80" w:after="80" w:line="240" w:lineRule="auto"/>
        <w:ind w:left="1080"/>
        <w:contextualSpacing/>
        <w:jc w:val="both"/>
        <w:rPr>
          <w:color w:val="auto"/>
          <w:sz w:val="24"/>
          <w:szCs w:val="28"/>
          <w:lang w:val="lv-LV"/>
        </w:rPr>
      </w:pPr>
      <w:r w:rsidRPr="00CD7459">
        <w:rPr>
          <w:color w:val="auto"/>
          <w:sz w:val="24"/>
          <w:szCs w:val="28"/>
          <w:lang w:val="lv-LV"/>
        </w:rPr>
        <w:t>likumā “Par valsts un pašvaldību zemes īpašuma tiesībām un to nostiprināšanu zemesgrāmatās”;</w:t>
      </w:r>
    </w:p>
    <w:p w14:paraId="5EE9CD21" w14:textId="77777777" w:rsidR="002037EA" w:rsidRPr="00CD7459" w:rsidRDefault="002037EA" w:rsidP="002037EA">
      <w:pPr>
        <w:pStyle w:val="tv2132"/>
        <w:numPr>
          <w:ilvl w:val="0"/>
          <w:numId w:val="3"/>
        </w:numPr>
        <w:spacing w:before="80" w:after="80" w:line="240" w:lineRule="auto"/>
        <w:ind w:left="1080"/>
        <w:contextualSpacing/>
        <w:jc w:val="both"/>
        <w:rPr>
          <w:color w:val="auto"/>
          <w:sz w:val="24"/>
          <w:szCs w:val="28"/>
          <w:lang w:val="lv-LV"/>
        </w:rPr>
      </w:pPr>
      <w:r w:rsidRPr="00CD7459">
        <w:rPr>
          <w:color w:val="auto"/>
          <w:sz w:val="24"/>
          <w:szCs w:val="28"/>
          <w:lang w:val="lv-LV"/>
        </w:rPr>
        <w:t>likumā “Par zemes reformu Latvijas Republikas pilsētās”;</w:t>
      </w:r>
    </w:p>
    <w:p w14:paraId="4A6F5E3A" w14:textId="77777777" w:rsidR="002037EA" w:rsidRPr="00CD7459" w:rsidRDefault="002037EA" w:rsidP="002037EA">
      <w:pPr>
        <w:pStyle w:val="tv2132"/>
        <w:numPr>
          <w:ilvl w:val="0"/>
          <w:numId w:val="3"/>
        </w:numPr>
        <w:spacing w:before="80" w:after="80" w:line="240" w:lineRule="auto"/>
        <w:ind w:left="1080"/>
        <w:contextualSpacing/>
        <w:jc w:val="both"/>
        <w:rPr>
          <w:color w:val="auto"/>
          <w:sz w:val="24"/>
          <w:szCs w:val="28"/>
          <w:lang w:val="lv-LV"/>
        </w:rPr>
      </w:pPr>
      <w:r w:rsidRPr="00CD7459">
        <w:rPr>
          <w:color w:val="auto"/>
          <w:sz w:val="24"/>
          <w:szCs w:val="28"/>
          <w:lang w:val="lv-LV"/>
        </w:rPr>
        <w:t>likumā “Par zemes privatizāciju lauku apvidos”;</w:t>
      </w:r>
    </w:p>
    <w:p w14:paraId="2D7EBED9" w14:textId="77777777" w:rsidR="002037EA" w:rsidRPr="00CD7459" w:rsidRDefault="002037EA" w:rsidP="002037EA">
      <w:pPr>
        <w:pStyle w:val="tv2132"/>
        <w:numPr>
          <w:ilvl w:val="0"/>
          <w:numId w:val="3"/>
        </w:numPr>
        <w:spacing w:before="80" w:after="80" w:line="240" w:lineRule="auto"/>
        <w:ind w:left="1080"/>
        <w:contextualSpacing/>
        <w:jc w:val="both"/>
        <w:rPr>
          <w:color w:val="auto"/>
          <w:sz w:val="24"/>
          <w:szCs w:val="28"/>
          <w:lang w:val="lv-LV"/>
        </w:rPr>
      </w:pPr>
      <w:r w:rsidRPr="00CD7459">
        <w:rPr>
          <w:color w:val="auto"/>
          <w:sz w:val="24"/>
          <w:szCs w:val="28"/>
          <w:lang w:val="lv-LV"/>
        </w:rPr>
        <w:t>Zemesgrāmatu likumā.</w:t>
      </w:r>
    </w:p>
    <w:p w14:paraId="726C5442" w14:textId="77777777" w:rsidR="002037EA" w:rsidRPr="00CD7459" w:rsidRDefault="002037EA" w:rsidP="002037EA">
      <w:pPr>
        <w:pStyle w:val="tv2132"/>
        <w:spacing w:before="80" w:after="80" w:line="240" w:lineRule="auto"/>
        <w:ind w:firstLine="0"/>
        <w:contextualSpacing/>
        <w:jc w:val="both"/>
        <w:rPr>
          <w:color w:val="auto"/>
          <w:sz w:val="24"/>
          <w:szCs w:val="28"/>
          <w:lang w:val="lv-LV"/>
        </w:rPr>
      </w:pPr>
    </w:p>
    <w:p w14:paraId="40E9687B" w14:textId="6B267C27" w:rsidR="002037EA" w:rsidRPr="00CD7459" w:rsidRDefault="002037EA" w:rsidP="002037EA">
      <w:pPr>
        <w:pStyle w:val="Heading2"/>
      </w:pPr>
      <w:bookmarkStart w:id="218" w:name="_Toc482084465"/>
      <w:bookmarkStart w:id="219" w:name="_Toc482084629"/>
      <w:bookmarkStart w:id="220" w:name="_Toc482084664"/>
      <w:bookmarkStart w:id="221" w:name="_Toc482084699"/>
      <w:bookmarkStart w:id="222" w:name="_Toc482084827"/>
      <w:bookmarkStart w:id="223" w:name="_Toc478473176"/>
      <w:r w:rsidRPr="00CD7459">
        <w:t>Pirkuma līguma par valsts vai pašvaldību īpašuma objektu, apbūvētu un neapbūvētu zemesgabalu un zemes izpirkuma (pirkuma) līguma nomaksas termiņa samazināšana no 10 līdz 5 gadiem</w:t>
      </w:r>
      <w:bookmarkEnd w:id="218"/>
      <w:bookmarkEnd w:id="219"/>
      <w:bookmarkEnd w:id="220"/>
      <w:bookmarkEnd w:id="221"/>
      <w:bookmarkEnd w:id="222"/>
      <w:bookmarkEnd w:id="223"/>
      <w:r w:rsidRPr="00CD7459">
        <w:t xml:space="preserve"> </w:t>
      </w:r>
    </w:p>
    <w:p w14:paraId="5559FDF0" w14:textId="161F529C" w:rsidR="002037EA" w:rsidRPr="00CD7459" w:rsidRDefault="002037EA" w:rsidP="002037EA">
      <w:pPr>
        <w:pStyle w:val="tv2132"/>
        <w:spacing w:before="80" w:after="80" w:line="240" w:lineRule="auto"/>
        <w:ind w:firstLine="720"/>
        <w:jc w:val="both"/>
        <w:rPr>
          <w:color w:val="auto"/>
          <w:sz w:val="24"/>
          <w:szCs w:val="24"/>
          <w:lang w:val="lv-LV"/>
        </w:rPr>
      </w:pPr>
      <w:r w:rsidRPr="00CD7459">
        <w:rPr>
          <w:color w:val="auto"/>
          <w:sz w:val="24"/>
          <w:szCs w:val="24"/>
          <w:lang w:val="lv-LV"/>
        </w:rPr>
        <w:t>1) Valsts un pašvaldību īpašuma privatizācijas un privatizācijas sertifikātu izmantošanas pabeigšanas likum</w:t>
      </w:r>
      <w:r>
        <w:rPr>
          <w:color w:val="auto"/>
          <w:sz w:val="24"/>
          <w:szCs w:val="24"/>
          <w:lang w:val="lv-LV"/>
        </w:rPr>
        <w:t>ā</w:t>
      </w:r>
      <w:r w:rsidRPr="00CD7459">
        <w:rPr>
          <w:color w:val="auto"/>
          <w:sz w:val="24"/>
          <w:szCs w:val="24"/>
          <w:lang w:val="lv-LV"/>
        </w:rPr>
        <w:t xml:space="preserve"> (skatīt aprakstu 4.2.1.2., 4.2.2.2.apakš</w:t>
      </w:r>
      <w:r w:rsidR="00AD747B">
        <w:rPr>
          <w:color w:val="auto"/>
          <w:sz w:val="24"/>
          <w:szCs w:val="24"/>
          <w:lang w:val="lv-LV"/>
        </w:rPr>
        <w:t>sa</w:t>
      </w:r>
      <w:r w:rsidRPr="00CD7459">
        <w:rPr>
          <w:color w:val="auto"/>
          <w:sz w:val="24"/>
          <w:szCs w:val="24"/>
          <w:lang w:val="lv-LV"/>
        </w:rPr>
        <w:t>daļās</w:t>
      </w:r>
      <w:r>
        <w:rPr>
          <w:color w:val="auto"/>
          <w:sz w:val="24"/>
          <w:szCs w:val="24"/>
          <w:lang w:val="lv-LV"/>
        </w:rPr>
        <w:t xml:space="preserve"> “Plānotie pasākumi”);</w:t>
      </w:r>
    </w:p>
    <w:p w14:paraId="786FD66C" w14:textId="108578B1" w:rsidR="002037EA" w:rsidRPr="00CD7459" w:rsidRDefault="002037EA" w:rsidP="002037EA">
      <w:pPr>
        <w:pStyle w:val="ListParagraph"/>
        <w:ind w:left="0" w:firstLine="709"/>
        <w:jc w:val="both"/>
        <w:rPr>
          <w:rFonts w:cs="Times New Roman"/>
        </w:rPr>
      </w:pPr>
      <w:r w:rsidRPr="00CD7459">
        <w:rPr>
          <w:rFonts w:cs="Times New Roman"/>
        </w:rPr>
        <w:t xml:space="preserve">2) </w:t>
      </w:r>
      <w:r>
        <w:t>l</w:t>
      </w:r>
      <w:r w:rsidRPr="00CD7459">
        <w:t>ikum</w:t>
      </w:r>
      <w:r>
        <w:t>ā</w:t>
      </w:r>
      <w:r w:rsidRPr="00CD7459">
        <w:t xml:space="preserve"> “Par valsts un pašvaldību dzīvojamo māju privatizāciju” (skatīt aprakstu </w:t>
      </w:r>
      <w:r w:rsidRPr="00640322">
        <w:t xml:space="preserve">4.2.3.2. </w:t>
      </w:r>
      <w:proofErr w:type="spellStart"/>
      <w:r w:rsidRPr="00640322">
        <w:t>apak</w:t>
      </w:r>
      <w:r w:rsidR="00AD747B">
        <w:t>šsa</w:t>
      </w:r>
      <w:r w:rsidRPr="005C5964">
        <w:t>daļā</w:t>
      </w:r>
      <w:proofErr w:type="spellEnd"/>
      <w:r>
        <w:t xml:space="preserve"> “Plānotie pasākumi”).</w:t>
      </w:r>
    </w:p>
    <w:p w14:paraId="686A786B" w14:textId="48EC9A0F" w:rsidR="009C6A39" w:rsidRPr="00CD7459" w:rsidRDefault="00682739" w:rsidP="009C6A39">
      <w:pPr>
        <w:pStyle w:val="Heading2"/>
      </w:pPr>
      <w:bookmarkStart w:id="224" w:name="_Toc482084466"/>
      <w:bookmarkStart w:id="225" w:name="_Toc482084630"/>
      <w:bookmarkStart w:id="226" w:name="_Toc482084665"/>
      <w:bookmarkStart w:id="227" w:name="_Toc482084700"/>
      <w:bookmarkStart w:id="228" w:name="_Toc482084828"/>
      <w:bookmarkStart w:id="229" w:name="_Toc478473177"/>
      <w:r>
        <w:t>Sabiedrības</w:t>
      </w:r>
      <w:r w:rsidR="0020582D">
        <w:t xml:space="preserve"> noteikšana par tās</w:t>
      </w:r>
      <w:r>
        <w:t xml:space="preserve"> </w:t>
      </w:r>
      <w:r w:rsidR="009C6A39" w:rsidRPr="007A3EDD">
        <w:t>turējumā esošo valsts īpašuma objektu un zemesgabalu, kuru privatizācija tiek izbeigta, atsavināšan</w:t>
      </w:r>
      <w:r w:rsidR="009C6A39">
        <w:t>a</w:t>
      </w:r>
      <w:r>
        <w:t>s</w:t>
      </w:r>
      <w:r w:rsidR="0020582D">
        <w:t xml:space="preserve"> veicošo institūciju</w:t>
      </w:r>
      <w:bookmarkEnd w:id="224"/>
      <w:bookmarkEnd w:id="225"/>
      <w:bookmarkEnd w:id="226"/>
      <w:bookmarkEnd w:id="227"/>
      <w:bookmarkEnd w:id="228"/>
      <w:bookmarkEnd w:id="229"/>
    </w:p>
    <w:p w14:paraId="579A9AA1" w14:textId="55633B0B" w:rsidR="009C6A39" w:rsidRDefault="009C6A39" w:rsidP="009C6A39">
      <w:pPr>
        <w:pStyle w:val="tv2132"/>
        <w:spacing w:before="80" w:after="80" w:line="240" w:lineRule="auto"/>
        <w:jc w:val="both"/>
        <w:rPr>
          <w:color w:val="auto"/>
          <w:sz w:val="24"/>
          <w:szCs w:val="28"/>
          <w:lang w:val="lv-LV"/>
        </w:rPr>
      </w:pPr>
      <w:r w:rsidRPr="00CD7459">
        <w:rPr>
          <w:color w:val="auto"/>
          <w:sz w:val="24"/>
          <w:szCs w:val="28"/>
          <w:lang w:val="lv-LV"/>
        </w:rPr>
        <w:t>Publiskas personas mantas atsavināšanas likum</w:t>
      </w:r>
      <w:r>
        <w:rPr>
          <w:color w:val="auto"/>
          <w:sz w:val="24"/>
          <w:szCs w:val="28"/>
          <w:lang w:val="lv-LV"/>
        </w:rPr>
        <w:t>ā (skatīt aprakstu 4.3.apakš</w:t>
      </w:r>
      <w:r w:rsidR="00AD747B">
        <w:rPr>
          <w:color w:val="auto"/>
          <w:sz w:val="24"/>
          <w:szCs w:val="28"/>
          <w:lang w:val="lv-LV"/>
        </w:rPr>
        <w:t>sa</w:t>
      </w:r>
      <w:r>
        <w:rPr>
          <w:color w:val="auto"/>
          <w:sz w:val="24"/>
          <w:szCs w:val="28"/>
          <w:lang w:val="lv-LV"/>
        </w:rPr>
        <w:t>daļā “</w:t>
      </w:r>
      <w:r w:rsidRPr="007A3EDD">
        <w:rPr>
          <w:color w:val="auto"/>
          <w:sz w:val="24"/>
          <w:szCs w:val="28"/>
          <w:lang w:val="lv-LV"/>
        </w:rPr>
        <w:t>Pilna cikla pakalpojumu nodrošināšana</w:t>
      </w:r>
      <w:r>
        <w:rPr>
          <w:color w:val="auto"/>
          <w:sz w:val="24"/>
          <w:szCs w:val="28"/>
          <w:lang w:val="lv-LV"/>
        </w:rPr>
        <w:t xml:space="preserve">”). </w:t>
      </w:r>
    </w:p>
    <w:p w14:paraId="125C8C02" w14:textId="67F7FC0D" w:rsidR="002037EA" w:rsidRPr="00CD7459" w:rsidRDefault="002037EA" w:rsidP="002037EA">
      <w:pPr>
        <w:pStyle w:val="Heading2"/>
      </w:pPr>
      <w:bookmarkStart w:id="230" w:name="_Toc482084467"/>
      <w:bookmarkStart w:id="231" w:name="_Toc482084631"/>
      <w:bookmarkStart w:id="232" w:name="_Toc482084666"/>
      <w:bookmarkStart w:id="233" w:name="_Toc482084701"/>
      <w:bookmarkStart w:id="234" w:name="_Toc482084829"/>
      <w:bookmarkStart w:id="235" w:name="_Toc478473178"/>
      <w:bookmarkStart w:id="236" w:name="_Toc459121080"/>
      <w:r w:rsidRPr="00CD7459">
        <w:t>Sabiedrībai nodotās bezmantinieku mantas atsavināšana</w:t>
      </w:r>
      <w:r>
        <w:t>s</w:t>
      </w:r>
      <w:r w:rsidRPr="00CD7459">
        <w:t xml:space="preserve"> </w:t>
      </w:r>
      <w:r>
        <w:t>vienkāršošana</w:t>
      </w:r>
      <w:bookmarkEnd w:id="230"/>
      <w:bookmarkEnd w:id="231"/>
      <w:bookmarkEnd w:id="232"/>
      <w:bookmarkEnd w:id="233"/>
      <w:bookmarkEnd w:id="234"/>
      <w:bookmarkEnd w:id="235"/>
      <w:r>
        <w:t xml:space="preserve"> </w:t>
      </w:r>
      <w:bookmarkEnd w:id="236"/>
    </w:p>
    <w:p w14:paraId="0373F289" w14:textId="69DD0CBD" w:rsidR="002037EA" w:rsidRPr="00640322" w:rsidRDefault="002037EA" w:rsidP="002037EA">
      <w:pPr>
        <w:pStyle w:val="tv2132"/>
        <w:spacing w:before="80" w:after="80" w:line="240" w:lineRule="auto"/>
        <w:jc w:val="both"/>
        <w:rPr>
          <w:color w:val="auto"/>
          <w:sz w:val="24"/>
          <w:szCs w:val="28"/>
          <w:lang w:val="lv-LV"/>
        </w:rPr>
      </w:pPr>
      <w:r w:rsidRPr="00CD7459">
        <w:rPr>
          <w:color w:val="auto"/>
          <w:sz w:val="24"/>
          <w:szCs w:val="28"/>
          <w:lang w:val="lv-LV"/>
        </w:rPr>
        <w:t>Publiskas personas mantas atsavināšanas likum</w:t>
      </w:r>
      <w:r>
        <w:rPr>
          <w:color w:val="auto"/>
          <w:sz w:val="24"/>
          <w:szCs w:val="28"/>
          <w:lang w:val="lv-LV"/>
        </w:rPr>
        <w:t>ā (skatīt aprakstu 4.4.apakš</w:t>
      </w:r>
      <w:r w:rsidR="00AD747B">
        <w:rPr>
          <w:color w:val="auto"/>
          <w:sz w:val="24"/>
          <w:szCs w:val="28"/>
          <w:lang w:val="lv-LV"/>
        </w:rPr>
        <w:t>sa</w:t>
      </w:r>
      <w:r>
        <w:rPr>
          <w:color w:val="auto"/>
          <w:sz w:val="24"/>
          <w:szCs w:val="28"/>
          <w:lang w:val="lv-LV"/>
        </w:rPr>
        <w:t>daļā “</w:t>
      </w:r>
      <w:r w:rsidRPr="007249C5">
        <w:rPr>
          <w:color w:val="auto"/>
          <w:sz w:val="24"/>
          <w:szCs w:val="28"/>
          <w:lang w:val="lv-LV"/>
        </w:rPr>
        <w:t>Lēmumu pieņemšanas procesu optimizēšana</w:t>
      </w:r>
      <w:r>
        <w:rPr>
          <w:color w:val="auto"/>
          <w:sz w:val="24"/>
          <w:szCs w:val="28"/>
          <w:lang w:val="lv-LV"/>
        </w:rPr>
        <w:t xml:space="preserve">”). </w:t>
      </w:r>
    </w:p>
    <w:p w14:paraId="69F977F3" w14:textId="784B7F1B" w:rsidR="003B5AD0" w:rsidRDefault="003B5AD0" w:rsidP="00A57A8B">
      <w:pPr>
        <w:pStyle w:val="tv2132"/>
        <w:spacing w:before="80" w:after="80" w:line="240" w:lineRule="auto"/>
        <w:jc w:val="both"/>
        <w:rPr>
          <w:color w:val="auto"/>
          <w:sz w:val="24"/>
          <w:szCs w:val="28"/>
          <w:lang w:val="lv-LV"/>
        </w:rPr>
      </w:pPr>
    </w:p>
    <w:p w14:paraId="0358292C" w14:textId="77777777" w:rsidR="004652AB" w:rsidRDefault="004652AB" w:rsidP="00A57A8B">
      <w:pPr>
        <w:pStyle w:val="tv2132"/>
        <w:spacing w:before="80" w:after="80" w:line="240" w:lineRule="auto"/>
        <w:jc w:val="both"/>
        <w:rPr>
          <w:color w:val="auto"/>
          <w:sz w:val="24"/>
          <w:szCs w:val="28"/>
          <w:lang w:val="lv-LV"/>
        </w:rPr>
      </w:pPr>
    </w:p>
    <w:p w14:paraId="76D2EAF3" w14:textId="77777777" w:rsidR="002D0BA7" w:rsidRDefault="002D0BA7" w:rsidP="0009352A">
      <w:pPr>
        <w:spacing w:after="0" w:line="240" w:lineRule="auto"/>
        <w:rPr>
          <w:rFonts w:ascii="Times New Roman" w:eastAsia="Times New Roman" w:hAnsi="Times New Roman" w:cs="Times New Roman"/>
          <w:sz w:val="24"/>
          <w:szCs w:val="24"/>
          <w:lang w:eastAsia="lv-LV"/>
        </w:rPr>
      </w:pPr>
    </w:p>
    <w:p w14:paraId="21F136E1" w14:textId="77777777" w:rsidR="0009352A" w:rsidRPr="005C5D65" w:rsidRDefault="0009352A" w:rsidP="0009352A">
      <w:pPr>
        <w:spacing w:after="0" w:line="240" w:lineRule="auto"/>
        <w:rPr>
          <w:rFonts w:ascii="Times New Roman" w:eastAsia="Times New Roman" w:hAnsi="Times New Roman" w:cs="Times New Roman"/>
          <w:sz w:val="24"/>
          <w:szCs w:val="24"/>
          <w:lang w:eastAsia="lv-LV"/>
        </w:rPr>
      </w:pPr>
      <w:r w:rsidRPr="005C5D65">
        <w:rPr>
          <w:rFonts w:ascii="Times New Roman" w:eastAsia="Times New Roman" w:hAnsi="Times New Roman" w:cs="Times New Roman"/>
          <w:sz w:val="24"/>
          <w:szCs w:val="24"/>
          <w:lang w:eastAsia="lv-LV"/>
        </w:rPr>
        <w:t>Ministru prezidenta biedrs,</w:t>
      </w:r>
    </w:p>
    <w:p w14:paraId="3DD32756" w14:textId="77777777" w:rsidR="0009352A" w:rsidRPr="005C5D65" w:rsidRDefault="0009352A" w:rsidP="0009352A">
      <w:pPr>
        <w:spacing w:after="0" w:line="240" w:lineRule="auto"/>
        <w:rPr>
          <w:rFonts w:ascii="Times New Roman" w:eastAsia="Times New Roman" w:hAnsi="Times New Roman" w:cs="Times New Roman"/>
          <w:sz w:val="24"/>
          <w:szCs w:val="24"/>
          <w:lang w:eastAsia="lv-LV"/>
        </w:rPr>
      </w:pPr>
      <w:r w:rsidRPr="005C5D65">
        <w:rPr>
          <w:rFonts w:ascii="Times New Roman" w:eastAsia="Times New Roman" w:hAnsi="Times New Roman" w:cs="Times New Roman"/>
          <w:sz w:val="24"/>
          <w:szCs w:val="24"/>
          <w:lang w:eastAsia="lv-LV"/>
        </w:rPr>
        <w:t>ekonomikas ministrs</w:t>
      </w:r>
      <w:r w:rsidRPr="005C5D65">
        <w:rPr>
          <w:rFonts w:ascii="Times New Roman" w:eastAsia="Times New Roman" w:hAnsi="Times New Roman" w:cs="Times New Roman"/>
          <w:sz w:val="24"/>
          <w:szCs w:val="24"/>
          <w:lang w:eastAsia="lv-LV"/>
        </w:rPr>
        <w:tab/>
      </w:r>
      <w:r w:rsidRPr="005C5D65">
        <w:rPr>
          <w:rFonts w:ascii="Times New Roman" w:eastAsia="Times New Roman" w:hAnsi="Times New Roman" w:cs="Times New Roman"/>
          <w:sz w:val="24"/>
          <w:szCs w:val="24"/>
          <w:lang w:eastAsia="lv-LV"/>
        </w:rPr>
        <w:tab/>
      </w:r>
      <w:r w:rsidRPr="005C5D65">
        <w:rPr>
          <w:rFonts w:ascii="Times New Roman" w:eastAsia="Times New Roman" w:hAnsi="Times New Roman" w:cs="Times New Roman"/>
          <w:sz w:val="24"/>
          <w:szCs w:val="24"/>
          <w:lang w:eastAsia="lv-LV"/>
        </w:rPr>
        <w:tab/>
      </w:r>
      <w:r w:rsidRPr="005C5D65">
        <w:rPr>
          <w:rFonts w:ascii="Times New Roman" w:eastAsia="Times New Roman" w:hAnsi="Times New Roman" w:cs="Times New Roman"/>
          <w:sz w:val="24"/>
          <w:szCs w:val="24"/>
          <w:lang w:eastAsia="lv-LV"/>
        </w:rPr>
        <w:tab/>
      </w:r>
      <w:r w:rsidRPr="005C5D65">
        <w:rPr>
          <w:rFonts w:ascii="Times New Roman" w:eastAsia="Times New Roman" w:hAnsi="Times New Roman" w:cs="Times New Roman"/>
          <w:sz w:val="24"/>
          <w:szCs w:val="24"/>
          <w:lang w:eastAsia="lv-LV"/>
        </w:rPr>
        <w:tab/>
      </w:r>
      <w:r w:rsidRPr="005C5D65">
        <w:rPr>
          <w:rFonts w:ascii="Times New Roman" w:eastAsia="Times New Roman" w:hAnsi="Times New Roman" w:cs="Times New Roman"/>
          <w:sz w:val="24"/>
          <w:szCs w:val="24"/>
          <w:lang w:eastAsia="lv-LV"/>
        </w:rPr>
        <w:tab/>
      </w:r>
      <w:r w:rsidRPr="005C5D65">
        <w:rPr>
          <w:rFonts w:ascii="Times New Roman" w:eastAsia="Times New Roman" w:hAnsi="Times New Roman" w:cs="Times New Roman"/>
          <w:sz w:val="24"/>
          <w:szCs w:val="24"/>
          <w:lang w:eastAsia="lv-LV"/>
        </w:rPr>
        <w:tab/>
      </w:r>
      <w:r w:rsidRPr="005C5D65">
        <w:rPr>
          <w:rFonts w:ascii="Times New Roman" w:eastAsia="Times New Roman" w:hAnsi="Times New Roman" w:cs="Times New Roman"/>
          <w:sz w:val="24"/>
          <w:szCs w:val="24"/>
          <w:lang w:eastAsia="lv-LV"/>
        </w:rPr>
        <w:tab/>
      </w:r>
      <w:proofErr w:type="spellStart"/>
      <w:r w:rsidRPr="005C5D65">
        <w:rPr>
          <w:rFonts w:ascii="Times New Roman" w:eastAsia="Times New Roman" w:hAnsi="Times New Roman" w:cs="Times New Roman"/>
          <w:sz w:val="24"/>
          <w:szCs w:val="24"/>
          <w:lang w:eastAsia="lv-LV"/>
        </w:rPr>
        <w:t>A.Ašeradens</w:t>
      </w:r>
      <w:proofErr w:type="spellEnd"/>
    </w:p>
    <w:p w14:paraId="6898E0A9" w14:textId="77777777" w:rsidR="0009352A" w:rsidRDefault="0009352A" w:rsidP="0009352A">
      <w:pPr>
        <w:spacing w:after="0" w:line="240" w:lineRule="auto"/>
        <w:jc w:val="both"/>
        <w:rPr>
          <w:rFonts w:ascii="Times New Roman" w:eastAsia="Times New Roman" w:hAnsi="Times New Roman" w:cs="Times New Roman"/>
          <w:sz w:val="24"/>
          <w:szCs w:val="24"/>
          <w:lang w:eastAsia="lv-LV"/>
        </w:rPr>
      </w:pPr>
    </w:p>
    <w:p w14:paraId="1ADB5445" w14:textId="77777777" w:rsidR="00A44846" w:rsidRDefault="00A44846" w:rsidP="0009352A">
      <w:pPr>
        <w:spacing w:after="0" w:line="240" w:lineRule="auto"/>
        <w:jc w:val="both"/>
        <w:rPr>
          <w:rFonts w:ascii="Times New Roman" w:eastAsia="Times New Roman" w:hAnsi="Times New Roman" w:cs="Times New Roman"/>
          <w:sz w:val="24"/>
          <w:szCs w:val="24"/>
          <w:lang w:eastAsia="lv-LV"/>
        </w:rPr>
      </w:pPr>
    </w:p>
    <w:p w14:paraId="11D586E4" w14:textId="77777777" w:rsidR="00A44846" w:rsidRDefault="00A44846" w:rsidP="0009352A">
      <w:pPr>
        <w:spacing w:after="0" w:line="240" w:lineRule="auto"/>
        <w:jc w:val="both"/>
        <w:rPr>
          <w:rFonts w:ascii="Times New Roman" w:eastAsia="Times New Roman" w:hAnsi="Times New Roman" w:cs="Times New Roman"/>
          <w:sz w:val="24"/>
          <w:szCs w:val="24"/>
          <w:lang w:eastAsia="lv-LV"/>
        </w:rPr>
      </w:pPr>
      <w:bookmarkStart w:id="237" w:name="_GoBack"/>
      <w:bookmarkEnd w:id="237"/>
    </w:p>
    <w:p w14:paraId="7F76F14F" w14:textId="77777777" w:rsidR="0009352A" w:rsidRPr="005C5D65" w:rsidRDefault="0009352A" w:rsidP="0009352A">
      <w:pPr>
        <w:spacing w:after="0" w:line="240" w:lineRule="auto"/>
        <w:jc w:val="both"/>
        <w:rPr>
          <w:rFonts w:ascii="Times New Roman" w:eastAsia="Times New Roman" w:hAnsi="Times New Roman" w:cs="Times New Roman"/>
          <w:sz w:val="24"/>
          <w:szCs w:val="24"/>
          <w:lang w:eastAsia="lv-LV"/>
        </w:rPr>
      </w:pPr>
      <w:r w:rsidRPr="005C5D65">
        <w:rPr>
          <w:rFonts w:ascii="Times New Roman" w:eastAsia="Times New Roman" w:hAnsi="Times New Roman" w:cs="Times New Roman"/>
          <w:sz w:val="24"/>
          <w:szCs w:val="24"/>
          <w:lang w:eastAsia="lv-LV"/>
        </w:rPr>
        <w:t xml:space="preserve">Vīza: </w:t>
      </w:r>
    </w:p>
    <w:p w14:paraId="1EC54B25" w14:textId="77777777" w:rsidR="004652AB" w:rsidRDefault="006E7F27" w:rsidP="006E7F2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09352A" w:rsidRPr="005C5D65">
        <w:rPr>
          <w:rFonts w:ascii="Times New Roman" w:eastAsia="Times New Roman" w:hAnsi="Times New Roman" w:cs="Times New Roman"/>
          <w:color w:val="000000"/>
          <w:sz w:val="24"/>
          <w:szCs w:val="24"/>
        </w:rPr>
        <w:t>alsts sekretār</w:t>
      </w:r>
      <w:r w:rsidR="004652AB">
        <w:rPr>
          <w:rFonts w:ascii="Times New Roman" w:eastAsia="Times New Roman" w:hAnsi="Times New Roman" w:cs="Times New Roman"/>
          <w:color w:val="000000"/>
          <w:sz w:val="24"/>
          <w:szCs w:val="24"/>
        </w:rPr>
        <w:t>a pienākumu izpildītāja,</w:t>
      </w:r>
    </w:p>
    <w:p w14:paraId="11145CB6" w14:textId="67781084" w:rsidR="0009352A" w:rsidRPr="005C5D65" w:rsidRDefault="004652AB" w:rsidP="006E7F2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administrācijas vadītāja</w:t>
      </w:r>
      <w:r w:rsidR="0009352A" w:rsidRPr="005C5D65">
        <w:rPr>
          <w:rFonts w:ascii="Times New Roman" w:eastAsia="Times New Roman" w:hAnsi="Times New Roman" w:cs="Times New Roman"/>
          <w:color w:val="000000"/>
          <w:sz w:val="24"/>
          <w:szCs w:val="24"/>
        </w:rPr>
        <w:tab/>
      </w:r>
      <w:r w:rsidR="0009352A" w:rsidRPr="005C5D65">
        <w:rPr>
          <w:rFonts w:ascii="Times New Roman" w:eastAsia="Times New Roman" w:hAnsi="Times New Roman" w:cs="Times New Roman"/>
          <w:color w:val="000000"/>
          <w:sz w:val="24"/>
          <w:szCs w:val="24"/>
        </w:rPr>
        <w:tab/>
        <w:t xml:space="preserve"> </w:t>
      </w:r>
      <w:r w:rsidR="0009352A" w:rsidRPr="005C5D65">
        <w:rPr>
          <w:rFonts w:ascii="Times New Roman" w:eastAsia="Times New Roman" w:hAnsi="Times New Roman" w:cs="Times New Roman"/>
          <w:color w:val="000000"/>
          <w:sz w:val="24"/>
          <w:szCs w:val="24"/>
        </w:rPr>
        <w:tab/>
      </w:r>
      <w:r w:rsidR="0009352A" w:rsidRPr="005C5D65">
        <w:rPr>
          <w:rFonts w:ascii="Times New Roman" w:eastAsia="Times New Roman" w:hAnsi="Times New Roman" w:cs="Times New Roman"/>
          <w:color w:val="000000"/>
          <w:sz w:val="24"/>
          <w:szCs w:val="24"/>
        </w:rPr>
        <w:tab/>
      </w:r>
      <w:r w:rsidR="0009352A" w:rsidRPr="005C5D65">
        <w:rPr>
          <w:rFonts w:ascii="Times New Roman" w:eastAsia="Times New Roman" w:hAnsi="Times New Roman" w:cs="Times New Roman"/>
          <w:color w:val="000000"/>
          <w:sz w:val="24"/>
          <w:szCs w:val="24"/>
        </w:rPr>
        <w:tab/>
      </w:r>
      <w:r w:rsidR="0009352A" w:rsidRPr="005C5D65">
        <w:rPr>
          <w:rFonts w:ascii="Times New Roman" w:eastAsia="Times New Roman" w:hAnsi="Times New Roman" w:cs="Times New Roman"/>
          <w:color w:val="000000"/>
          <w:sz w:val="24"/>
          <w:szCs w:val="24"/>
        </w:rPr>
        <w:tab/>
      </w:r>
      <w:r w:rsidR="0009352A" w:rsidRPr="005C5D65">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I.Jaunzeme</w:t>
      </w:r>
      <w:proofErr w:type="spellEnd"/>
    </w:p>
    <w:p w14:paraId="55357314" w14:textId="77777777" w:rsidR="0009352A" w:rsidRDefault="0009352A" w:rsidP="0009352A">
      <w:pPr>
        <w:tabs>
          <w:tab w:val="left" w:pos="7513"/>
        </w:tabs>
        <w:spacing w:after="0" w:line="240" w:lineRule="auto"/>
        <w:rPr>
          <w:rFonts w:ascii="Times New Roman" w:eastAsia="Times New Roman" w:hAnsi="Times New Roman" w:cs="Times New Roman"/>
          <w:sz w:val="28"/>
          <w:szCs w:val="28"/>
          <w:lang w:eastAsia="lv-LV"/>
        </w:rPr>
      </w:pPr>
    </w:p>
    <w:p w14:paraId="0D206F99" w14:textId="77777777" w:rsidR="00A44846" w:rsidRDefault="00A44846" w:rsidP="0009352A">
      <w:pPr>
        <w:tabs>
          <w:tab w:val="left" w:pos="7513"/>
        </w:tabs>
        <w:spacing w:after="0" w:line="240" w:lineRule="auto"/>
        <w:rPr>
          <w:rFonts w:ascii="Times New Roman" w:eastAsia="Times New Roman" w:hAnsi="Times New Roman" w:cs="Times New Roman"/>
          <w:sz w:val="28"/>
          <w:szCs w:val="28"/>
          <w:lang w:eastAsia="lv-LV"/>
        </w:rPr>
      </w:pPr>
    </w:p>
    <w:p w14:paraId="30660AFD" w14:textId="77777777" w:rsidR="00A44846" w:rsidRDefault="00A44846" w:rsidP="0009352A">
      <w:pPr>
        <w:tabs>
          <w:tab w:val="left" w:pos="7513"/>
        </w:tabs>
        <w:spacing w:after="0" w:line="240" w:lineRule="auto"/>
        <w:rPr>
          <w:rFonts w:ascii="Times New Roman" w:eastAsia="Times New Roman" w:hAnsi="Times New Roman" w:cs="Times New Roman"/>
          <w:sz w:val="28"/>
          <w:szCs w:val="28"/>
          <w:lang w:eastAsia="lv-LV"/>
        </w:rPr>
      </w:pPr>
    </w:p>
    <w:p w14:paraId="55C04D8C" w14:textId="77777777" w:rsidR="00A44846" w:rsidRDefault="00A44846" w:rsidP="0009352A">
      <w:pPr>
        <w:tabs>
          <w:tab w:val="left" w:pos="7513"/>
        </w:tabs>
        <w:spacing w:after="0" w:line="240" w:lineRule="auto"/>
        <w:rPr>
          <w:rFonts w:ascii="Times New Roman" w:eastAsia="Times New Roman" w:hAnsi="Times New Roman" w:cs="Times New Roman"/>
          <w:sz w:val="28"/>
          <w:szCs w:val="28"/>
          <w:lang w:eastAsia="lv-LV"/>
        </w:rPr>
      </w:pPr>
    </w:p>
    <w:p w14:paraId="4D6BD232" w14:textId="77777777" w:rsidR="00A44846" w:rsidRDefault="00A44846" w:rsidP="0009352A">
      <w:pPr>
        <w:tabs>
          <w:tab w:val="left" w:pos="7513"/>
        </w:tabs>
        <w:spacing w:after="0" w:line="240" w:lineRule="auto"/>
        <w:rPr>
          <w:rFonts w:ascii="Times New Roman" w:eastAsia="Times New Roman" w:hAnsi="Times New Roman" w:cs="Times New Roman"/>
          <w:sz w:val="28"/>
          <w:szCs w:val="28"/>
          <w:lang w:eastAsia="lv-LV"/>
        </w:rPr>
      </w:pPr>
    </w:p>
    <w:p w14:paraId="7E8CB29C" w14:textId="77777777" w:rsidR="0009352A" w:rsidRPr="00DC6F66" w:rsidRDefault="0009352A" w:rsidP="0009352A">
      <w:pPr>
        <w:tabs>
          <w:tab w:val="left" w:pos="7513"/>
        </w:tabs>
        <w:spacing w:after="0" w:line="240" w:lineRule="auto"/>
        <w:rPr>
          <w:rFonts w:ascii="Times New Roman" w:eastAsia="Times New Roman" w:hAnsi="Times New Roman" w:cs="Times New Roman"/>
          <w:sz w:val="28"/>
          <w:szCs w:val="28"/>
          <w:lang w:eastAsia="lv-LV"/>
        </w:rPr>
      </w:pPr>
    </w:p>
    <w:p w14:paraId="71E6F7A4" w14:textId="77777777" w:rsidR="0009352A" w:rsidRPr="00DC6F66" w:rsidRDefault="0009352A" w:rsidP="0009352A">
      <w:pPr>
        <w:spacing w:after="0" w:line="240" w:lineRule="auto"/>
        <w:rPr>
          <w:rFonts w:ascii="Times New Roman" w:hAnsi="Times New Roman" w:cs="Times New Roman"/>
          <w:sz w:val="20"/>
          <w:szCs w:val="20"/>
        </w:rPr>
      </w:pPr>
      <w:r w:rsidRPr="00DC6F66">
        <w:rPr>
          <w:rFonts w:ascii="Times New Roman" w:hAnsi="Times New Roman" w:cs="Times New Roman"/>
          <w:sz w:val="20"/>
          <w:szCs w:val="20"/>
        </w:rPr>
        <w:t>Spaliņa</w:t>
      </w:r>
    </w:p>
    <w:p w14:paraId="469E28AE" w14:textId="0E73FE95" w:rsidR="00812291" w:rsidRPr="00A44846" w:rsidRDefault="0009352A" w:rsidP="00A44846">
      <w:pPr>
        <w:spacing w:after="0" w:line="240" w:lineRule="auto"/>
      </w:pPr>
      <w:r w:rsidRPr="00DC6F66">
        <w:rPr>
          <w:rFonts w:ascii="Times New Roman" w:hAnsi="Times New Roman" w:cs="Times New Roman"/>
          <w:sz w:val="20"/>
          <w:szCs w:val="20"/>
        </w:rPr>
        <w:t>67013110</w:t>
      </w:r>
      <w:r w:rsidRPr="00DC6F66">
        <w:rPr>
          <w:sz w:val="20"/>
          <w:szCs w:val="20"/>
        </w:rPr>
        <w:t xml:space="preserve">, </w:t>
      </w:r>
      <w:hyperlink r:id="rId15" w:history="1">
        <w:r w:rsidRPr="00A44846">
          <w:rPr>
            <w:rStyle w:val="Hyperlink"/>
            <w:rFonts w:ascii="Times New Roman" w:hAnsi="Times New Roman" w:cs="Times New Roman"/>
            <w:color w:val="auto"/>
            <w:sz w:val="20"/>
            <w:szCs w:val="20"/>
            <w:u w:val="none"/>
          </w:rPr>
          <w:t>Dace.Spalina@em.gov.lv</w:t>
        </w:r>
      </w:hyperlink>
      <w:bookmarkStart w:id="238" w:name="_Toc463876473"/>
      <w:bookmarkStart w:id="239" w:name="_Toc463876520"/>
      <w:bookmarkStart w:id="240" w:name="_Toc463965478"/>
      <w:bookmarkStart w:id="241" w:name="_Toc463965479"/>
      <w:bookmarkStart w:id="242" w:name="_Toc463965487"/>
      <w:bookmarkStart w:id="243" w:name="_Toc463965488"/>
      <w:bookmarkStart w:id="244" w:name="_Toc463965489"/>
      <w:bookmarkStart w:id="245" w:name="_Toc463965494"/>
      <w:bookmarkStart w:id="246" w:name="_Toc463965498"/>
      <w:bookmarkStart w:id="247" w:name="_Toc463965500"/>
      <w:bookmarkStart w:id="248" w:name="_Toc463965501"/>
      <w:bookmarkStart w:id="249" w:name="_Toc463965503"/>
      <w:bookmarkStart w:id="250" w:name="_Toc463965504"/>
      <w:bookmarkStart w:id="251" w:name="_Toc463965505"/>
      <w:bookmarkStart w:id="252" w:name="_Toc463965506"/>
      <w:bookmarkStart w:id="253" w:name="_Toc463965507"/>
      <w:bookmarkStart w:id="254" w:name="_Toc463965512"/>
      <w:bookmarkStart w:id="255" w:name="_Toc463965513"/>
      <w:bookmarkStart w:id="256" w:name="_Toc463965514"/>
      <w:bookmarkStart w:id="257" w:name="_Toc463965515"/>
      <w:bookmarkStart w:id="258" w:name="_Toc463965516"/>
      <w:bookmarkStart w:id="259" w:name="_Toc463965517"/>
      <w:bookmarkStart w:id="260" w:name="_Toc463965518"/>
      <w:bookmarkStart w:id="261" w:name="_Toc463965519"/>
      <w:bookmarkStart w:id="262" w:name="_Toc463965520"/>
      <w:bookmarkStart w:id="263" w:name="_Toc463965521"/>
      <w:bookmarkStart w:id="264" w:name="_Toc463965522"/>
      <w:bookmarkStart w:id="265" w:name="_Toc463965523"/>
      <w:bookmarkStart w:id="266" w:name="_Toc463965524"/>
      <w:bookmarkStart w:id="267" w:name="_Toc463965525"/>
      <w:bookmarkStart w:id="268" w:name="_Toc463965526"/>
      <w:bookmarkStart w:id="269" w:name="_Toc463965527"/>
      <w:bookmarkStart w:id="270" w:name="_Toc463965528"/>
      <w:bookmarkStart w:id="271" w:name="_Toc463965529"/>
      <w:bookmarkStart w:id="272" w:name="_Toc463965530"/>
      <w:bookmarkStart w:id="273" w:name="_Toc463965531"/>
      <w:bookmarkStart w:id="274" w:name="_Toc463965532"/>
      <w:bookmarkStart w:id="275" w:name="_Toc463965533"/>
      <w:bookmarkStart w:id="276" w:name="_Toc463965534"/>
      <w:bookmarkStart w:id="277" w:name="_Toc463965535"/>
      <w:bookmarkStart w:id="278" w:name="_Toc463965536"/>
      <w:bookmarkStart w:id="279" w:name="_Toc463876482"/>
      <w:bookmarkStart w:id="280" w:name="_Toc463876529"/>
      <w:bookmarkStart w:id="281" w:name="_Toc463965537"/>
      <w:bookmarkStart w:id="282" w:name="_Toc463876483"/>
      <w:bookmarkStart w:id="283" w:name="_Toc463876530"/>
      <w:bookmarkStart w:id="284" w:name="_Toc463965538"/>
      <w:bookmarkStart w:id="285" w:name="_Toc463876484"/>
      <w:bookmarkStart w:id="286" w:name="_Toc463876531"/>
      <w:bookmarkStart w:id="287" w:name="_Toc463965539"/>
      <w:bookmarkStart w:id="288" w:name="_Toc463876485"/>
      <w:bookmarkStart w:id="289" w:name="_Toc463876532"/>
      <w:bookmarkStart w:id="290" w:name="_Toc463965540"/>
      <w:bookmarkStart w:id="291" w:name="_Toc463876486"/>
      <w:bookmarkStart w:id="292" w:name="_Toc463876533"/>
      <w:bookmarkStart w:id="293" w:name="_Toc463965541"/>
      <w:bookmarkStart w:id="294" w:name="_Toc463876487"/>
      <w:bookmarkStart w:id="295" w:name="_Toc463876534"/>
      <w:bookmarkStart w:id="296" w:name="_Toc463965542"/>
      <w:bookmarkStart w:id="297" w:name="_Toc463876488"/>
      <w:bookmarkStart w:id="298" w:name="_Toc463876535"/>
      <w:bookmarkStart w:id="299" w:name="_Toc463965543"/>
      <w:bookmarkStart w:id="300" w:name="_Toc463876489"/>
      <w:bookmarkStart w:id="301" w:name="_Toc463876536"/>
      <w:bookmarkStart w:id="302" w:name="_Toc463965544"/>
      <w:bookmarkStart w:id="303" w:name="_Toc463876490"/>
      <w:bookmarkStart w:id="304" w:name="_Toc463876537"/>
      <w:bookmarkStart w:id="305" w:name="_Toc463965545"/>
      <w:bookmarkStart w:id="306" w:name="_Toc463876491"/>
      <w:bookmarkStart w:id="307" w:name="_Toc463876538"/>
      <w:bookmarkStart w:id="308" w:name="_Toc463965546"/>
      <w:bookmarkStart w:id="309" w:name="_Toc463876492"/>
      <w:bookmarkStart w:id="310" w:name="_Toc463876539"/>
      <w:bookmarkStart w:id="311" w:name="_Toc463965547"/>
      <w:bookmarkStart w:id="312" w:name="_Toc463876493"/>
      <w:bookmarkStart w:id="313" w:name="_Toc463876540"/>
      <w:bookmarkStart w:id="314" w:name="_Toc463965548"/>
      <w:bookmarkStart w:id="315" w:name="_Toc463876494"/>
      <w:bookmarkStart w:id="316" w:name="_Toc463876541"/>
      <w:bookmarkStart w:id="317" w:name="_Toc463965549"/>
      <w:bookmarkStart w:id="318" w:name="_Toc463876495"/>
      <w:bookmarkStart w:id="319" w:name="_Toc463876542"/>
      <w:bookmarkStart w:id="320" w:name="_Toc463965550"/>
      <w:bookmarkStart w:id="321" w:name="_Toc463876496"/>
      <w:bookmarkStart w:id="322" w:name="_Toc463876543"/>
      <w:bookmarkStart w:id="323" w:name="_Toc463965551"/>
      <w:bookmarkStart w:id="324" w:name="_Toc463876497"/>
      <w:bookmarkStart w:id="325" w:name="_Toc463876544"/>
      <w:bookmarkStart w:id="326" w:name="_Toc463965552"/>
      <w:bookmarkStart w:id="327" w:name="_Toc463876498"/>
      <w:bookmarkStart w:id="328" w:name="_Toc463876545"/>
      <w:bookmarkStart w:id="329" w:name="_Toc463965553"/>
      <w:bookmarkStart w:id="330" w:name="_Toc463876499"/>
      <w:bookmarkStart w:id="331" w:name="_Toc463876546"/>
      <w:bookmarkStart w:id="332" w:name="_Toc463965554"/>
      <w:bookmarkStart w:id="333" w:name="_Toc463876500"/>
      <w:bookmarkStart w:id="334" w:name="_Toc463876547"/>
      <w:bookmarkStart w:id="335" w:name="_Toc463965555"/>
      <w:bookmarkStart w:id="336" w:name="_Toc463876501"/>
      <w:bookmarkStart w:id="337" w:name="_Toc463876548"/>
      <w:bookmarkStart w:id="338" w:name="_Toc463965556"/>
      <w:bookmarkStart w:id="339" w:name="_Toc463965557"/>
      <w:bookmarkStart w:id="340" w:name="_Toc463965558"/>
      <w:bookmarkStart w:id="341" w:name="_Toc463965559"/>
      <w:bookmarkStart w:id="342" w:name="_Toc463965560"/>
      <w:bookmarkStart w:id="343" w:name="_Toc463965561"/>
      <w:bookmarkStart w:id="344" w:name="_Toc463965562"/>
      <w:bookmarkStart w:id="345" w:name="_Toc463965563"/>
      <w:bookmarkStart w:id="346" w:name="_Toc463965564"/>
      <w:bookmarkStart w:id="347" w:name="_Toc463965565"/>
      <w:bookmarkStart w:id="348" w:name="_Toc463965566"/>
      <w:bookmarkStart w:id="349" w:name="_Toc463965567"/>
      <w:bookmarkStart w:id="350" w:name="_Toc463965568"/>
      <w:bookmarkStart w:id="351" w:name="_Toc463965569"/>
      <w:bookmarkStart w:id="352" w:name="_Toc463965570"/>
      <w:bookmarkStart w:id="353" w:name="_Toc463965571"/>
      <w:bookmarkStart w:id="354" w:name="_Toc463965572"/>
      <w:bookmarkStart w:id="355" w:name="_Toc463965573"/>
      <w:bookmarkStart w:id="356" w:name="_Toc463965574"/>
      <w:bookmarkStart w:id="357" w:name="_Toc463965575"/>
      <w:bookmarkStart w:id="358" w:name="_Toc463965576"/>
      <w:bookmarkStart w:id="359" w:name="_Toc463965577"/>
      <w:bookmarkStart w:id="360" w:name="_Toc463965578"/>
      <w:bookmarkStart w:id="361" w:name="_Toc463965579"/>
      <w:bookmarkStart w:id="362" w:name="_Toc463965580"/>
      <w:bookmarkStart w:id="363" w:name="_Toc463965581"/>
      <w:bookmarkStart w:id="364" w:name="_Toc463965582"/>
      <w:bookmarkStart w:id="365" w:name="_Toc463965583"/>
      <w:bookmarkStart w:id="366" w:name="_Toc463965584"/>
      <w:bookmarkStart w:id="367" w:name="_Toc463965585"/>
      <w:bookmarkStart w:id="368" w:name="_Toc463965586"/>
      <w:bookmarkStart w:id="369" w:name="_Toc463965587"/>
      <w:bookmarkStart w:id="370" w:name="_Toc463965588"/>
      <w:bookmarkStart w:id="371" w:name="_Toc463965589"/>
      <w:bookmarkStart w:id="372" w:name="_Toc463965590"/>
      <w:bookmarkStart w:id="373" w:name="_Toc463965591"/>
      <w:bookmarkStart w:id="374" w:name="_Toc463965592"/>
      <w:bookmarkStart w:id="375" w:name="_Toc463965593"/>
      <w:bookmarkStart w:id="376" w:name="_Toc463965594"/>
      <w:bookmarkStart w:id="377" w:name="_Toc463965595"/>
      <w:bookmarkStart w:id="378" w:name="_Toc463965596"/>
      <w:bookmarkStart w:id="379" w:name="_Toc463965597"/>
      <w:bookmarkStart w:id="380" w:name="_Toc463965598"/>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sectPr w:rsidR="00812291" w:rsidRPr="00A44846" w:rsidSect="00F7627F">
      <w:headerReference w:type="default" r:id="rId16"/>
      <w:footerReference w:type="default" r:id="rId17"/>
      <w:headerReference w:type="first" r:id="rId18"/>
      <w:footerReference w:type="first" r:id="rId19"/>
      <w:pgSz w:w="11906" w:h="16838"/>
      <w:pgMar w:top="1361" w:right="1418" w:bottom="124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BC332" w14:textId="77777777" w:rsidR="00F21AC2" w:rsidRDefault="00F21AC2" w:rsidP="00F87680">
      <w:pPr>
        <w:spacing w:after="0" w:line="240" w:lineRule="auto"/>
      </w:pPr>
      <w:r>
        <w:separator/>
      </w:r>
    </w:p>
  </w:endnote>
  <w:endnote w:type="continuationSeparator" w:id="0">
    <w:p w14:paraId="08CFCAD6" w14:textId="77777777" w:rsidR="00F21AC2" w:rsidRDefault="00F21AC2" w:rsidP="00F87680">
      <w:pPr>
        <w:spacing w:after="0" w:line="240" w:lineRule="auto"/>
      </w:pPr>
      <w:r>
        <w:continuationSeparator/>
      </w:r>
    </w:p>
  </w:endnote>
  <w:endnote w:type="continuationNotice" w:id="1">
    <w:p w14:paraId="2A3FF11C" w14:textId="77777777" w:rsidR="00F21AC2" w:rsidRDefault="00F21A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92E7" w14:textId="5E8B2F19" w:rsidR="00674AF7" w:rsidRPr="00C76138" w:rsidRDefault="00674AF7" w:rsidP="0002731B">
    <w:pPr>
      <w:pStyle w:val="Footer"/>
      <w:jc w:val="both"/>
      <w:rPr>
        <w:sz w:val="20"/>
      </w:rPr>
    </w:pPr>
    <w:r w:rsidRPr="00EE3EE3">
      <w:rPr>
        <w:sz w:val="20"/>
      </w:rPr>
      <w:t>EMZino_</w:t>
    </w:r>
    <w:r w:rsidR="004652AB">
      <w:rPr>
        <w:sz w:val="20"/>
      </w:rPr>
      <w:t>22</w:t>
    </w:r>
    <w:r>
      <w:rPr>
        <w:sz w:val="20"/>
      </w:rPr>
      <w:t>0517</w:t>
    </w:r>
    <w:r w:rsidRPr="00EE3EE3">
      <w:rPr>
        <w:sz w:val="20"/>
      </w:rPr>
      <w:t>_PA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3FB4" w14:textId="355793AB" w:rsidR="00674AF7" w:rsidRPr="0016590D" w:rsidRDefault="00674AF7" w:rsidP="00F77F89">
    <w:pPr>
      <w:pStyle w:val="Footer"/>
      <w:jc w:val="both"/>
      <w:rPr>
        <w:color w:val="FF0000"/>
        <w:sz w:val="20"/>
      </w:rPr>
    </w:pPr>
    <w:r w:rsidRPr="0041287E">
      <w:rPr>
        <w:sz w:val="20"/>
      </w:rPr>
      <w:t>EMZino_</w:t>
    </w:r>
    <w:r w:rsidR="004652AB">
      <w:rPr>
        <w:sz w:val="20"/>
      </w:rPr>
      <w:t>220</w:t>
    </w:r>
    <w:r>
      <w:rPr>
        <w:sz w:val="20"/>
      </w:rPr>
      <w:t>517</w:t>
    </w:r>
    <w:r w:rsidRPr="0041287E">
      <w:rPr>
        <w:sz w:val="20"/>
      </w:rPr>
      <w:t>_PA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DAC84" w14:textId="77777777" w:rsidR="00F21AC2" w:rsidRDefault="00F21AC2" w:rsidP="00F87680">
      <w:pPr>
        <w:spacing w:after="0" w:line="240" w:lineRule="auto"/>
      </w:pPr>
      <w:r>
        <w:separator/>
      </w:r>
    </w:p>
  </w:footnote>
  <w:footnote w:type="continuationSeparator" w:id="0">
    <w:p w14:paraId="63224B21" w14:textId="77777777" w:rsidR="00F21AC2" w:rsidRDefault="00F21AC2" w:rsidP="00F87680">
      <w:pPr>
        <w:spacing w:after="0" w:line="240" w:lineRule="auto"/>
      </w:pPr>
      <w:r>
        <w:continuationSeparator/>
      </w:r>
    </w:p>
  </w:footnote>
  <w:footnote w:type="continuationNotice" w:id="1">
    <w:p w14:paraId="32EB835A" w14:textId="77777777" w:rsidR="00F21AC2" w:rsidRDefault="00F21AC2">
      <w:pPr>
        <w:spacing w:after="0" w:line="240" w:lineRule="auto"/>
      </w:pPr>
    </w:p>
  </w:footnote>
  <w:footnote w:id="2">
    <w:p w14:paraId="4F3622CC" w14:textId="77777777" w:rsidR="00674AF7" w:rsidRPr="000532AE" w:rsidRDefault="00674AF7">
      <w:pPr>
        <w:pStyle w:val="FootnoteText"/>
        <w:rPr>
          <w:rFonts w:cs="Times New Roman"/>
          <w:i/>
        </w:rPr>
      </w:pPr>
      <w:r w:rsidRPr="000532AE">
        <w:rPr>
          <w:rStyle w:val="FootnoteReference"/>
          <w:rFonts w:cs="Times New Roman"/>
          <w:i/>
        </w:rPr>
        <w:footnoteRef/>
      </w:r>
      <w:r w:rsidRPr="000532AE">
        <w:rPr>
          <w:rFonts w:cs="Times New Roman"/>
          <w:i/>
        </w:rPr>
        <w:t xml:space="preserve"> Apstiprināti ar Sabiedrības ārkārtas akcionāru sapulces 2016.gada 20.janvāra lēmumu. Pieejams: </w:t>
      </w:r>
      <w:hyperlink r:id="rId1" w:history="1">
        <w:r w:rsidRPr="00902BC7">
          <w:rPr>
            <w:rStyle w:val="Hyperlink"/>
            <w:rFonts w:cs="Times New Roman"/>
            <w:i/>
          </w:rPr>
          <w:t>https://www.pa.gov.lv/upload/uploads/skmbt_c22016022212121.pdf</w:t>
        </w:r>
      </w:hyperlink>
      <w:r w:rsidRPr="000532AE">
        <w:rPr>
          <w:rFonts w:cs="Times New Roman"/>
          <w:i/>
        </w:rPr>
        <w:t xml:space="preserve"> </w:t>
      </w:r>
    </w:p>
  </w:footnote>
  <w:footnote w:id="3">
    <w:p w14:paraId="6AE1D7C7" w14:textId="77777777" w:rsidR="00674AF7" w:rsidRPr="00902BC7" w:rsidRDefault="00674AF7">
      <w:pPr>
        <w:pStyle w:val="FootnoteText"/>
        <w:rPr>
          <w:rFonts w:cs="Times New Roman"/>
          <w:i/>
        </w:rPr>
      </w:pPr>
      <w:r w:rsidRPr="000532AE">
        <w:rPr>
          <w:rStyle w:val="FootnoteReference"/>
          <w:rFonts w:cs="Times New Roman"/>
          <w:i/>
        </w:rPr>
        <w:footnoteRef/>
      </w:r>
      <w:r w:rsidRPr="000532AE">
        <w:rPr>
          <w:rFonts w:cs="Times New Roman"/>
          <w:i/>
        </w:rPr>
        <w:t xml:space="preserve"> Citadele banka tika pārdota 2014.gadā, noslēdzot darījumu 2015.gada 20.aprīlī.</w:t>
      </w:r>
    </w:p>
  </w:footnote>
  <w:footnote w:id="4">
    <w:p w14:paraId="751FEE2B" w14:textId="77777777" w:rsidR="00674AF7" w:rsidRPr="008A7D07" w:rsidRDefault="00674AF7">
      <w:pPr>
        <w:pStyle w:val="FootnoteText"/>
        <w:rPr>
          <w:rFonts w:cs="Times New Roman"/>
          <w:i/>
        </w:rPr>
      </w:pPr>
      <w:r w:rsidRPr="000532AE">
        <w:rPr>
          <w:rStyle w:val="FootnoteReference"/>
          <w:rFonts w:cs="Times New Roman"/>
          <w:i/>
        </w:rPr>
        <w:footnoteRef/>
      </w:r>
      <w:r w:rsidRPr="000532AE">
        <w:rPr>
          <w:rFonts w:cs="Times New Roman"/>
          <w:i/>
        </w:rPr>
        <w:t xml:space="preserve"> </w:t>
      </w:r>
      <w:r w:rsidRPr="008A7D07">
        <w:rPr>
          <w:rFonts w:cs="Times New Roman"/>
          <w:i/>
        </w:rPr>
        <w:t>Atbilstoši nominālvērtībai un kadastrālai vērtībai.</w:t>
      </w:r>
    </w:p>
  </w:footnote>
  <w:footnote w:id="5">
    <w:p w14:paraId="6500D1A5" w14:textId="77777777" w:rsidR="00674AF7" w:rsidRPr="000532AE" w:rsidRDefault="00674AF7" w:rsidP="000C2D80">
      <w:pPr>
        <w:pStyle w:val="FootnoteText"/>
        <w:rPr>
          <w:rFonts w:cs="Times New Roman"/>
          <w:i/>
        </w:rPr>
      </w:pPr>
      <w:r w:rsidRPr="000532AE">
        <w:rPr>
          <w:rStyle w:val="FootnoteReference"/>
          <w:rFonts w:cs="Times New Roman"/>
          <w:i/>
        </w:rPr>
        <w:footnoteRef/>
      </w:r>
      <w:r w:rsidRPr="000532AE">
        <w:rPr>
          <w:rFonts w:cs="Times New Roman"/>
          <w:i/>
        </w:rPr>
        <w:t xml:space="preserve"> Valsts pārvaldes iekārtas likuma 88.panta pirmā daļa.</w:t>
      </w:r>
    </w:p>
  </w:footnote>
  <w:footnote w:id="6">
    <w:p w14:paraId="6B7781AD" w14:textId="77777777" w:rsidR="00674AF7" w:rsidRPr="000532AE" w:rsidRDefault="00674AF7" w:rsidP="00A96373">
      <w:pPr>
        <w:pStyle w:val="FootnoteText"/>
        <w:jc w:val="both"/>
        <w:rPr>
          <w:rFonts w:cs="Times New Roman"/>
          <w:i/>
        </w:rPr>
      </w:pPr>
      <w:r w:rsidRPr="000532AE">
        <w:rPr>
          <w:rStyle w:val="FootnoteReference"/>
          <w:rFonts w:cs="Times New Roman"/>
          <w:i/>
        </w:rPr>
        <w:footnoteRef/>
      </w:r>
      <w:r w:rsidRPr="000532AE">
        <w:rPr>
          <w:rFonts w:cs="Times New Roman"/>
          <w:i/>
        </w:rPr>
        <w:t xml:space="preserve"> OECD </w:t>
      </w:r>
      <w:proofErr w:type="spellStart"/>
      <w:r w:rsidRPr="000532AE">
        <w:rPr>
          <w:rFonts w:cs="Times New Roman"/>
          <w:i/>
        </w:rPr>
        <w:t>Review</w:t>
      </w:r>
      <w:proofErr w:type="spellEnd"/>
      <w:r w:rsidRPr="000532AE">
        <w:rPr>
          <w:rFonts w:cs="Times New Roman"/>
          <w:i/>
        </w:rPr>
        <w:t xml:space="preserve"> </w:t>
      </w:r>
      <w:proofErr w:type="spellStart"/>
      <w:r w:rsidRPr="000532AE">
        <w:rPr>
          <w:rFonts w:cs="Times New Roman"/>
          <w:i/>
        </w:rPr>
        <w:t>of</w:t>
      </w:r>
      <w:proofErr w:type="spellEnd"/>
      <w:r w:rsidRPr="000532AE">
        <w:rPr>
          <w:rFonts w:cs="Times New Roman"/>
          <w:i/>
        </w:rPr>
        <w:t xml:space="preserve"> </w:t>
      </w:r>
      <w:proofErr w:type="spellStart"/>
      <w:r w:rsidRPr="000532AE">
        <w:rPr>
          <w:rFonts w:cs="Times New Roman"/>
          <w:i/>
        </w:rPr>
        <w:t>the</w:t>
      </w:r>
      <w:proofErr w:type="spellEnd"/>
      <w:r w:rsidRPr="000532AE">
        <w:rPr>
          <w:rFonts w:cs="Times New Roman"/>
          <w:i/>
        </w:rPr>
        <w:t xml:space="preserve"> </w:t>
      </w:r>
      <w:proofErr w:type="spellStart"/>
      <w:r w:rsidRPr="000532AE">
        <w:rPr>
          <w:rFonts w:cs="Times New Roman"/>
          <w:i/>
        </w:rPr>
        <w:t>Corporate</w:t>
      </w:r>
      <w:proofErr w:type="spellEnd"/>
      <w:r w:rsidRPr="000532AE">
        <w:rPr>
          <w:rFonts w:cs="Times New Roman"/>
          <w:i/>
        </w:rPr>
        <w:t xml:space="preserve"> </w:t>
      </w:r>
      <w:proofErr w:type="spellStart"/>
      <w:r w:rsidRPr="000532AE">
        <w:rPr>
          <w:rFonts w:cs="Times New Roman"/>
          <w:i/>
        </w:rPr>
        <w:t>Governance</w:t>
      </w:r>
      <w:proofErr w:type="spellEnd"/>
      <w:r w:rsidRPr="000532AE">
        <w:rPr>
          <w:rFonts w:cs="Times New Roman"/>
          <w:i/>
        </w:rPr>
        <w:t xml:space="preserve"> </w:t>
      </w:r>
      <w:proofErr w:type="spellStart"/>
      <w:r w:rsidRPr="000532AE">
        <w:rPr>
          <w:rFonts w:cs="Times New Roman"/>
          <w:i/>
        </w:rPr>
        <w:t>of</w:t>
      </w:r>
      <w:proofErr w:type="spellEnd"/>
      <w:r w:rsidRPr="000532AE">
        <w:rPr>
          <w:rFonts w:cs="Times New Roman"/>
          <w:i/>
        </w:rPr>
        <w:t xml:space="preserve"> </w:t>
      </w:r>
      <w:proofErr w:type="spellStart"/>
      <w:r w:rsidRPr="000532AE">
        <w:rPr>
          <w:rFonts w:cs="Times New Roman"/>
          <w:i/>
        </w:rPr>
        <w:t>State-owned</w:t>
      </w:r>
      <w:proofErr w:type="spellEnd"/>
      <w:r w:rsidRPr="000532AE">
        <w:rPr>
          <w:rFonts w:cs="Times New Roman"/>
          <w:i/>
        </w:rPr>
        <w:t xml:space="preserve"> Enterprises, Latvia, OECD, </w:t>
      </w:r>
      <w:proofErr w:type="spellStart"/>
      <w:r w:rsidRPr="000532AE">
        <w:rPr>
          <w:rFonts w:cs="Times New Roman"/>
          <w:i/>
        </w:rPr>
        <w:t>Annex</w:t>
      </w:r>
      <w:proofErr w:type="spellEnd"/>
      <w:r w:rsidRPr="000532AE">
        <w:rPr>
          <w:rFonts w:cs="Times New Roman"/>
          <w:i/>
        </w:rPr>
        <w:t xml:space="preserve"> 2, 2015. Pieejams: </w:t>
      </w:r>
      <w:hyperlink r:id="rId2" w:history="1">
        <w:r w:rsidRPr="00902BC7">
          <w:rPr>
            <w:rStyle w:val="Hyperlink"/>
            <w:rFonts w:cs="Times New Roman"/>
            <w:i/>
          </w:rPr>
          <w:t>http://www.oecd.org/daf/ca/OECD-Review-Corporate-Governance-SOE-Latvia.pdf</w:t>
        </w:r>
      </w:hyperlink>
      <w:r w:rsidRPr="000532AE">
        <w:rPr>
          <w:rFonts w:cs="Times New Roman"/>
          <w:i/>
        </w:rPr>
        <w:t xml:space="preserve"> </w:t>
      </w:r>
    </w:p>
  </w:footnote>
  <w:footnote w:id="7">
    <w:p w14:paraId="674365E8" w14:textId="230FB230" w:rsidR="00674AF7" w:rsidRPr="00902BC7" w:rsidRDefault="00674AF7" w:rsidP="006A5791">
      <w:pPr>
        <w:pStyle w:val="FootnoteText"/>
        <w:jc w:val="both"/>
        <w:rPr>
          <w:rFonts w:cs="Times New Roman"/>
          <w:i/>
          <w:color w:val="FF0000"/>
        </w:rPr>
      </w:pPr>
      <w:r w:rsidRPr="000532AE">
        <w:rPr>
          <w:rStyle w:val="FootnoteReference"/>
          <w:rFonts w:cs="Times New Roman"/>
          <w:i/>
        </w:rPr>
        <w:footnoteRef/>
      </w:r>
      <w:r w:rsidRPr="000532AE">
        <w:rPr>
          <w:rFonts w:cs="Times New Roman"/>
          <w:i/>
        </w:rPr>
        <w:t xml:space="preserve"> </w:t>
      </w:r>
      <w:r>
        <w:rPr>
          <w:rFonts w:cs="Times New Roman"/>
          <w:i/>
        </w:rPr>
        <w:t>Privatizācijas p</w:t>
      </w:r>
      <w:r w:rsidRPr="000532AE">
        <w:rPr>
          <w:rFonts w:cs="Times New Roman"/>
          <w:i/>
        </w:rPr>
        <w:t>abeigšanas likuma 13.panta 1.daļā sākotnēji noteiktais maksimālais termiņš norēķiniem par valsts vai pašvaldības īpašuma obje</w:t>
      </w:r>
      <w:r w:rsidRPr="00902BC7">
        <w:rPr>
          <w:rFonts w:cs="Times New Roman"/>
          <w:i/>
        </w:rPr>
        <w:t xml:space="preserve">ktu, kā arī apbūvētu un neapbūvētu zemesgabalu bija </w:t>
      </w:r>
      <w:r w:rsidRPr="00902BC7">
        <w:rPr>
          <w:rFonts w:cs="Times New Roman"/>
          <w:i/>
          <w:u w:val="single"/>
        </w:rPr>
        <w:t>pieci gadi no pirkuma līguma noslēgšanas dienas</w:t>
      </w:r>
      <w:r w:rsidRPr="00902BC7">
        <w:rPr>
          <w:rFonts w:cs="Times New Roman"/>
          <w:i/>
        </w:rPr>
        <w:t xml:space="preserve">. Termiņš tika mainīts uz desmit gadiem, Saeimai 2009.gada 16.jūnijā pieņemot </w:t>
      </w:r>
      <w:r>
        <w:rPr>
          <w:rFonts w:cs="Times New Roman"/>
          <w:i/>
        </w:rPr>
        <w:t>Privatizācijas p</w:t>
      </w:r>
      <w:r w:rsidRPr="00902BC7">
        <w:rPr>
          <w:rFonts w:cs="Times New Roman"/>
          <w:i/>
        </w:rPr>
        <w:t>abeigšanas likuma grozījumus, kas stājās spēkā 2009.gada 1.jūlijā.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052BB" w14:textId="58437617" w:rsidR="00674AF7" w:rsidRPr="00C50510" w:rsidRDefault="00F21AC2" w:rsidP="00C50510">
    <w:pPr>
      <w:pStyle w:val="Header"/>
      <w:jc w:val="center"/>
      <w:rPr>
        <w:rFonts w:ascii="Times New Roman" w:hAnsi="Times New Roman" w:cs="Times New Roman"/>
        <w:sz w:val="24"/>
        <w:szCs w:val="24"/>
      </w:rPr>
    </w:pPr>
    <w:sdt>
      <w:sdtPr>
        <w:id w:val="-1690829696"/>
        <w:docPartObj>
          <w:docPartGallery w:val="Page Numbers (Top of Page)"/>
          <w:docPartUnique/>
        </w:docPartObj>
      </w:sdtPr>
      <w:sdtEndPr>
        <w:rPr>
          <w:rFonts w:ascii="Times New Roman" w:hAnsi="Times New Roman" w:cs="Times New Roman"/>
          <w:noProof/>
          <w:sz w:val="24"/>
          <w:szCs w:val="24"/>
        </w:rPr>
      </w:sdtEndPr>
      <w:sdtContent>
        <w:r w:rsidR="00674AF7" w:rsidRPr="0005215C">
          <w:rPr>
            <w:rFonts w:ascii="Times New Roman" w:hAnsi="Times New Roman" w:cs="Times New Roman"/>
            <w:sz w:val="24"/>
            <w:szCs w:val="24"/>
          </w:rPr>
          <w:fldChar w:fldCharType="begin"/>
        </w:r>
        <w:r w:rsidR="00674AF7" w:rsidRPr="0005215C">
          <w:rPr>
            <w:rFonts w:ascii="Times New Roman" w:hAnsi="Times New Roman" w:cs="Times New Roman"/>
            <w:sz w:val="24"/>
            <w:szCs w:val="24"/>
          </w:rPr>
          <w:instrText xml:space="preserve"> PAGE   \* MERGEFORMAT </w:instrText>
        </w:r>
        <w:r w:rsidR="00674AF7" w:rsidRPr="0005215C">
          <w:rPr>
            <w:rFonts w:ascii="Times New Roman" w:hAnsi="Times New Roman" w:cs="Times New Roman"/>
            <w:sz w:val="24"/>
            <w:szCs w:val="24"/>
          </w:rPr>
          <w:fldChar w:fldCharType="separate"/>
        </w:r>
        <w:r w:rsidR="004652AB">
          <w:rPr>
            <w:rFonts w:ascii="Times New Roman" w:hAnsi="Times New Roman" w:cs="Times New Roman"/>
            <w:noProof/>
            <w:sz w:val="24"/>
            <w:szCs w:val="24"/>
          </w:rPr>
          <w:t>23</w:t>
        </w:r>
        <w:r w:rsidR="00674AF7" w:rsidRPr="0005215C">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3F61A" w14:textId="77777777" w:rsidR="00674AF7" w:rsidRPr="0041287E" w:rsidRDefault="00674AF7" w:rsidP="006866CA">
    <w:pPr>
      <w:pStyle w:val="Header"/>
      <w:jc w:val="right"/>
      <w:rPr>
        <w:rFonts w:ascii="Times New Roman" w:hAnsi="Times New Roman" w:cs="Times New Roman"/>
        <w:sz w:val="24"/>
        <w:szCs w:val="24"/>
      </w:rPr>
    </w:pPr>
    <w:r w:rsidRPr="0041287E">
      <w:rPr>
        <w:rFonts w:ascii="Times New Roman" w:hAnsi="Times New Roman" w:cs="Times New Roman"/>
        <w:sz w:val="24"/>
        <w:szCs w:val="24"/>
      </w:rPr>
      <w:t xml:space="preserve">PROJEKTS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906"/>
    <w:multiLevelType w:val="hybridMultilevel"/>
    <w:tmpl w:val="CD5CD776"/>
    <w:lvl w:ilvl="0" w:tplc="9670DF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E617A4"/>
    <w:multiLevelType w:val="hybridMultilevel"/>
    <w:tmpl w:val="2B105120"/>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FDC2FE1"/>
    <w:multiLevelType w:val="hybridMultilevel"/>
    <w:tmpl w:val="02327A4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3A225C"/>
    <w:multiLevelType w:val="hybridMultilevel"/>
    <w:tmpl w:val="D264BF20"/>
    <w:lvl w:ilvl="0" w:tplc="CDDE42D2">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B4270C"/>
    <w:multiLevelType w:val="hybridMultilevel"/>
    <w:tmpl w:val="5B309500"/>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3D45725"/>
    <w:multiLevelType w:val="hybridMultilevel"/>
    <w:tmpl w:val="CC1CDC30"/>
    <w:lvl w:ilvl="0" w:tplc="04260005">
      <w:start w:val="1"/>
      <w:numFmt w:val="bullet"/>
      <w:lvlText w:val=""/>
      <w:lvlJc w:val="left"/>
      <w:pPr>
        <w:ind w:left="1069" w:hanging="360"/>
      </w:pPr>
      <w:rPr>
        <w:rFonts w:ascii="Wingdings" w:hAnsi="Wingdings" w:hint="default"/>
      </w:rPr>
    </w:lvl>
    <w:lvl w:ilvl="1" w:tplc="04260005">
      <w:start w:val="1"/>
      <w:numFmt w:val="bullet"/>
      <w:lvlText w:val=""/>
      <w:lvlJc w:val="left"/>
      <w:pPr>
        <w:ind w:left="1789" w:hanging="360"/>
      </w:pPr>
      <w:rPr>
        <w:rFonts w:ascii="Wingdings" w:hAnsi="Wingdings" w:hint="default"/>
      </w:rPr>
    </w:lvl>
    <w:lvl w:ilvl="2" w:tplc="04260005">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2A537292"/>
    <w:multiLevelType w:val="hybridMultilevel"/>
    <w:tmpl w:val="2040883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C765E67"/>
    <w:multiLevelType w:val="hybridMultilevel"/>
    <w:tmpl w:val="27C86D44"/>
    <w:lvl w:ilvl="0" w:tplc="0426000F">
      <w:start w:val="1"/>
      <w:numFmt w:val="decimal"/>
      <w:lvlText w:val="%1."/>
      <w:lvlJc w:val="left"/>
      <w:pPr>
        <w:ind w:left="2841" w:hanging="360"/>
      </w:pPr>
      <w:rPr>
        <w:rFonts w:hint="default"/>
      </w:rPr>
    </w:lvl>
    <w:lvl w:ilvl="1" w:tplc="04260005">
      <w:start w:val="1"/>
      <w:numFmt w:val="bullet"/>
      <w:lvlText w:val=""/>
      <w:lvlJc w:val="left"/>
      <w:pPr>
        <w:ind w:left="3561" w:hanging="360"/>
      </w:pPr>
      <w:rPr>
        <w:rFonts w:ascii="Wingdings" w:hAnsi="Wingdings" w:hint="default"/>
      </w:rPr>
    </w:lvl>
    <w:lvl w:ilvl="2" w:tplc="04260005">
      <w:start w:val="1"/>
      <w:numFmt w:val="bullet"/>
      <w:lvlText w:val=""/>
      <w:lvlJc w:val="left"/>
      <w:pPr>
        <w:ind w:left="4281" w:hanging="360"/>
      </w:pPr>
      <w:rPr>
        <w:rFonts w:ascii="Wingdings" w:hAnsi="Wingdings" w:hint="default"/>
      </w:rPr>
    </w:lvl>
    <w:lvl w:ilvl="3" w:tplc="04260001" w:tentative="1">
      <w:start w:val="1"/>
      <w:numFmt w:val="bullet"/>
      <w:lvlText w:val=""/>
      <w:lvlJc w:val="left"/>
      <w:pPr>
        <w:ind w:left="5001" w:hanging="360"/>
      </w:pPr>
      <w:rPr>
        <w:rFonts w:ascii="Symbol" w:hAnsi="Symbol" w:hint="default"/>
      </w:rPr>
    </w:lvl>
    <w:lvl w:ilvl="4" w:tplc="04260003" w:tentative="1">
      <w:start w:val="1"/>
      <w:numFmt w:val="bullet"/>
      <w:lvlText w:val="o"/>
      <w:lvlJc w:val="left"/>
      <w:pPr>
        <w:ind w:left="5721" w:hanging="360"/>
      </w:pPr>
      <w:rPr>
        <w:rFonts w:ascii="Courier New" w:hAnsi="Courier New" w:cs="Courier New" w:hint="default"/>
      </w:rPr>
    </w:lvl>
    <w:lvl w:ilvl="5" w:tplc="04260005" w:tentative="1">
      <w:start w:val="1"/>
      <w:numFmt w:val="bullet"/>
      <w:lvlText w:val=""/>
      <w:lvlJc w:val="left"/>
      <w:pPr>
        <w:ind w:left="6441" w:hanging="360"/>
      </w:pPr>
      <w:rPr>
        <w:rFonts w:ascii="Wingdings" w:hAnsi="Wingdings" w:hint="default"/>
      </w:rPr>
    </w:lvl>
    <w:lvl w:ilvl="6" w:tplc="04260001" w:tentative="1">
      <w:start w:val="1"/>
      <w:numFmt w:val="bullet"/>
      <w:lvlText w:val=""/>
      <w:lvlJc w:val="left"/>
      <w:pPr>
        <w:ind w:left="7161" w:hanging="360"/>
      </w:pPr>
      <w:rPr>
        <w:rFonts w:ascii="Symbol" w:hAnsi="Symbol" w:hint="default"/>
      </w:rPr>
    </w:lvl>
    <w:lvl w:ilvl="7" w:tplc="04260003" w:tentative="1">
      <w:start w:val="1"/>
      <w:numFmt w:val="bullet"/>
      <w:lvlText w:val="o"/>
      <w:lvlJc w:val="left"/>
      <w:pPr>
        <w:ind w:left="7881" w:hanging="360"/>
      </w:pPr>
      <w:rPr>
        <w:rFonts w:ascii="Courier New" w:hAnsi="Courier New" w:cs="Courier New" w:hint="default"/>
      </w:rPr>
    </w:lvl>
    <w:lvl w:ilvl="8" w:tplc="04260005" w:tentative="1">
      <w:start w:val="1"/>
      <w:numFmt w:val="bullet"/>
      <w:lvlText w:val=""/>
      <w:lvlJc w:val="left"/>
      <w:pPr>
        <w:ind w:left="8601" w:hanging="360"/>
      </w:pPr>
      <w:rPr>
        <w:rFonts w:ascii="Wingdings" w:hAnsi="Wingdings" w:hint="default"/>
      </w:rPr>
    </w:lvl>
  </w:abstractNum>
  <w:abstractNum w:abstractNumId="8" w15:restartNumberingAfterBreak="0">
    <w:nsid w:val="36175018"/>
    <w:multiLevelType w:val="hybridMultilevel"/>
    <w:tmpl w:val="E9F04D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823CE1"/>
    <w:multiLevelType w:val="hybridMultilevel"/>
    <w:tmpl w:val="88DA8292"/>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95D61E7"/>
    <w:multiLevelType w:val="hybridMultilevel"/>
    <w:tmpl w:val="62D8577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3A410640"/>
    <w:multiLevelType w:val="hybridMultilevel"/>
    <w:tmpl w:val="D9BEF2D8"/>
    <w:lvl w:ilvl="0" w:tplc="04260005">
      <w:start w:val="1"/>
      <w:numFmt w:val="bullet"/>
      <w:lvlText w:val=""/>
      <w:lvlJc w:val="left"/>
      <w:pPr>
        <w:ind w:left="1797" w:hanging="360"/>
      </w:pPr>
      <w:rPr>
        <w:rFonts w:ascii="Wingdings" w:hAnsi="Wingdings"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2" w15:restartNumberingAfterBreak="0">
    <w:nsid w:val="58D93EB2"/>
    <w:multiLevelType w:val="hybridMultilevel"/>
    <w:tmpl w:val="F16C4D8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1C48EE"/>
    <w:multiLevelType w:val="hybridMultilevel"/>
    <w:tmpl w:val="D5304D3E"/>
    <w:lvl w:ilvl="0" w:tplc="7C3A43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626D3F9C"/>
    <w:multiLevelType w:val="multilevel"/>
    <w:tmpl w:val="BD841892"/>
    <w:lvl w:ilvl="0">
      <w:start w:val="1"/>
      <w:numFmt w:val="decimal"/>
      <w:lvlText w:val="%1."/>
      <w:lvlJc w:val="left"/>
      <w:pPr>
        <w:ind w:left="720" w:hanging="360"/>
      </w:pPr>
      <w:rPr>
        <w:rFonts w:hint="default"/>
      </w:rPr>
    </w:lvl>
    <w:lvl w:ilvl="1">
      <w:start w:val="1"/>
      <w:numFmt w:val="decimal"/>
      <w:pStyle w:val="Heading2"/>
      <w:isLgl/>
      <w:lvlText w:val="%1.%2."/>
      <w:lvlJc w:val="left"/>
      <w:pPr>
        <w:ind w:left="645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3394EB9"/>
    <w:multiLevelType w:val="hybridMultilevel"/>
    <w:tmpl w:val="C5A289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9F539CF"/>
    <w:multiLevelType w:val="multilevel"/>
    <w:tmpl w:val="4C7C98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6"/>
  </w:num>
  <w:num w:numId="2">
    <w:abstractNumId w:val="14"/>
  </w:num>
  <w:num w:numId="3">
    <w:abstractNumId w:val="0"/>
  </w:num>
  <w:num w:numId="4">
    <w:abstractNumId w:val="7"/>
  </w:num>
  <w:num w:numId="5">
    <w:abstractNumId w:val="13"/>
  </w:num>
  <w:num w:numId="6">
    <w:abstractNumId w:val="4"/>
  </w:num>
  <w:num w:numId="7">
    <w:abstractNumId w:val="5"/>
  </w:num>
  <w:num w:numId="8">
    <w:abstractNumId w:val="3"/>
  </w:num>
  <w:num w:numId="9">
    <w:abstractNumId w:val="10"/>
  </w:num>
  <w:num w:numId="10">
    <w:abstractNumId w:val="1"/>
  </w:num>
  <w:num w:numId="11">
    <w:abstractNumId w:val="8"/>
  </w:num>
  <w:num w:numId="12">
    <w:abstractNumId w:val="2"/>
  </w:num>
  <w:num w:numId="13">
    <w:abstractNumId w:val="12"/>
  </w:num>
  <w:num w:numId="14">
    <w:abstractNumId w:val="6"/>
  </w:num>
  <w:num w:numId="15">
    <w:abstractNumId w:val="9"/>
  </w:num>
  <w:num w:numId="16">
    <w:abstractNumId w:val="15"/>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6C"/>
    <w:rsid w:val="0000051C"/>
    <w:rsid w:val="00000E81"/>
    <w:rsid w:val="000019CD"/>
    <w:rsid w:val="00002189"/>
    <w:rsid w:val="00002BD3"/>
    <w:rsid w:val="00004882"/>
    <w:rsid w:val="0000493F"/>
    <w:rsid w:val="00004B82"/>
    <w:rsid w:val="0000508D"/>
    <w:rsid w:val="00005697"/>
    <w:rsid w:val="00006585"/>
    <w:rsid w:val="0000733C"/>
    <w:rsid w:val="00010100"/>
    <w:rsid w:val="00010110"/>
    <w:rsid w:val="000109A3"/>
    <w:rsid w:val="000126C2"/>
    <w:rsid w:val="00012C8A"/>
    <w:rsid w:val="000134D4"/>
    <w:rsid w:val="00013805"/>
    <w:rsid w:val="00013ABB"/>
    <w:rsid w:val="00014ECC"/>
    <w:rsid w:val="00014F75"/>
    <w:rsid w:val="00015307"/>
    <w:rsid w:val="0001561B"/>
    <w:rsid w:val="000156A0"/>
    <w:rsid w:val="00015F05"/>
    <w:rsid w:val="00016510"/>
    <w:rsid w:val="00017414"/>
    <w:rsid w:val="00017BC5"/>
    <w:rsid w:val="000219F4"/>
    <w:rsid w:val="000220BF"/>
    <w:rsid w:val="0002328B"/>
    <w:rsid w:val="00023590"/>
    <w:rsid w:val="00024275"/>
    <w:rsid w:val="00024609"/>
    <w:rsid w:val="00024AEC"/>
    <w:rsid w:val="00025899"/>
    <w:rsid w:val="0002675D"/>
    <w:rsid w:val="00026D6E"/>
    <w:rsid w:val="0002731B"/>
    <w:rsid w:val="000305DA"/>
    <w:rsid w:val="000314FA"/>
    <w:rsid w:val="00031BFC"/>
    <w:rsid w:val="00031D93"/>
    <w:rsid w:val="000322CE"/>
    <w:rsid w:val="000339B3"/>
    <w:rsid w:val="00033FA9"/>
    <w:rsid w:val="0003425A"/>
    <w:rsid w:val="00035B09"/>
    <w:rsid w:val="000368BA"/>
    <w:rsid w:val="00036BA8"/>
    <w:rsid w:val="0003743B"/>
    <w:rsid w:val="000403B9"/>
    <w:rsid w:val="000404B7"/>
    <w:rsid w:val="00040F07"/>
    <w:rsid w:val="00040F56"/>
    <w:rsid w:val="000413EB"/>
    <w:rsid w:val="000428C7"/>
    <w:rsid w:val="00042B80"/>
    <w:rsid w:val="00042CC2"/>
    <w:rsid w:val="0004307C"/>
    <w:rsid w:val="0004371F"/>
    <w:rsid w:val="00043737"/>
    <w:rsid w:val="00044B2D"/>
    <w:rsid w:val="0005040C"/>
    <w:rsid w:val="000508AB"/>
    <w:rsid w:val="00050D6B"/>
    <w:rsid w:val="000513AD"/>
    <w:rsid w:val="00051B76"/>
    <w:rsid w:val="0005215C"/>
    <w:rsid w:val="000527AA"/>
    <w:rsid w:val="000532AE"/>
    <w:rsid w:val="00053DED"/>
    <w:rsid w:val="0005496E"/>
    <w:rsid w:val="00055510"/>
    <w:rsid w:val="0005622E"/>
    <w:rsid w:val="000567C4"/>
    <w:rsid w:val="000571FE"/>
    <w:rsid w:val="00057D7C"/>
    <w:rsid w:val="0006059A"/>
    <w:rsid w:val="00060859"/>
    <w:rsid w:val="00061F00"/>
    <w:rsid w:val="00064B52"/>
    <w:rsid w:val="000653C1"/>
    <w:rsid w:val="0006603D"/>
    <w:rsid w:val="00066236"/>
    <w:rsid w:val="00067347"/>
    <w:rsid w:val="00070823"/>
    <w:rsid w:val="00071024"/>
    <w:rsid w:val="0007178D"/>
    <w:rsid w:val="00072599"/>
    <w:rsid w:val="00072664"/>
    <w:rsid w:val="000732EA"/>
    <w:rsid w:val="00074489"/>
    <w:rsid w:val="000754AD"/>
    <w:rsid w:val="0007663F"/>
    <w:rsid w:val="00076D90"/>
    <w:rsid w:val="00076EB6"/>
    <w:rsid w:val="000773E7"/>
    <w:rsid w:val="0008053B"/>
    <w:rsid w:val="00080C1A"/>
    <w:rsid w:val="0008104B"/>
    <w:rsid w:val="00081153"/>
    <w:rsid w:val="00081FDE"/>
    <w:rsid w:val="000820F2"/>
    <w:rsid w:val="00082357"/>
    <w:rsid w:val="00083654"/>
    <w:rsid w:val="00083A56"/>
    <w:rsid w:val="000840D5"/>
    <w:rsid w:val="000856BF"/>
    <w:rsid w:val="00085D9B"/>
    <w:rsid w:val="00086237"/>
    <w:rsid w:val="000868F2"/>
    <w:rsid w:val="000873C2"/>
    <w:rsid w:val="00087781"/>
    <w:rsid w:val="00090879"/>
    <w:rsid w:val="00090C67"/>
    <w:rsid w:val="000914AE"/>
    <w:rsid w:val="000915BE"/>
    <w:rsid w:val="000918D8"/>
    <w:rsid w:val="00093238"/>
    <w:rsid w:val="0009352A"/>
    <w:rsid w:val="0009496C"/>
    <w:rsid w:val="00095713"/>
    <w:rsid w:val="000976D7"/>
    <w:rsid w:val="000A0384"/>
    <w:rsid w:val="000A06A0"/>
    <w:rsid w:val="000A0B94"/>
    <w:rsid w:val="000A1308"/>
    <w:rsid w:val="000A1BE5"/>
    <w:rsid w:val="000A2CCE"/>
    <w:rsid w:val="000A4285"/>
    <w:rsid w:val="000A4E19"/>
    <w:rsid w:val="000A51A9"/>
    <w:rsid w:val="000A5321"/>
    <w:rsid w:val="000A5648"/>
    <w:rsid w:val="000A7A66"/>
    <w:rsid w:val="000B00E2"/>
    <w:rsid w:val="000B0345"/>
    <w:rsid w:val="000B17A7"/>
    <w:rsid w:val="000B1FEC"/>
    <w:rsid w:val="000B22AB"/>
    <w:rsid w:val="000B2D83"/>
    <w:rsid w:val="000B3022"/>
    <w:rsid w:val="000B37E7"/>
    <w:rsid w:val="000B3D0E"/>
    <w:rsid w:val="000B40CF"/>
    <w:rsid w:val="000B5179"/>
    <w:rsid w:val="000B7394"/>
    <w:rsid w:val="000B76E3"/>
    <w:rsid w:val="000C067A"/>
    <w:rsid w:val="000C0D5E"/>
    <w:rsid w:val="000C1015"/>
    <w:rsid w:val="000C2C5A"/>
    <w:rsid w:val="000C2D80"/>
    <w:rsid w:val="000C3091"/>
    <w:rsid w:val="000C36F0"/>
    <w:rsid w:val="000C39B5"/>
    <w:rsid w:val="000C43D6"/>
    <w:rsid w:val="000C5A9D"/>
    <w:rsid w:val="000C6467"/>
    <w:rsid w:val="000C7095"/>
    <w:rsid w:val="000C7125"/>
    <w:rsid w:val="000C7640"/>
    <w:rsid w:val="000C7D21"/>
    <w:rsid w:val="000D2CDA"/>
    <w:rsid w:val="000D3A54"/>
    <w:rsid w:val="000D5542"/>
    <w:rsid w:val="000D590C"/>
    <w:rsid w:val="000D6034"/>
    <w:rsid w:val="000D62D4"/>
    <w:rsid w:val="000E0149"/>
    <w:rsid w:val="000E0786"/>
    <w:rsid w:val="000E28E3"/>
    <w:rsid w:val="000E2A8F"/>
    <w:rsid w:val="000E2D21"/>
    <w:rsid w:val="000E2DEB"/>
    <w:rsid w:val="000E312A"/>
    <w:rsid w:val="000E3EE9"/>
    <w:rsid w:val="000E43FF"/>
    <w:rsid w:val="000E4BC3"/>
    <w:rsid w:val="000E6C47"/>
    <w:rsid w:val="000E6E71"/>
    <w:rsid w:val="000E7395"/>
    <w:rsid w:val="000E7997"/>
    <w:rsid w:val="000E7B7F"/>
    <w:rsid w:val="000E7E67"/>
    <w:rsid w:val="000F0381"/>
    <w:rsid w:val="000F0591"/>
    <w:rsid w:val="000F1048"/>
    <w:rsid w:val="000F1051"/>
    <w:rsid w:val="000F12B5"/>
    <w:rsid w:val="000F1C90"/>
    <w:rsid w:val="000F1F1D"/>
    <w:rsid w:val="000F216C"/>
    <w:rsid w:val="000F2E5A"/>
    <w:rsid w:val="000F34A9"/>
    <w:rsid w:val="000F40C4"/>
    <w:rsid w:val="000F4C45"/>
    <w:rsid w:val="000F4F27"/>
    <w:rsid w:val="000F5930"/>
    <w:rsid w:val="000F6610"/>
    <w:rsid w:val="000F704D"/>
    <w:rsid w:val="000F749B"/>
    <w:rsid w:val="000F7640"/>
    <w:rsid w:val="000F7CD5"/>
    <w:rsid w:val="0010196F"/>
    <w:rsid w:val="00101F24"/>
    <w:rsid w:val="00101F41"/>
    <w:rsid w:val="0010396D"/>
    <w:rsid w:val="00103A20"/>
    <w:rsid w:val="00104DDC"/>
    <w:rsid w:val="00106EB2"/>
    <w:rsid w:val="00107F6C"/>
    <w:rsid w:val="0011035F"/>
    <w:rsid w:val="0011325A"/>
    <w:rsid w:val="0011375A"/>
    <w:rsid w:val="001139BE"/>
    <w:rsid w:val="00114266"/>
    <w:rsid w:val="001159B2"/>
    <w:rsid w:val="001210A6"/>
    <w:rsid w:val="00122234"/>
    <w:rsid w:val="00122ABC"/>
    <w:rsid w:val="001238A0"/>
    <w:rsid w:val="00123994"/>
    <w:rsid w:val="0012432C"/>
    <w:rsid w:val="00126C84"/>
    <w:rsid w:val="00127425"/>
    <w:rsid w:val="0012745B"/>
    <w:rsid w:val="001302F9"/>
    <w:rsid w:val="0013073F"/>
    <w:rsid w:val="00130B10"/>
    <w:rsid w:val="0013102E"/>
    <w:rsid w:val="001311B6"/>
    <w:rsid w:val="00131334"/>
    <w:rsid w:val="00132187"/>
    <w:rsid w:val="00133967"/>
    <w:rsid w:val="001352C2"/>
    <w:rsid w:val="00135679"/>
    <w:rsid w:val="0013629B"/>
    <w:rsid w:val="001409AB"/>
    <w:rsid w:val="00140F82"/>
    <w:rsid w:val="0014151E"/>
    <w:rsid w:val="00142014"/>
    <w:rsid w:val="00142820"/>
    <w:rsid w:val="00142837"/>
    <w:rsid w:val="00142D36"/>
    <w:rsid w:val="0014435B"/>
    <w:rsid w:val="00145060"/>
    <w:rsid w:val="001451C2"/>
    <w:rsid w:val="00145CD3"/>
    <w:rsid w:val="00145D1A"/>
    <w:rsid w:val="001465BF"/>
    <w:rsid w:val="001471E5"/>
    <w:rsid w:val="0014726A"/>
    <w:rsid w:val="00147399"/>
    <w:rsid w:val="00147812"/>
    <w:rsid w:val="00150A6D"/>
    <w:rsid w:val="00152A4A"/>
    <w:rsid w:val="00153810"/>
    <w:rsid w:val="00154471"/>
    <w:rsid w:val="00154793"/>
    <w:rsid w:val="00154E40"/>
    <w:rsid w:val="00155865"/>
    <w:rsid w:val="0015721A"/>
    <w:rsid w:val="00157B34"/>
    <w:rsid w:val="0016044D"/>
    <w:rsid w:val="00161FDB"/>
    <w:rsid w:val="00162C93"/>
    <w:rsid w:val="00164843"/>
    <w:rsid w:val="0016590D"/>
    <w:rsid w:val="001669A5"/>
    <w:rsid w:val="001679DE"/>
    <w:rsid w:val="0017042E"/>
    <w:rsid w:val="001715D7"/>
    <w:rsid w:val="001718B0"/>
    <w:rsid w:val="001719F4"/>
    <w:rsid w:val="00171F60"/>
    <w:rsid w:val="00172721"/>
    <w:rsid w:val="00175954"/>
    <w:rsid w:val="00176660"/>
    <w:rsid w:val="00177C3F"/>
    <w:rsid w:val="00180262"/>
    <w:rsid w:val="00180835"/>
    <w:rsid w:val="001819E3"/>
    <w:rsid w:val="001822E9"/>
    <w:rsid w:val="00182438"/>
    <w:rsid w:val="00183437"/>
    <w:rsid w:val="001847BB"/>
    <w:rsid w:val="00184ECA"/>
    <w:rsid w:val="00185126"/>
    <w:rsid w:val="00185C58"/>
    <w:rsid w:val="00186557"/>
    <w:rsid w:val="00186AF6"/>
    <w:rsid w:val="00187BA9"/>
    <w:rsid w:val="001902A2"/>
    <w:rsid w:val="00190B15"/>
    <w:rsid w:val="00190CA1"/>
    <w:rsid w:val="00190D7B"/>
    <w:rsid w:val="0019127A"/>
    <w:rsid w:val="001913BB"/>
    <w:rsid w:val="00193B3B"/>
    <w:rsid w:val="00193BA7"/>
    <w:rsid w:val="00194530"/>
    <w:rsid w:val="00194A06"/>
    <w:rsid w:val="00194D9E"/>
    <w:rsid w:val="00194F49"/>
    <w:rsid w:val="00195016"/>
    <w:rsid w:val="0019593E"/>
    <w:rsid w:val="001960E0"/>
    <w:rsid w:val="00196DBB"/>
    <w:rsid w:val="001976C5"/>
    <w:rsid w:val="00197E86"/>
    <w:rsid w:val="001A09DC"/>
    <w:rsid w:val="001A0EB9"/>
    <w:rsid w:val="001A1037"/>
    <w:rsid w:val="001A109E"/>
    <w:rsid w:val="001A18FC"/>
    <w:rsid w:val="001A3B4B"/>
    <w:rsid w:val="001A4705"/>
    <w:rsid w:val="001A76EF"/>
    <w:rsid w:val="001B0579"/>
    <w:rsid w:val="001B1553"/>
    <w:rsid w:val="001B1CBC"/>
    <w:rsid w:val="001B1CFF"/>
    <w:rsid w:val="001B1EB4"/>
    <w:rsid w:val="001B2279"/>
    <w:rsid w:val="001B2E0E"/>
    <w:rsid w:val="001B352C"/>
    <w:rsid w:val="001B3A27"/>
    <w:rsid w:val="001B3BD3"/>
    <w:rsid w:val="001B4040"/>
    <w:rsid w:val="001B409D"/>
    <w:rsid w:val="001B489B"/>
    <w:rsid w:val="001B4A12"/>
    <w:rsid w:val="001B5CA1"/>
    <w:rsid w:val="001B6076"/>
    <w:rsid w:val="001B73C5"/>
    <w:rsid w:val="001B7461"/>
    <w:rsid w:val="001B773D"/>
    <w:rsid w:val="001B7B57"/>
    <w:rsid w:val="001B7DF9"/>
    <w:rsid w:val="001C08FD"/>
    <w:rsid w:val="001C130E"/>
    <w:rsid w:val="001C15F9"/>
    <w:rsid w:val="001C39B7"/>
    <w:rsid w:val="001C4EC7"/>
    <w:rsid w:val="001C4FD0"/>
    <w:rsid w:val="001C5B63"/>
    <w:rsid w:val="001C5D74"/>
    <w:rsid w:val="001C5DEF"/>
    <w:rsid w:val="001C665B"/>
    <w:rsid w:val="001D0987"/>
    <w:rsid w:val="001D0CDA"/>
    <w:rsid w:val="001D0E42"/>
    <w:rsid w:val="001D1208"/>
    <w:rsid w:val="001D1F18"/>
    <w:rsid w:val="001D259A"/>
    <w:rsid w:val="001D28BD"/>
    <w:rsid w:val="001D410F"/>
    <w:rsid w:val="001D5D7F"/>
    <w:rsid w:val="001D6145"/>
    <w:rsid w:val="001D66A8"/>
    <w:rsid w:val="001D6945"/>
    <w:rsid w:val="001D7091"/>
    <w:rsid w:val="001E1026"/>
    <w:rsid w:val="001E1F8C"/>
    <w:rsid w:val="001E308F"/>
    <w:rsid w:val="001E347D"/>
    <w:rsid w:val="001E3516"/>
    <w:rsid w:val="001E3B45"/>
    <w:rsid w:val="001E485C"/>
    <w:rsid w:val="001E4EB0"/>
    <w:rsid w:val="001E5549"/>
    <w:rsid w:val="001E5702"/>
    <w:rsid w:val="001E789B"/>
    <w:rsid w:val="001F01B2"/>
    <w:rsid w:val="001F10CF"/>
    <w:rsid w:val="001F1D9C"/>
    <w:rsid w:val="001F313A"/>
    <w:rsid w:val="001F41D5"/>
    <w:rsid w:val="001F49C2"/>
    <w:rsid w:val="001F584C"/>
    <w:rsid w:val="001F75E5"/>
    <w:rsid w:val="001F7CF0"/>
    <w:rsid w:val="00200189"/>
    <w:rsid w:val="00201395"/>
    <w:rsid w:val="00201F78"/>
    <w:rsid w:val="00202E88"/>
    <w:rsid w:val="00203288"/>
    <w:rsid w:val="002037EA"/>
    <w:rsid w:val="00203A98"/>
    <w:rsid w:val="00204044"/>
    <w:rsid w:val="002041B3"/>
    <w:rsid w:val="00204371"/>
    <w:rsid w:val="00204A38"/>
    <w:rsid w:val="00204F01"/>
    <w:rsid w:val="002057E0"/>
    <w:rsid w:val="0020582D"/>
    <w:rsid w:val="00205B1A"/>
    <w:rsid w:val="00207219"/>
    <w:rsid w:val="00207289"/>
    <w:rsid w:val="00207401"/>
    <w:rsid w:val="002102CC"/>
    <w:rsid w:val="00210804"/>
    <w:rsid w:val="00210CC5"/>
    <w:rsid w:val="002111E1"/>
    <w:rsid w:val="00212831"/>
    <w:rsid w:val="00213D35"/>
    <w:rsid w:val="00214122"/>
    <w:rsid w:val="00217117"/>
    <w:rsid w:val="002201D7"/>
    <w:rsid w:val="0022083A"/>
    <w:rsid w:val="00220901"/>
    <w:rsid w:val="00221012"/>
    <w:rsid w:val="00221B77"/>
    <w:rsid w:val="0022290E"/>
    <w:rsid w:val="00222DF4"/>
    <w:rsid w:val="002233B7"/>
    <w:rsid w:val="002235D4"/>
    <w:rsid w:val="0022372C"/>
    <w:rsid w:val="00223EA7"/>
    <w:rsid w:val="002249E5"/>
    <w:rsid w:val="00226582"/>
    <w:rsid w:val="00227EB1"/>
    <w:rsid w:val="00227EEF"/>
    <w:rsid w:val="00232B86"/>
    <w:rsid w:val="00233001"/>
    <w:rsid w:val="00233265"/>
    <w:rsid w:val="00233D71"/>
    <w:rsid w:val="00234A1B"/>
    <w:rsid w:val="0023610B"/>
    <w:rsid w:val="002369E2"/>
    <w:rsid w:val="00241B71"/>
    <w:rsid w:val="00243E99"/>
    <w:rsid w:val="002448A4"/>
    <w:rsid w:val="0024630A"/>
    <w:rsid w:val="00246AE8"/>
    <w:rsid w:val="00246D72"/>
    <w:rsid w:val="00246D89"/>
    <w:rsid w:val="002476E5"/>
    <w:rsid w:val="00247CA8"/>
    <w:rsid w:val="00251ED7"/>
    <w:rsid w:val="00254EF1"/>
    <w:rsid w:val="00255ADD"/>
    <w:rsid w:val="00255B33"/>
    <w:rsid w:val="00256ADB"/>
    <w:rsid w:val="00256D55"/>
    <w:rsid w:val="002601F0"/>
    <w:rsid w:val="00260906"/>
    <w:rsid w:val="002610E7"/>
    <w:rsid w:val="00261DEE"/>
    <w:rsid w:val="00264B02"/>
    <w:rsid w:val="00264E4B"/>
    <w:rsid w:val="002658B3"/>
    <w:rsid w:val="00265E5F"/>
    <w:rsid w:val="00266AD7"/>
    <w:rsid w:val="00266F04"/>
    <w:rsid w:val="00267EB1"/>
    <w:rsid w:val="00271742"/>
    <w:rsid w:val="00271FBF"/>
    <w:rsid w:val="00275CB3"/>
    <w:rsid w:val="002763A3"/>
    <w:rsid w:val="002770AB"/>
    <w:rsid w:val="00280DB4"/>
    <w:rsid w:val="002811B3"/>
    <w:rsid w:val="002820D8"/>
    <w:rsid w:val="0028240A"/>
    <w:rsid w:val="00282795"/>
    <w:rsid w:val="002866EE"/>
    <w:rsid w:val="00286859"/>
    <w:rsid w:val="00290194"/>
    <w:rsid w:val="00291363"/>
    <w:rsid w:val="002929F3"/>
    <w:rsid w:val="00293BEF"/>
    <w:rsid w:val="002949F0"/>
    <w:rsid w:val="00294C4D"/>
    <w:rsid w:val="00294E92"/>
    <w:rsid w:val="00296DCC"/>
    <w:rsid w:val="00297202"/>
    <w:rsid w:val="0029756D"/>
    <w:rsid w:val="002977A9"/>
    <w:rsid w:val="00297CB5"/>
    <w:rsid w:val="002A11B2"/>
    <w:rsid w:val="002A24D4"/>
    <w:rsid w:val="002A348D"/>
    <w:rsid w:val="002A3FA2"/>
    <w:rsid w:val="002A50D7"/>
    <w:rsid w:val="002A5F7A"/>
    <w:rsid w:val="002A6474"/>
    <w:rsid w:val="002A660D"/>
    <w:rsid w:val="002A7246"/>
    <w:rsid w:val="002B0BB0"/>
    <w:rsid w:val="002B0BCD"/>
    <w:rsid w:val="002B0E25"/>
    <w:rsid w:val="002B1370"/>
    <w:rsid w:val="002B159E"/>
    <w:rsid w:val="002B2785"/>
    <w:rsid w:val="002B38E5"/>
    <w:rsid w:val="002B4001"/>
    <w:rsid w:val="002B4425"/>
    <w:rsid w:val="002B5943"/>
    <w:rsid w:val="002B6E23"/>
    <w:rsid w:val="002B75E4"/>
    <w:rsid w:val="002B765C"/>
    <w:rsid w:val="002C043B"/>
    <w:rsid w:val="002C4020"/>
    <w:rsid w:val="002C445E"/>
    <w:rsid w:val="002C4979"/>
    <w:rsid w:val="002C58C3"/>
    <w:rsid w:val="002D0BA7"/>
    <w:rsid w:val="002D1D02"/>
    <w:rsid w:val="002D257A"/>
    <w:rsid w:val="002D2D99"/>
    <w:rsid w:val="002D308A"/>
    <w:rsid w:val="002D363C"/>
    <w:rsid w:val="002D4F26"/>
    <w:rsid w:val="002D6006"/>
    <w:rsid w:val="002E2CBB"/>
    <w:rsid w:val="002E3378"/>
    <w:rsid w:val="002E39E7"/>
    <w:rsid w:val="002E52D3"/>
    <w:rsid w:val="002E5360"/>
    <w:rsid w:val="002E6399"/>
    <w:rsid w:val="002E6851"/>
    <w:rsid w:val="002E6C42"/>
    <w:rsid w:val="002E720E"/>
    <w:rsid w:val="002E7BC0"/>
    <w:rsid w:val="002F04CD"/>
    <w:rsid w:val="002F11E2"/>
    <w:rsid w:val="002F2269"/>
    <w:rsid w:val="002F2F67"/>
    <w:rsid w:val="002F3824"/>
    <w:rsid w:val="002F3D8F"/>
    <w:rsid w:val="002F4470"/>
    <w:rsid w:val="002F4E77"/>
    <w:rsid w:val="002F5735"/>
    <w:rsid w:val="002F61B9"/>
    <w:rsid w:val="002F6EC0"/>
    <w:rsid w:val="002F7AA3"/>
    <w:rsid w:val="002F7FB7"/>
    <w:rsid w:val="00301B33"/>
    <w:rsid w:val="003027BA"/>
    <w:rsid w:val="00302F31"/>
    <w:rsid w:val="00303485"/>
    <w:rsid w:val="00303CF2"/>
    <w:rsid w:val="00304523"/>
    <w:rsid w:val="00304E1C"/>
    <w:rsid w:val="003062D4"/>
    <w:rsid w:val="003071D7"/>
    <w:rsid w:val="003103A8"/>
    <w:rsid w:val="00311E15"/>
    <w:rsid w:val="00312DC4"/>
    <w:rsid w:val="00313A58"/>
    <w:rsid w:val="00314064"/>
    <w:rsid w:val="00314741"/>
    <w:rsid w:val="00314784"/>
    <w:rsid w:val="0031497F"/>
    <w:rsid w:val="00315B55"/>
    <w:rsid w:val="00315F1B"/>
    <w:rsid w:val="00316120"/>
    <w:rsid w:val="0031623B"/>
    <w:rsid w:val="00317079"/>
    <w:rsid w:val="0032022A"/>
    <w:rsid w:val="00320ADE"/>
    <w:rsid w:val="00321709"/>
    <w:rsid w:val="003220EC"/>
    <w:rsid w:val="00322C8C"/>
    <w:rsid w:val="00322E07"/>
    <w:rsid w:val="0032305D"/>
    <w:rsid w:val="00323278"/>
    <w:rsid w:val="0032348F"/>
    <w:rsid w:val="003237CD"/>
    <w:rsid w:val="00323AC3"/>
    <w:rsid w:val="00323BFD"/>
    <w:rsid w:val="00324B9C"/>
    <w:rsid w:val="00326509"/>
    <w:rsid w:val="003301FE"/>
    <w:rsid w:val="0033043B"/>
    <w:rsid w:val="0033091F"/>
    <w:rsid w:val="00330BE0"/>
    <w:rsid w:val="00330DFA"/>
    <w:rsid w:val="00330EF7"/>
    <w:rsid w:val="0033100C"/>
    <w:rsid w:val="003324B9"/>
    <w:rsid w:val="00332F50"/>
    <w:rsid w:val="00334164"/>
    <w:rsid w:val="00335CA1"/>
    <w:rsid w:val="00336F3B"/>
    <w:rsid w:val="003400D6"/>
    <w:rsid w:val="003417EB"/>
    <w:rsid w:val="00342FF4"/>
    <w:rsid w:val="003435F0"/>
    <w:rsid w:val="003436F8"/>
    <w:rsid w:val="00343947"/>
    <w:rsid w:val="00343D43"/>
    <w:rsid w:val="00343EB5"/>
    <w:rsid w:val="00345060"/>
    <w:rsid w:val="00345856"/>
    <w:rsid w:val="0034666F"/>
    <w:rsid w:val="003472D7"/>
    <w:rsid w:val="003500F5"/>
    <w:rsid w:val="0035049D"/>
    <w:rsid w:val="003509A7"/>
    <w:rsid w:val="00351A61"/>
    <w:rsid w:val="003523F5"/>
    <w:rsid w:val="00352B4F"/>
    <w:rsid w:val="00353737"/>
    <w:rsid w:val="003539AE"/>
    <w:rsid w:val="00353EDC"/>
    <w:rsid w:val="00354FE5"/>
    <w:rsid w:val="00355657"/>
    <w:rsid w:val="00356872"/>
    <w:rsid w:val="00356C4C"/>
    <w:rsid w:val="00357633"/>
    <w:rsid w:val="00360172"/>
    <w:rsid w:val="003608AD"/>
    <w:rsid w:val="00361783"/>
    <w:rsid w:val="00361B46"/>
    <w:rsid w:val="003631B0"/>
    <w:rsid w:val="00363627"/>
    <w:rsid w:val="0036369C"/>
    <w:rsid w:val="003639B6"/>
    <w:rsid w:val="003641C0"/>
    <w:rsid w:val="00364C7C"/>
    <w:rsid w:val="00365323"/>
    <w:rsid w:val="00365C65"/>
    <w:rsid w:val="00367204"/>
    <w:rsid w:val="00367BB8"/>
    <w:rsid w:val="00371709"/>
    <w:rsid w:val="0037237B"/>
    <w:rsid w:val="00375061"/>
    <w:rsid w:val="003755F6"/>
    <w:rsid w:val="003759A4"/>
    <w:rsid w:val="003763C3"/>
    <w:rsid w:val="00376895"/>
    <w:rsid w:val="00377959"/>
    <w:rsid w:val="00380B3C"/>
    <w:rsid w:val="00380C5C"/>
    <w:rsid w:val="0038172C"/>
    <w:rsid w:val="0038209C"/>
    <w:rsid w:val="003828EF"/>
    <w:rsid w:val="00382D25"/>
    <w:rsid w:val="00383188"/>
    <w:rsid w:val="003831B3"/>
    <w:rsid w:val="00383846"/>
    <w:rsid w:val="00384574"/>
    <w:rsid w:val="0038462B"/>
    <w:rsid w:val="00384DA2"/>
    <w:rsid w:val="00385E0A"/>
    <w:rsid w:val="003860A7"/>
    <w:rsid w:val="00386AFB"/>
    <w:rsid w:val="00387A62"/>
    <w:rsid w:val="00387A88"/>
    <w:rsid w:val="003900A9"/>
    <w:rsid w:val="003913DC"/>
    <w:rsid w:val="003919A4"/>
    <w:rsid w:val="003928D5"/>
    <w:rsid w:val="00392D85"/>
    <w:rsid w:val="00392F73"/>
    <w:rsid w:val="00394069"/>
    <w:rsid w:val="00394C85"/>
    <w:rsid w:val="00396450"/>
    <w:rsid w:val="003970F9"/>
    <w:rsid w:val="00397845"/>
    <w:rsid w:val="00397CA5"/>
    <w:rsid w:val="00397FF0"/>
    <w:rsid w:val="003A087A"/>
    <w:rsid w:val="003A0F98"/>
    <w:rsid w:val="003A1878"/>
    <w:rsid w:val="003A2549"/>
    <w:rsid w:val="003A2ADE"/>
    <w:rsid w:val="003A354F"/>
    <w:rsid w:val="003A40AF"/>
    <w:rsid w:val="003A4A45"/>
    <w:rsid w:val="003A547F"/>
    <w:rsid w:val="003A7D1B"/>
    <w:rsid w:val="003A7E09"/>
    <w:rsid w:val="003A7E86"/>
    <w:rsid w:val="003B04D9"/>
    <w:rsid w:val="003B0829"/>
    <w:rsid w:val="003B0F0C"/>
    <w:rsid w:val="003B1BA9"/>
    <w:rsid w:val="003B2BD5"/>
    <w:rsid w:val="003B2D01"/>
    <w:rsid w:val="003B30E1"/>
    <w:rsid w:val="003B450A"/>
    <w:rsid w:val="003B4EC7"/>
    <w:rsid w:val="003B5AD0"/>
    <w:rsid w:val="003B7261"/>
    <w:rsid w:val="003B72B6"/>
    <w:rsid w:val="003C06ED"/>
    <w:rsid w:val="003C0798"/>
    <w:rsid w:val="003C0ABE"/>
    <w:rsid w:val="003C1455"/>
    <w:rsid w:val="003C213B"/>
    <w:rsid w:val="003C3475"/>
    <w:rsid w:val="003C3CFB"/>
    <w:rsid w:val="003C46D9"/>
    <w:rsid w:val="003C4E69"/>
    <w:rsid w:val="003C6D41"/>
    <w:rsid w:val="003D0C09"/>
    <w:rsid w:val="003D1265"/>
    <w:rsid w:val="003D19D0"/>
    <w:rsid w:val="003D226A"/>
    <w:rsid w:val="003D28A8"/>
    <w:rsid w:val="003D2BAE"/>
    <w:rsid w:val="003D4051"/>
    <w:rsid w:val="003D6C51"/>
    <w:rsid w:val="003D6D8F"/>
    <w:rsid w:val="003E01C1"/>
    <w:rsid w:val="003E024B"/>
    <w:rsid w:val="003E15C1"/>
    <w:rsid w:val="003E1FA1"/>
    <w:rsid w:val="003E22FE"/>
    <w:rsid w:val="003E235A"/>
    <w:rsid w:val="003E2869"/>
    <w:rsid w:val="003E5740"/>
    <w:rsid w:val="003E5939"/>
    <w:rsid w:val="003E729D"/>
    <w:rsid w:val="003E75AE"/>
    <w:rsid w:val="003F0339"/>
    <w:rsid w:val="003F0D42"/>
    <w:rsid w:val="003F0E0C"/>
    <w:rsid w:val="003F13FB"/>
    <w:rsid w:val="003F14A1"/>
    <w:rsid w:val="003F1AF1"/>
    <w:rsid w:val="003F2215"/>
    <w:rsid w:val="003F2269"/>
    <w:rsid w:val="003F2B79"/>
    <w:rsid w:val="003F4837"/>
    <w:rsid w:val="003F52DB"/>
    <w:rsid w:val="00401988"/>
    <w:rsid w:val="00401AEB"/>
    <w:rsid w:val="0040253B"/>
    <w:rsid w:val="004028CA"/>
    <w:rsid w:val="0040290C"/>
    <w:rsid w:val="00402CE8"/>
    <w:rsid w:val="0040341F"/>
    <w:rsid w:val="0040388E"/>
    <w:rsid w:val="00403B2C"/>
    <w:rsid w:val="00403B2D"/>
    <w:rsid w:val="00403B69"/>
    <w:rsid w:val="00403FDD"/>
    <w:rsid w:val="004048BF"/>
    <w:rsid w:val="004048E9"/>
    <w:rsid w:val="00404D79"/>
    <w:rsid w:val="00405C0B"/>
    <w:rsid w:val="004106CA"/>
    <w:rsid w:val="00411B37"/>
    <w:rsid w:val="004123BE"/>
    <w:rsid w:val="0041287E"/>
    <w:rsid w:val="00412A17"/>
    <w:rsid w:val="004155CF"/>
    <w:rsid w:val="00415D2A"/>
    <w:rsid w:val="00415E81"/>
    <w:rsid w:val="004169DC"/>
    <w:rsid w:val="004206F7"/>
    <w:rsid w:val="00423299"/>
    <w:rsid w:val="00424128"/>
    <w:rsid w:val="00424E92"/>
    <w:rsid w:val="00425076"/>
    <w:rsid w:val="004260E8"/>
    <w:rsid w:val="0043147E"/>
    <w:rsid w:val="00431BE2"/>
    <w:rsid w:val="004327C9"/>
    <w:rsid w:val="0043403C"/>
    <w:rsid w:val="0043464E"/>
    <w:rsid w:val="00435F33"/>
    <w:rsid w:val="00435FC0"/>
    <w:rsid w:val="004367EA"/>
    <w:rsid w:val="00436FEA"/>
    <w:rsid w:val="00437150"/>
    <w:rsid w:val="004375D8"/>
    <w:rsid w:val="00437778"/>
    <w:rsid w:val="00437877"/>
    <w:rsid w:val="00437C1C"/>
    <w:rsid w:val="004403C3"/>
    <w:rsid w:val="004408E0"/>
    <w:rsid w:val="00441925"/>
    <w:rsid w:val="00441AE8"/>
    <w:rsid w:val="00441FB0"/>
    <w:rsid w:val="00443A4A"/>
    <w:rsid w:val="00445224"/>
    <w:rsid w:val="00445EC7"/>
    <w:rsid w:val="00447AC5"/>
    <w:rsid w:val="004504D6"/>
    <w:rsid w:val="0045167B"/>
    <w:rsid w:val="00452C49"/>
    <w:rsid w:val="00453B3D"/>
    <w:rsid w:val="004555CA"/>
    <w:rsid w:val="00455701"/>
    <w:rsid w:val="00456191"/>
    <w:rsid w:val="004568DF"/>
    <w:rsid w:val="00457516"/>
    <w:rsid w:val="00457928"/>
    <w:rsid w:val="004609A3"/>
    <w:rsid w:val="0046154B"/>
    <w:rsid w:val="00461FBB"/>
    <w:rsid w:val="0046248F"/>
    <w:rsid w:val="00462DFC"/>
    <w:rsid w:val="004633F6"/>
    <w:rsid w:val="004634B4"/>
    <w:rsid w:val="0046351F"/>
    <w:rsid w:val="00464487"/>
    <w:rsid w:val="004652AB"/>
    <w:rsid w:val="004655E5"/>
    <w:rsid w:val="004658A6"/>
    <w:rsid w:val="004658FE"/>
    <w:rsid w:val="00465DD2"/>
    <w:rsid w:val="00466AA0"/>
    <w:rsid w:val="00467C11"/>
    <w:rsid w:val="00470267"/>
    <w:rsid w:val="00470CCD"/>
    <w:rsid w:val="00473378"/>
    <w:rsid w:val="00474838"/>
    <w:rsid w:val="00475CC2"/>
    <w:rsid w:val="00475D0F"/>
    <w:rsid w:val="00475EB3"/>
    <w:rsid w:val="00480254"/>
    <w:rsid w:val="004807C6"/>
    <w:rsid w:val="0048116B"/>
    <w:rsid w:val="00481B57"/>
    <w:rsid w:val="00481E6F"/>
    <w:rsid w:val="00482352"/>
    <w:rsid w:val="00482E5F"/>
    <w:rsid w:val="00483031"/>
    <w:rsid w:val="0048316D"/>
    <w:rsid w:val="00484C01"/>
    <w:rsid w:val="004872BC"/>
    <w:rsid w:val="0049129D"/>
    <w:rsid w:val="00492523"/>
    <w:rsid w:val="0049326B"/>
    <w:rsid w:val="00493400"/>
    <w:rsid w:val="0049435F"/>
    <w:rsid w:val="00494A88"/>
    <w:rsid w:val="00495D51"/>
    <w:rsid w:val="00497324"/>
    <w:rsid w:val="004A1401"/>
    <w:rsid w:val="004A2AA3"/>
    <w:rsid w:val="004A3547"/>
    <w:rsid w:val="004A37F5"/>
    <w:rsid w:val="004A3FB1"/>
    <w:rsid w:val="004A3FED"/>
    <w:rsid w:val="004A53B0"/>
    <w:rsid w:val="004A5673"/>
    <w:rsid w:val="004A6B08"/>
    <w:rsid w:val="004A7458"/>
    <w:rsid w:val="004B002D"/>
    <w:rsid w:val="004B03F2"/>
    <w:rsid w:val="004B1676"/>
    <w:rsid w:val="004B17DF"/>
    <w:rsid w:val="004B1AD0"/>
    <w:rsid w:val="004B1B38"/>
    <w:rsid w:val="004B1B9B"/>
    <w:rsid w:val="004B30B5"/>
    <w:rsid w:val="004B324F"/>
    <w:rsid w:val="004B371E"/>
    <w:rsid w:val="004B391A"/>
    <w:rsid w:val="004B3B13"/>
    <w:rsid w:val="004B5F5E"/>
    <w:rsid w:val="004B60F9"/>
    <w:rsid w:val="004B694E"/>
    <w:rsid w:val="004B7299"/>
    <w:rsid w:val="004B7A2B"/>
    <w:rsid w:val="004B7F66"/>
    <w:rsid w:val="004C4589"/>
    <w:rsid w:val="004C4FED"/>
    <w:rsid w:val="004C680F"/>
    <w:rsid w:val="004C6845"/>
    <w:rsid w:val="004D0B73"/>
    <w:rsid w:val="004D2458"/>
    <w:rsid w:val="004D28DC"/>
    <w:rsid w:val="004D3057"/>
    <w:rsid w:val="004D31B3"/>
    <w:rsid w:val="004D3C75"/>
    <w:rsid w:val="004D6040"/>
    <w:rsid w:val="004D6B06"/>
    <w:rsid w:val="004E04FE"/>
    <w:rsid w:val="004E05CE"/>
    <w:rsid w:val="004E1881"/>
    <w:rsid w:val="004E1B95"/>
    <w:rsid w:val="004E1CFB"/>
    <w:rsid w:val="004E26C6"/>
    <w:rsid w:val="004E29AB"/>
    <w:rsid w:val="004E29B2"/>
    <w:rsid w:val="004E2FB2"/>
    <w:rsid w:val="004E30CC"/>
    <w:rsid w:val="004E4B08"/>
    <w:rsid w:val="004E6704"/>
    <w:rsid w:val="004E69E5"/>
    <w:rsid w:val="004E75AC"/>
    <w:rsid w:val="004F03C2"/>
    <w:rsid w:val="004F0733"/>
    <w:rsid w:val="004F0F4D"/>
    <w:rsid w:val="004F2BDE"/>
    <w:rsid w:val="004F323A"/>
    <w:rsid w:val="004F346F"/>
    <w:rsid w:val="004F4E21"/>
    <w:rsid w:val="004F542D"/>
    <w:rsid w:val="004F59A1"/>
    <w:rsid w:val="004F646A"/>
    <w:rsid w:val="004F7388"/>
    <w:rsid w:val="0050148F"/>
    <w:rsid w:val="005018FC"/>
    <w:rsid w:val="00501CC7"/>
    <w:rsid w:val="00501D30"/>
    <w:rsid w:val="005023BA"/>
    <w:rsid w:val="00504052"/>
    <w:rsid w:val="00507232"/>
    <w:rsid w:val="00507EFB"/>
    <w:rsid w:val="00510220"/>
    <w:rsid w:val="00510706"/>
    <w:rsid w:val="0051173F"/>
    <w:rsid w:val="00511769"/>
    <w:rsid w:val="0051300E"/>
    <w:rsid w:val="00513813"/>
    <w:rsid w:val="00513C59"/>
    <w:rsid w:val="0051472C"/>
    <w:rsid w:val="00514A04"/>
    <w:rsid w:val="00515FA3"/>
    <w:rsid w:val="00517510"/>
    <w:rsid w:val="005179F1"/>
    <w:rsid w:val="00517D56"/>
    <w:rsid w:val="005204C7"/>
    <w:rsid w:val="005205E5"/>
    <w:rsid w:val="0052114F"/>
    <w:rsid w:val="00521483"/>
    <w:rsid w:val="0052189D"/>
    <w:rsid w:val="0052235B"/>
    <w:rsid w:val="00522968"/>
    <w:rsid w:val="00522CBD"/>
    <w:rsid w:val="00523941"/>
    <w:rsid w:val="005249BB"/>
    <w:rsid w:val="0052515F"/>
    <w:rsid w:val="005251DF"/>
    <w:rsid w:val="0052553B"/>
    <w:rsid w:val="00525729"/>
    <w:rsid w:val="005274A8"/>
    <w:rsid w:val="005276DB"/>
    <w:rsid w:val="00531240"/>
    <w:rsid w:val="00531497"/>
    <w:rsid w:val="00532451"/>
    <w:rsid w:val="00533A97"/>
    <w:rsid w:val="00533FA2"/>
    <w:rsid w:val="00534012"/>
    <w:rsid w:val="00535BA9"/>
    <w:rsid w:val="00536103"/>
    <w:rsid w:val="005363DF"/>
    <w:rsid w:val="00536464"/>
    <w:rsid w:val="0053677E"/>
    <w:rsid w:val="00536D58"/>
    <w:rsid w:val="005404EE"/>
    <w:rsid w:val="00541339"/>
    <w:rsid w:val="00542248"/>
    <w:rsid w:val="005429F0"/>
    <w:rsid w:val="00543042"/>
    <w:rsid w:val="0054312B"/>
    <w:rsid w:val="0054344D"/>
    <w:rsid w:val="0054351B"/>
    <w:rsid w:val="00543677"/>
    <w:rsid w:val="00544A52"/>
    <w:rsid w:val="00544D37"/>
    <w:rsid w:val="00545730"/>
    <w:rsid w:val="005477F3"/>
    <w:rsid w:val="005478C1"/>
    <w:rsid w:val="00547CDA"/>
    <w:rsid w:val="00552C3D"/>
    <w:rsid w:val="00552CC1"/>
    <w:rsid w:val="0055326C"/>
    <w:rsid w:val="00553400"/>
    <w:rsid w:val="00553463"/>
    <w:rsid w:val="00553536"/>
    <w:rsid w:val="00553678"/>
    <w:rsid w:val="0055429D"/>
    <w:rsid w:val="005542A4"/>
    <w:rsid w:val="005551EE"/>
    <w:rsid w:val="0055556B"/>
    <w:rsid w:val="005558C5"/>
    <w:rsid w:val="00555944"/>
    <w:rsid w:val="005564BF"/>
    <w:rsid w:val="00556FA9"/>
    <w:rsid w:val="0056031D"/>
    <w:rsid w:val="00561A80"/>
    <w:rsid w:val="005625BA"/>
    <w:rsid w:val="00563910"/>
    <w:rsid w:val="00563AC1"/>
    <w:rsid w:val="00564CE2"/>
    <w:rsid w:val="00564F95"/>
    <w:rsid w:val="00565429"/>
    <w:rsid w:val="00566097"/>
    <w:rsid w:val="005660EE"/>
    <w:rsid w:val="0056732A"/>
    <w:rsid w:val="005706BC"/>
    <w:rsid w:val="005747A4"/>
    <w:rsid w:val="0057536F"/>
    <w:rsid w:val="005761F3"/>
    <w:rsid w:val="0058075F"/>
    <w:rsid w:val="00580807"/>
    <w:rsid w:val="0058147E"/>
    <w:rsid w:val="0058166F"/>
    <w:rsid w:val="00582045"/>
    <w:rsid w:val="005822C2"/>
    <w:rsid w:val="00582AD6"/>
    <w:rsid w:val="00583E8B"/>
    <w:rsid w:val="00585040"/>
    <w:rsid w:val="00585E67"/>
    <w:rsid w:val="00586095"/>
    <w:rsid w:val="00587C72"/>
    <w:rsid w:val="00590FFE"/>
    <w:rsid w:val="0059187B"/>
    <w:rsid w:val="00591BFB"/>
    <w:rsid w:val="0059219B"/>
    <w:rsid w:val="0059310E"/>
    <w:rsid w:val="00593CAE"/>
    <w:rsid w:val="00593F27"/>
    <w:rsid w:val="00594597"/>
    <w:rsid w:val="00594E89"/>
    <w:rsid w:val="005A0B61"/>
    <w:rsid w:val="005A1655"/>
    <w:rsid w:val="005A1953"/>
    <w:rsid w:val="005A1A11"/>
    <w:rsid w:val="005A1C18"/>
    <w:rsid w:val="005A2B23"/>
    <w:rsid w:val="005A3AB3"/>
    <w:rsid w:val="005A4B26"/>
    <w:rsid w:val="005A63FE"/>
    <w:rsid w:val="005A6B5F"/>
    <w:rsid w:val="005A793F"/>
    <w:rsid w:val="005B1686"/>
    <w:rsid w:val="005B1960"/>
    <w:rsid w:val="005B1EC0"/>
    <w:rsid w:val="005B225B"/>
    <w:rsid w:val="005B289C"/>
    <w:rsid w:val="005B3141"/>
    <w:rsid w:val="005B433E"/>
    <w:rsid w:val="005B4A13"/>
    <w:rsid w:val="005B4DBF"/>
    <w:rsid w:val="005B678E"/>
    <w:rsid w:val="005B6E3F"/>
    <w:rsid w:val="005B7168"/>
    <w:rsid w:val="005B7469"/>
    <w:rsid w:val="005C07E4"/>
    <w:rsid w:val="005C0DBA"/>
    <w:rsid w:val="005C13B1"/>
    <w:rsid w:val="005C1647"/>
    <w:rsid w:val="005C1C65"/>
    <w:rsid w:val="005C23B6"/>
    <w:rsid w:val="005C35E1"/>
    <w:rsid w:val="005C4549"/>
    <w:rsid w:val="005C495A"/>
    <w:rsid w:val="005C55F6"/>
    <w:rsid w:val="005C5D65"/>
    <w:rsid w:val="005C6C26"/>
    <w:rsid w:val="005C7F38"/>
    <w:rsid w:val="005D0398"/>
    <w:rsid w:val="005D0EAB"/>
    <w:rsid w:val="005D126D"/>
    <w:rsid w:val="005D3224"/>
    <w:rsid w:val="005D33B2"/>
    <w:rsid w:val="005D3A96"/>
    <w:rsid w:val="005D4024"/>
    <w:rsid w:val="005D5158"/>
    <w:rsid w:val="005D55D0"/>
    <w:rsid w:val="005D65D9"/>
    <w:rsid w:val="005D6755"/>
    <w:rsid w:val="005D7308"/>
    <w:rsid w:val="005E067E"/>
    <w:rsid w:val="005E0FDF"/>
    <w:rsid w:val="005E15A3"/>
    <w:rsid w:val="005E20DC"/>
    <w:rsid w:val="005E2A4F"/>
    <w:rsid w:val="005E2D6C"/>
    <w:rsid w:val="005E3ECE"/>
    <w:rsid w:val="005E43DA"/>
    <w:rsid w:val="005E54F5"/>
    <w:rsid w:val="005E571B"/>
    <w:rsid w:val="005E58AD"/>
    <w:rsid w:val="005E774C"/>
    <w:rsid w:val="005E7EAA"/>
    <w:rsid w:val="005F10E9"/>
    <w:rsid w:val="005F11E6"/>
    <w:rsid w:val="005F1685"/>
    <w:rsid w:val="005F279B"/>
    <w:rsid w:val="005F2D43"/>
    <w:rsid w:val="005F478A"/>
    <w:rsid w:val="005F5F15"/>
    <w:rsid w:val="005F5FC5"/>
    <w:rsid w:val="005F60E8"/>
    <w:rsid w:val="005F673A"/>
    <w:rsid w:val="005F791A"/>
    <w:rsid w:val="005F7A26"/>
    <w:rsid w:val="005F7C0F"/>
    <w:rsid w:val="00600531"/>
    <w:rsid w:val="00600A49"/>
    <w:rsid w:val="00600AEA"/>
    <w:rsid w:val="00601D02"/>
    <w:rsid w:val="0060234B"/>
    <w:rsid w:val="0060314D"/>
    <w:rsid w:val="0060372D"/>
    <w:rsid w:val="006047DB"/>
    <w:rsid w:val="00604C62"/>
    <w:rsid w:val="006050B0"/>
    <w:rsid w:val="00613339"/>
    <w:rsid w:val="00613751"/>
    <w:rsid w:val="00613F2A"/>
    <w:rsid w:val="0061471A"/>
    <w:rsid w:val="00614C76"/>
    <w:rsid w:val="00614CEA"/>
    <w:rsid w:val="00614E62"/>
    <w:rsid w:val="00616183"/>
    <w:rsid w:val="00617E2F"/>
    <w:rsid w:val="00620467"/>
    <w:rsid w:val="0062050A"/>
    <w:rsid w:val="00620EEA"/>
    <w:rsid w:val="00621B6A"/>
    <w:rsid w:val="006223DE"/>
    <w:rsid w:val="006229B8"/>
    <w:rsid w:val="00622C03"/>
    <w:rsid w:val="00624C7B"/>
    <w:rsid w:val="006257DE"/>
    <w:rsid w:val="00625B97"/>
    <w:rsid w:val="00632CCF"/>
    <w:rsid w:val="00632FB2"/>
    <w:rsid w:val="006333DE"/>
    <w:rsid w:val="006341D3"/>
    <w:rsid w:val="0063531C"/>
    <w:rsid w:val="006355D2"/>
    <w:rsid w:val="006357BE"/>
    <w:rsid w:val="00636126"/>
    <w:rsid w:val="00636902"/>
    <w:rsid w:val="0063699D"/>
    <w:rsid w:val="00637121"/>
    <w:rsid w:val="006374B6"/>
    <w:rsid w:val="00637970"/>
    <w:rsid w:val="00637E9D"/>
    <w:rsid w:val="00637F3E"/>
    <w:rsid w:val="006415F7"/>
    <w:rsid w:val="00641EDD"/>
    <w:rsid w:val="00641F78"/>
    <w:rsid w:val="00642A6A"/>
    <w:rsid w:val="00642CB4"/>
    <w:rsid w:val="0064386C"/>
    <w:rsid w:val="00643CEF"/>
    <w:rsid w:val="00646795"/>
    <w:rsid w:val="00646F2E"/>
    <w:rsid w:val="006479C4"/>
    <w:rsid w:val="0065015F"/>
    <w:rsid w:val="00650824"/>
    <w:rsid w:val="006519BA"/>
    <w:rsid w:val="00653D16"/>
    <w:rsid w:val="0065421A"/>
    <w:rsid w:val="00655215"/>
    <w:rsid w:val="00655F3C"/>
    <w:rsid w:val="00657585"/>
    <w:rsid w:val="006608F1"/>
    <w:rsid w:val="00661284"/>
    <w:rsid w:val="00663BBC"/>
    <w:rsid w:val="0066550E"/>
    <w:rsid w:val="00666833"/>
    <w:rsid w:val="006717C8"/>
    <w:rsid w:val="006723AE"/>
    <w:rsid w:val="00672B58"/>
    <w:rsid w:val="00672F9D"/>
    <w:rsid w:val="00674AF7"/>
    <w:rsid w:val="0067568E"/>
    <w:rsid w:val="00676494"/>
    <w:rsid w:val="006779AA"/>
    <w:rsid w:val="0068031A"/>
    <w:rsid w:val="00680487"/>
    <w:rsid w:val="006804EB"/>
    <w:rsid w:val="00680BEF"/>
    <w:rsid w:val="00682739"/>
    <w:rsid w:val="0068440D"/>
    <w:rsid w:val="0068472E"/>
    <w:rsid w:val="00684750"/>
    <w:rsid w:val="006854E7"/>
    <w:rsid w:val="006866CA"/>
    <w:rsid w:val="0068731C"/>
    <w:rsid w:val="00687675"/>
    <w:rsid w:val="006876CD"/>
    <w:rsid w:val="0069155A"/>
    <w:rsid w:val="00692AE5"/>
    <w:rsid w:val="006932A9"/>
    <w:rsid w:val="00697B56"/>
    <w:rsid w:val="006A088C"/>
    <w:rsid w:val="006A2072"/>
    <w:rsid w:val="006A5209"/>
    <w:rsid w:val="006A56E9"/>
    <w:rsid w:val="006A5791"/>
    <w:rsid w:val="006B112B"/>
    <w:rsid w:val="006B152A"/>
    <w:rsid w:val="006B21C7"/>
    <w:rsid w:val="006B24D0"/>
    <w:rsid w:val="006B28E9"/>
    <w:rsid w:val="006B2BB1"/>
    <w:rsid w:val="006B422D"/>
    <w:rsid w:val="006C0271"/>
    <w:rsid w:val="006C0BA2"/>
    <w:rsid w:val="006C0D52"/>
    <w:rsid w:val="006C18DF"/>
    <w:rsid w:val="006C2212"/>
    <w:rsid w:val="006C2A65"/>
    <w:rsid w:val="006C380A"/>
    <w:rsid w:val="006C4C4A"/>
    <w:rsid w:val="006C66B2"/>
    <w:rsid w:val="006C67CE"/>
    <w:rsid w:val="006C6A6E"/>
    <w:rsid w:val="006D04C0"/>
    <w:rsid w:val="006D2135"/>
    <w:rsid w:val="006D2E94"/>
    <w:rsid w:val="006D3015"/>
    <w:rsid w:val="006D32E3"/>
    <w:rsid w:val="006D3469"/>
    <w:rsid w:val="006D5571"/>
    <w:rsid w:val="006D5CB6"/>
    <w:rsid w:val="006D5EC9"/>
    <w:rsid w:val="006E0BFF"/>
    <w:rsid w:val="006E2CEB"/>
    <w:rsid w:val="006E3C40"/>
    <w:rsid w:val="006E5236"/>
    <w:rsid w:val="006E6FBE"/>
    <w:rsid w:val="006E72E4"/>
    <w:rsid w:val="006E7A68"/>
    <w:rsid w:val="006E7F27"/>
    <w:rsid w:val="006F0207"/>
    <w:rsid w:val="006F1793"/>
    <w:rsid w:val="006F20B5"/>
    <w:rsid w:val="006F4AF0"/>
    <w:rsid w:val="006F7173"/>
    <w:rsid w:val="00700C47"/>
    <w:rsid w:val="00700D5C"/>
    <w:rsid w:val="00701AC8"/>
    <w:rsid w:val="00701BBA"/>
    <w:rsid w:val="0070261E"/>
    <w:rsid w:val="00702B48"/>
    <w:rsid w:val="0070423F"/>
    <w:rsid w:val="00704922"/>
    <w:rsid w:val="00705E16"/>
    <w:rsid w:val="007060BE"/>
    <w:rsid w:val="007071A6"/>
    <w:rsid w:val="00707951"/>
    <w:rsid w:val="007104E7"/>
    <w:rsid w:val="007114D6"/>
    <w:rsid w:val="00711637"/>
    <w:rsid w:val="00713E56"/>
    <w:rsid w:val="0071728A"/>
    <w:rsid w:val="0071738D"/>
    <w:rsid w:val="007173A1"/>
    <w:rsid w:val="00717BC9"/>
    <w:rsid w:val="00720164"/>
    <w:rsid w:val="007214DE"/>
    <w:rsid w:val="00721D7C"/>
    <w:rsid w:val="00722E6D"/>
    <w:rsid w:val="007232AF"/>
    <w:rsid w:val="0072336C"/>
    <w:rsid w:val="00724B53"/>
    <w:rsid w:val="00724E39"/>
    <w:rsid w:val="00725278"/>
    <w:rsid w:val="00725840"/>
    <w:rsid w:val="0072625B"/>
    <w:rsid w:val="00727D0A"/>
    <w:rsid w:val="00727F42"/>
    <w:rsid w:val="0073165A"/>
    <w:rsid w:val="007320AA"/>
    <w:rsid w:val="00733401"/>
    <w:rsid w:val="007335D0"/>
    <w:rsid w:val="007340E6"/>
    <w:rsid w:val="00734292"/>
    <w:rsid w:val="00734880"/>
    <w:rsid w:val="00735965"/>
    <w:rsid w:val="007379F0"/>
    <w:rsid w:val="00740D46"/>
    <w:rsid w:val="007412CC"/>
    <w:rsid w:val="007418DE"/>
    <w:rsid w:val="00743314"/>
    <w:rsid w:val="007433A7"/>
    <w:rsid w:val="00744110"/>
    <w:rsid w:val="00745EE2"/>
    <w:rsid w:val="00746002"/>
    <w:rsid w:val="0074728B"/>
    <w:rsid w:val="00747979"/>
    <w:rsid w:val="00747C28"/>
    <w:rsid w:val="007508C8"/>
    <w:rsid w:val="00750A61"/>
    <w:rsid w:val="00750F2C"/>
    <w:rsid w:val="007512D5"/>
    <w:rsid w:val="0075426D"/>
    <w:rsid w:val="00754D55"/>
    <w:rsid w:val="00755744"/>
    <w:rsid w:val="00755F59"/>
    <w:rsid w:val="00756326"/>
    <w:rsid w:val="007567DD"/>
    <w:rsid w:val="00756C7D"/>
    <w:rsid w:val="00757FA5"/>
    <w:rsid w:val="00760225"/>
    <w:rsid w:val="007606EB"/>
    <w:rsid w:val="00760FDB"/>
    <w:rsid w:val="00762026"/>
    <w:rsid w:val="007630BD"/>
    <w:rsid w:val="00763D39"/>
    <w:rsid w:val="00763D45"/>
    <w:rsid w:val="00763F72"/>
    <w:rsid w:val="007641E9"/>
    <w:rsid w:val="007642DC"/>
    <w:rsid w:val="00767219"/>
    <w:rsid w:val="00770050"/>
    <w:rsid w:val="00770FBA"/>
    <w:rsid w:val="00771988"/>
    <w:rsid w:val="007723EB"/>
    <w:rsid w:val="00773CC2"/>
    <w:rsid w:val="00775853"/>
    <w:rsid w:val="00775A41"/>
    <w:rsid w:val="00776EDF"/>
    <w:rsid w:val="007825AC"/>
    <w:rsid w:val="00782EEF"/>
    <w:rsid w:val="00783BAF"/>
    <w:rsid w:val="007841AB"/>
    <w:rsid w:val="00784879"/>
    <w:rsid w:val="00784B91"/>
    <w:rsid w:val="00785496"/>
    <w:rsid w:val="00785CD4"/>
    <w:rsid w:val="00785DE8"/>
    <w:rsid w:val="007869B1"/>
    <w:rsid w:val="00786AB7"/>
    <w:rsid w:val="00787793"/>
    <w:rsid w:val="007877FF"/>
    <w:rsid w:val="00787C7A"/>
    <w:rsid w:val="00791674"/>
    <w:rsid w:val="00792567"/>
    <w:rsid w:val="007945B2"/>
    <w:rsid w:val="00794C0D"/>
    <w:rsid w:val="00794F0C"/>
    <w:rsid w:val="00796E6A"/>
    <w:rsid w:val="007A0EAA"/>
    <w:rsid w:val="007A0F1B"/>
    <w:rsid w:val="007A16E5"/>
    <w:rsid w:val="007A16F1"/>
    <w:rsid w:val="007A2127"/>
    <w:rsid w:val="007A227D"/>
    <w:rsid w:val="007A24A5"/>
    <w:rsid w:val="007A25B1"/>
    <w:rsid w:val="007A35D7"/>
    <w:rsid w:val="007A3BD2"/>
    <w:rsid w:val="007A3EDD"/>
    <w:rsid w:val="007A4406"/>
    <w:rsid w:val="007A4CD4"/>
    <w:rsid w:val="007A5909"/>
    <w:rsid w:val="007A5AB4"/>
    <w:rsid w:val="007A5BC3"/>
    <w:rsid w:val="007A5E45"/>
    <w:rsid w:val="007A61D8"/>
    <w:rsid w:val="007A7ACC"/>
    <w:rsid w:val="007B1B03"/>
    <w:rsid w:val="007B2091"/>
    <w:rsid w:val="007B2EE4"/>
    <w:rsid w:val="007B3E93"/>
    <w:rsid w:val="007B41B9"/>
    <w:rsid w:val="007B558D"/>
    <w:rsid w:val="007B6941"/>
    <w:rsid w:val="007B696C"/>
    <w:rsid w:val="007B6CC2"/>
    <w:rsid w:val="007B6DA2"/>
    <w:rsid w:val="007B70D4"/>
    <w:rsid w:val="007C0431"/>
    <w:rsid w:val="007C055F"/>
    <w:rsid w:val="007C0C9A"/>
    <w:rsid w:val="007C44DD"/>
    <w:rsid w:val="007C488E"/>
    <w:rsid w:val="007C4B37"/>
    <w:rsid w:val="007C4B47"/>
    <w:rsid w:val="007C4BDB"/>
    <w:rsid w:val="007C4E6B"/>
    <w:rsid w:val="007C545E"/>
    <w:rsid w:val="007C6062"/>
    <w:rsid w:val="007C6287"/>
    <w:rsid w:val="007C66E3"/>
    <w:rsid w:val="007D0D1E"/>
    <w:rsid w:val="007D1093"/>
    <w:rsid w:val="007D1289"/>
    <w:rsid w:val="007D1318"/>
    <w:rsid w:val="007D1C35"/>
    <w:rsid w:val="007D4331"/>
    <w:rsid w:val="007D4602"/>
    <w:rsid w:val="007D4A53"/>
    <w:rsid w:val="007D5065"/>
    <w:rsid w:val="007D694A"/>
    <w:rsid w:val="007E11A2"/>
    <w:rsid w:val="007E1F05"/>
    <w:rsid w:val="007E48AB"/>
    <w:rsid w:val="007E56E0"/>
    <w:rsid w:val="007E5B27"/>
    <w:rsid w:val="007E6471"/>
    <w:rsid w:val="007E7368"/>
    <w:rsid w:val="007F03BD"/>
    <w:rsid w:val="007F0F78"/>
    <w:rsid w:val="007F113A"/>
    <w:rsid w:val="007F2B1B"/>
    <w:rsid w:val="007F37D5"/>
    <w:rsid w:val="007F40AF"/>
    <w:rsid w:val="007F4ABF"/>
    <w:rsid w:val="007F503E"/>
    <w:rsid w:val="007F6DD8"/>
    <w:rsid w:val="007F7273"/>
    <w:rsid w:val="007F7287"/>
    <w:rsid w:val="007F73FA"/>
    <w:rsid w:val="007F7446"/>
    <w:rsid w:val="007F78ED"/>
    <w:rsid w:val="007F7BBF"/>
    <w:rsid w:val="00800083"/>
    <w:rsid w:val="00801706"/>
    <w:rsid w:val="00801E94"/>
    <w:rsid w:val="00802674"/>
    <w:rsid w:val="00802DF2"/>
    <w:rsid w:val="00804791"/>
    <w:rsid w:val="008051A5"/>
    <w:rsid w:val="0080545E"/>
    <w:rsid w:val="00805AAE"/>
    <w:rsid w:val="0080660E"/>
    <w:rsid w:val="008113CA"/>
    <w:rsid w:val="00811DF8"/>
    <w:rsid w:val="00812218"/>
    <w:rsid w:val="00812291"/>
    <w:rsid w:val="00812371"/>
    <w:rsid w:val="008128DE"/>
    <w:rsid w:val="008150D4"/>
    <w:rsid w:val="008162E2"/>
    <w:rsid w:val="0081656D"/>
    <w:rsid w:val="008175D4"/>
    <w:rsid w:val="008206E8"/>
    <w:rsid w:val="00820CEA"/>
    <w:rsid w:val="00820D77"/>
    <w:rsid w:val="0082345F"/>
    <w:rsid w:val="00824AE6"/>
    <w:rsid w:val="008251C4"/>
    <w:rsid w:val="00825256"/>
    <w:rsid w:val="00830D8B"/>
    <w:rsid w:val="00831503"/>
    <w:rsid w:val="00831644"/>
    <w:rsid w:val="008316F3"/>
    <w:rsid w:val="008331D9"/>
    <w:rsid w:val="00834CEC"/>
    <w:rsid w:val="00835AF7"/>
    <w:rsid w:val="00837177"/>
    <w:rsid w:val="008372E4"/>
    <w:rsid w:val="008375E2"/>
    <w:rsid w:val="00841635"/>
    <w:rsid w:val="008434C5"/>
    <w:rsid w:val="0084350D"/>
    <w:rsid w:val="00843551"/>
    <w:rsid w:val="008435C5"/>
    <w:rsid w:val="00844206"/>
    <w:rsid w:val="008456EB"/>
    <w:rsid w:val="00845C51"/>
    <w:rsid w:val="00845DDB"/>
    <w:rsid w:val="0084789B"/>
    <w:rsid w:val="0084790C"/>
    <w:rsid w:val="00850091"/>
    <w:rsid w:val="008509E3"/>
    <w:rsid w:val="00850D55"/>
    <w:rsid w:val="00851103"/>
    <w:rsid w:val="008513B1"/>
    <w:rsid w:val="008526D4"/>
    <w:rsid w:val="00852963"/>
    <w:rsid w:val="00852F7D"/>
    <w:rsid w:val="00853B82"/>
    <w:rsid w:val="008556CF"/>
    <w:rsid w:val="008574DE"/>
    <w:rsid w:val="00857F34"/>
    <w:rsid w:val="0086008F"/>
    <w:rsid w:val="00860536"/>
    <w:rsid w:val="008615A4"/>
    <w:rsid w:val="00862983"/>
    <w:rsid w:val="00862FEF"/>
    <w:rsid w:val="00863EB6"/>
    <w:rsid w:val="0086486B"/>
    <w:rsid w:val="00866613"/>
    <w:rsid w:val="00866C0C"/>
    <w:rsid w:val="00866F78"/>
    <w:rsid w:val="008672D8"/>
    <w:rsid w:val="00867AF7"/>
    <w:rsid w:val="00867DD1"/>
    <w:rsid w:val="00870FA0"/>
    <w:rsid w:val="00871245"/>
    <w:rsid w:val="00872E33"/>
    <w:rsid w:val="00874313"/>
    <w:rsid w:val="00875129"/>
    <w:rsid w:val="00875766"/>
    <w:rsid w:val="008761BE"/>
    <w:rsid w:val="00877167"/>
    <w:rsid w:val="00877EEF"/>
    <w:rsid w:val="00880524"/>
    <w:rsid w:val="008823F6"/>
    <w:rsid w:val="00882DA7"/>
    <w:rsid w:val="00883225"/>
    <w:rsid w:val="00885122"/>
    <w:rsid w:val="008858F0"/>
    <w:rsid w:val="00886220"/>
    <w:rsid w:val="00887CF1"/>
    <w:rsid w:val="0089090D"/>
    <w:rsid w:val="00890A1F"/>
    <w:rsid w:val="00890E8F"/>
    <w:rsid w:val="00891250"/>
    <w:rsid w:val="0089215E"/>
    <w:rsid w:val="00892A6F"/>
    <w:rsid w:val="00893336"/>
    <w:rsid w:val="008943D3"/>
    <w:rsid w:val="0089512F"/>
    <w:rsid w:val="0089659E"/>
    <w:rsid w:val="00896B4D"/>
    <w:rsid w:val="0089795C"/>
    <w:rsid w:val="00897A54"/>
    <w:rsid w:val="008A0BE0"/>
    <w:rsid w:val="008A3210"/>
    <w:rsid w:val="008A3A37"/>
    <w:rsid w:val="008A3BE9"/>
    <w:rsid w:val="008A3FD4"/>
    <w:rsid w:val="008A3FDD"/>
    <w:rsid w:val="008A6CAF"/>
    <w:rsid w:val="008A73F6"/>
    <w:rsid w:val="008A7599"/>
    <w:rsid w:val="008A7BDA"/>
    <w:rsid w:val="008A7D07"/>
    <w:rsid w:val="008B0254"/>
    <w:rsid w:val="008B0FF5"/>
    <w:rsid w:val="008B223D"/>
    <w:rsid w:val="008B4838"/>
    <w:rsid w:val="008B608F"/>
    <w:rsid w:val="008B6F7D"/>
    <w:rsid w:val="008B7EE0"/>
    <w:rsid w:val="008C0868"/>
    <w:rsid w:val="008C0DA5"/>
    <w:rsid w:val="008C212D"/>
    <w:rsid w:val="008C2257"/>
    <w:rsid w:val="008C23FC"/>
    <w:rsid w:val="008C2549"/>
    <w:rsid w:val="008C2577"/>
    <w:rsid w:val="008C4274"/>
    <w:rsid w:val="008C5532"/>
    <w:rsid w:val="008C5635"/>
    <w:rsid w:val="008C57B8"/>
    <w:rsid w:val="008C57FB"/>
    <w:rsid w:val="008C5BB1"/>
    <w:rsid w:val="008C6A44"/>
    <w:rsid w:val="008D0DAA"/>
    <w:rsid w:val="008D250E"/>
    <w:rsid w:val="008D54DE"/>
    <w:rsid w:val="008D5BD3"/>
    <w:rsid w:val="008D5EA2"/>
    <w:rsid w:val="008D5FAC"/>
    <w:rsid w:val="008D774F"/>
    <w:rsid w:val="008D7C64"/>
    <w:rsid w:val="008E0931"/>
    <w:rsid w:val="008E254E"/>
    <w:rsid w:val="008E2AD7"/>
    <w:rsid w:val="008E2F2F"/>
    <w:rsid w:val="008E3A48"/>
    <w:rsid w:val="008E4195"/>
    <w:rsid w:val="008E4CEE"/>
    <w:rsid w:val="008E7203"/>
    <w:rsid w:val="008E73F7"/>
    <w:rsid w:val="008E7985"/>
    <w:rsid w:val="008E7D48"/>
    <w:rsid w:val="008E7E7B"/>
    <w:rsid w:val="008F0434"/>
    <w:rsid w:val="008F0CC1"/>
    <w:rsid w:val="008F0E25"/>
    <w:rsid w:val="008F141F"/>
    <w:rsid w:val="008F19CE"/>
    <w:rsid w:val="008F1E5A"/>
    <w:rsid w:val="008F57FF"/>
    <w:rsid w:val="008F6790"/>
    <w:rsid w:val="008F7184"/>
    <w:rsid w:val="008F79C1"/>
    <w:rsid w:val="008F7E75"/>
    <w:rsid w:val="00900D07"/>
    <w:rsid w:val="00901DDD"/>
    <w:rsid w:val="00901F65"/>
    <w:rsid w:val="009021E3"/>
    <w:rsid w:val="009028DA"/>
    <w:rsid w:val="00902BC7"/>
    <w:rsid w:val="00904586"/>
    <w:rsid w:val="00906D3B"/>
    <w:rsid w:val="00906D3F"/>
    <w:rsid w:val="009070C4"/>
    <w:rsid w:val="00907663"/>
    <w:rsid w:val="00907967"/>
    <w:rsid w:val="00910354"/>
    <w:rsid w:val="0091092E"/>
    <w:rsid w:val="0091137B"/>
    <w:rsid w:val="00911CEF"/>
    <w:rsid w:val="009125F5"/>
    <w:rsid w:val="009139D7"/>
    <w:rsid w:val="00914024"/>
    <w:rsid w:val="009145AE"/>
    <w:rsid w:val="009149D3"/>
    <w:rsid w:val="00914E7D"/>
    <w:rsid w:val="00915A08"/>
    <w:rsid w:val="00917681"/>
    <w:rsid w:val="00917B7C"/>
    <w:rsid w:val="00920B91"/>
    <w:rsid w:val="00920ECE"/>
    <w:rsid w:val="00922089"/>
    <w:rsid w:val="00923A1B"/>
    <w:rsid w:val="009245E4"/>
    <w:rsid w:val="00926CB1"/>
    <w:rsid w:val="009276BA"/>
    <w:rsid w:val="00930D06"/>
    <w:rsid w:val="00930FF4"/>
    <w:rsid w:val="009316C5"/>
    <w:rsid w:val="009316DB"/>
    <w:rsid w:val="00931B23"/>
    <w:rsid w:val="00932A24"/>
    <w:rsid w:val="00932B1F"/>
    <w:rsid w:val="0093456A"/>
    <w:rsid w:val="009351A3"/>
    <w:rsid w:val="009368C3"/>
    <w:rsid w:val="00937AAF"/>
    <w:rsid w:val="00937BC0"/>
    <w:rsid w:val="00940BB4"/>
    <w:rsid w:val="009417D1"/>
    <w:rsid w:val="009425EA"/>
    <w:rsid w:val="00943916"/>
    <w:rsid w:val="00943B2B"/>
    <w:rsid w:val="009445EB"/>
    <w:rsid w:val="0094498E"/>
    <w:rsid w:val="00944AA4"/>
    <w:rsid w:val="00944FBA"/>
    <w:rsid w:val="009456D5"/>
    <w:rsid w:val="009462BD"/>
    <w:rsid w:val="009469B2"/>
    <w:rsid w:val="00947778"/>
    <w:rsid w:val="00947C37"/>
    <w:rsid w:val="00950D73"/>
    <w:rsid w:val="009513A9"/>
    <w:rsid w:val="00952587"/>
    <w:rsid w:val="00952C94"/>
    <w:rsid w:val="00953A4E"/>
    <w:rsid w:val="00953F75"/>
    <w:rsid w:val="0095439B"/>
    <w:rsid w:val="0095544B"/>
    <w:rsid w:val="00955CE6"/>
    <w:rsid w:val="00955F94"/>
    <w:rsid w:val="00956342"/>
    <w:rsid w:val="00957FA9"/>
    <w:rsid w:val="00960094"/>
    <w:rsid w:val="00961097"/>
    <w:rsid w:val="00961284"/>
    <w:rsid w:val="009616F6"/>
    <w:rsid w:val="009617F5"/>
    <w:rsid w:val="009619EB"/>
    <w:rsid w:val="00962111"/>
    <w:rsid w:val="00962295"/>
    <w:rsid w:val="00965FAE"/>
    <w:rsid w:val="00967468"/>
    <w:rsid w:val="00967A09"/>
    <w:rsid w:val="00967A25"/>
    <w:rsid w:val="00967B8A"/>
    <w:rsid w:val="00971E1D"/>
    <w:rsid w:val="0097224B"/>
    <w:rsid w:val="00973D5C"/>
    <w:rsid w:val="00974CFA"/>
    <w:rsid w:val="009775F2"/>
    <w:rsid w:val="009800DB"/>
    <w:rsid w:val="00980439"/>
    <w:rsid w:val="00983540"/>
    <w:rsid w:val="009846E1"/>
    <w:rsid w:val="009855CC"/>
    <w:rsid w:val="00985FB4"/>
    <w:rsid w:val="00986984"/>
    <w:rsid w:val="00986AA0"/>
    <w:rsid w:val="009905C1"/>
    <w:rsid w:val="009907E3"/>
    <w:rsid w:val="0099118A"/>
    <w:rsid w:val="009927C9"/>
    <w:rsid w:val="00993A6A"/>
    <w:rsid w:val="009941AE"/>
    <w:rsid w:val="00994D40"/>
    <w:rsid w:val="0099542A"/>
    <w:rsid w:val="00995FA3"/>
    <w:rsid w:val="00996CB5"/>
    <w:rsid w:val="009975F6"/>
    <w:rsid w:val="0099793C"/>
    <w:rsid w:val="00997C50"/>
    <w:rsid w:val="009A0A46"/>
    <w:rsid w:val="009A0A9D"/>
    <w:rsid w:val="009A134E"/>
    <w:rsid w:val="009A1553"/>
    <w:rsid w:val="009A1B8E"/>
    <w:rsid w:val="009A1F2A"/>
    <w:rsid w:val="009A244A"/>
    <w:rsid w:val="009A26C4"/>
    <w:rsid w:val="009A274A"/>
    <w:rsid w:val="009A2B5F"/>
    <w:rsid w:val="009A2E53"/>
    <w:rsid w:val="009A2E6B"/>
    <w:rsid w:val="009A2F71"/>
    <w:rsid w:val="009A3070"/>
    <w:rsid w:val="009A33F7"/>
    <w:rsid w:val="009A44DA"/>
    <w:rsid w:val="009A4998"/>
    <w:rsid w:val="009A4D3C"/>
    <w:rsid w:val="009A5C1C"/>
    <w:rsid w:val="009A5FF9"/>
    <w:rsid w:val="009A6288"/>
    <w:rsid w:val="009A6712"/>
    <w:rsid w:val="009A689A"/>
    <w:rsid w:val="009A6E21"/>
    <w:rsid w:val="009A7761"/>
    <w:rsid w:val="009B102D"/>
    <w:rsid w:val="009B12DF"/>
    <w:rsid w:val="009B20F6"/>
    <w:rsid w:val="009B27AF"/>
    <w:rsid w:val="009B2C96"/>
    <w:rsid w:val="009B3811"/>
    <w:rsid w:val="009B3F82"/>
    <w:rsid w:val="009B57CA"/>
    <w:rsid w:val="009B5C24"/>
    <w:rsid w:val="009B5D3C"/>
    <w:rsid w:val="009B61FF"/>
    <w:rsid w:val="009B690C"/>
    <w:rsid w:val="009B7229"/>
    <w:rsid w:val="009B7A88"/>
    <w:rsid w:val="009B7E4E"/>
    <w:rsid w:val="009C0A48"/>
    <w:rsid w:val="009C0DF1"/>
    <w:rsid w:val="009C18CF"/>
    <w:rsid w:val="009C1982"/>
    <w:rsid w:val="009C1EB4"/>
    <w:rsid w:val="009C3163"/>
    <w:rsid w:val="009C34C4"/>
    <w:rsid w:val="009C4888"/>
    <w:rsid w:val="009C51D3"/>
    <w:rsid w:val="009C53C3"/>
    <w:rsid w:val="009C554E"/>
    <w:rsid w:val="009C69B0"/>
    <w:rsid w:val="009C6A39"/>
    <w:rsid w:val="009D0A53"/>
    <w:rsid w:val="009D14D5"/>
    <w:rsid w:val="009D2976"/>
    <w:rsid w:val="009D2FF0"/>
    <w:rsid w:val="009D55A2"/>
    <w:rsid w:val="009D5D35"/>
    <w:rsid w:val="009D663D"/>
    <w:rsid w:val="009D6BD1"/>
    <w:rsid w:val="009D7BEE"/>
    <w:rsid w:val="009E016F"/>
    <w:rsid w:val="009E0AD2"/>
    <w:rsid w:val="009E1ABA"/>
    <w:rsid w:val="009E232B"/>
    <w:rsid w:val="009E4EF4"/>
    <w:rsid w:val="009E5B90"/>
    <w:rsid w:val="009E6564"/>
    <w:rsid w:val="009E709F"/>
    <w:rsid w:val="009F0ADE"/>
    <w:rsid w:val="009F116A"/>
    <w:rsid w:val="009F2105"/>
    <w:rsid w:val="009F2F05"/>
    <w:rsid w:val="009F48E6"/>
    <w:rsid w:val="009F4C0C"/>
    <w:rsid w:val="009F51B1"/>
    <w:rsid w:val="009F6215"/>
    <w:rsid w:val="009F7F96"/>
    <w:rsid w:val="00A00522"/>
    <w:rsid w:val="00A0059B"/>
    <w:rsid w:val="00A00705"/>
    <w:rsid w:val="00A00A35"/>
    <w:rsid w:val="00A02E6A"/>
    <w:rsid w:val="00A03AC5"/>
    <w:rsid w:val="00A0476E"/>
    <w:rsid w:val="00A051BE"/>
    <w:rsid w:val="00A05213"/>
    <w:rsid w:val="00A0633D"/>
    <w:rsid w:val="00A0736E"/>
    <w:rsid w:val="00A07995"/>
    <w:rsid w:val="00A12390"/>
    <w:rsid w:val="00A13DBF"/>
    <w:rsid w:val="00A14826"/>
    <w:rsid w:val="00A14B62"/>
    <w:rsid w:val="00A153F2"/>
    <w:rsid w:val="00A155A0"/>
    <w:rsid w:val="00A16900"/>
    <w:rsid w:val="00A177F9"/>
    <w:rsid w:val="00A17E91"/>
    <w:rsid w:val="00A207FB"/>
    <w:rsid w:val="00A20FD8"/>
    <w:rsid w:val="00A21644"/>
    <w:rsid w:val="00A21A85"/>
    <w:rsid w:val="00A23E16"/>
    <w:rsid w:val="00A23EEC"/>
    <w:rsid w:val="00A24A05"/>
    <w:rsid w:val="00A24E7C"/>
    <w:rsid w:val="00A2513B"/>
    <w:rsid w:val="00A258E6"/>
    <w:rsid w:val="00A262E5"/>
    <w:rsid w:val="00A27C04"/>
    <w:rsid w:val="00A30393"/>
    <w:rsid w:val="00A328D8"/>
    <w:rsid w:val="00A334AB"/>
    <w:rsid w:val="00A33BC9"/>
    <w:rsid w:val="00A33D82"/>
    <w:rsid w:val="00A348BD"/>
    <w:rsid w:val="00A3643C"/>
    <w:rsid w:val="00A367D2"/>
    <w:rsid w:val="00A369F6"/>
    <w:rsid w:val="00A36FC0"/>
    <w:rsid w:val="00A37E58"/>
    <w:rsid w:val="00A41F15"/>
    <w:rsid w:val="00A435A5"/>
    <w:rsid w:val="00A43A64"/>
    <w:rsid w:val="00A43C8E"/>
    <w:rsid w:val="00A44846"/>
    <w:rsid w:val="00A451BE"/>
    <w:rsid w:val="00A452AF"/>
    <w:rsid w:val="00A45E49"/>
    <w:rsid w:val="00A5086F"/>
    <w:rsid w:val="00A51C08"/>
    <w:rsid w:val="00A52979"/>
    <w:rsid w:val="00A5322D"/>
    <w:rsid w:val="00A53C2E"/>
    <w:rsid w:val="00A54B6E"/>
    <w:rsid w:val="00A56697"/>
    <w:rsid w:val="00A571F5"/>
    <w:rsid w:val="00A57324"/>
    <w:rsid w:val="00A575C9"/>
    <w:rsid w:val="00A57A8B"/>
    <w:rsid w:val="00A57F25"/>
    <w:rsid w:val="00A6177A"/>
    <w:rsid w:val="00A626E8"/>
    <w:rsid w:val="00A628F2"/>
    <w:rsid w:val="00A62C63"/>
    <w:rsid w:val="00A62C7B"/>
    <w:rsid w:val="00A62DBD"/>
    <w:rsid w:val="00A63A5B"/>
    <w:rsid w:val="00A63DCA"/>
    <w:rsid w:val="00A640F0"/>
    <w:rsid w:val="00A6506E"/>
    <w:rsid w:val="00A654F6"/>
    <w:rsid w:val="00A65502"/>
    <w:rsid w:val="00A66F97"/>
    <w:rsid w:val="00A700EE"/>
    <w:rsid w:val="00A70C59"/>
    <w:rsid w:val="00A70C99"/>
    <w:rsid w:val="00A713EC"/>
    <w:rsid w:val="00A71771"/>
    <w:rsid w:val="00A72063"/>
    <w:rsid w:val="00A729D9"/>
    <w:rsid w:val="00A737FA"/>
    <w:rsid w:val="00A73819"/>
    <w:rsid w:val="00A73E86"/>
    <w:rsid w:val="00A74477"/>
    <w:rsid w:val="00A744A0"/>
    <w:rsid w:val="00A74AF2"/>
    <w:rsid w:val="00A814FC"/>
    <w:rsid w:val="00A83CFA"/>
    <w:rsid w:val="00A84C05"/>
    <w:rsid w:val="00A84DF2"/>
    <w:rsid w:val="00A85A51"/>
    <w:rsid w:val="00A85AF3"/>
    <w:rsid w:val="00A8638E"/>
    <w:rsid w:val="00A86909"/>
    <w:rsid w:val="00A87090"/>
    <w:rsid w:val="00A87D41"/>
    <w:rsid w:val="00A9039A"/>
    <w:rsid w:val="00A90861"/>
    <w:rsid w:val="00A922D9"/>
    <w:rsid w:val="00A9243F"/>
    <w:rsid w:val="00A92D0A"/>
    <w:rsid w:val="00A93D00"/>
    <w:rsid w:val="00A942DB"/>
    <w:rsid w:val="00A94AF5"/>
    <w:rsid w:val="00A958A3"/>
    <w:rsid w:val="00A96373"/>
    <w:rsid w:val="00A96620"/>
    <w:rsid w:val="00A96A39"/>
    <w:rsid w:val="00A96E26"/>
    <w:rsid w:val="00A97072"/>
    <w:rsid w:val="00AA0B80"/>
    <w:rsid w:val="00AA0C28"/>
    <w:rsid w:val="00AA0CBB"/>
    <w:rsid w:val="00AA2C30"/>
    <w:rsid w:val="00AA32B6"/>
    <w:rsid w:val="00AA52F9"/>
    <w:rsid w:val="00AA5339"/>
    <w:rsid w:val="00AA5870"/>
    <w:rsid w:val="00AA67B9"/>
    <w:rsid w:val="00AB02AB"/>
    <w:rsid w:val="00AB07C8"/>
    <w:rsid w:val="00AB08D0"/>
    <w:rsid w:val="00AB17DC"/>
    <w:rsid w:val="00AB2645"/>
    <w:rsid w:val="00AB3C79"/>
    <w:rsid w:val="00AB69DF"/>
    <w:rsid w:val="00AB75BC"/>
    <w:rsid w:val="00AC1779"/>
    <w:rsid w:val="00AC2256"/>
    <w:rsid w:val="00AC3F39"/>
    <w:rsid w:val="00AC4045"/>
    <w:rsid w:val="00AC4651"/>
    <w:rsid w:val="00AC5653"/>
    <w:rsid w:val="00AC5E5F"/>
    <w:rsid w:val="00AC5E95"/>
    <w:rsid w:val="00AC6A1B"/>
    <w:rsid w:val="00AC6AC0"/>
    <w:rsid w:val="00AC6B96"/>
    <w:rsid w:val="00AC6E6C"/>
    <w:rsid w:val="00AC7221"/>
    <w:rsid w:val="00AD094E"/>
    <w:rsid w:val="00AD15EC"/>
    <w:rsid w:val="00AD1BC2"/>
    <w:rsid w:val="00AD390A"/>
    <w:rsid w:val="00AD3B63"/>
    <w:rsid w:val="00AD44EB"/>
    <w:rsid w:val="00AD4618"/>
    <w:rsid w:val="00AD5078"/>
    <w:rsid w:val="00AD52DE"/>
    <w:rsid w:val="00AD560E"/>
    <w:rsid w:val="00AD5722"/>
    <w:rsid w:val="00AD5E62"/>
    <w:rsid w:val="00AD6C2A"/>
    <w:rsid w:val="00AD72A9"/>
    <w:rsid w:val="00AD747B"/>
    <w:rsid w:val="00AD75D0"/>
    <w:rsid w:val="00AD7F7E"/>
    <w:rsid w:val="00AE0D0F"/>
    <w:rsid w:val="00AE2280"/>
    <w:rsid w:val="00AE31D4"/>
    <w:rsid w:val="00AE399B"/>
    <w:rsid w:val="00AE4645"/>
    <w:rsid w:val="00AE48CF"/>
    <w:rsid w:val="00AE5365"/>
    <w:rsid w:val="00AE6759"/>
    <w:rsid w:val="00AF00FF"/>
    <w:rsid w:val="00AF09A2"/>
    <w:rsid w:val="00AF1D52"/>
    <w:rsid w:val="00AF2E5D"/>
    <w:rsid w:val="00AF37D0"/>
    <w:rsid w:val="00AF4DC3"/>
    <w:rsid w:val="00AF5896"/>
    <w:rsid w:val="00AF5965"/>
    <w:rsid w:val="00AF6E24"/>
    <w:rsid w:val="00AF71F2"/>
    <w:rsid w:val="00B00345"/>
    <w:rsid w:val="00B02D58"/>
    <w:rsid w:val="00B04809"/>
    <w:rsid w:val="00B04958"/>
    <w:rsid w:val="00B04C03"/>
    <w:rsid w:val="00B05BFA"/>
    <w:rsid w:val="00B06285"/>
    <w:rsid w:val="00B06EC3"/>
    <w:rsid w:val="00B071BB"/>
    <w:rsid w:val="00B07426"/>
    <w:rsid w:val="00B0758A"/>
    <w:rsid w:val="00B078E7"/>
    <w:rsid w:val="00B07E8F"/>
    <w:rsid w:val="00B1092B"/>
    <w:rsid w:val="00B114E7"/>
    <w:rsid w:val="00B12F8E"/>
    <w:rsid w:val="00B13045"/>
    <w:rsid w:val="00B13656"/>
    <w:rsid w:val="00B14602"/>
    <w:rsid w:val="00B1517B"/>
    <w:rsid w:val="00B15D1B"/>
    <w:rsid w:val="00B15E15"/>
    <w:rsid w:val="00B1631A"/>
    <w:rsid w:val="00B168FB"/>
    <w:rsid w:val="00B20109"/>
    <w:rsid w:val="00B203FA"/>
    <w:rsid w:val="00B2142A"/>
    <w:rsid w:val="00B21AF8"/>
    <w:rsid w:val="00B23C86"/>
    <w:rsid w:val="00B27E90"/>
    <w:rsid w:val="00B27EC6"/>
    <w:rsid w:val="00B305ED"/>
    <w:rsid w:val="00B309BF"/>
    <w:rsid w:val="00B30F42"/>
    <w:rsid w:val="00B313E0"/>
    <w:rsid w:val="00B31590"/>
    <w:rsid w:val="00B31A1E"/>
    <w:rsid w:val="00B31A7A"/>
    <w:rsid w:val="00B328F7"/>
    <w:rsid w:val="00B3334D"/>
    <w:rsid w:val="00B337CF"/>
    <w:rsid w:val="00B33CEA"/>
    <w:rsid w:val="00B35996"/>
    <w:rsid w:val="00B35CBC"/>
    <w:rsid w:val="00B36AF7"/>
    <w:rsid w:val="00B3728B"/>
    <w:rsid w:val="00B37313"/>
    <w:rsid w:val="00B40908"/>
    <w:rsid w:val="00B409B0"/>
    <w:rsid w:val="00B413C6"/>
    <w:rsid w:val="00B413EA"/>
    <w:rsid w:val="00B4199B"/>
    <w:rsid w:val="00B43737"/>
    <w:rsid w:val="00B43D6F"/>
    <w:rsid w:val="00B46714"/>
    <w:rsid w:val="00B46733"/>
    <w:rsid w:val="00B47062"/>
    <w:rsid w:val="00B510A7"/>
    <w:rsid w:val="00B5212D"/>
    <w:rsid w:val="00B53E53"/>
    <w:rsid w:val="00B5438A"/>
    <w:rsid w:val="00B54457"/>
    <w:rsid w:val="00B54500"/>
    <w:rsid w:val="00B54F19"/>
    <w:rsid w:val="00B60163"/>
    <w:rsid w:val="00B6099D"/>
    <w:rsid w:val="00B610B3"/>
    <w:rsid w:val="00B61BC5"/>
    <w:rsid w:val="00B620EF"/>
    <w:rsid w:val="00B62CE0"/>
    <w:rsid w:val="00B6310A"/>
    <w:rsid w:val="00B63389"/>
    <w:rsid w:val="00B65067"/>
    <w:rsid w:val="00B65199"/>
    <w:rsid w:val="00B659E5"/>
    <w:rsid w:val="00B65A3A"/>
    <w:rsid w:val="00B65A63"/>
    <w:rsid w:val="00B65D32"/>
    <w:rsid w:val="00B67181"/>
    <w:rsid w:val="00B67862"/>
    <w:rsid w:val="00B67A3B"/>
    <w:rsid w:val="00B7071E"/>
    <w:rsid w:val="00B70785"/>
    <w:rsid w:val="00B70C57"/>
    <w:rsid w:val="00B718CC"/>
    <w:rsid w:val="00B71E40"/>
    <w:rsid w:val="00B729EE"/>
    <w:rsid w:val="00B732DF"/>
    <w:rsid w:val="00B74020"/>
    <w:rsid w:val="00B742CF"/>
    <w:rsid w:val="00B754EA"/>
    <w:rsid w:val="00B76EEC"/>
    <w:rsid w:val="00B80037"/>
    <w:rsid w:val="00B81F0C"/>
    <w:rsid w:val="00B82A2F"/>
    <w:rsid w:val="00B82DF9"/>
    <w:rsid w:val="00B83D48"/>
    <w:rsid w:val="00B840D8"/>
    <w:rsid w:val="00B845DC"/>
    <w:rsid w:val="00B849AC"/>
    <w:rsid w:val="00B9215B"/>
    <w:rsid w:val="00B92820"/>
    <w:rsid w:val="00B92F6A"/>
    <w:rsid w:val="00B947C4"/>
    <w:rsid w:val="00B950F3"/>
    <w:rsid w:val="00B954F2"/>
    <w:rsid w:val="00B96BD7"/>
    <w:rsid w:val="00BA011F"/>
    <w:rsid w:val="00BA1D9D"/>
    <w:rsid w:val="00BA1E5F"/>
    <w:rsid w:val="00BA2102"/>
    <w:rsid w:val="00BA2BD4"/>
    <w:rsid w:val="00BA42A7"/>
    <w:rsid w:val="00BA4758"/>
    <w:rsid w:val="00BA4A23"/>
    <w:rsid w:val="00BA5185"/>
    <w:rsid w:val="00BA547A"/>
    <w:rsid w:val="00BA5C39"/>
    <w:rsid w:val="00BA66E1"/>
    <w:rsid w:val="00BA682E"/>
    <w:rsid w:val="00BA6B74"/>
    <w:rsid w:val="00BA7698"/>
    <w:rsid w:val="00BB059F"/>
    <w:rsid w:val="00BB0858"/>
    <w:rsid w:val="00BB148E"/>
    <w:rsid w:val="00BB2409"/>
    <w:rsid w:val="00BB496F"/>
    <w:rsid w:val="00BB54A4"/>
    <w:rsid w:val="00BB591F"/>
    <w:rsid w:val="00BB6E49"/>
    <w:rsid w:val="00BB7994"/>
    <w:rsid w:val="00BB7FE0"/>
    <w:rsid w:val="00BC08A8"/>
    <w:rsid w:val="00BC1BA6"/>
    <w:rsid w:val="00BC2D21"/>
    <w:rsid w:val="00BC303E"/>
    <w:rsid w:val="00BC4253"/>
    <w:rsid w:val="00BC562B"/>
    <w:rsid w:val="00BC64AB"/>
    <w:rsid w:val="00BC6B7D"/>
    <w:rsid w:val="00BD2BBB"/>
    <w:rsid w:val="00BD2E2D"/>
    <w:rsid w:val="00BD3C20"/>
    <w:rsid w:val="00BD4A1A"/>
    <w:rsid w:val="00BD4F96"/>
    <w:rsid w:val="00BE02EF"/>
    <w:rsid w:val="00BE0AC6"/>
    <w:rsid w:val="00BE28BC"/>
    <w:rsid w:val="00BE3CBE"/>
    <w:rsid w:val="00BE4699"/>
    <w:rsid w:val="00BE4CC1"/>
    <w:rsid w:val="00BE4E6F"/>
    <w:rsid w:val="00BE56B8"/>
    <w:rsid w:val="00BE646F"/>
    <w:rsid w:val="00BE69D4"/>
    <w:rsid w:val="00BE6E44"/>
    <w:rsid w:val="00BE7807"/>
    <w:rsid w:val="00BE7B40"/>
    <w:rsid w:val="00BF07CD"/>
    <w:rsid w:val="00BF0D64"/>
    <w:rsid w:val="00BF13C6"/>
    <w:rsid w:val="00BF318B"/>
    <w:rsid w:val="00BF31B5"/>
    <w:rsid w:val="00BF5785"/>
    <w:rsid w:val="00BF5B4F"/>
    <w:rsid w:val="00BF5FA6"/>
    <w:rsid w:val="00C00553"/>
    <w:rsid w:val="00C00909"/>
    <w:rsid w:val="00C018C9"/>
    <w:rsid w:val="00C02038"/>
    <w:rsid w:val="00C0327F"/>
    <w:rsid w:val="00C04325"/>
    <w:rsid w:val="00C043CD"/>
    <w:rsid w:val="00C0534A"/>
    <w:rsid w:val="00C053E5"/>
    <w:rsid w:val="00C06186"/>
    <w:rsid w:val="00C069D1"/>
    <w:rsid w:val="00C07B17"/>
    <w:rsid w:val="00C11059"/>
    <w:rsid w:val="00C11E51"/>
    <w:rsid w:val="00C123CF"/>
    <w:rsid w:val="00C12DEC"/>
    <w:rsid w:val="00C136E8"/>
    <w:rsid w:val="00C13860"/>
    <w:rsid w:val="00C16260"/>
    <w:rsid w:val="00C22456"/>
    <w:rsid w:val="00C229B1"/>
    <w:rsid w:val="00C22DDB"/>
    <w:rsid w:val="00C22E0E"/>
    <w:rsid w:val="00C22F3A"/>
    <w:rsid w:val="00C24349"/>
    <w:rsid w:val="00C24550"/>
    <w:rsid w:val="00C25824"/>
    <w:rsid w:val="00C25B16"/>
    <w:rsid w:val="00C26185"/>
    <w:rsid w:val="00C26BA1"/>
    <w:rsid w:val="00C27B42"/>
    <w:rsid w:val="00C30204"/>
    <w:rsid w:val="00C30D73"/>
    <w:rsid w:val="00C31166"/>
    <w:rsid w:val="00C328F3"/>
    <w:rsid w:val="00C32FDF"/>
    <w:rsid w:val="00C332A3"/>
    <w:rsid w:val="00C3432E"/>
    <w:rsid w:val="00C34AF5"/>
    <w:rsid w:val="00C361A2"/>
    <w:rsid w:val="00C36311"/>
    <w:rsid w:val="00C3677B"/>
    <w:rsid w:val="00C36DCE"/>
    <w:rsid w:val="00C37DB4"/>
    <w:rsid w:val="00C4048F"/>
    <w:rsid w:val="00C40E55"/>
    <w:rsid w:val="00C40F4D"/>
    <w:rsid w:val="00C41710"/>
    <w:rsid w:val="00C41B01"/>
    <w:rsid w:val="00C44EDB"/>
    <w:rsid w:val="00C450F8"/>
    <w:rsid w:val="00C453F9"/>
    <w:rsid w:val="00C45A5D"/>
    <w:rsid w:val="00C464C7"/>
    <w:rsid w:val="00C4657C"/>
    <w:rsid w:val="00C465DD"/>
    <w:rsid w:val="00C468C4"/>
    <w:rsid w:val="00C46E2F"/>
    <w:rsid w:val="00C47483"/>
    <w:rsid w:val="00C47A0E"/>
    <w:rsid w:val="00C50510"/>
    <w:rsid w:val="00C52115"/>
    <w:rsid w:val="00C52CFE"/>
    <w:rsid w:val="00C53130"/>
    <w:rsid w:val="00C54314"/>
    <w:rsid w:val="00C55BBF"/>
    <w:rsid w:val="00C578A8"/>
    <w:rsid w:val="00C60B8B"/>
    <w:rsid w:val="00C614F5"/>
    <w:rsid w:val="00C628B0"/>
    <w:rsid w:val="00C63275"/>
    <w:rsid w:val="00C63725"/>
    <w:rsid w:val="00C6461E"/>
    <w:rsid w:val="00C647E2"/>
    <w:rsid w:val="00C64C6B"/>
    <w:rsid w:val="00C64D6C"/>
    <w:rsid w:val="00C67058"/>
    <w:rsid w:val="00C700D8"/>
    <w:rsid w:val="00C704BB"/>
    <w:rsid w:val="00C7113B"/>
    <w:rsid w:val="00C71411"/>
    <w:rsid w:val="00C71A28"/>
    <w:rsid w:val="00C71C25"/>
    <w:rsid w:val="00C71E23"/>
    <w:rsid w:val="00C7234C"/>
    <w:rsid w:val="00C72992"/>
    <w:rsid w:val="00C72CA6"/>
    <w:rsid w:val="00C73A74"/>
    <w:rsid w:val="00C74074"/>
    <w:rsid w:val="00C74589"/>
    <w:rsid w:val="00C74782"/>
    <w:rsid w:val="00C755BA"/>
    <w:rsid w:val="00C75E47"/>
    <w:rsid w:val="00C76138"/>
    <w:rsid w:val="00C768A1"/>
    <w:rsid w:val="00C768EE"/>
    <w:rsid w:val="00C76D9A"/>
    <w:rsid w:val="00C8039B"/>
    <w:rsid w:val="00C805BB"/>
    <w:rsid w:val="00C821B3"/>
    <w:rsid w:val="00C838A4"/>
    <w:rsid w:val="00C842F7"/>
    <w:rsid w:val="00C847A2"/>
    <w:rsid w:val="00C85FC9"/>
    <w:rsid w:val="00C87122"/>
    <w:rsid w:val="00C874E6"/>
    <w:rsid w:val="00C90A98"/>
    <w:rsid w:val="00C90E15"/>
    <w:rsid w:val="00C912D9"/>
    <w:rsid w:val="00C91895"/>
    <w:rsid w:val="00C937A0"/>
    <w:rsid w:val="00C94641"/>
    <w:rsid w:val="00C94DA8"/>
    <w:rsid w:val="00C95C40"/>
    <w:rsid w:val="00C9602D"/>
    <w:rsid w:val="00C96DC9"/>
    <w:rsid w:val="00C97175"/>
    <w:rsid w:val="00C977BD"/>
    <w:rsid w:val="00C97FD7"/>
    <w:rsid w:val="00CA02D9"/>
    <w:rsid w:val="00CA0636"/>
    <w:rsid w:val="00CA09C4"/>
    <w:rsid w:val="00CA0A7C"/>
    <w:rsid w:val="00CA201E"/>
    <w:rsid w:val="00CA2245"/>
    <w:rsid w:val="00CA259C"/>
    <w:rsid w:val="00CA28AD"/>
    <w:rsid w:val="00CA3C9F"/>
    <w:rsid w:val="00CA46BE"/>
    <w:rsid w:val="00CA4796"/>
    <w:rsid w:val="00CA48DF"/>
    <w:rsid w:val="00CA5701"/>
    <w:rsid w:val="00CA5999"/>
    <w:rsid w:val="00CA5EA6"/>
    <w:rsid w:val="00CA6CE3"/>
    <w:rsid w:val="00CA7BF1"/>
    <w:rsid w:val="00CB18DE"/>
    <w:rsid w:val="00CB1F9E"/>
    <w:rsid w:val="00CB2B62"/>
    <w:rsid w:val="00CB433E"/>
    <w:rsid w:val="00CB655F"/>
    <w:rsid w:val="00CC0ACE"/>
    <w:rsid w:val="00CC0DB8"/>
    <w:rsid w:val="00CC156F"/>
    <w:rsid w:val="00CC2618"/>
    <w:rsid w:val="00CC3233"/>
    <w:rsid w:val="00CC330B"/>
    <w:rsid w:val="00CC39C1"/>
    <w:rsid w:val="00CC49D9"/>
    <w:rsid w:val="00CC4B89"/>
    <w:rsid w:val="00CC4C5C"/>
    <w:rsid w:val="00CC521D"/>
    <w:rsid w:val="00CC57ED"/>
    <w:rsid w:val="00CC6743"/>
    <w:rsid w:val="00CC683E"/>
    <w:rsid w:val="00CD00C1"/>
    <w:rsid w:val="00CD0131"/>
    <w:rsid w:val="00CD093E"/>
    <w:rsid w:val="00CD130A"/>
    <w:rsid w:val="00CD1D58"/>
    <w:rsid w:val="00CD2302"/>
    <w:rsid w:val="00CD23BB"/>
    <w:rsid w:val="00CD3268"/>
    <w:rsid w:val="00CD3C1B"/>
    <w:rsid w:val="00CD4421"/>
    <w:rsid w:val="00CD550E"/>
    <w:rsid w:val="00CD571B"/>
    <w:rsid w:val="00CD5AE7"/>
    <w:rsid w:val="00CE0377"/>
    <w:rsid w:val="00CE20DA"/>
    <w:rsid w:val="00CE2EEF"/>
    <w:rsid w:val="00CE36D6"/>
    <w:rsid w:val="00CF0897"/>
    <w:rsid w:val="00CF08BD"/>
    <w:rsid w:val="00CF10CC"/>
    <w:rsid w:val="00CF14D9"/>
    <w:rsid w:val="00CF194E"/>
    <w:rsid w:val="00CF240D"/>
    <w:rsid w:val="00CF25DA"/>
    <w:rsid w:val="00CF25FB"/>
    <w:rsid w:val="00CF3981"/>
    <w:rsid w:val="00CF45AB"/>
    <w:rsid w:val="00CF4A9B"/>
    <w:rsid w:val="00CF5253"/>
    <w:rsid w:val="00CF5983"/>
    <w:rsid w:val="00CF6734"/>
    <w:rsid w:val="00CF6D1F"/>
    <w:rsid w:val="00CF7E19"/>
    <w:rsid w:val="00CF7F25"/>
    <w:rsid w:val="00D02817"/>
    <w:rsid w:val="00D02F80"/>
    <w:rsid w:val="00D036EE"/>
    <w:rsid w:val="00D0384F"/>
    <w:rsid w:val="00D0484F"/>
    <w:rsid w:val="00D056EA"/>
    <w:rsid w:val="00D057DD"/>
    <w:rsid w:val="00D05A4E"/>
    <w:rsid w:val="00D05CDB"/>
    <w:rsid w:val="00D06117"/>
    <w:rsid w:val="00D0625B"/>
    <w:rsid w:val="00D065B1"/>
    <w:rsid w:val="00D06633"/>
    <w:rsid w:val="00D06B57"/>
    <w:rsid w:val="00D077D7"/>
    <w:rsid w:val="00D07E79"/>
    <w:rsid w:val="00D107D8"/>
    <w:rsid w:val="00D11115"/>
    <w:rsid w:val="00D1540D"/>
    <w:rsid w:val="00D1609F"/>
    <w:rsid w:val="00D1628F"/>
    <w:rsid w:val="00D16E5E"/>
    <w:rsid w:val="00D16FD9"/>
    <w:rsid w:val="00D171AF"/>
    <w:rsid w:val="00D17256"/>
    <w:rsid w:val="00D178C1"/>
    <w:rsid w:val="00D20B5D"/>
    <w:rsid w:val="00D2184E"/>
    <w:rsid w:val="00D220B4"/>
    <w:rsid w:val="00D2236E"/>
    <w:rsid w:val="00D2266A"/>
    <w:rsid w:val="00D22706"/>
    <w:rsid w:val="00D23473"/>
    <w:rsid w:val="00D243DD"/>
    <w:rsid w:val="00D24C7D"/>
    <w:rsid w:val="00D250DC"/>
    <w:rsid w:val="00D25DCE"/>
    <w:rsid w:val="00D25F2E"/>
    <w:rsid w:val="00D26429"/>
    <w:rsid w:val="00D26595"/>
    <w:rsid w:val="00D271D1"/>
    <w:rsid w:val="00D273F9"/>
    <w:rsid w:val="00D304CB"/>
    <w:rsid w:val="00D30791"/>
    <w:rsid w:val="00D3190E"/>
    <w:rsid w:val="00D339E2"/>
    <w:rsid w:val="00D342C5"/>
    <w:rsid w:val="00D344BA"/>
    <w:rsid w:val="00D356D2"/>
    <w:rsid w:val="00D35A3C"/>
    <w:rsid w:val="00D35B5B"/>
    <w:rsid w:val="00D3637B"/>
    <w:rsid w:val="00D366B9"/>
    <w:rsid w:val="00D36AEA"/>
    <w:rsid w:val="00D36E5F"/>
    <w:rsid w:val="00D37EF5"/>
    <w:rsid w:val="00D40E53"/>
    <w:rsid w:val="00D41BC0"/>
    <w:rsid w:val="00D41DDC"/>
    <w:rsid w:val="00D42C02"/>
    <w:rsid w:val="00D432DA"/>
    <w:rsid w:val="00D43837"/>
    <w:rsid w:val="00D44A64"/>
    <w:rsid w:val="00D475E5"/>
    <w:rsid w:val="00D4767C"/>
    <w:rsid w:val="00D50E26"/>
    <w:rsid w:val="00D5218C"/>
    <w:rsid w:val="00D52546"/>
    <w:rsid w:val="00D5257B"/>
    <w:rsid w:val="00D52D72"/>
    <w:rsid w:val="00D53118"/>
    <w:rsid w:val="00D53310"/>
    <w:rsid w:val="00D5365D"/>
    <w:rsid w:val="00D5569A"/>
    <w:rsid w:val="00D55E4C"/>
    <w:rsid w:val="00D60D8A"/>
    <w:rsid w:val="00D61A03"/>
    <w:rsid w:val="00D62222"/>
    <w:rsid w:val="00D63706"/>
    <w:rsid w:val="00D63B89"/>
    <w:rsid w:val="00D63FA6"/>
    <w:rsid w:val="00D665B1"/>
    <w:rsid w:val="00D675C4"/>
    <w:rsid w:val="00D70D2C"/>
    <w:rsid w:val="00D711DB"/>
    <w:rsid w:val="00D71790"/>
    <w:rsid w:val="00D72C26"/>
    <w:rsid w:val="00D731D5"/>
    <w:rsid w:val="00D73CAF"/>
    <w:rsid w:val="00D76DCA"/>
    <w:rsid w:val="00D76EA1"/>
    <w:rsid w:val="00D776D6"/>
    <w:rsid w:val="00D8015C"/>
    <w:rsid w:val="00D80B24"/>
    <w:rsid w:val="00D80E0A"/>
    <w:rsid w:val="00D81A45"/>
    <w:rsid w:val="00D8322A"/>
    <w:rsid w:val="00D837A5"/>
    <w:rsid w:val="00D85825"/>
    <w:rsid w:val="00D85AEB"/>
    <w:rsid w:val="00D87481"/>
    <w:rsid w:val="00D8758C"/>
    <w:rsid w:val="00D90732"/>
    <w:rsid w:val="00D92403"/>
    <w:rsid w:val="00D927A2"/>
    <w:rsid w:val="00D93918"/>
    <w:rsid w:val="00D94628"/>
    <w:rsid w:val="00D951F1"/>
    <w:rsid w:val="00D97477"/>
    <w:rsid w:val="00DA08F6"/>
    <w:rsid w:val="00DA0B7C"/>
    <w:rsid w:val="00DA0E22"/>
    <w:rsid w:val="00DA0F46"/>
    <w:rsid w:val="00DA0FB0"/>
    <w:rsid w:val="00DA1494"/>
    <w:rsid w:val="00DA3E84"/>
    <w:rsid w:val="00DA5CF3"/>
    <w:rsid w:val="00DA5EDE"/>
    <w:rsid w:val="00DA64AD"/>
    <w:rsid w:val="00DA79D3"/>
    <w:rsid w:val="00DA7BB6"/>
    <w:rsid w:val="00DB0F0F"/>
    <w:rsid w:val="00DB1482"/>
    <w:rsid w:val="00DB1BB0"/>
    <w:rsid w:val="00DB1FE9"/>
    <w:rsid w:val="00DB312B"/>
    <w:rsid w:val="00DB31D8"/>
    <w:rsid w:val="00DB40C4"/>
    <w:rsid w:val="00DB4205"/>
    <w:rsid w:val="00DB420D"/>
    <w:rsid w:val="00DB4430"/>
    <w:rsid w:val="00DB4617"/>
    <w:rsid w:val="00DB557A"/>
    <w:rsid w:val="00DB6539"/>
    <w:rsid w:val="00DB72F1"/>
    <w:rsid w:val="00DB7DE9"/>
    <w:rsid w:val="00DC028A"/>
    <w:rsid w:val="00DC0539"/>
    <w:rsid w:val="00DC09B7"/>
    <w:rsid w:val="00DC0BD5"/>
    <w:rsid w:val="00DC0FC7"/>
    <w:rsid w:val="00DC19F7"/>
    <w:rsid w:val="00DC257E"/>
    <w:rsid w:val="00DC25D9"/>
    <w:rsid w:val="00DC2D9F"/>
    <w:rsid w:val="00DC4246"/>
    <w:rsid w:val="00DC44B7"/>
    <w:rsid w:val="00DC44F8"/>
    <w:rsid w:val="00DC4FED"/>
    <w:rsid w:val="00DC5439"/>
    <w:rsid w:val="00DC6729"/>
    <w:rsid w:val="00DC6838"/>
    <w:rsid w:val="00DC6F66"/>
    <w:rsid w:val="00DC7543"/>
    <w:rsid w:val="00DC7750"/>
    <w:rsid w:val="00DC7856"/>
    <w:rsid w:val="00DD125F"/>
    <w:rsid w:val="00DD1932"/>
    <w:rsid w:val="00DD1EB4"/>
    <w:rsid w:val="00DD2A78"/>
    <w:rsid w:val="00DD39EC"/>
    <w:rsid w:val="00DD4896"/>
    <w:rsid w:val="00DD5B2A"/>
    <w:rsid w:val="00DD6BA4"/>
    <w:rsid w:val="00DE0342"/>
    <w:rsid w:val="00DE0EF2"/>
    <w:rsid w:val="00DE25B6"/>
    <w:rsid w:val="00DE269D"/>
    <w:rsid w:val="00DE3003"/>
    <w:rsid w:val="00DE3974"/>
    <w:rsid w:val="00DE421D"/>
    <w:rsid w:val="00DE4240"/>
    <w:rsid w:val="00DE43E2"/>
    <w:rsid w:val="00DE4825"/>
    <w:rsid w:val="00DE4CEF"/>
    <w:rsid w:val="00DE569D"/>
    <w:rsid w:val="00DE5A56"/>
    <w:rsid w:val="00DE5D3D"/>
    <w:rsid w:val="00DE6219"/>
    <w:rsid w:val="00DE6AA0"/>
    <w:rsid w:val="00DE7432"/>
    <w:rsid w:val="00DE78EB"/>
    <w:rsid w:val="00DF0272"/>
    <w:rsid w:val="00DF041D"/>
    <w:rsid w:val="00DF0619"/>
    <w:rsid w:val="00DF0644"/>
    <w:rsid w:val="00DF07AF"/>
    <w:rsid w:val="00DF1098"/>
    <w:rsid w:val="00DF1EDF"/>
    <w:rsid w:val="00DF2949"/>
    <w:rsid w:val="00DF3201"/>
    <w:rsid w:val="00DF3A91"/>
    <w:rsid w:val="00DF3D09"/>
    <w:rsid w:val="00DF541F"/>
    <w:rsid w:val="00DF654E"/>
    <w:rsid w:val="00DF6B14"/>
    <w:rsid w:val="00E002EB"/>
    <w:rsid w:val="00E01010"/>
    <w:rsid w:val="00E04919"/>
    <w:rsid w:val="00E04964"/>
    <w:rsid w:val="00E0497F"/>
    <w:rsid w:val="00E049B6"/>
    <w:rsid w:val="00E060C6"/>
    <w:rsid w:val="00E0666D"/>
    <w:rsid w:val="00E1067D"/>
    <w:rsid w:val="00E10CF2"/>
    <w:rsid w:val="00E10E66"/>
    <w:rsid w:val="00E119EC"/>
    <w:rsid w:val="00E11C57"/>
    <w:rsid w:val="00E13F49"/>
    <w:rsid w:val="00E14392"/>
    <w:rsid w:val="00E15948"/>
    <w:rsid w:val="00E175F1"/>
    <w:rsid w:val="00E178D5"/>
    <w:rsid w:val="00E220FF"/>
    <w:rsid w:val="00E22A57"/>
    <w:rsid w:val="00E22B43"/>
    <w:rsid w:val="00E24551"/>
    <w:rsid w:val="00E24D1A"/>
    <w:rsid w:val="00E250CF"/>
    <w:rsid w:val="00E25ECB"/>
    <w:rsid w:val="00E263FB"/>
    <w:rsid w:val="00E26494"/>
    <w:rsid w:val="00E26ACC"/>
    <w:rsid w:val="00E30E33"/>
    <w:rsid w:val="00E312AB"/>
    <w:rsid w:val="00E312FD"/>
    <w:rsid w:val="00E315AF"/>
    <w:rsid w:val="00E32055"/>
    <w:rsid w:val="00E3280D"/>
    <w:rsid w:val="00E32AA3"/>
    <w:rsid w:val="00E32E87"/>
    <w:rsid w:val="00E33835"/>
    <w:rsid w:val="00E34B27"/>
    <w:rsid w:val="00E35890"/>
    <w:rsid w:val="00E36194"/>
    <w:rsid w:val="00E3639D"/>
    <w:rsid w:val="00E37A65"/>
    <w:rsid w:val="00E4150C"/>
    <w:rsid w:val="00E41B73"/>
    <w:rsid w:val="00E422B4"/>
    <w:rsid w:val="00E42856"/>
    <w:rsid w:val="00E42BA6"/>
    <w:rsid w:val="00E44204"/>
    <w:rsid w:val="00E44515"/>
    <w:rsid w:val="00E45557"/>
    <w:rsid w:val="00E45ED8"/>
    <w:rsid w:val="00E472CA"/>
    <w:rsid w:val="00E47E06"/>
    <w:rsid w:val="00E5091C"/>
    <w:rsid w:val="00E51F57"/>
    <w:rsid w:val="00E52535"/>
    <w:rsid w:val="00E539DE"/>
    <w:rsid w:val="00E540CC"/>
    <w:rsid w:val="00E5470F"/>
    <w:rsid w:val="00E5492D"/>
    <w:rsid w:val="00E55038"/>
    <w:rsid w:val="00E55C68"/>
    <w:rsid w:val="00E55DE9"/>
    <w:rsid w:val="00E5637C"/>
    <w:rsid w:val="00E56F97"/>
    <w:rsid w:val="00E602D5"/>
    <w:rsid w:val="00E60C27"/>
    <w:rsid w:val="00E6123D"/>
    <w:rsid w:val="00E61AF5"/>
    <w:rsid w:val="00E6258B"/>
    <w:rsid w:val="00E629B8"/>
    <w:rsid w:val="00E62AFD"/>
    <w:rsid w:val="00E651B0"/>
    <w:rsid w:val="00E65612"/>
    <w:rsid w:val="00E66A3B"/>
    <w:rsid w:val="00E66F1A"/>
    <w:rsid w:val="00E66FB4"/>
    <w:rsid w:val="00E674D6"/>
    <w:rsid w:val="00E70218"/>
    <w:rsid w:val="00E7026F"/>
    <w:rsid w:val="00E709EE"/>
    <w:rsid w:val="00E746D1"/>
    <w:rsid w:val="00E74EA5"/>
    <w:rsid w:val="00E75DFA"/>
    <w:rsid w:val="00E76A74"/>
    <w:rsid w:val="00E76C31"/>
    <w:rsid w:val="00E76F20"/>
    <w:rsid w:val="00E77356"/>
    <w:rsid w:val="00E80118"/>
    <w:rsid w:val="00E80374"/>
    <w:rsid w:val="00E811DA"/>
    <w:rsid w:val="00E81737"/>
    <w:rsid w:val="00E82D3D"/>
    <w:rsid w:val="00E82E73"/>
    <w:rsid w:val="00E8308C"/>
    <w:rsid w:val="00E83B05"/>
    <w:rsid w:val="00E83D82"/>
    <w:rsid w:val="00E83E9A"/>
    <w:rsid w:val="00E87122"/>
    <w:rsid w:val="00E87C98"/>
    <w:rsid w:val="00E90BD5"/>
    <w:rsid w:val="00E920DF"/>
    <w:rsid w:val="00E9219B"/>
    <w:rsid w:val="00E92938"/>
    <w:rsid w:val="00E9363D"/>
    <w:rsid w:val="00E93D04"/>
    <w:rsid w:val="00E94641"/>
    <w:rsid w:val="00E94C80"/>
    <w:rsid w:val="00E95912"/>
    <w:rsid w:val="00E95AD2"/>
    <w:rsid w:val="00E96235"/>
    <w:rsid w:val="00E9638D"/>
    <w:rsid w:val="00E966B9"/>
    <w:rsid w:val="00EA0292"/>
    <w:rsid w:val="00EA0591"/>
    <w:rsid w:val="00EA06F7"/>
    <w:rsid w:val="00EA075D"/>
    <w:rsid w:val="00EA0A30"/>
    <w:rsid w:val="00EA0DDB"/>
    <w:rsid w:val="00EA1A68"/>
    <w:rsid w:val="00EA1ACD"/>
    <w:rsid w:val="00EA2190"/>
    <w:rsid w:val="00EA2B5B"/>
    <w:rsid w:val="00EA3348"/>
    <w:rsid w:val="00EA33BB"/>
    <w:rsid w:val="00EA3CF8"/>
    <w:rsid w:val="00EA43B2"/>
    <w:rsid w:val="00EA492A"/>
    <w:rsid w:val="00EA510B"/>
    <w:rsid w:val="00EA5229"/>
    <w:rsid w:val="00EA54E8"/>
    <w:rsid w:val="00EA5B01"/>
    <w:rsid w:val="00EA5BE1"/>
    <w:rsid w:val="00EA5C8E"/>
    <w:rsid w:val="00EA60D5"/>
    <w:rsid w:val="00EA64BC"/>
    <w:rsid w:val="00EA7666"/>
    <w:rsid w:val="00EA7CD5"/>
    <w:rsid w:val="00EB04AE"/>
    <w:rsid w:val="00EB17E7"/>
    <w:rsid w:val="00EB2592"/>
    <w:rsid w:val="00EB2634"/>
    <w:rsid w:val="00EB2B1F"/>
    <w:rsid w:val="00EB31F9"/>
    <w:rsid w:val="00EB335F"/>
    <w:rsid w:val="00EB3EDF"/>
    <w:rsid w:val="00EB4593"/>
    <w:rsid w:val="00EB6126"/>
    <w:rsid w:val="00EB6D26"/>
    <w:rsid w:val="00EB75FC"/>
    <w:rsid w:val="00EB783B"/>
    <w:rsid w:val="00EB7B45"/>
    <w:rsid w:val="00EC11D2"/>
    <w:rsid w:val="00EC1FAF"/>
    <w:rsid w:val="00EC209F"/>
    <w:rsid w:val="00EC30A8"/>
    <w:rsid w:val="00EC3DE6"/>
    <w:rsid w:val="00EC3E62"/>
    <w:rsid w:val="00EC4227"/>
    <w:rsid w:val="00EC4D23"/>
    <w:rsid w:val="00EC52E1"/>
    <w:rsid w:val="00EC6337"/>
    <w:rsid w:val="00EC63D6"/>
    <w:rsid w:val="00EC6477"/>
    <w:rsid w:val="00EC65CC"/>
    <w:rsid w:val="00EC710E"/>
    <w:rsid w:val="00EC7CE6"/>
    <w:rsid w:val="00ED15C1"/>
    <w:rsid w:val="00ED25E8"/>
    <w:rsid w:val="00ED2AB5"/>
    <w:rsid w:val="00ED2CF3"/>
    <w:rsid w:val="00ED2F63"/>
    <w:rsid w:val="00ED3422"/>
    <w:rsid w:val="00ED3915"/>
    <w:rsid w:val="00ED3A6A"/>
    <w:rsid w:val="00ED4403"/>
    <w:rsid w:val="00ED49EB"/>
    <w:rsid w:val="00ED5140"/>
    <w:rsid w:val="00ED7FA3"/>
    <w:rsid w:val="00EE0321"/>
    <w:rsid w:val="00EE0491"/>
    <w:rsid w:val="00EE1A43"/>
    <w:rsid w:val="00EE1C6D"/>
    <w:rsid w:val="00EE2C18"/>
    <w:rsid w:val="00EE2DE8"/>
    <w:rsid w:val="00EE361E"/>
    <w:rsid w:val="00EE3EE3"/>
    <w:rsid w:val="00EE4F4C"/>
    <w:rsid w:val="00EE5DC0"/>
    <w:rsid w:val="00EE5E68"/>
    <w:rsid w:val="00EE634A"/>
    <w:rsid w:val="00EE65C2"/>
    <w:rsid w:val="00EE7E00"/>
    <w:rsid w:val="00EF226A"/>
    <w:rsid w:val="00EF233F"/>
    <w:rsid w:val="00EF26CE"/>
    <w:rsid w:val="00EF3D1C"/>
    <w:rsid w:val="00EF4190"/>
    <w:rsid w:val="00EF4D2A"/>
    <w:rsid w:val="00EF4D34"/>
    <w:rsid w:val="00EF4E17"/>
    <w:rsid w:val="00EF5D01"/>
    <w:rsid w:val="00EF7797"/>
    <w:rsid w:val="00EF7BE0"/>
    <w:rsid w:val="00EF7CF4"/>
    <w:rsid w:val="00F0025B"/>
    <w:rsid w:val="00F009F7"/>
    <w:rsid w:val="00F01747"/>
    <w:rsid w:val="00F02271"/>
    <w:rsid w:val="00F023AD"/>
    <w:rsid w:val="00F031F1"/>
    <w:rsid w:val="00F04603"/>
    <w:rsid w:val="00F0464D"/>
    <w:rsid w:val="00F05656"/>
    <w:rsid w:val="00F067F6"/>
    <w:rsid w:val="00F06A15"/>
    <w:rsid w:val="00F06F5B"/>
    <w:rsid w:val="00F074BB"/>
    <w:rsid w:val="00F07521"/>
    <w:rsid w:val="00F07C7B"/>
    <w:rsid w:val="00F109A2"/>
    <w:rsid w:val="00F11A38"/>
    <w:rsid w:val="00F12168"/>
    <w:rsid w:val="00F15DBF"/>
    <w:rsid w:val="00F15EA2"/>
    <w:rsid w:val="00F17B63"/>
    <w:rsid w:val="00F21AC2"/>
    <w:rsid w:val="00F22062"/>
    <w:rsid w:val="00F229B7"/>
    <w:rsid w:val="00F22AEE"/>
    <w:rsid w:val="00F23C4D"/>
    <w:rsid w:val="00F24F3B"/>
    <w:rsid w:val="00F313ED"/>
    <w:rsid w:val="00F3180F"/>
    <w:rsid w:val="00F334D0"/>
    <w:rsid w:val="00F36263"/>
    <w:rsid w:val="00F36952"/>
    <w:rsid w:val="00F36BDE"/>
    <w:rsid w:val="00F36FD7"/>
    <w:rsid w:val="00F377A7"/>
    <w:rsid w:val="00F37C84"/>
    <w:rsid w:val="00F4003A"/>
    <w:rsid w:val="00F405C9"/>
    <w:rsid w:val="00F413BC"/>
    <w:rsid w:val="00F4150B"/>
    <w:rsid w:val="00F41C24"/>
    <w:rsid w:val="00F46F98"/>
    <w:rsid w:val="00F47B26"/>
    <w:rsid w:val="00F47C9E"/>
    <w:rsid w:val="00F47F7E"/>
    <w:rsid w:val="00F501DC"/>
    <w:rsid w:val="00F50C35"/>
    <w:rsid w:val="00F50F84"/>
    <w:rsid w:val="00F51662"/>
    <w:rsid w:val="00F518DE"/>
    <w:rsid w:val="00F5208C"/>
    <w:rsid w:val="00F545A3"/>
    <w:rsid w:val="00F54B10"/>
    <w:rsid w:val="00F54BC1"/>
    <w:rsid w:val="00F566ED"/>
    <w:rsid w:val="00F57233"/>
    <w:rsid w:val="00F603D2"/>
    <w:rsid w:val="00F63801"/>
    <w:rsid w:val="00F638E1"/>
    <w:rsid w:val="00F63D49"/>
    <w:rsid w:val="00F6435B"/>
    <w:rsid w:val="00F645BA"/>
    <w:rsid w:val="00F64858"/>
    <w:rsid w:val="00F65E79"/>
    <w:rsid w:val="00F65F4E"/>
    <w:rsid w:val="00F6617C"/>
    <w:rsid w:val="00F6716B"/>
    <w:rsid w:val="00F67AA1"/>
    <w:rsid w:val="00F70644"/>
    <w:rsid w:val="00F70D6C"/>
    <w:rsid w:val="00F711AC"/>
    <w:rsid w:val="00F7262E"/>
    <w:rsid w:val="00F72DB6"/>
    <w:rsid w:val="00F74431"/>
    <w:rsid w:val="00F75B76"/>
    <w:rsid w:val="00F75B97"/>
    <w:rsid w:val="00F7627F"/>
    <w:rsid w:val="00F76F41"/>
    <w:rsid w:val="00F77F89"/>
    <w:rsid w:val="00F81B6A"/>
    <w:rsid w:val="00F8252A"/>
    <w:rsid w:val="00F82AC3"/>
    <w:rsid w:val="00F85987"/>
    <w:rsid w:val="00F871E0"/>
    <w:rsid w:val="00F87680"/>
    <w:rsid w:val="00F8776D"/>
    <w:rsid w:val="00F878FA"/>
    <w:rsid w:val="00F87BE2"/>
    <w:rsid w:val="00F918E1"/>
    <w:rsid w:val="00F92A8F"/>
    <w:rsid w:val="00F92C1F"/>
    <w:rsid w:val="00F93638"/>
    <w:rsid w:val="00F9450C"/>
    <w:rsid w:val="00F94665"/>
    <w:rsid w:val="00F9532F"/>
    <w:rsid w:val="00FA119C"/>
    <w:rsid w:val="00FA15C2"/>
    <w:rsid w:val="00FA1EE4"/>
    <w:rsid w:val="00FA2E6A"/>
    <w:rsid w:val="00FA3779"/>
    <w:rsid w:val="00FA60CB"/>
    <w:rsid w:val="00FA68BC"/>
    <w:rsid w:val="00FA6C6C"/>
    <w:rsid w:val="00FA71A1"/>
    <w:rsid w:val="00FA7498"/>
    <w:rsid w:val="00FA7CB8"/>
    <w:rsid w:val="00FB113C"/>
    <w:rsid w:val="00FB1174"/>
    <w:rsid w:val="00FB1B15"/>
    <w:rsid w:val="00FB1FD1"/>
    <w:rsid w:val="00FB25CD"/>
    <w:rsid w:val="00FB27F5"/>
    <w:rsid w:val="00FB3BD5"/>
    <w:rsid w:val="00FB52C5"/>
    <w:rsid w:val="00FB58A9"/>
    <w:rsid w:val="00FB6161"/>
    <w:rsid w:val="00FB6E48"/>
    <w:rsid w:val="00FB73F2"/>
    <w:rsid w:val="00FB7510"/>
    <w:rsid w:val="00FC0988"/>
    <w:rsid w:val="00FC18C1"/>
    <w:rsid w:val="00FC1AF3"/>
    <w:rsid w:val="00FC28DC"/>
    <w:rsid w:val="00FC6834"/>
    <w:rsid w:val="00FD1140"/>
    <w:rsid w:val="00FD189F"/>
    <w:rsid w:val="00FD1A91"/>
    <w:rsid w:val="00FD1D37"/>
    <w:rsid w:val="00FD226E"/>
    <w:rsid w:val="00FD2DC2"/>
    <w:rsid w:val="00FD3EB6"/>
    <w:rsid w:val="00FD3F6B"/>
    <w:rsid w:val="00FD4CA6"/>
    <w:rsid w:val="00FD545D"/>
    <w:rsid w:val="00FD5C33"/>
    <w:rsid w:val="00FD5CDB"/>
    <w:rsid w:val="00FD6652"/>
    <w:rsid w:val="00FD7A44"/>
    <w:rsid w:val="00FE049E"/>
    <w:rsid w:val="00FE0F64"/>
    <w:rsid w:val="00FE3090"/>
    <w:rsid w:val="00FE4392"/>
    <w:rsid w:val="00FF038E"/>
    <w:rsid w:val="00FF065E"/>
    <w:rsid w:val="00FF0722"/>
    <w:rsid w:val="00FF1EF4"/>
    <w:rsid w:val="00FF2A43"/>
    <w:rsid w:val="00FF30DC"/>
    <w:rsid w:val="00FF3915"/>
    <w:rsid w:val="00FF46DA"/>
    <w:rsid w:val="00FF472D"/>
    <w:rsid w:val="00FF50C1"/>
    <w:rsid w:val="00FF5664"/>
    <w:rsid w:val="00FF5BFE"/>
    <w:rsid w:val="00FF5EB0"/>
    <w:rsid w:val="00FF75C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7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7C37"/>
  </w:style>
  <w:style w:type="paragraph" w:styleId="Heading1">
    <w:name w:val="heading 1"/>
    <w:basedOn w:val="Normal"/>
    <w:next w:val="Normal"/>
    <w:link w:val="Heading1Char"/>
    <w:uiPriority w:val="9"/>
    <w:qFormat/>
    <w:rsid w:val="002D6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384DA2"/>
    <w:pPr>
      <w:keepNext/>
      <w:keepLines/>
      <w:numPr>
        <w:ilvl w:val="1"/>
        <w:numId w:val="2"/>
      </w:numPr>
      <w:pBdr>
        <w:bottom w:val="single" w:sz="4" w:space="1" w:color="auto"/>
      </w:pBdr>
      <w:spacing w:before="240" w:after="40" w:line="240" w:lineRule="auto"/>
      <w:ind w:left="709" w:hanging="709"/>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unhideWhenUsed/>
    <w:qFormat/>
    <w:rsid w:val="002108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706"/>
    <w:pPr>
      <w:tabs>
        <w:tab w:val="center" w:pos="4153"/>
        <w:tab w:val="right" w:pos="8306"/>
      </w:tabs>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D63706"/>
    <w:rPr>
      <w:rFonts w:ascii="Times New Roman" w:eastAsia="Times New Roman" w:hAnsi="Times New Roman" w:cs="Times New Roman"/>
      <w:sz w:val="24"/>
      <w:szCs w:val="24"/>
      <w:lang w:eastAsia="zh-CN"/>
    </w:rPr>
  </w:style>
  <w:style w:type="character" w:customStyle="1" w:styleId="spelle">
    <w:name w:val="spelle"/>
    <w:basedOn w:val="DefaultParagraphFont"/>
    <w:rsid w:val="00D63706"/>
  </w:style>
  <w:style w:type="character" w:styleId="Hyperlink">
    <w:name w:val="Hyperlink"/>
    <w:basedOn w:val="DefaultParagraphFont"/>
    <w:uiPriority w:val="99"/>
    <w:unhideWhenUsed/>
    <w:rsid w:val="00F87680"/>
    <w:rPr>
      <w:color w:val="0563C1" w:themeColor="hyperlink"/>
      <w:u w:val="single"/>
    </w:rPr>
  </w:style>
  <w:style w:type="paragraph" w:styleId="FootnoteText">
    <w:name w:val="footnote text"/>
    <w:basedOn w:val="Normal"/>
    <w:link w:val="FootnoteTextChar"/>
    <w:uiPriority w:val="99"/>
    <w:unhideWhenUsed/>
    <w:rsid w:val="00F87680"/>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rsid w:val="00F87680"/>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F87680"/>
    <w:rPr>
      <w:vertAlign w:val="superscript"/>
    </w:rPr>
  </w:style>
  <w:style w:type="paragraph" w:styleId="ListParagraph">
    <w:name w:val="List Paragraph"/>
    <w:basedOn w:val="Normal"/>
    <w:uiPriority w:val="34"/>
    <w:qFormat/>
    <w:rsid w:val="00910354"/>
    <w:pPr>
      <w:spacing w:after="0" w:line="240" w:lineRule="auto"/>
      <w:ind w:left="720"/>
      <w:contextualSpacing/>
    </w:pPr>
    <w:rPr>
      <w:rFonts w:ascii="Times New Roman" w:eastAsiaTheme="minorEastAsia" w:hAnsi="Times New Roman"/>
      <w:sz w:val="24"/>
      <w:szCs w:val="24"/>
    </w:rPr>
  </w:style>
  <w:style w:type="table" w:styleId="TableGrid">
    <w:name w:val="Table Grid"/>
    <w:basedOn w:val="TableNormal"/>
    <w:uiPriority w:val="39"/>
    <w:rsid w:val="0091035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2675D"/>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tv213">
    <w:name w:val="tv213"/>
    <w:basedOn w:val="Normal"/>
    <w:rsid w:val="000267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84DA2"/>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F1685"/>
  </w:style>
  <w:style w:type="paragraph" w:styleId="NormalWeb">
    <w:name w:val="Normal (Web)"/>
    <w:basedOn w:val="Normal"/>
    <w:uiPriority w:val="99"/>
    <w:semiHidden/>
    <w:unhideWhenUsed/>
    <w:rsid w:val="005F16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521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215C"/>
  </w:style>
  <w:style w:type="character" w:styleId="CommentReference">
    <w:name w:val="annotation reference"/>
    <w:basedOn w:val="DefaultParagraphFont"/>
    <w:uiPriority w:val="99"/>
    <w:semiHidden/>
    <w:unhideWhenUsed/>
    <w:rsid w:val="00A84C05"/>
    <w:rPr>
      <w:sz w:val="16"/>
      <w:szCs w:val="16"/>
    </w:rPr>
  </w:style>
  <w:style w:type="paragraph" w:styleId="CommentText">
    <w:name w:val="annotation text"/>
    <w:basedOn w:val="Normal"/>
    <w:link w:val="CommentTextChar"/>
    <w:uiPriority w:val="99"/>
    <w:semiHidden/>
    <w:unhideWhenUsed/>
    <w:rsid w:val="00A84C05"/>
    <w:pPr>
      <w:spacing w:line="240" w:lineRule="auto"/>
    </w:pPr>
    <w:rPr>
      <w:sz w:val="20"/>
      <w:szCs w:val="20"/>
    </w:rPr>
  </w:style>
  <w:style w:type="character" w:customStyle="1" w:styleId="CommentTextChar">
    <w:name w:val="Comment Text Char"/>
    <w:basedOn w:val="DefaultParagraphFont"/>
    <w:link w:val="CommentText"/>
    <w:uiPriority w:val="99"/>
    <w:semiHidden/>
    <w:rsid w:val="00A84C05"/>
    <w:rPr>
      <w:sz w:val="20"/>
      <w:szCs w:val="20"/>
    </w:rPr>
  </w:style>
  <w:style w:type="paragraph" w:styleId="CommentSubject">
    <w:name w:val="annotation subject"/>
    <w:basedOn w:val="CommentText"/>
    <w:next w:val="CommentText"/>
    <w:link w:val="CommentSubjectChar"/>
    <w:uiPriority w:val="99"/>
    <w:semiHidden/>
    <w:unhideWhenUsed/>
    <w:rsid w:val="00A84C05"/>
    <w:rPr>
      <w:b/>
      <w:bCs/>
    </w:rPr>
  </w:style>
  <w:style w:type="character" w:customStyle="1" w:styleId="CommentSubjectChar">
    <w:name w:val="Comment Subject Char"/>
    <w:basedOn w:val="CommentTextChar"/>
    <w:link w:val="CommentSubject"/>
    <w:uiPriority w:val="99"/>
    <w:semiHidden/>
    <w:rsid w:val="00A84C05"/>
    <w:rPr>
      <w:b/>
      <w:bCs/>
      <w:sz w:val="20"/>
      <w:szCs w:val="20"/>
    </w:rPr>
  </w:style>
  <w:style w:type="paragraph" w:styleId="BalloonText">
    <w:name w:val="Balloon Text"/>
    <w:basedOn w:val="Normal"/>
    <w:link w:val="BalloonTextChar"/>
    <w:uiPriority w:val="99"/>
    <w:semiHidden/>
    <w:unhideWhenUsed/>
    <w:rsid w:val="00A84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05"/>
    <w:rPr>
      <w:rFonts w:ascii="Segoe UI" w:hAnsi="Segoe UI" w:cs="Segoe UI"/>
      <w:sz w:val="18"/>
      <w:szCs w:val="18"/>
    </w:rPr>
  </w:style>
  <w:style w:type="paragraph" w:customStyle="1" w:styleId="naisc">
    <w:name w:val="naisc"/>
    <w:basedOn w:val="Normal"/>
    <w:rsid w:val="00563AC1"/>
    <w:pPr>
      <w:spacing w:before="75" w:after="75" w:line="240" w:lineRule="auto"/>
      <w:jc w:val="center"/>
    </w:pPr>
    <w:rPr>
      <w:rFonts w:ascii="Times New Roman" w:eastAsia="Times New Roman" w:hAnsi="Times New Roman" w:cs="Times New Roman"/>
      <w:sz w:val="24"/>
      <w:szCs w:val="24"/>
      <w:lang w:eastAsia="lv-LV"/>
    </w:rPr>
  </w:style>
  <w:style w:type="paragraph" w:customStyle="1" w:styleId="headcol">
    <w:name w:val="headcol"/>
    <w:basedOn w:val="Normal"/>
    <w:uiPriority w:val="99"/>
    <w:rsid w:val="00A737FA"/>
    <w:pPr>
      <w:spacing w:before="100" w:beforeAutospacing="1" w:after="100" w:afterAutospacing="1" w:line="240" w:lineRule="auto"/>
    </w:pPr>
    <w:rPr>
      <w:rFonts w:ascii="Times New Roman" w:eastAsia="Times New Roman" w:hAnsi="Times New Roman" w:cs="Times New Roman"/>
      <w:color w:val="F0F8F8"/>
      <w:sz w:val="24"/>
      <w:szCs w:val="24"/>
      <w:lang w:eastAsia="lv-LV"/>
    </w:rPr>
  </w:style>
  <w:style w:type="paragraph" w:customStyle="1" w:styleId="radio">
    <w:name w:val="radio"/>
    <w:basedOn w:val="Normal"/>
    <w:uiPriority w:val="99"/>
    <w:rsid w:val="00C31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658FE"/>
    <w:rPr>
      <w:b/>
      <w:bCs/>
      <w:i w:val="0"/>
      <w:iCs w:val="0"/>
    </w:rPr>
  </w:style>
  <w:style w:type="character" w:customStyle="1" w:styleId="st1">
    <w:name w:val="st1"/>
    <w:basedOn w:val="DefaultParagraphFont"/>
    <w:rsid w:val="004658FE"/>
  </w:style>
  <w:style w:type="character" w:styleId="Strong">
    <w:name w:val="Strong"/>
    <w:basedOn w:val="DefaultParagraphFont"/>
    <w:uiPriority w:val="22"/>
    <w:qFormat/>
    <w:rsid w:val="00796E6A"/>
    <w:rPr>
      <w:b/>
      <w:bCs/>
    </w:rPr>
  </w:style>
  <w:style w:type="paragraph" w:customStyle="1" w:styleId="zvabri">
    <w:name w:val="zvabri"/>
    <w:basedOn w:val="Normal"/>
    <w:uiPriority w:val="99"/>
    <w:rsid w:val="00256ADB"/>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table" w:customStyle="1" w:styleId="TableGrid1">
    <w:name w:val="Table Grid1"/>
    <w:basedOn w:val="TableNormal"/>
    <w:next w:val="TableGrid"/>
    <w:uiPriority w:val="59"/>
    <w:rsid w:val="00BA011F"/>
    <w:pPr>
      <w:spacing w:after="0" w:line="240" w:lineRule="auto"/>
    </w:pPr>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0C47"/>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67D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D7308"/>
    <w:pPr>
      <w:spacing w:after="200" w:line="240" w:lineRule="auto"/>
    </w:pPr>
    <w:rPr>
      <w:rFonts w:eastAsiaTheme="minorEastAsia"/>
      <w:b/>
      <w:bCs/>
      <w:color w:val="5B9BD5" w:themeColor="accent1"/>
      <w:sz w:val="18"/>
      <w:szCs w:val="18"/>
      <w:lang w:eastAsia="zh-CN"/>
    </w:rPr>
  </w:style>
  <w:style w:type="character" w:customStyle="1" w:styleId="Heading1Char">
    <w:name w:val="Heading 1 Char"/>
    <w:basedOn w:val="DefaultParagraphFont"/>
    <w:link w:val="Heading1"/>
    <w:uiPriority w:val="9"/>
    <w:rsid w:val="002D600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C0798"/>
    <w:rPr>
      <w:color w:val="954F72" w:themeColor="followedHyperlink"/>
      <w:u w:val="single"/>
    </w:rPr>
  </w:style>
  <w:style w:type="paragraph" w:styleId="TOCHeading">
    <w:name w:val="TOC Heading"/>
    <w:basedOn w:val="Heading1"/>
    <w:next w:val="Normal"/>
    <w:uiPriority w:val="39"/>
    <w:unhideWhenUsed/>
    <w:qFormat/>
    <w:rsid w:val="00260906"/>
    <w:pPr>
      <w:outlineLvl w:val="9"/>
    </w:pPr>
    <w:rPr>
      <w:lang w:val="en-US"/>
    </w:rPr>
  </w:style>
  <w:style w:type="paragraph" w:styleId="TOC1">
    <w:name w:val="toc 1"/>
    <w:basedOn w:val="Normal"/>
    <w:next w:val="Normal"/>
    <w:autoRedefine/>
    <w:uiPriority w:val="39"/>
    <w:unhideWhenUsed/>
    <w:rsid w:val="008C5532"/>
    <w:pPr>
      <w:spacing w:before="120" w:after="120"/>
    </w:pPr>
    <w:rPr>
      <w:b/>
      <w:bCs/>
      <w:caps/>
      <w:sz w:val="20"/>
      <w:szCs w:val="20"/>
    </w:rPr>
  </w:style>
  <w:style w:type="paragraph" w:styleId="TOC2">
    <w:name w:val="toc 2"/>
    <w:basedOn w:val="Normal"/>
    <w:next w:val="Normal"/>
    <w:autoRedefine/>
    <w:uiPriority w:val="39"/>
    <w:unhideWhenUsed/>
    <w:rsid w:val="005404EE"/>
    <w:pPr>
      <w:spacing w:after="0"/>
      <w:ind w:left="220"/>
    </w:pPr>
    <w:rPr>
      <w:smallCaps/>
      <w:sz w:val="20"/>
      <w:szCs w:val="20"/>
    </w:rPr>
  </w:style>
  <w:style w:type="paragraph" w:styleId="ListBullet">
    <w:name w:val="List Bullet"/>
    <w:basedOn w:val="BodyText"/>
    <w:rsid w:val="00E62AFD"/>
    <w:pPr>
      <w:suppressAutoHyphens/>
      <w:spacing w:before="60" w:after="60" w:line="240" w:lineRule="auto"/>
      <w:jc w:val="both"/>
    </w:pPr>
    <w:rPr>
      <w:rFonts w:ascii="Times New Roman" w:eastAsia="Times New Roman" w:hAnsi="Times New Roman" w:cs="Times New Roman"/>
      <w:sz w:val="28"/>
      <w:szCs w:val="28"/>
      <w:lang w:eastAsia="zh-CN"/>
    </w:rPr>
  </w:style>
  <w:style w:type="paragraph" w:styleId="BodyText">
    <w:name w:val="Body Text"/>
    <w:basedOn w:val="Normal"/>
    <w:link w:val="BodyTextChar"/>
    <w:uiPriority w:val="99"/>
    <w:semiHidden/>
    <w:unhideWhenUsed/>
    <w:rsid w:val="00E62AFD"/>
    <w:pPr>
      <w:spacing w:after="120"/>
    </w:pPr>
  </w:style>
  <w:style w:type="character" w:customStyle="1" w:styleId="BodyTextChar">
    <w:name w:val="Body Text Char"/>
    <w:basedOn w:val="DefaultParagraphFont"/>
    <w:link w:val="BodyText"/>
    <w:uiPriority w:val="99"/>
    <w:semiHidden/>
    <w:rsid w:val="00E62AFD"/>
  </w:style>
  <w:style w:type="paragraph" w:styleId="Revision">
    <w:name w:val="Revision"/>
    <w:hidden/>
    <w:uiPriority w:val="99"/>
    <w:semiHidden/>
    <w:rsid w:val="00436FEA"/>
    <w:pPr>
      <w:spacing w:after="0" w:line="240" w:lineRule="auto"/>
    </w:pPr>
  </w:style>
  <w:style w:type="character" w:customStyle="1" w:styleId="Heading3Char">
    <w:name w:val="Heading 3 Char"/>
    <w:basedOn w:val="DefaultParagraphFont"/>
    <w:link w:val="Heading3"/>
    <w:uiPriority w:val="9"/>
    <w:rsid w:val="0021080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43947"/>
    <w:pPr>
      <w:spacing w:after="0"/>
      <w:ind w:left="440"/>
    </w:pPr>
    <w:rPr>
      <w:i/>
      <w:iCs/>
      <w:sz w:val="20"/>
      <w:szCs w:val="20"/>
    </w:rPr>
  </w:style>
  <w:style w:type="paragraph" w:customStyle="1" w:styleId="Style1">
    <w:name w:val="Style1"/>
    <w:basedOn w:val="Heading3"/>
    <w:link w:val="Style1Char"/>
    <w:qFormat/>
    <w:rsid w:val="007512D5"/>
    <w:pPr>
      <w:pBdr>
        <w:bottom w:val="single" w:sz="2" w:space="1" w:color="auto"/>
      </w:pBdr>
      <w:spacing w:before="240" w:after="120"/>
      <w:ind w:left="720" w:hanging="720"/>
    </w:pPr>
    <w:rPr>
      <w:rFonts w:ascii="Times New Roman" w:hAnsi="Times New Roman" w:cs="Times New Roman"/>
      <w:i/>
    </w:rPr>
  </w:style>
  <w:style w:type="character" w:customStyle="1" w:styleId="Style1Char">
    <w:name w:val="Style1 Char"/>
    <w:basedOn w:val="Heading3Char"/>
    <w:link w:val="Style1"/>
    <w:rsid w:val="007512D5"/>
    <w:rPr>
      <w:rFonts w:ascii="Times New Roman" w:eastAsiaTheme="majorEastAsia" w:hAnsi="Times New Roman" w:cs="Times New Roman"/>
      <w:i/>
      <w:color w:val="1F4D78" w:themeColor="accent1" w:themeShade="7F"/>
      <w:sz w:val="24"/>
      <w:szCs w:val="24"/>
    </w:rPr>
  </w:style>
  <w:style w:type="paragraph" w:styleId="TOC4">
    <w:name w:val="toc 4"/>
    <w:basedOn w:val="Normal"/>
    <w:next w:val="Normal"/>
    <w:autoRedefine/>
    <w:uiPriority w:val="39"/>
    <w:unhideWhenUsed/>
    <w:rsid w:val="005404EE"/>
    <w:pPr>
      <w:spacing w:after="0"/>
      <w:ind w:left="660"/>
    </w:pPr>
    <w:rPr>
      <w:sz w:val="18"/>
      <w:szCs w:val="18"/>
    </w:rPr>
  </w:style>
  <w:style w:type="paragraph" w:styleId="TOC5">
    <w:name w:val="toc 5"/>
    <w:basedOn w:val="Normal"/>
    <w:next w:val="Normal"/>
    <w:autoRedefine/>
    <w:uiPriority w:val="39"/>
    <w:unhideWhenUsed/>
    <w:rsid w:val="005404EE"/>
    <w:pPr>
      <w:spacing w:after="0"/>
      <w:ind w:left="880"/>
    </w:pPr>
    <w:rPr>
      <w:sz w:val="18"/>
      <w:szCs w:val="18"/>
    </w:rPr>
  </w:style>
  <w:style w:type="paragraph" w:styleId="TOC6">
    <w:name w:val="toc 6"/>
    <w:basedOn w:val="Normal"/>
    <w:next w:val="Normal"/>
    <w:autoRedefine/>
    <w:uiPriority w:val="39"/>
    <w:unhideWhenUsed/>
    <w:rsid w:val="005404EE"/>
    <w:pPr>
      <w:spacing w:after="0"/>
      <w:ind w:left="1100"/>
    </w:pPr>
    <w:rPr>
      <w:sz w:val="18"/>
      <w:szCs w:val="18"/>
    </w:rPr>
  </w:style>
  <w:style w:type="paragraph" w:styleId="TOC7">
    <w:name w:val="toc 7"/>
    <w:basedOn w:val="Normal"/>
    <w:next w:val="Normal"/>
    <w:autoRedefine/>
    <w:uiPriority w:val="39"/>
    <w:unhideWhenUsed/>
    <w:rsid w:val="005404EE"/>
    <w:pPr>
      <w:spacing w:after="0"/>
      <w:ind w:left="1320"/>
    </w:pPr>
    <w:rPr>
      <w:sz w:val="18"/>
      <w:szCs w:val="18"/>
    </w:rPr>
  </w:style>
  <w:style w:type="paragraph" w:styleId="TOC8">
    <w:name w:val="toc 8"/>
    <w:basedOn w:val="Normal"/>
    <w:next w:val="Normal"/>
    <w:autoRedefine/>
    <w:uiPriority w:val="39"/>
    <w:unhideWhenUsed/>
    <w:rsid w:val="005404EE"/>
    <w:pPr>
      <w:spacing w:after="0"/>
      <w:ind w:left="1540"/>
    </w:pPr>
    <w:rPr>
      <w:sz w:val="18"/>
      <w:szCs w:val="18"/>
    </w:rPr>
  </w:style>
  <w:style w:type="paragraph" w:styleId="TOC9">
    <w:name w:val="toc 9"/>
    <w:basedOn w:val="Normal"/>
    <w:next w:val="Normal"/>
    <w:autoRedefine/>
    <w:uiPriority w:val="39"/>
    <w:unhideWhenUsed/>
    <w:rsid w:val="005404EE"/>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9669">
      <w:bodyDiv w:val="1"/>
      <w:marLeft w:val="0"/>
      <w:marRight w:val="0"/>
      <w:marTop w:val="0"/>
      <w:marBottom w:val="0"/>
      <w:divBdr>
        <w:top w:val="none" w:sz="0" w:space="0" w:color="auto"/>
        <w:left w:val="none" w:sz="0" w:space="0" w:color="auto"/>
        <w:bottom w:val="none" w:sz="0" w:space="0" w:color="auto"/>
        <w:right w:val="none" w:sz="0" w:space="0" w:color="auto"/>
      </w:divBdr>
    </w:div>
    <w:div w:id="144006242">
      <w:bodyDiv w:val="1"/>
      <w:marLeft w:val="0"/>
      <w:marRight w:val="0"/>
      <w:marTop w:val="0"/>
      <w:marBottom w:val="0"/>
      <w:divBdr>
        <w:top w:val="none" w:sz="0" w:space="0" w:color="auto"/>
        <w:left w:val="none" w:sz="0" w:space="0" w:color="auto"/>
        <w:bottom w:val="none" w:sz="0" w:space="0" w:color="auto"/>
        <w:right w:val="none" w:sz="0" w:space="0" w:color="auto"/>
      </w:divBdr>
    </w:div>
    <w:div w:id="336076784">
      <w:bodyDiv w:val="1"/>
      <w:marLeft w:val="0"/>
      <w:marRight w:val="0"/>
      <w:marTop w:val="0"/>
      <w:marBottom w:val="0"/>
      <w:divBdr>
        <w:top w:val="none" w:sz="0" w:space="0" w:color="auto"/>
        <w:left w:val="none" w:sz="0" w:space="0" w:color="auto"/>
        <w:bottom w:val="none" w:sz="0" w:space="0" w:color="auto"/>
        <w:right w:val="none" w:sz="0" w:space="0" w:color="auto"/>
      </w:divBdr>
    </w:div>
    <w:div w:id="573592673">
      <w:bodyDiv w:val="1"/>
      <w:marLeft w:val="0"/>
      <w:marRight w:val="0"/>
      <w:marTop w:val="0"/>
      <w:marBottom w:val="0"/>
      <w:divBdr>
        <w:top w:val="none" w:sz="0" w:space="0" w:color="auto"/>
        <w:left w:val="none" w:sz="0" w:space="0" w:color="auto"/>
        <w:bottom w:val="none" w:sz="0" w:space="0" w:color="auto"/>
        <w:right w:val="none" w:sz="0" w:space="0" w:color="auto"/>
      </w:divBdr>
    </w:div>
    <w:div w:id="661546915">
      <w:bodyDiv w:val="1"/>
      <w:marLeft w:val="0"/>
      <w:marRight w:val="0"/>
      <w:marTop w:val="0"/>
      <w:marBottom w:val="0"/>
      <w:divBdr>
        <w:top w:val="none" w:sz="0" w:space="0" w:color="auto"/>
        <w:left w:val="none" w:sz="0" w:space="0" w:color="auto"/>
        <w:bottom w:val="none" w:sz="0" w:space="0" w:color="auto"/>
        <w:right w:val="none" w:sz="0" w:space="0" w:color="auto"/>
      </w:divBdr>
    </w:div>
    <w:div w:id="692610072">
      <w:bodyDiv w:val="1"/>
      <w:marLeft w:val="0"/>
      <w:marRight w:val="0"/>
      <w:marTop w:val="0"/>
      <w:marBottom w:val="0"/>
      <w:divBdr>
        <w:top w:val="none" w:sz="0" w:space="0" w:color="auto"/>
        <w:left w:val="none" w:sz="0" w:space="0" w:color="auto"/>
        <w:bottom w:val="none" w:sz="0" w:space="0" w:color="auto"/>
        <w:right w:val="none" w:sz="0" w:space="0" w:color="auto"/>
      </w:divBdr>
    </w:div>
    <w:div w:id="867644905">
      <w:bodyDiv w:val="1"/>
      <w:marLeft w:val="0"/>
      <w:marRight w:val="0"/>
      <w:marTop w:val="0"/>
      <w:marBottom w:val="0"/>
      <w:divBdr>
        <w:top w:val="none" w:sz="0" w:space="0" w:color="auto"/>
        <w:left w:val="none" w:sz="0" w:space="0" w:color="auto"/>
        <w:bottom w:val="none" w:sz="0" w:space="0" w:color="auto"/>
        <w:right w:val="none" w:sz="0" w:space="0" w:color="auto"/>
      </w:divBdr>
    </w:div>
    <w:div w:id="918565986">
      <w:bodyDiv w:val="1"/>
      <w:marLeft w:val="0"/>
      <w:marRight w:val="0"/>
      <w:marTop w:val="0"/>
      <w:marBottom w:val="0"/>
      <w:divBdr>
        <w:top w:val="none" w:sz="0" w:space="0" w:color="auto"/>
        <w:left w:val="none" w:sz="0" w:space="0" w:color="auto"/>
        <w:bottom w:val="none" w:sz="0" w:space="0" w:color="auto"/>
        <w:right w:val="none" w:sz="0" w:space="0" w:color="auto"/>
      </w:divBdr>
    </w:div>
    <w:div w:id="931355735">
      <w:bodyDiv w:val="1"/>
      <w:marLeft w:val="0"/>
      <w:marRight w:val="0"/>
      <w:marTop w:val="0"/>
      <w:marBottom w:val="0"/>
      <w:divBdr>
        <w:top w:val="none" w:sz="0" w:space="0" w:color="auto"/>
        <w:left w:val="none" w:sz="0" w:space="0" w:color="auto"/>
        <w:bottom w:val="none" w:sz="0" w:space="0" w:color="auto"/>
        <w:right w:val="none" w:sz="0" w:space="0" w:color="auto"/>
      </w:divBdr>
    </w:div>
    <w:div w:id="1007177880">
      <w:bodyDiv w:val="1"/>
      <w:marLeft w:val="0"/>
      <w:marRight w:val="0"/>
      <w:marTop w:val="0"/>
      <w:marBottom w:val="0"/>
      <w:divBdr>
        <w:top w:val="none" w:sz="0" w:space="0" w:color="auto"/>
        <w:left w:val="none" w:sz="0" w:space="0" w:color="auto"/>
        <w:bottom w:val="none" w:sz="0" w:space="0" w:color="auto"/>
        <w:right w:val="none" w:sz="0" w:space="0" w:color="auto"/>
      </w:divBdr>
    </w:div>
    <w:div w:id="1106316462">
      <w:bodyDiv w:val="1"/>
      <w:marLeft w:val="0"/>
      <w:marRight w:val="0"/>
      <w:marTop w:val="0"/>
      <w:marBottom w:val="0"/>
      <w:divBdr>
        <w:top w:val="none" w:sz="0" w:space="0" w:color="auto"/>
        <w:left w:val="none" w:sz="0" w:space="0" w:color="auto"/>
        <w:bottom w:val="none" w:sz="0" w:space="0" w:color="auto"/>
        <w:right w:val="none" w:sz="0" w:space="0" w:color="auto"/>
      </w:divBdr>
    </w:div>
    <w:div w:id="1210216826">
      <w:bodyDiv w:val="1"/>
      <w:marLeft w:val="0"/>
      <w:marRight w:val="0"/>
      <w:marTop w:val="0"/>
      <w:marBottom w:val="0"/>
      <w:divBdr>
        <w:top w:val="none" w:sz="0" w:space="0" w:color="auto"/>
        <w:left w:val="none" w:sz="0" w:space="0" w:color="auto"/>
        <w:bottom w:val="none" w:sz="0" w:space="0" w:color="auto"/>
        <w:right w:val="none" w:sz="0" w:space="0" w:color="auto"/>
      </w:divBdr>
    </w:div>
    <w:div w:id="1283415174">
      <w:bodyDiv w:val="1"/>
      <w:marLeft w:val="0"/>
      <w:marRight w:val="0"/>
      <w:marTop w:val="0"/>
      <w:marBottom w:val="0"/>
      <w:divBdr>
        <w:top w:val="none" w:sz="0" w:space="0" w:color="auto"/>
        <w:left w:val="none" w:sz="0" w:space="0" w:color="auto"/>
        <w:bottom w:val="none" w:sz="0" w:space="0" w:color="auto"/>
        <w:right w:val="none" w:sz="0" w:space="0" w:color="auto"/>
      </w:divBdr>
    </w:div>
    <w:div w:id="1448813244">
      <w:bodyDiv w:val="1"/>
      <w:marLeft w:val="0"/>
      <w:marRight w:val="0"/>
      <w:marTop w:val="0"/>
      <w:marBottom w:val="0"/>
      <w:divBdr>
        <w:top w:val="none" w:sz="0" w:space="0" w:color="auto"/>
        <w:left w:val="none" w:sz="0" w:space="0" w:color="auto"/>
        <w:bottom w:val="none" w:sz="0" w:space="0" w:color="auto"/>
        <w:right w:val="none" w:sz="0" w:space="0" w:color="auto"/>
      </w:divBdr>
    </w:div>
    <w:div w:id="1473326552">
      <w:bodyDiv w:val="1"/>
      <w:marLeft w:val="0"/>
      <w:marRight w:val="0"/>
      <w:marTop w:val="0"/>
      <w:marBottom w:val="0"/>
      <w:divBdr>
        <w:top w:val="none" w:sz="0" w:space="0" w:color="auto"/>
        <w:left w:val="none" w:sz="0" w:space="0" w:color="auto"/>
        <w:bottom w:val="none" w:sz="0" w:space="0" w:color="auto"/>
        <w:right w:val="none" w:sz="0" w:space="0" w:color="auto"/>
      </w:divBdr>
    </w:div>
    <w:div w:id="1502356099">
      <w:bodyDiv w:val="1"/>
      <w:marLeft w:val="0"/>
      <w:marRight w:val="0"/>
      <w:marTop w:val="0"/>
      <w:marBottom w:val="0"/>
      <w:divBdr>
        <w:top w:val="none" w:sz="0" w:space="0" w:color="auto"/>
        <w:left w:val="none" w:sz="0" w:space="0" w:color="auto"/>
        <w:bottom w:val="none" w:sz="0" w:space="0" w:color="auto"/>
        <w:right w:val="none" w:sz="0" w:space="0" w:color="auto"/>
      </w:divBdr>
    </w:div>
    <w:div w:id="1920209850">
      <w:bodyDiv w:val="1"/>
      <w:marLeft w:val="0"/>
      <w:marRight w:val="0"/>
      <w:marTop w:val="0"/>
      <w:marBottom w:val="0"/>
      <w:divBdr>
        <w:top w:val="none" w:sz="0" w:space="0" w:color="auto"/>
        <w:left w:val="none" w:sz="0" w:space="0" w:color="auto"/>
        <w:bottom w:val="none" w:sz="0" w:space="0" w:color="auto"/>
        <w:right w:val="none" w:sz="0" w:space="0" w:color="auto"/>
      </w:divBdr>
    </w:div>
    <w:div w:id="2006349693">
      <w:bodyDiv w:val="1"/>
      <w:marLeft w:val="0"/>
      <w:marRight w:val="0"/>
      <w:marTop w:val="0"/>
      <w:marBottom w:val="0"/>
      <w:divBdr>
        <w:top w:val="none" w:sz="0" w:space="0" w:color="auto"/>
        <w:left w:val="none" w:sz="0" w:space="0" w:color="auto"/>
        <w:bottom w:val="none" w:sz="0" w:space="0" w:color="auto"/>
        <w:right w:val="none" w:sz="0" w:space="0" w:color="auto"/>
      </w:divBdr>
    </w:div>
    <w:div w:id="2084526761">
      <w:bodyDiv w:val="1"/>
      <w:marLeft w:val="0"/>
      <w:marRight w:val="0"/>
      <w:marTop w:val="0"/>
      <w:marBottom w:val="0"/>
      <w:divBdr>
        <w:top w:val="none" w:sz="0" w:space="0" w:color="auto"/>
        <w:left w:val="none" w:sz="0" w:space="0" w:color="auto"/>
        <w:bottom w:val="none" w:sz="0" w:space="0" w:color="auto"/>
        <w:right w:val="none" w:sz="0" w:space="0" w:color="auto"/>
      </w:divBdr>
    </w:div>
    <w:div w:id="21007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doc.php?id=3577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ce.Spalina@em.gov.lv"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www.oecd.org/daf/ca/OECD-Review-Corporate-Governance-SOE-Latvia.pdf" TargetMode="External"/><Relationship Id="rId1" Type="http://schemas.openxmlformats.org/officeDocument/2006/relationships/hyperlink" Target="https://www.pa.gov.lv/upload/uploads/skmbt_c22016022212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CA3BC-3226-46CA-9BA1-9F4FCDB1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44796</Words>
  <Characters>25535</Characters>
  <Application>Microsoft Office Word</Application>
  <DocSecurity>0</DocSecurity>
  <Lines>212</Lines>
  <Paragraphs>140</Paragraphs>
  <ScaleCrop>false</ScaleCrop>
  <HeadingPairs>
    <vt:vector size="2" baseType="variant">
      <vt:variant>
        <vt:lpstr>Title</vt:lpstr>
      </vt:variant>
      <vt:variant>
        <vt:i4>1</vt:i4>
      </vt:variant>
    </vt:vector>
  </HeadingPairs>
  <TitlesOfParts>
    <vt:vector size="1" baseType="lpstr">
      <vt:lpstr>Ministru kabineta sēdes protokollēmums</vt:lpstr>
    </vt:vector>
  </TitlesOfParts>
  <LinksUpToDate>false</LinksUpToDate>
  <CharactersWithSpaces>70191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dc:title>
  <dc:subject>Par valsts līdzdalību valsts akciju sabiedrībā ”Privatizācijas aģentūra” un tās vispārējo stratēģisko mērķi</dc:subject>
  <dc:creator/>
  <dc:description>inese.zelca@em.gov.lv; 67013163</dc:description>
  <cp:lastModifiedBy/>
  <cp:revision>1</cp:revision>
  <dcterms:created xsi:type="dcterms:W3CDTF">2017-05-16T06:59:00Z</dcterms:created>
  <dcterms:modified xsi:type="dcterms:W3CDTF">2017-05-22T12:27:00Z</dcterms:modified>
</cp:coreProperties>
</file>