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632" w:rsidRPr="00953BBF" w:rsidRDefault="004C2632" w:rsidP="004C2632">
      <w:pPr>
        <w:tabs>
          <w:tab w:val="left" w:pos="7088"/>
        </w:tabs>
        <w:ind w:firstLine="720"/>
        <w:jc w:val="right"/>
        <w:rPr>
          <w:iCs/>
          <w:sz w:val="26"/>
          <w:szCs w:val="26"/>
        </w:rPr>
      </w:pPr>
      <w:bookmarkStart w:id="0" w:name="_GoBack"/>
      <w:bookmarkEnd w:id="0"/>
      <w:r w:rsidRPr="00953BBF">
        <w:rPr>
          <w:sz w:val="26"/>
          <w:szCs w:val="26"/>
        </w:rPr>
        <w:t>Projekts</w:t>
      </w:r>
    </w:p>
    <w:p w:rsidR="004C2632" w:rsidRPr="00032DC8" w:rsidRDefault="004C2632" w:rsidP="00635DB4">
      <w:pPr>
        <w:pStyle w:val="naislab"/>
        <w:spacing w:before="0" w:after="0"/>
        <w:jc w:val="center"/>
        <w:rPr>
          <w:b/>
          <w:sz w:val="26"/>
          <w:szCs w:val="26"/>
        </w:rPr>
      </w:pPr>
    </w:p>
    <w:p w:rsidR="00D175E9" w:rsidRPr="00032DC8" w:rsidRDefault="007D1A10" w:rsidP="00032DC8">
      <w:pPr>
        <w:jc w:val="center"/>
        <w:rPr>
          <w:b/>
          <w:sz w:val="26"/>
          <w:szCs w:val="26"/>
        </w:rPr>
      </w:pPr>
      <w:r w:rsidRPr="00032DC8">
        <w:rPr>
          <w:b/>
          <w:sz w:val="26"/>
          <w:szCs w:val="26"/>
        </w:rPr>
        <w:t xml:space="preserve">Ministru kabineta noteikumu projekta </w:t>
      </w:r>
      <w:r w:rsidR="001942D4" w:rsidRPr="00032DC8">
        <w:rPr>
          <w:b/>
          <w:sz w:val="26"/>
          <w:szCs w:val="26"/>
        </w:rPr>
        <w:br/>
      </w:r>
      <w:r w:rsidR="00032DC8" w:rsidRPr="00032DC8">
        <w:rPr>
          <w:b/>
          <w:sz w:val="26"/>
          <w:szCs w:val="26"/>
        </w:rPr>
        <w:t>“Grozījum</w:t>
      </w:r>
      <w:r w:rsidR="00D43602">
        <w:rPr>
          <w:b/>
          <w:sz w:val="26"/>
          <w:szCs w:val="26"/>
        </w:rPr>
        <w:t>s</w:t>
      </w:r>
      <w:r w:rsidR="00032DC8" w:rsidRPr="00032DC8">
        <w:rPr>
          <w:b/>
          <w:sz w:val="26"/>
          <w:szCs w:val="26"/>
        </w:rPr>
        <w:t xml:space="preserve"> </w:t>
      </w:r>
      <w:r w:rsidR="004B5F66">
        <w:rPr>
          <w:b/>
          <w:sz w:val="26"/>
          <w:szCs w:val="26"/>
        </w:rPr>
        <w:t xml:space="preserve">Ministru kabineta </w:t>
      </w:r>
      <w:r w:rsidR="00FE5BDB" w:rsidRPr="00FE5BDB">
        <w:rPr>
          <w:b/>
          <w:bCs/>
          <w:sz w:val="26"/>
          <w:szCs w:val="26"/>
        </w:rPr>
        <w:t>2015.gada 6.janvāra noteikum</w:t>
      </w:r>
      <w:r w:rsidR="00FE5BDB">
        <w:rPr>
          <w:b/>
          <w:bCs/>
          <w:sz w:val="26"/>
          <w:szCs w:val="26"/>
        </w:rPr>
        <w:t>os</w:t>
      </w:r>
      <w:r w:rsidR="00FE5BDB" w:rsidRPr="00FE5BDB">
        <w:rPr>
          <w:b/>
          <w:bCs/>
          <w:sz w:val="26"/>
          <w:szCs w:val="26"/>
        </w:rPr>
        <w:t xml:space="preserve"> Nr.3 “Noteikumi par izložu un azartspēļu nodokļa pārskatu veidlapu paraugiem un izložu un azartspēļu nodokļu pārskatu iesniegšanas kārtību”</w:t>
      </w:r>
      <w:r w:rsidR="00032DC8" w:rsidRPr="00032DC8">
        <w:rPr>
          <w:b/>
          <w:bCs/>
          <w:sz w:val="26"/>
          <w:szCs w:val="26"/>
        </w:rPr>
        <w:t xml:space="preserve">” </w:t>
      </w:r>
      <w:r w:rsidRPr="00032DC8">
        <w:rPr>
          <w:b/>
          <w:sz w:val="26"/>
          <w:szCs w:val="26"/>
        </w:rPr>
        <w:t>sākotnējās ietekmes novērtējuma ziņojums (anotācija)</w:t>
      </w:r>
    </w:p>
    <w:p w:rsidR="003A1772" w:rsidRPr="003A1772" w:rsidRDefault="003A1772" w:rsidP="00635DB4">
      <w:pPr>
        <w:pStyle w:val="naislab"/>
        <w:spacing w:before="0" w:after="0"/>
        <w:jc w:val="center"/>
        <w:rPr>
          <w:b/>
          <w:sz w:val="26"/>
          <w:szCs w:val="26"/>
        </w:rPr>
      </w:pP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3"/>
        <w:gridCol w:w="2885"/>
        <w:gridCol w:w="5912"/>
      </w:tblGrid>
      <w:tr w:rsidR="00ED0B51" w:rsidRPr="00953BBF" w:rsidTr="0089091C">
        <w:trPr>
          <w:trHeight w:val="419"/>
        </w:trPr>
        <w:tc>
          <w:tcPr>
            <w:tcW w:w="5000" w:type="pct"/>
            <w:gridSpan w:val="3"/>
            <w:vAlign w:val="center"/>
          </w:tcPr>
          <w:p w:rsidR="00D175E9" w:rsidRPr="00C8715D" w:rsidRDefault="00D175E9" w:rsidP="0089091C">
            <w:pPr>
              <w:pStyle w:val="naisnod"/>
              <w:spacing w:before="0" w:after="0"/>
              <w:ind w:left="57" w:right="57"/>
              <w:rPr>
                <w:sz w:val="26"/>
                <w:szCs w:val="26"/>
              </w:rPr>
            </w:pPr>
            <w:r w:rsidRPr="00C8715D">
              <w:rPr>
                <w:sz w:val="26"/>
                <w:szCs w:val="26"/>
              </w:rPr>
              <w:t>I. Tiesību akta projekta izstrādes nepieciešamība</w:t>
            </w:r>
          </w:p>
        </w:tc>
      </w:tr>
      <w:tr w:rsidR="00032DC8" w:rsidRPr="00D73E47" w:rsidTr="008D27EC">
        <w:trPr>
          <w:trHeight w:val="415"/>
        </w:trPr>
        <w:tc>
          <w:tcPr>
            <w:tcW w:w="365" w:type="pct"/>
          </w:tcPr>
          <w:p w:rsidR="00032DC8" w:rsidRPr="00D73E47" w:rsidRDefault="00032DC8" w:rsidP="0089091C">
            <w:pPr>
              <w:pStyle w:val="naiskr"/>
              <w:spacing w:before="0" w:after="0"/>
              <w:ind w:left="57" w:right="57"/>
              <w:jc w:val="center"/>
              <w:rPr>
                <w:sz w:val="28"/>
                <w:szCs w:val="28"/>
              </w:rPr>
            </w:pPr>
            <w:r w:rsidRPr="00D73E47">
              <w:rPr>
                <w:sz w:val="28"/>
                <w:szCs w:val="28"/>
              </w:rPr>
              <w:t>1.</w:t>
            </w:r>
          </w:p>
        </w:tc>
        <w:tc>
          <w:tcPr>
            <w:tcW w:w="1520" w:type="pct"/>
          </w:tcPr>
          <w:p w:rsidR="00032DC8" w:rsidRPr="00D73E47" w:rsidRDefault="00032DC8" w:rsidP="0089091C">
            <w:pPr>
              <w:pStyle w:val="naiskr"/>
              <w:spacing w:before="0" w:after="0"/>
              <w:ind w:left="57" w:right="57"/>
              <w:rPr>
                <w:sz w:val="28"/>
                <w:szCs w:val="28"/>
              </w:rPr>
            </w:pPr>
            <w:r w:rsidRPr="00D73E47">
              <w:rPr>
                <w:sz w:val="28"/>
                <w:szCs w:val="28"/>
              </w:rPr>
              <w:t>Pamatojums</w:t>
            </w:r>
          </w:p>
        </w:tc>
        <w:tc>
          <w:tcPr>
            <w:tcW w:w="3115" w:type="pct"/>
          </w:tcPr>
          <w:p w:rsidR="00032DC8" w:rsidRPr="00D73E47" w:rsidRDefault="00032DC8" w:rsidP="0013500B">
            <w:pPr>
              <w:jc w:val="both"/>
              <w:rPr>
                <w:sz w:val="28"/>
                <w:szCs w:val="28"/>
              </w:rPr>
            </w:pPr>
            <w:r w:rsidRPr="00D73E47">
              <w:rPr>
                <w:sz w:val="28"/>
                <w:szCs w:val="28"/>
              </w:rPr>
              <w:t xml:space="preserve">Likuma </w:t>
            </w:r>
            <w:r w:rsidR="004B5F66" w:rsidRPr="00D73E47">
              <w:rPr>
                <w:sz w:val="28"/>
                <w:szCs w:val="28"/>
              </w:rPr>
              <w:t xml:space="preserve">“Par izložu un azartspēļu nodevu un nodokli” 7.pants </w:t>
            </w:r>
          </w:p>
        </w:tc>
      </w:tr>
      <w:tr w:rsidR="00032DC8" w:rsidRPr="00D73E47" w:rsidTr="008D27EC">
        <w:trPr>
          <w:trHeight w:val="472"/>
        </w:trPr>
        <w:tc>
          <w:tcPr>
            <w:tcW w:w="365" w:type="pct"/>
          </w:tcPr>
          <w:p w:rsidR="00032DC8" w:rsidRPr="00D73E47" w:rsidRDefault="00032DC8" w:rsidP="0089091C">
            <w:pPr>
              <w:pStyle w:val="naiskr"/>
              <w:spacing w:before="0" w:after="0"/>
              <w:ind w:left="57" w:right="57"/>
              <w:jc w:val="center"/>
              <w:rPr>
                <w:sz w:val="28"/>
                <w:szCs w:val="28"/>
              </w:rPr>
            </w:pPr>
            <w:r w:rsidRPr="00D73E47">
              <w:rPr>
                <w:sz w:val="28"/>
                <w:szCs w:val="28"/>
              </w:rPr>
              <w:t>2.</w:t>
            </w:r>
          </w:p>
        </w:tc>
        <w:tc>
          <w:tcPr>
            <w:tcW w:w="1520" w:type="pct"/>
          </w:tcPr>
          <w:p w:rsidR="00032DC8" w:rsidRPr="00D73E47" w:rsidRDefault="00032DC8" w:rsidP="0089091C">
            <w:pPr>
              <w:pStyle w:val="naiskr"/>
              <w:tabs>
                <w:tab w:val="left" w:pos="170"/>
              </w:tabs>
              <w:spacing w:before="0" w:after="0"/>
              <w:ind w:left="57" w:right="57"/>
              <w:rPr>
                <w:sz w:val="28"/>
                <w:szCs w:val="28"/>
              </w:rPr>
            </w:pPr>
            <w:r w:rsidRPr="00D73E47">
              <w:rPr>
                <w:sz w:val="28"/>
                <w:szCs w:val="28"/>
              </w:rPr>
              <w:t>Pašreizējā situācija un problēmas, kuru risināšanai tiesību akta projekts izstrādāts, tiesiskā regulējuma mērķis un būtība</w:t>
            </w:r>
          </w:p>
        </w:tc>
        <w:tc>
          <w:tcPr>
            <w:tcW w:w="3115" w:type="pct"/>
          </w:tcPr>
          <w:p w:rsidR="004B5F66" w:rsidRPr="00D73E47" w:rsidRDefault="004B5F66" w:rsidP="00FA7CB5">
            <w:pPr>
              <w:tabs>
                <w:tab w:val="left" w:pos="8931"/>
              </w:tabs>
              <w:jc w:val="both"/>
              <w:rPr>
                <w:sz w:val="28"/>
                <w:szCs w:val="28"/>
              </w:rPr>
            </w:pPr>
            <w:r w:rsidRPr="00D73E47">
              <w:rPr>
                <w:sz w:val="28"/>
                <w:szCs w:val="28"/>
              </w:rPr>
              <w:t xml:space="preserve">Ministru kabineta 2015.gada 6.janvāra noteikumi Nr.3 “Noteikumi par izložu un azartspēļu nodokļa pārskatu veidlapu paraugiem un izložu un azartspēļu nodokļu pārskatu iesniegšanas kārtību” </w:t>
            </w:r>
            <w:r w:rsidR="00182B74" w:rsidRPr="00D73E47">
              <w:rPr>
                <w:sz w:val="28"/>
                <w:szCs w:val="28"/>
              </w:rPr>
              <w:t>(turpmāk – n</w:t>
            </w:r>
            <w:r w:rsidR="00FA7CB5" w:rsidRPr="00D73E47">
              <w:rPr>
                <w:sz w:val="28"/>
                <w:szCs w:val="28"/>
              </w:rPr>
              <w:t>oteikumi</w:t>
            </w:r>
            <w:r w:rsidR="00182B74" w:rsidRPr="00D73E47">
              <w:rPr>
                <w:sz w:val="28"/>
                <w:szCs w:val="28"/>
              </w:rPr>
              <w:t>)</w:t>
            </w:r>
            <w:r w:rsidR="00FA7CB5" w:rsidRPr="00D73E47">
              <w:rPr>
                <w:sz w:val="28"/>
                <w:szCs w:val="28"/>
              </w:rPr>
              <w:t xml:space="preserve"> ir saistoši kapitālsabiedrībām, kuras </w:t>
            </w:r>
            <w:r w:rsidRPr="00D73E47">
              <w:rPr>
                <w:sz w:val="28"/>
                <w:szCs w:val="28"/>
              </w:rPr>
              <w:t>ir izložu un azartspēļu organizētāji un maksā izložu un azartspēļu nodokli.</w:t>
            </w:r>
          </w:p>
          <w:p w:rsidR="00FA7CB5" w:rsidRPr="00D73E47" w:rsidRDefault="00FA7CB5" w:rsidP="00FA7CB5">
            <w:pPr>
              <w:tabs>
                <w:tab w:val="left" w:pos="8931"/>
              </w:tabs>
              <w:jc w:val="both"/>
              <w:rPr>
                <w:iCs/>
                <w:sz w:val="28"/>
                <w:szCs w:val="28"/>
              </w:rPr>
            </w:pPr>
            <w:r w:rsidRPr="00D73E47">
              <w:rPr>
                <w:iCs/>
                <w:sz w:val="28"/>
                <w:szCs w:val="28"/>
              </w:rPr>
              <w:t xml:space="preserve">Noteikumi </w:t>
            </w:r>
            <w:r w:rsidRPr="00D73E47">
              <w:rPr>
                <w:sz w:val="28"/>
                <w:szCs w:val="28"/>
              </w:rPr>
              <w:t xml:space="preserve">nosaka </w:t>
            </w:r>
            <w:r w:rsidRPr="00D73E47">
              <w:rPr>
                <w:iCs/>
                <w:sz w:val="28"/>
                <w:szCs w:val="28"/>
              </w:rPr>
              <w:t>šādu pārskatu veidlapu paraugus:</w:t>
            </w:r>
          </w:p>
          <w:p w:rsidR="00FA7CB5" w:rsidRPr="00D73E47" w:rsidRDefault="00FA7CB5" w:rsidP="008A51B5">
            <w:pPr>
              <w:tabs>
                <w:tab w:val="left" w:pos="8931"/>
              </w:tabs>
              <w:jc w:val="both"/>
              <w:rPr>
                <w:iCs/>
                <w:sz w:val="28"/>
                <w:szCs w:val="28"/>
              </w:rPr>
            </w:pPr>
            <w:r w:rsidRPr="00D73E47">
              <w:rPr>
                <w:iCs/>
                <w:sz w:val="28"/>
                <w:szCs w:val="28"/>
              </w:rPr>
              <w:t xml:space="preserve">1) pārskats par </w:t>
            </w:r>
            <w:r w:rsidR="004B5F66" w:rsidRPr="00D73E47">
              <w:rPr>
                <w:iCs/>
                <w:sz w:val="28"/>
                <w:szCs w:val="28"/>
              </w:rPr>
              <w:t>aprēķināto azartspēļu nodokli  (noteikumu 1. pielikums);</w:t>
            </w:r>
          </w:p>
          <w:p w:rsidR="00FA7CB5" w:rsidRPr="00D73E47" w:rsidRDefault="00FA7CB5" w:rsidP="008A51B5">
            <w:pPr>
              <w:tabs>
                <w:tab w:val="left" w:pos="8931"/>
              </w:tabs>
              <w:jc w:val="both"/>
              <w:rPr>
                <w:iCs/>
                <w:sz w:val="28"/>
                <w:szCs w:val="28"/>
              </w:rPr>
            </w:pPr>
            <w:r w:rsidRPr="00D73E47">
              <w:rPr>
                <w:iCs/>
                <w:sz w:val="28"/>
                <w:szCs w:val="28"/>
              </w:rPr>
              <w:t xml:space="preserve">2) pārskats </w:t>
            </w:r>
            <w:r w:rsidR="004B5F66" w:rsidRPr="00D73E47">
              <w:rPr>
                <w:sz w:val="28"/>
                <w:szCs w:val="28"/>
              </w:rPr>
              <w:t xml:space="preserve"> </w:t>
            </w:r>
            <w:r w:rsidR="004B5F66" w:rsidRPr="00D73E47">
              <w:rPr>
                <w:iCs/>
                <w:sz w:val="28"/>
                <w:szCs w:val="28"/>
              </w:rPr>
              <w:t xml:space="preserve">par aprēķināto izložu nodokli par valsts un vietējā mēroga izlozēm un momentloterijām </w:t>
            </w:r>
            <w:r w:rsidRPr="00D73E47">
              <w:rPr>
                <w:iCs/>
                <w:sz w:val="28"/>
                <w:szCs w:val="28"/>
              </w:rPr>
              <w:t xml:space="preserve">(noteikumu 2. pielikums). </w:t>
            </w:r>
          </w:p>
          <w:p w:rsidR="00804AE1" w:rsidRPr="00D73E47" w:rsidRDefault="00182B74" w:rsidP="00804AE1">
            <w:pPr>
              <w:jc w:val="both"/>
              <w:rPr>
                <w:sz w:val="28"/>
                <w:szCs w:val="28"/>
              </w:rPr>
            </w:pPr>
            <w:r w:rsidRPr="00D73E47">
              <w:rPr>
                <w:sz w:val="28"/>
                <w:szCs w:val="28"/>
              </w:rPr>
              <w:t xml:space="preserve">2016.gada </w:t>
            </w:r>
            <w:r w:rsidR="004B5F66" w:rsidRPr="00D73E47">
              <w:rPr>
                <w:sz w:val="28"/>
                <w:szCs w:val="28"/>
              </w:rPr>
              <w:t>23</w:t>
            </w:r>
            <w:r w:rsidRPr="00D73E47">
              <w:rPr>
                <w:sz w:val="28"/>
                <w:szCs w:val="28"/>
              </w:rPr>
              <w:t>.</w:t>
            </w:r>
            <w:r w:rsidR="004B5F66" w:rsidRPr="00D73E47">
              <w:rPr>
                <w:sz w:val="28"/>
                <w:szCs w:val="28"/>
              </w:rPr>
              <w:t>novembrī</w:t>
            </w:r>
            <w:r w:rsidRPr="00D73E47">
              <w:rPr>
                <w:sz w:val="28"/>
                <w:szCs w:val="28"/>
              </w:rPr>
              <w:t xml:space="preserve"> Saeima pieņēma likumu “Grozījumi likumā “</w:t>
            </w:r>
            <w:r w:rsidR="004B5F66" w:rsidRPr="00D73E47">
              <w:rPr>
                <w:sz w:val="28"/>
                <w:szCs w:val="28"/>
              </w:rPr>
              <w:t>Par izložu un azartspēļu nodevu un nodokli</w:t>
            </w:r>
            <w:r w:rsidRPr="00D73E47">
              <w:rPr>
                <w:sz w:val="28"/>
                <w:szCs w:val="28"/>
              </w:rPr>
              <w:t>””, kas stājās spēkā 201</w:t>
            </w:r>
            <w:r w:rsidR="00D00089" w:rsidRPr="00D73E47">
              <w:rPr>
                <w:sz w:val="28"/>
                <w:szCs w:val="28"/>
              </w:rPr>
              <w:t>7.gada 1</w:t>
            </w:r>
            <w:r w:rsidRPr="00D73E47">
              <w:rPr>
                <w:sz w:val="28"/>
                <w:szCs w:val="28"/>
              </w:rPr>
              <w:t>.j</w:t>
            </w:r>
            <w:r w:rsidR="00D00089" w:rsidRPr="00D73E47">
              <w:rPr>
                <w:sz w:val="28"/>
                <w:szCs w:val="28"/>
              </w:rPr>
              <w:t>anvārī</w:t>
            </w:r>
            <w:r w:rsidR="00804AE1" w:rsidRPr="00D73E47">
              <w:rPr>
                <w:sz w:val="28"/>
                <w:szCs w:val="28"/>
              </w:rPr>
              <w:t>. Likuma 7.pantā ir noteikta izložu nodokļa likme un apliekamais objekts izlozēm un momentloterijām:</w:t>
            </w:r>
          </w:p>
          <w:p w:rsidR="00804AE1" w:rsidRPr="00D73E47" w:rsidRDefault="00804AE1" w:rsidP="00804AE1">
            <w:pPr>
              <w:tabs>
                <w:tab w:val="left" w:pos="8931"/>
              </w:tabs>
              <w:jc w:val="both"/>
              <w:rPr>
                <w:sz w:val="28"/>
                <w:szCs w:val="28"/>
              </w:rPr>
            </w:pPr>
            <w:r w:rsidRPr="00D73E47">
              <w:rPr>
                <w:sz w:val="28"/>
                <w:szCs w:val="28"/>
              </w:rPr>
              <w:t>1) 10 procenti no izlozes (arī momentloterijas) biļešu realizācijas ieņēmumiem, ja izlozes (arī momentloterijas) noteikumos norādītais laimestu fonds ir līdz 60 procentiem no izlozes (arī momentloterijas) biļešu realizācijas ieņēmumiem;</w:t>
            </w:r>
          </w:p>
          <w:p w:rsidR="00804AE1" w:rsidRPr="00D73E47" w:rsidRDefault="00804AE1" w:rsidP="00804AE1">
            <w:pPr>
              <w:autoSpaceDE w:val="0"/>
              <w:autoSpaceDN w:val="0"/>
              <w:adjustRightInd w:val="0"/>
              <w:jc w:val="both"/>
              <w:rPr>
                <w:sz w:val="28"/>
                <w:szCs w:val="28"/>
              </w:rPr>
            </w:pPr>
            <w:r w:rsidRPr="00D73E47">
              <w:rPr>
                <w:sz w:val="28"/>
                <w:szCs w:val="28"/>
              </w:rPr>
              <w:t>2) 10 procenti no izlozes (arī momentloterijas) ieņēmumiem, kas ir izlozes (arī momentloterijas) biļešu realizācijas ieņēmumi, no kuriem atskaitīti izmaksai aprēķinātie laimesti, ja izlozes (arī momentloterijas) noteikumos norādītais laimestu fonds pārsniedz 60 procentus no izlozes (arī momentloterijas) biļešu realizācijas ieņēmumiem;</w:t>
            </w:r>
          </w:p>
          <w:p w:rsidR="00804AE1" w:rsidRPr="00D73E47" w:rsidRDefault="00804AE1" w:rsidP="00804AE1">
            <w:pPr>
              <w:autoSpaceDE w:val="0"/>
              <w:autoSpaceDN w:val="0"/>
              <w:adjustRightInd w:val="0"/>
              <w:jc w:val="both"/>
              <w:rPr>
                <w:sz w:val="28"/>
                <w:szCs w:val="28"/>
              </w:rPr>
            </w:pPr>
            <w:r w:rsidRPr="00D73E47">
              <w:rPr>
                <w:sz w:val="28"/>
                <w:szCs w:val="28"/>
              </w:rPr>
              <w:t xml:space="preserve">3) 10 procenti no interaktīvās izlozes (naudas, mantu, skaitļu izlozes un momentloterijas) biļešu realizācijas ieņēmumiem, no kuriem atskaitīti </w:t>
            </w:r>
            <w:r w:rsidRPr="00D73E47">
              <w:rPr>
                <w:sz w:val="28"/>
                <w:szCs w:val="28"/>
              </w:rPr>
              <w:lastRenderedPageBreak/>
              <w:t>izmaksātie laimesti.</w:t>
            </w:r>
          </w:p>
          <w:p w:rsidR="00D00089" w:rsidRPr="00D73E47" w:rsidRDefault="008D27EC" w:rsidP="00FA7CB5">
            <w:pPr>
              <w:jc w:val="both"/>
              <w:rPr>
                <w:sz w:val="28"/>
                <w:szCs w:val="28"/>
              </w:rPr>
            </w:pPr>
            <w:r w:rsidRPr="00D73E47">
              <w:rPr>
                <w:sz w:val="28"/>
                <w:szCs w:val="28"/>
              </w:rPr>
              <w:t>Līdz ar to, ir nepieciešami atbilstoš</w:t>
            </w:r>
            <w:r w:rsidR="00672763">
              <w:rPr>
                <w:sz w:val="28"/>
                <w:szCs w:val="28"/>
              </w:rPr>
              <w:t>s</w:t>
            </w:r>
            <w:r w:rsidRPr="00D73E47">
              <w:rPr>
                <w:sz w:val="28"/>
                <w:szCs w:val="28"/>
              </w:rPr>
              <w:t xml:space="preserve"> grozījum</w:t>
            </w:r>
            <w:r w:rsidR="00672763">
              <w:rPr>
                <w:sz w:val="28"/>
                <w:szCs w:val="28"/>
              </w:rPr>
              <w:t>s</w:t>
            </w:r>
            <w:r w:rsidRPr="00D73E47">
              <w:rPr>
                <w:sz w:val="28"/>
                <w:szCs w:val="28"/>
              </w:rPr>
              <w:t xml:space="preserve"> veidlapas paraugā “Pārskats par aprēķināto izložu nodokli par valsts un vietējā mēroga izlozēm un momentloterijām” </w:t>
            </w:r>
            <w:r w:rsidRPr="00D73E47">
              <w:rPr>
                <w:iCs/>
                <w:sz w:val="28"/>
                <w:szCs w:val="28"/>
              </w:rPr>
              <w:t>(noteikumu 2. pielikums).</w:t>
            </w:r>
          </w:p>
          <w:p w:rsidR="00290801" w:rsidRPr="00D73E47" w:rsidRDefault="0013500B" w:rsidP="00FA7CB5">
            <w:pPr>
              <w:jc w:val="both"/>
              <w:rPr>
                <w:bCs/>
                <w:sz w:val="28"/>
                <w:szCs w:val="28"/>
              </w:rPr>
            </w:pPr>
            <w:r w:rsidRPr="00D73E47">
              <w:rPr>
                <w:bCs/>
                <w:sz w:val="28"/>
                <w:szCs w:val="28"/>
              </w:rPr>
              <w:t>Ņemot vērā minēto,</w:t>
            </w:r>
            <w:r w:rsidR="00FA7CB5" w:rsidRPr="00D73E47">
              <w:rPr>
                <w:bCs/>
                <w:sz w:val="28"/>
                <w:szCs w:val="28"/>
              </w:rPr>
              <w:t xml:space="preserve"> noteikumu projekts paredz </w:t>
            </w:r>
            <w:r w:rsidR="008D27EC" w:rsidRPr="00D73E47">
              <w:rPr>
                <w:bCs/>
                <w:sz w:val="28"/>
                <w:szCs w:val="28"/>
              </w:rPr>
              <w:t xml:space="preserve">izteikt jaunā redakcijā </w:t>
            </w:r>
            <w:r w:rsidRPr="00D73E47">
              <w:rPr>
                <w:sz w:val="28"/>
                <w:szCs w:val="28"/>
              </w:rPr>
              <w:t>noteikumu 2. pielikumu</w:t>
            </w:r>
            <w:r w:rsidR="008D27EC" w:rsidRPr="00D73E47">
              <w:rPr>
                <w:sz w:val="28"/>
                <w:szCs w:val="28"/>
              </w:rPr>
              <w:t xml:space="preserve"> “Pārskats par aprēķināto izložu nodokli par valsts un vietējā mēroga izlozēm un momentloterijām”</w:t>
            </w:r>
            <w:r w:rsidR="00FA7CB5" w:rsidRPr="00D73E47">
              <w:rPr>
                <w:bCs/>
                <w:sz w:val="28"/>
                <w:szCs w:val="28"/>
              </w:rPr>
              <w:t>, nodrošinot iespēju pārskat</w:t>
            </w:r>
            <w:r w:rsidR="008D27EC" w:rsidRPr="00D73E47">
              <w:rPr>
                <w:bCs/>
                <w:sz w:val="28"/>
                <w:szCs w:val="28"/>
              </w:rPr>
              <w:t>a</w:t>
            </w:r>
            <w:r w:rsidR="00FA7CB5" w:rsidRPr="00D73E47">
              <w:rPr>
                <w:bCs/>
                <w:sz w:val="28"/>
                <w:szCs w:val="28"/>
              </w:rPr>
              <w:t xml:space="preserve"> aizpildītājiem sniegt precīzu informāciju par </w:t>
            </w:r>
            <w:r w:rsidR="00290801" w:rsidRPr="00D73E47">
              <w:rPr>
                <w:bCs/>
                <w:sz w:val="28"/>
                <w:szCs w:val="28"/>
              </w:rPr>
              <w:t>aprēķinātajām izložu nodokļa summām.</w:t>
            </w:r>
          </w:p>
          <w:p w:rsidR="00FA7CB5" w:rsidRPr="00D73E47" w:rsidRDefault="00FA7CB5" w:rsidP="00290801">
            <w:pPr>
              <w:jc w:val="both"/>
              <w:rPr>
                <w:color w:val="C00000"/>
                <w:sz w:val="28"/>
                <w:szCs w:val="28"/>
              </w:rPr>
            </w:pPr>
          </w:p>
        </w:tc>
      </w:tr>
      <w:tr w:rsidR="00032DC8" w:rsidRPr="00D73E47" w:rsidTr="008D27EC">
        <w:trPr>
          <w:trHeight w:val="476"/>
        </w:trPr>
        <w:tc>
          <w:tcPr>
            <w:tcW w:w="365" w:type="pct"/>
          </w:tcPr>
          <w:p w:rsidR="00032DC8" w:rsidRPr="00D73E47" w:rsidRDefault="00032DC8" w:rsidP="0089091C">
            <w:pPr>
              <w:pStyle w:val="naiskr"/>
              <w:spacing w:before="0" w:after="0"/>
              <w:ind w:left="57" w:right="57"/>
              <w:jc w:val="center"/>
              <w:rPr>
                <w:sz w:val="28"/>
                <w:szCs w:val="28"/>
              </w:rPr>
            </w:pPr>
            <w:r w:rsidRPr="00D73E47">
              <w:rPr>
                <w:sz w:val="28"/>
                <w:szCs w:val="28"/>
              </w:rPr>
              <w:lastRenderedPageBreak/>
              <w:t>3.</w:t>
            </w:r>
          </w:p>
        </w:tc>
        <w:tc>
          <w:tcPr>
            <w:tcW w:w="1520" w:type="pct"/>
          </w:tcPr>
          <w:p w:rsidR="00032DC8" w:rsidRPr="00D73E47" w:rsidRDefault="00032DC8" w:rsidP="0089091C">
            <w:pPr>
              <w:pStyle w:val="naiskr"/>
              <w:spacing w:before="0" w:after="0"/>
              <w:ind w:left="57" w:right="57"/>
              <w:rPr>
                <w:sz w:val="28"/>
                <w:szCs w:val="28"/>
              </w:rPr>
            </w:pPr>
            <w:r w:rsidRPr="00D73E47">
              <w:rPr>
                <w:sz w:val="28"/>
                <w:szCs w:val="28"/>
              </w:rPr>
              <w:t>Projekta izstrādē iesaistītās institūcijas</w:t>
            </w:r>
          </w:p>
        </w:tc>
        <w:tc>
          <w:tcPr>
            <w:tcW w:w="3115" w:type="pct"/>
          </w:tcPr>
          <w:p w:rsidR="00032DC8" w:rsidRPr="00D73E47" w:rsidRDefault="00032DC8" w:rsidP="0089091C">
            <w:pPr>
              <w:ind w:left="57" w:right="57"/>
              <w:rPr>
                <w:b/>
                <w:sz w:val="28"/>
                <w:szCs w:val="28"/>
              </w:rPr>
            </w:pPr>
            <w:r w:rsidRPr="00D73E47">
              <w:rPr>
                <w:sz w:val="28"/>
                <w:szCs w:val="28"/>
              </w:rPr>
              <w:t>Valsts ieņēmumu dienests</w:t>
            </w:r>
          </w:p>
        </w:tc>
      </w:tr>
      <w:tr w:rsidR="00032DC8" w:rsidRPr="00D73E47" w:rsidTr="008D27EC">
        <w:tc>
          <w:tcPr>
            <w:tcW w:w="365" w:type="pct"/>
          </w:tcPr>
          <w:p w:rsidR="00032DC8" w:rsidRPr="00D73E47" w:rsidRDefault="00032DC8" w:rsidP="0089091C">
            <w:pPr>
              <w:pStyle w:val="naiskr"/>
              <w:spacing w:before="0" w:after="0"/>
              <w:ind w:left="57" w:right="57"/>
              <w:jc w:val="center"/>
              <w:rPr>
                <w:sz w:val="28"/>
                <w:szCs w:val="28"/>
              </w:rPr>
            </w:pPr>
            <w:r w:rsidRPr="00D73E47">
              <w:rPr>
                <w:sz w:val="28"/>
                <w:szCs w:val="28"/>
              </w:rPr>
              <w:t>4.</w:t>
            </w:r>
          </w:p>
        </w:tc>
        <w:tc>
          <w:tcPr>
            <w:tcW w:w="1520" w:type="pct"/>
          </w:tcPr>
          <w:p w:rsidR="00032DC8" w:rsidRPr="00D73E47" w:rsidRDefault="00032DC8" w:rsidP="0089091C">
            <w:pPr>
              <w:pStyle w:val="naiskr"/>
              <w:spacing w:before="0" w:after="0"/>
              <w:ind w:left="57" w:right="57"/>
              <w:rPr>
                <w:sz w:val="28"/>
                <w:szCs w:val="28"/>
              </w:rPr>
            </w:pPr>
            <w:r w:rsidRPr="00D73E47">
              <w:rPr>
                <w:sz w:val="28"/>
                <w:szCs w:val="28"/>
              </w:rPr>
              <w:t>Cita informācija</w:t>
            </w:r>
          </w:p>
        </w:tc>
        <w:tc>
          <w:tcPr>
            <w:tcW w:w="3115" w:type="pct"/>
          </w:tcPr>
          <w:p w:rsidR="00032DC8" w:rsidRPr="00D73E47" w:rsidRDefault="00032DC8" w:rsidP="0089091C">
            <w:pPr>
              <w:pStyle w:val="naiskr"/>
              <w:spacing w:before="0" w:after="0"/>
              <w:ind w:left="57" w:right="57"/>
              <w:rPr>
                <w:sz w:val="28"/>
                <w:szCs w:val="28"/>
              </w:rPr>
            </w:pPr>
            <w:r w:rsidRPr="00D73E47">
              <w:rPr>
                <w:sz w:val="28"/>
                <w:szCs w:val="28"/>
              </w:rPr>
              <w:t>Nav</w:t>
            </w:r>
          </w:p>
        </w:tc>
      </w:tr>
    </w:tbl>
    <w:p w:rsidR="00D175E9" w:rsidRPr="00D73E47" w:rsidRDefault="00D175E9" w:rsidP="00D175E9">
      <w:pPr>
        <w:rPr>
          <w:sz w:val="28"/>
          <w:szCs w:val="28"/>
        </w:rPr>
      </w:pPr>
    </w:p>
    <w:tbl>
      <w:tblPr>
        <w:tblpPr w:leftFromText="180" w:rightFromText="180" w:vertAnchor="text" w:horzAnchor="margin" w:tblpXSpec="center" w:tblpY="119"/>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
        <w:gridCol w:w="3137"/>
        <w:gridCol w:w="5974"/>
      </w:tblGrid>
      <w:tr w:rsidR="00ED0B51" w:rsidRPr="00D73E47" w:rsidTr="00102A21">
        <w:trPr>
          <w:trHeight w:val="556"/>
        </w:trPr>
        <w:tc>
          <w:tcPr>
            <w:tcW w:w="9523" w:type="dxa"/>
            <w:gridSpan w:val="3"/>
            <w:vAlign w:val="center"/>
          </w:tcPr>
          <w:p w:rsidR="00D175E9" w:rsidRPr="00D73E47" w:rsidRDefault="00D175E9" w:rsidP="0089091C">
            <w:pPr>
              <w:pStyle w:val="naisnod"/>
              <w:spacing w:before="0" w:after="0"/>
              <w:ind w:left="57" w:right="57"/>
              <w:rPr>
                <w:sz w:val="28"/>
                <w:szCs w:val="28"/>
              </w:rPr>
            </w:pPr>
            <w:r w:rsidRPr="00D73E47">
              <w:rPr>
                <w:sz w:val="28"/>
                <w:szCs w:val="28"/>
              </w:rPr>
              <w:t>II. Tiesību akta projekta ietekme uz sabiedrību, tautsaimniecības attīstību</w:t>
            </w:r>
            <w:r w:rsidR="002E50FD" w:rsidRPr="00D73E47">
              <w:rPr>
                <w:sz w:val="28"/>
                <w:szCs w:val="28"/>
              </w:rPr>
              <w:t xml:space="preserve"> un</w:t>
            </w:r>
          </w:p>
          <w:p w:rsidR="00D175E9" w:rsidRPr="00D73E47" w:rsidRDefault="00D175E9" w:rsidP="002E50FD">
            <w:pPr>
              <w:pStyle w:val="naisnod"/>
              <w:spacing w:before="0" w:after="0"/>
              <w:ind w:left="57" w:right="57"/>
              <w:rPr>
                <w:b w:val="0"/>
                <w:sz w:val="28"/>
                <w:szCs w:val="28"/>
              </w:rPr>
            </w:pPr>
            <w:r w:rsidRPr="00D73E47">
              <w:rPr>
                <w:sz w:val="28"/>
                <w:szCs w:val="28"/>
              </w:rPr>
              <w:t>administratīvo slogu</w:t>
            </w:r>
          </w:p>
        </w:tc>
      </w:tr>
      <w:tr w:rsidR="00ED0B51" w:rsidRPr="00D73E47" w:rsidTr="00D73E47">
        <w:trPr>
          <w:trHeight w:val="467"/>
        </w:trPr>
        <w:tc>
          <w:tcPr>
            <w:tcW w:w="412" w:type="dxa"/>
          </w:tcPr>
          <w:p w:rsidR="00D175E9" w:rsidRPr="00D73E47" w:rsidRDefault="00D175E9" w:rsidP="0089091C">
            <w:pPr>
              <w:pStyle w:val="naiskr"/>
              <w:spacing w:before="0" w:after="0"/>
              <w:ind w:left="57" w:right="57"/>
              <w:jc w:val="both"/>
              <w:rPr>
                <w:sz w:val="28"/>
                <w:szCs w:val="28"/>
              </w:rPr>
            </w:pPr>
            <w:r w:rsidRPr="00D73E47">
              <w:rPr>
                <w:sz w:val="28"/>
                <w:szCs w:val="28"/>
              </w:rPr>
              <w:t>1.</w:t>
            </w:r>
          </w:p>
        </w:tc>
        <w:tc>
          <w:tcPr>
            <w:tcW w:w="3137" w:type="dxa"/>
          </w:tcPr>
          <w:p w:rsidR="00D175E9" w:rsidRPr="00D73E47" w:rsidRDefault="00D175E9" w:rsidP="0089091C">
            <w:pPr>
              <w:pStyle w:val="naiskr"/>
              <w:spacing w:before="0" w:after="0"/>
              <w:ind w:left="57" w:right="57"/>
              <w:rPr>
                <w:sz w:val="28"/>
                <w:szCs w:val="28"/>
              </w:rPr>
            </w:pPr>
            <w:r w:rsidRPr="00D73E47">
              <w:rPr>
                <w:sz w:val="28"/>
                <w:szCs w:val="28"/>
              </w:rPr>
              <w:t>Sabiedrības mērķgrupas, kuras tiesiskais regulējums ietekmē vai varētu ietekmēt</w:t>
            </w:r>
          </w:p>
        </w:tc>
        <w:tc>
          <w:tcPr>
            <w:tcW w:w="5974" w:type="dxa"/>
          </w:tcPr>
          <w:p w:rsidR="00F5291E" w:rsidRPr="00D73E47" w:rsidRDefault="007855D7" w:rsidP="00804AE1">
            <w:pPr>
              <w:shd w:val="clear" w:color="auto" w:fill="FFFFFF"/>
              <w:ind w:right="57"/>
              <w:jc w:val="both"/>
              <w:rPr>
                <w:sz w:val="28"/>
                <w:szCs w:val="28"/>
              </w:rPr>
            </w:pPr>
            <w:bookmarkStart w:id="1" w:name="p21"/>
            <w:bookmarkEnd w:id="1"/>
            <w:r w:rsidRPr="00D73E47">
              <w:rPr>
                <w:sz w:val="28"/>
                <w:szCs w:val="28"/>
              </w:rPr>
              <w:t>V</w:t>
            </w:r>
            <w:r w:rsidR="00290801" w:rsidRPr="00D73E47">
              <w:rPr>
                <w:sz w:val="28"/>
                <w:szCs w:val="28"/>
              </w:rPr>
              <w:t>AS “Latvijas Loto”</w:t>
            </w:r>
            <w:r w:rsidR="00B344D3" w:rsidRPr="00D73E47">
              <w:rPr>
                <w:sz w:val="28"/>
                <w:szCs w:val="28"/>
              </w:rPr>
              <w:t xml:space="preserve">, kā arī </w:t>
            </w:r>
            <w:r w:rsidR="00290801" w:rsidRPr="00D73E47">
              <w:rPr>
                <w:sz w:val="28"/>
                <w:szCs w:val="28"/>
              </w:rPr>
              <w:t>citas k</w:t>
            </w:r>
            <w:r w:rsidR="00FA7CB5" w:rsidRPr="00D73E47">
              <w:rPr>
                <w:sz w:val="28"/>
                <w:szCs w:val="28"/>
              </w:rPr>
              <w:t>apitālsabiedrības</w:t>
            </w:r>
            <w:r w:rsidR="008A51B5" w:rsidRPr="00D73E47">
              <w:rPr>
                <w:sz w:val="28"/>
                <w:szCs w:val="28"/>
              </w:rPr>
              <w:t>,</w:t>
            </w:r>
            <w:r w:rsidR="00FA7CB5" w:rsidRPr="00D73E47">
              <w:rPr>
                <w:sz w:val="28"/>
                <w:szCs w:val="28"/>
              </w:rPr>
              <w:t xml:space="preserve"> </w:t>
            </w:r>
            <w:r w:rsidR="00290801" w:rsidRPr="00D73E47">
              <w:rPr>
                <w:sz w:val="28"/>
                <w:szCs w:val="28"/>
              </w:rPr>
              <w:t>kuras maksā</w:t>
            </w:r>
            <w:r w:rsidR="00804AE1" w:rsidRPr="00D73E47">
              <w:rPr>
                <w:sz w:val="28"/>
                <w:szCs w:val="28"/>
              </w:rPr>
              <w:t>s</w:t>
            </w:r>
            <w:r w:rsidR="00290801" w:rsidRPr="00D73E47">
              <w:rPr>
                <w:sz w:val="28"/>
                <w:szCs w:val="28"/>
              </w:rPr>
              <w:t xml:space="preserve"> izložu nodokli par vietēj</w:t>
            </w:r>
            <w:r w:rsidR="00804AE1" w:rsidRPr="00D73E47">
              <w:rPr>
                <w:sz w:val="28"/>
                <w:szCs w:val="28"/>
              </w:rPr>
              <w:t>a</w:t>
            </w:r>
            <w:r w:rsidR="00290801" w:rsidRPr="00D73E47">
              <w:rPr>
                <w:sz w:val="28"/>
                <w:szCs w:val="28"/>
              </w:rPr>
              <w:t xml:space="preserve"> mēroga izlozēm un momentloterijām</w:t>
            </w:r>
            <w:r w:rsidRPr="00D73E47">
              <w:rPr>
                <w:sz w:val="28"/>
                <w:szCs w:val="28"/>
              </w:rPr>
              <w:t>.</w:t>
            </w:r>
          </w:p>
        </w:tc>
      </w:tr>
      <w:tr w:rsidR="00ED0B51" w:rsidRPr="00D73E47" w:rsidTr="00D73E47">
        <w:trPr>
          <w:trHeight w:val="523"/>
        </w:trPr>
        <w:tc>
          <w:tcPr>
            <w:tcW w:w="412" w:type="dxa"/>
          </w:tcPr>
          <w:p w:rsidR="00D175E9" w:rsidRPr="00D73E47" w:rsidRDefault="00D175E9" w:rsidP="0089091C">
            <w:pPr>
              <w:pStyle w:val="naiskr"/>
              <w:spacing w:before="0" w:after="0"/>
              <w:ind w:left="57" w:right="57"/>
              <w:jc w:val="both"/>
              <w:rPr>
                <w:sz w:val="28"/>
                <w:szCs w:val="28"/>
              </w:rPr>
            </w:pPr>
            <w:r w:rsidRPr="00D73E47">
              <w:rPr>
                <w:sz w:val="28"/>
                <w:szCs w:val="28"/>
              </w:rPr>
              <w:t>2.</w:t>
            </w:r>
          </w:p>
        </w:tc>
        <w:tc>
          <w:tcPr>
            <w:tcW w:w="3137" w:type="dxa"/>
          </w:tcPr>
          <w:p w:rsidR="00D175E9" w:rsidRPr="00D73E47" w:rsidRDefault="00D175E9" w:rsidP="0089091C">
            <w:pPr>
              <w:pStyle w:val="naiskr"/>
              <w:spacing w:before="0" w:after="0"/>
              <w:ind w:left="57" w:right="57"/>
              <w:rPr>
                <w:sz w:val="28"/>
                <w:szCs w:val="28"/>
              </w:rPr>
            </w:pPr>
            <w:r w:rsidRPr="00D73E47">
              <w:rPr>
                <w:sz w:val="28"/>
                <w:szCs w:val="28"/>
              </w:rPr>
              <w:t>Tiesiskā regulējuma ietekme uz tautsaimniecību un administratīvo slogu</w:t>
            </w:r>
          </w:p>
        </w:tc>
        <w:tc>
          <w:tcPr>
            <w:tcW w:w="5974" w:type="dxa"/>
          </w:tcPr>
          <w:p w:rsidR="00B344D3" w:rsidRPr="00D73E47" w:rsidRDefault="00FA7CB5" w:rsidP="00FA7CB5">
            <w:pPr>
              <w:shd w:val="clear" w:color="auto" w:fill="FFFFFF"/>
              <w:ind w:left="59" w:right="57"/>
              <w:jc w:val="both"/>
              <w:rPr>
                <w:bCs/>
                <w:sz w:val="28"/>
                <w:szCs w:val="28"/>
              </w:rPr>
            </w:pPr>
            <w:r w:rsidRPr="00D73E47">
              <w:rPr>
                <w:bCs/>
                <w:sz w:val="28"/>
                <w:szCs w:val="28"/>
              </w:rPr>
              <w:t xml:space="preserve">Noteikumu projekts paredz </w:t>
            </w:r>
            <w:r w:rsidR="00B344D3" w:rsidRPr="00D73E47">
              <w:rPr>
                <w:bCs/>
                <w:sz w:val="28"/>
                <w:szCs w:val="28"/>
              </w:rPr>
              <w:t xml:space="preserve">izteikt jaunā redakcijā jau  spēkā esoša pārskata veidlapu, </w:t>
            </w:r>
            <w:r w:rsidRPr="00D73E47">
              <w:rPr>
                <w:bCs/>
                <w:sz w:val="28"/>
                <w:szCs w:val="28"/>
              </w:rPr>
              <w:t xml:space="preserve">jaunas papildu prasības netiek ieviestas. </w:t>
            </w:r>
          </w:p>
          <w:p w:rsidR="00FA7CB5" w:rsidRPr="00D73E47" w:rsidRDefault="007A7CC4" w:rsidP="00FA7CB5">
            <w:pPr>
              <w:shd w:val="clear" w:color="auto" w:fill="FFFFFF"/>
              <w:ind w:left="59" w:right="57"/>
              <w:jc w:val="both"/>
              <w:rPr>
                <w:bCs/>
                <w:sz w:val="28"/>
                <w:szCs w:val="28"/>
              </w:rPr>
            </w:pPr>
            <w:r w:rsidRPr="00D73E47">
              <w:rPr>
                <w:bCs/>
                <w:sz w:val="28"/>
                <w:szCs w:val="28"/>
              </w:rPr>
              <w:t>N</w:t>
            </w:r>
            <w:r w:rsidR="00B344D3" w:rsidRPr="00D73E47">
              <w:rPr>
                <w:bCs/>
                <w:sz w:val="28"/>
                <w:szCs w:val="28"/>
              </w:rPr>
              <w:t>odokļu maksātājiem</w:t>
            </w:r>
            <w:r w:rsidR="00FA7CB5" w:rsidRPr="00D73E47">
              <w:rPr>
                <w:bCs/>
                <w:sz w:val="28"/>
                <w:szCs w:val="28"/>
              </w:rPr>
              <w:t xml:space="preserve"> netiks palielināts sniedzamās informācijas apjoms un administratīvais slogs.</w:t>
            </w:r>
          </w:p>
          <w:p w:rsidR="00B67E57" w:rsidRPr="00D73E47" w:rsidRDefault="00FA7CB5" w:rsidP="00FA7CB5">
            <w:pPr>
              <w:shd w:val="clear" w:color="auto" w:fill="FFFFFF"/>
              <w:ind w:left="59" w:right="57"/>
              <w:jc w:val="both"/>
              <w:rPr>
                <w:bCs/>
                <w:sz w:val="28"/>
                <w:szCs w:val="28"/>
              </w:rPr>
            </w:pPr>
            <w:r w:rsidRPr="00D73E47">
              <w:rPr>
                <w:bCs/>
                <w:sz w:val="28"/>
                <w:szCs w:val="28"/>
              </w:rPr>
              <w:t xml:space="preserve"> </w:t>
            </w:r>
          </w:p>
        </w:tc>
      </w:tr>
      <w:tr w:rsidR="00ED0B51" w:rsidRPr="00D73E47" w:rsidTr="00D73E47">
        <w:trPr>
          <w:trHeight w:val="523"/>
        </w:trPr>
        <w:tc>
          <w:tcPr>
            <w:tcW w:w="412" w:type="dxa"/>
          </w:tcPr>
          <w:p w:rsidR="00D175E9" w:rsidRPr="00D73E47" w:rsidRDefault="00D175E9" w:rsidP="0089091C">
            <w:pPr>
              <w:pStyle w:val="naiskr"/>
              <w:spacing w:before="0" w:after="0"/>
              <w:ind w:left="57" w:right="57"/>
              <w:jc w:val="both"/>
              <w:rPr>
                <w:sz w:val="28"/>
                <w:szCs w:val="28"/>
              </w:rPr>
            </w:pPr>
            <w:r w:rsidRPr="00D73E47">
              <w:rPr>
                <w:sz w:val="28"/>
                <w:szCs w:val="28"/>
              </w:rPr>
              <w:t>3.</w:t>
            </w:r>
          </w:p>
        </w:tc>
        <w:tc>
          <w:tcPr>
            <w:tcW w:w="3137" w:type="dxa"/>
          </w:tcPr>
          <w:p w:rsidR="00D175E9" w:rsidRPr="00D73E47" w:rsidRDefault="00D175E9" w:rsidP="0089091C">
            <w:pPr>
              <w:pStyle w:val="naiskr"/>
              <w:spacing w:before="0" w:after="0"/>
              <w:ind w:left="57" w:right="57"/>
              <w:rPr>
                <w:sz w:val="28"/>
                <w:szCs w:val="28"/>
              </w:rPr>
            </w:pPr>
            <w:r w:rsidRPr="00D73E47">
              <w:rPr>
                <w:sz w:val="28"/>
                <w:szCs w:val="28"/>
              </w:rPr>
              <w:t>Administratīvo izmaksu monetārs novērtējums</w:t>
            </w:r>
          </w:p>
        </w:tc>
        <w:tc>
          <w:tcPr>
            <w:tcW w:w="5974" w:type="dxa"/>
          </w:tcPr>
          <w:p w:rsidR="007A3252" w:rsidRPr="00D73E47" w:rsidRDefault="00B95498" w:rsidP="007A3252">
            <w:pPr>
              <w:tabs>
                <w:tab w:val="left" w:pos="2127"/>
                <w:tab w:val="left" w:pos="6096"/>
              </w:tabs>
              <w:jc w:val="both"/>
              <w:rPr>
                <w:sz w:val="28"/>
                <w:szCs w:val="28"/>
              </w:rPr>
            </w:pPr>
            <w:r w:rsidRPr="00D73E47">
              <w:rPr>
                <w:sz w:val="28"/>
                <w:szCs w:val="28"/>
              </w:rPr>
              <w:t>Nav</w:t>
            </w:r>
          </w:p>
          <w:p w:rsidR="007A3252" w:rsidRPr="00D73E47" w:rsidRDefault="007A3252" w:rsidP="007A3252">
            <w:pPr>
              <w:rPr>
                <w:sz w:val="28"/>
                <w:szCs w:val="28"/>
              </w:rPr>
            </w:pPr>
          </w:p>
        </w:tc>
      </w:tr>
      <w:tr w:rsidR="00ED0B51" w:rsidRPr="00D73E47" w:rsidTr="00D73E47">
        <w:trPr>
          <w:trHeight w:val="357"/>
        </w:trPr>
        <w:tc>
          <w:tcPr>
            <w:tcW w:w="412" w:type="dxa"/>
          </w:tcPr>
          <w:p w:rsidR="00D175E9" w:rsidRPr="00D73E47" w:rsidRDefault="00D175E9" w:rsidP="0089091C">
            <w:pPr>
              <w:pStyle w:val="naiskr"/>
              <w:spacing w:before="0" w:after="0"/>
              <w:ind w:left="57" w:right="57"/>
              <w:jc w:val="both"/>
              <w:rPr>
                <w:sz w:val="28"/>
                <w:szCs w:val="28"/>
              </w:rPr>
            </w:pPr>
            <w:r w:rsidRPr="00D73E47">
              <w:rPr>
                <w:sz w:val="28"/>
                <w:szCs w:val="28"/>
              </w:rPr>
              <w:t>4.</w:t>
            </w:r>
          </w:p>
        </w:tc>
        <w:tc>
          <w:tcPr>
            <w:tcW w:w="3137" w:type="dxa"/>
          </w:tcPr>
          <w:p w:rsidR="00D175E9" w:rsidRPr="00D73E47" w:rsidRDefault="00D175E9" w:rsidP="0089091C">
            <w:pPr>
              <w:pStyle w:val="naiskr"/>
              <w:spacing w:before="0" w:after="0"/>
              <w:ind w:left="57" w:right="57"/>
              <w:rPr>
                <w:sz w:val="28"/>
                <w:szCs w:val="28"/>
              </w:rPr>
            </w:pPr>
            <w:r w:rsidRPr="00D73E47">
              <w:rPr>
                <w:sz w:val="28"/>
                <w:szCs w:val="28"/>
              </w:rPr>
              <w:t>Cita informācija</w:t>
            </w:r>
          </w:p>
        </w:tc>
        <w:tc>
          <w:tcPr>
            <w:tcW w:w="5974" w:type="dxa"/>
          </w:tcPr>
          <w:p w:rsidR="00B344D3" w:rsidRPr="00D73E47" w:rsidRDefault="00D175E9" w:rsidP="00B344D3">
            <w:pPr>
              <w:tabs>
                <w:tab w:val="left" w:pos="2127"/>
                <w:tab w:val="left" w:pos="6096"/>
              </w:tabs>
              <w:jc w:val="both"/>
              <w:rPr>
                <w:sz w:val="28"/>
                <w:szCs w:val="28"/>
              </w:rPr>
            </w:pPr>
            <w:r w:rsidRPr="00D73E47">
              <w:rPr>
                <w:sz w:val="28"/>
                <w:szCs w:val="28"/>
              </w:rPr>
              <w:t>Nav</w:t>
            </w:r>
            <w:r w:rsidR="00B344D3" w:rsidRPr="00D73E47">
              <w:rPr>
                <w:sz w:val="28"/>
                <w:szCs w:val="28"/>
              </w:rPr>
              <w:t xml:space="preserve"> </w:t>
            </w:r>
          </w:p>
          <w:p w:rsidR="00D175E9" w:rsidRPr="00D73E47" w:rsidRDefault="00D175E9" w:rsidP="00B344D3">
            <w:pPr>
              <w:shd w:val="clear" w:color="auto" w:fill="FFFFFF"/>
              <w:ind w:left="57" w:right="57"/>
              <w:rPr>
                <w:sz w:val="28"/>
                <w:szCs w:val="28"/>
              </w:rPr>
            </w:pPr>
          </w:p>
        </w:tc>
      </w:tr>
    </w:tbl>
    <w:p w:rsidR="00D175E9" w:rsidRPr="00D73E47" w:rsidRDefault="00D175E9" w:rsidP="00D175E9">
      <w:pPr>
        <w:rPr>
          <w:sz w:val="28"/>
          <w:szCs w:val="28"/>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1250"/>
        <w:gridCol w:w="1476"/>
        <w:gridCol w:w="1305"/>
        <w:gridCol w:w="1305"/>
        <w:gridCol w:w="1305"/>
      </w:tblGrid>
      <w:tr w:rsidR="00ED0B51" w:rsidRPr="00D73E47" w:rsidTr="0089091C">
        <w:trPr>
          <w:trHeight w:val="361"/>
          <w:jc w:val="center"/>
        </w:trPr>
        <w:tc>
          <w:tcPr>
            <w:tcW w:w="9513" w:type="dxa"/>
            <w:gridSpan w:val="6"/>
            <w:vAlign w:val="center"/>
          </w:tcPr>
          <w:p w:rsidR="00D175E9" w:rsidRPr="00D73E47" w:rsidRDefault="00D175E9" w:rsidP="0089091C">
            <w:pPr>
              <w:pStyle w:val="naisnod"/>
              <w:spacing w:before="0" w:after="0"/>
              <w:rPr>
                <w:i/>
                <w:sz w:val="28"/>
                <w:szCs w:val="28"/>
              </w:rPr>
            </w:pPr>
            <w:r w:rsidRPr="00D73E47">
              <w:rPr>
                <w:sz w:val="28"/>
                <w:szCs w:val="28"/>
              </w:rPr>
              <w:br w:type="page"/>
              <w:t>III. Tiesību akta projekta ietekme uz valsts budžetu un pašvaldību budžetiem</w:t>
            </w:r>
          </w:p>
        </w:tc>
      </w:tr>
      <w:tr w:rsidR="00ED0B51" w:rsidRPr="00D73E47" w:rsidTr="00C73E98">
        <w:trPr>
          <w:jc w:val="center"/>
        </w:trPr>
        <w:tc>
          <w:tcPr>
            <w:tcW w:w="3060" w:type="dxa"/>
            <w:vMerge w:val="restart"/>
            <w:vAlign w:val="center"/>
          </w:tcPr>
          <w:p w:rsidR="00D175E9" w:rsidRPr="00D73E47" w:rsidRDefault="00D175E9" w:rsidP="0089091C">
            <w:pPr>
              <w:pStyle w:val="naisf"/>
              <w:spacing w:before="0" w:after="0"/>
              <w:jc w:val="center"/>
              <w:rPr>
                <w:b/>
                <w:sz w:val="28"/>
                <w:szCs w:val="28"/>
              </w:rPr>
            </w:pPr>
            <w:r w:rsidRPr="00D73E47">
              <w:rPr>
                <w:b/>
                <w:sz w:val="28"/>
                <w:szCs w:val="28"/>
              </w:rPr>
              <w:t>Rādītāji</w:t>
            </w:r>
          </w:p>
        </w:tc>
        <w:tc>
          <w:tcPr>
            <w:tcW w:w="2772" w:type="dxa"/>
            <w:gridSpan w:val="2"/>
            <w:vMerge w:val="restart"/>
            <w:vAlign w:val="center"/>
          </w:tcPr>
          <w:p w:rsidR="00D175E9" w:rsidRPr="00D73E47" w:rsidRDefault="00972C4B" w:rsidP="00201899">
            <w:pPr>
              <w:pStyle w:val="naisf"/>
              <w:spacing w:before="0" w:after="0"/>
              <w:jc w:val="center"/>
              <w:rPr>
                <w:b/>
                <w:sz w:val="28"/>
                <w:szCs w:val="28"/>
              </w:rPr>
            </w:pPr>
            <w:r w:rsidRPr="00D73E47">
              <w:rPr>
                <w:b/>
                <w:sz w:val="28"/>
                <w:szCs w:val="28"/>
              </w:rPr>
              <w:t>201</w:t>
            </w:r>
            <w:r w:rsidR="00201899" w:rsidRPr="00D73E47">
              <w:rPr>
                <w:b/>
                <w:sz w:val="28"/>
                <w:szCs w:val="28"/>
              </w:rPr>
              <w:t>7</w:t>
            </w:r>
          </w:p>
        </w:tc>
        <w:tc>
          <w:tcPr>
            <w:tcW w:w="3681" w:type="dxa"/>
            <w:gridSpan w:val="3"/>
            <w:vAlign w:val="center"/>
          </w:tcPr>
          <w:p w:rsidR="00D175E9" w:rsidRPr="00D73E47" w:rsidRDefault="00D175E9" w:rsidP="0089091C">
            <w:pPr>
              <w:pStyle w:val="naisf"/>
              <w:spacing w:before="0" w:after="0"/>
              <w:jc w:val="center"/>
              <w:rPr>
                <w:b/>
                <w:i/>
                <w:sz w:val="28"/>
                <w:szCs w:val="28"/>
              </w:rPr>
            </w:pPr>
            <w:r w:rsidRPr="00D73E47">
              <w:rPr>
                <w:sz w:val="28"/>
                <w:szCs w:val="28"/>
              </w:rPr>
              <w:t>Turpmākie trīs gadi (</w:t>
            </w:r>
            <w:r w:rsidRPr="00D73E47">
              <w:rPr>
                <w:i/>
                <w:sz w:val="28"/>
                <w:szCs w:val="28"/>
              </w:rPr>
              <w:t>euro</w:t>
            </w:r>
            <w:r w:rsidRPr="00D73E47">
              <w:rPr>
                <w:sz w:val="28"/>
                <w:szCs w:val="28"/>
              </w:rPr>
              <w:t>)</w:t>
            </w:r>
          </w:p>
        </w:tc>
      </w:tr>
      <w:tr w:rsidR="00ED0B51" w:rsidRPr="00D73E47" w:rsidTr="00C73E98">
        <w:trPr>
          <w:jc w:val="center"/>
        </w:trPr>
        <w:tc>
          <w:tcPr>
            <w:tcW w:w="3060" w:type="dxa"/>
            <w:vMerge/>
            <w:vAlign w:val="center"/>
          </w:tcPr>
          <w:p w:rsidR="00D175E9" w:rsidRPr="00D73E47" w:rsidRDefault="00D175E9" w:rsidP="0089091C">
            <w:pPr>
              <w:pStyle w:val="naisf"/>
              <w:spacing w:before="0" w:after="0"/>
              <w:jc w:val="center"/>
              <w:rPr>
                <w:b/>
                <w:i/>
                <w:sz w:val="28"/>
                <w:szCs w:val="28"/>
              </w:rPr>
            </w:pPr>
          </w:p>
        </w:tc>
        <w:tc>
          <w:tcPr>
            <w:tcW w:w="2772" w:type="dxa"/>
            <w:gridSpan w:val="2"/>
            <w:vMerge/>
            <w:vAlign w:val="center"/>
          </w:tcPr>
          <w:p w:rsidR="00D175E9" w:rsidRPr="00D73E47" w:rsidRDefault="00D175E9" w:rsidP="0089091C">
            <w:pPr>
              <w:pStyle w:val="naisf"/>
              <w:spacing w:before="0" w:after="0"/>
              <w:jc w:val="center"/>
              <w:rPr>
                <w:b/>
                <w:i/>
                <w:sz w:val="28"/>
                <w:szCs w:val="28"/>
              </w:rPr>
            </w:pPr>
          </w:p>
        </w:tc>
        <w:tc>
          <w:tcPr>
            <w:tcW w:w="1227" w:type="dxa"/>
            <w:vAlign w:val="center"/>
          </w:tcPr>
          <w:p w:rsidR="00D175E9" w:rsidRPr="00D73E47" w:rsidRDefault="00972C4B" w:rsidP="00201899">
            <w:pPr>
              <w:pStyle w:val="naisf"/>
              <w:spacing w:before="0" w:after="0"/>
              <w:jc w:val="center"/>
              <w:rPr>
                <w:b/>
                <w:i/>
                <w:sz w:val="28"/>
                <w:szCs w:val="28"/>
              </w:rPr>
            </w:pPr>
            <w:r w:rsidRPr="00D73E47">
              <w:rPr>
                <w:b/>
                <w:bCs/>
                <w:sz w:val="28"/>
                <w:szCs w:val="28"/>
              </w:rPr>
              <w:t>201</w:t>
            </w:r>
            <w:r w:rsidR="00201899" w:rsidRPr="00D73E47">
              <w:rPr>
                <w:b/>
                <w:bCs/>
                <w:sz w:val="28"/>
                <w:szCs w:val="28"/>
              </w:rPr>
              <w:t>8</w:t>
            </w:r>
          </w:p>
        </w:tc>
        <w:tc>
          <w:tcPr>
            <w:tcW w:w="1227" w:type="dxa"/>
            <w:vAlign w:val="center"/>
          </w:tcPr>
          <w:p w:rsidR="00D175E9" w:rsidRPr="00D73E47" w:rsidRDefault="00972C4B" w:rsidP="00201899">
            <w:pPr>
              <w:pStyle w:val="naisf"/>
              <w:spacing w:before="0" w:after="0"/>
              <w:jc w:val="center"/>
              <w:rPr>
                <w:b/>
                <w:i/>
                <w:sz w:val="28"/>
                <w:szCs w:val="28"/>
              </w:rPr>
            </w:pPr>
            <w:r w:rsidRPr="00D73E47">
              <w:rPr>
                <w:b/>
                <w:bCs/>
                <w:sz w:val="28"/>
                <w:szCs w:val="28"/>
              </w:rPr>
              <w:t>201</w:t>
            </w:r>
            <w:r w:rsidR="00201899" w:rsidRPr="00D73E47">
              <w:rPr>
                <w:b/>
                <w:bCs/>
                <w:sz w:val="28"/>
                <w:szCs w:val="28"/>
              </w:rPr>
              <w:t>9</w:t>
            </w:r>
          </w:p>
        </w:tc>
        <w:tc>
          <w:tcPr>
            <w:tcW w:w="1227" w:type="dxa"/>
            <w:vAlign w:val="center"/>
          </w:tcPr>
          <w:p w:rsidR="00D175E9" w:rsidRPr="00D73E47" w:rsidRDefault="00972C4B" w:rsidP="00201899">
            <w:pPr>
              <w:pStyle w:val="naisf"/>
              <w:spacing w:before="0" w:after="0"/>
              <w:jc w:val="center"/>
              <w:rPr>
                <w:b/>
                <w:i/>
                <w:sz w:val="28"/>
                <w:szCs w:val="28"/>
              </w:rPr>
            </w:pPr>
            <w:r w:rsidRPr="00D73E47">
              <w:rPr>
                <w:b/>
                <w:bCs/>
                <w:sz w:val="28"/>
                <w:szCs w:val="28"/>
              </w:rPr>
              <w:t>20</w:t>
            </w:r>
            <w:r w:rsidR="00201899" w:rsidRPr="00D73E47">
              <w:rPr>
                <w:b/>
                <w:bCs/>
                <w:sz w:val="28"/>
                <w:szCs w:val="28"/>
              </w:rPr>
              <w:t>20</w:t>
            </w:r>
          </w:p>
        </w:tc>
      </w:tr>
      <w:tr w:rsidR="00ED0B51" w:rsidRPr="00D73E47" w:rsidTr="00C73E98">
        <w:trPr>
          <w:jc w:val="center"/>
        </w:trPr>
        <w:tc>
          <w:tcPr>
            <w:tcW w:w="3060" w:type="dxa"/>
            <w:vMerge/>
            <w:vAlign w:val="center"/>
          </w:tcPr>
          <w:p w:rsidR="00D175E9" w:rsidRPr="00D73E47" w:rsidRDefault="00D175E9" w:rsidP="0089091C">
            <w:pPr>
              <w:pStyle w:val="naisf"/>
              <w:spacing w:before="0" w:after="0"/>
              <w:jc w:val="center"/>
              <w:rPr>
                <w:b/>
                <w:i/>
                <w:sz w:val="28"/>
                <w:szCs w:val="28"/>
              </w:rPr>
            </w:pPr>
          </w:p>
        </w:tc>
        <w:tc>
          <w:tcPr>
            <w:tcW w:w="1261" w:type="dxa"/>
            <w:vAlign w:val="center"/>
          </w:tcPr>
          <w:p w:rsidR="00D175E9" w:rsidRPr="00D73E47" w:rsidRDefault="00D175E9" w:rsidP="00846DA7">
            <w:pPr>
              <w:pStyle w:val="naisf"/>
              <w:spacing w:before="0" w:after="0"/>
              <w:ind w:firstLine="0"/>
              <w:jc w:val="center"/>
              <w:rPr>
                <w:b/>
                <w:i/>
                <w:sz w:val="28"/>
                <w:szCs w:val="28"/>
              </w:rPr>
            </w:pPr>
            <w:r w:rsidRPr="00D73E47">
              <w:rPr>
                <w:sz w:val="28"/>
                <w:szCs w:val="28"/>
              </w:rPr>
              <w:t>saskaņā ar valsts budžetu kārtējam gadam</w:t>
            </w:r>
          </w:p>
        </w:tc>
        <w:tc>
          <w:tcPr>
            <w:tcW w:w="1511" w:type="dxa"/>
            <w:vAlign w:val="center"/>
          </w:tcPr>
          <w:p w:rsidR="00D175E9" w:rsidRPr="00D73E47" w:rsidRDefault="00D175E9" w:rsidP="00846DA7">
            <w:pPr>
              <w:pStyle w:val="naisf"/>
              <w:spacing w:before="0" w:after="0"/>
              <w:ind w:firstLine="0"/>
              <w:jc w:val="center"/>
              <w:rPr>
                <w:b/>
                <w:i/>
                <w:sz w:val="28"/>
                <w:szCs w:val="28"/>
              </w:rPr>
            </w:pPr>
            <w:r w:rsidRPr="00D73E47">
              <w:rPr>
                <w:sz w:val="28"/>
                <w:szCs w:val="28"/>
              </w:rPr>
              <w:t>izmaiņas kārtējā gadā, salīdzinot ar budžetu kārtējam gadam</w:t>
            </w:r>
          </w:p>
        </w:tc>
        <w:tc>
          <w:tcPr>
            <w:tcW w:w="1227" w:type="dxa"/>
            <w:vAlign w:val="center"/>
          </w:tcPr>
          <w:p w:rsidR="00D175E9" w:rsidRPr="00D73E47" w:rsidRDefault="00D175E9" w:rsidP="00201899">
            <w:pPr>
              <w:pStyle w:val="naisf"/>
              <w:spacing w:before="0" w:after="0"/>
              <w:ind w:firstLine="0"/>
              <w:jc w:val="center"/>
              <w:rPr>
                <w:b/>
                <w:i/>
                <w:sz w:val="28"/>
                <w:szCs w:val="28"/>
              </w:rPr>
            </w:pPr>
            <w:r w:rsidRPr="00D73E47">
              <w:rPr>
                <w:sz w:val="28"/>
                <w:szCs w:val="28"/>
              </w:rPr>
              <w:t>izmaiņas, salīdzinot ar kārtējo (</w:t>
            </w:r>
            <w:r w:rsidR="004618C1" w:rsidRPr="00D73E47">
              <w:rPr>
                <w:sz w:val="28"/>
                <w:szCs w:val="28"/>
              </w:rPr>
              <w:t>201</w:t>
            </w:r>
            <w:r w:rsidR="00201899" w:rsidRPr="00D73E47">
              <w:rPr>
                <w:sz w:val="28"/>
                <w:szCs w:val="28"/>
              </w:rPr>
              <w:t>7</w:t>
            </w:r>
            <w:r w:rsidRPr="00D73E47">
              <w:rPr>
                <w:sz w:val="28"/>
                <w:szCs w:val="28"/>
              </w:rPr>
              <w:t>) gadu</w:t>
            </w:r>
          </w:p>
        </w:tc>
        <w:tc>
          <w:tcPr>
            <w:tcW w:w="1227" w:type="dxa"/>
            <w:vAlign w:val="center"/>
          </w:tcPr>
          <w:p w:rsidR="00D175E9" w:rsidRPr="00D73E47" w:rsidRDefault="00D175E9" w:rsidP="00201899">
            <w:pPr>
              <w:pStyle w:val="naisf"/>
              <w:spacing w:before="0" w:after="0"/>
              <w:ind w:firstLine="0"/>
              <w:jc w:val="center"/>
              <w:rPr>
                <w:b/>
                <w:i/>
                <w:sz w:val="28"/>
                <w:szCs w:val="28"/>
              </w:rPr>
            </w:pPr>
            <w:r w:rsidRPr="00D73E47">
              <w:rPr>
                <w:sz w:val="28"/>
                <w:szCs w:val="28"/>
              </w:rPr>
              <w:t>izmaiņas, salīdzinot ar kārtējo (</w:t>
            </w:r>
            <w:r w:rsidR="004618C1" w:rsidRPr="00D73E47">
              <w:rPr>
                <w:sz w:val="28"/>
                <w:szCs w:val="28"/>
              </w:rPr>
              <w:t>201</w:t>
            </w:r>
            <w:r w:rsidR="00201899" w:rsidRPr="00D73E47">
              <w:rPr>
                <w:sz w:val="28"/>
                <w:szCs w:val="28"/>
              </w:rPr>
              <w:t>7</w:t>
            </w:r>
            <w:r w:rsidRPr="00D73E47">
              <w:rPr>
                <w:sz w:val="28"/>
                <w:szCs w:val="28"/>
              </w:rPr>
              <w:t>) gadu</w:t>
            </w:r>
          </w:p>
        </w:tc>
        <w:tc>
          <w:tcPr>
            <w:tcW w:w="1227" w:type="dxa"/>
            <w:vAlign w:val="center"/>
          </w:tcPr>
          <w:p w:rsidR="00D175E9" w:rsidRPr="00D73E47" w:rsidRDefault="00D175E9" w:rsidP="00201899">
            <w:pPr>
              <w:pStyle w:val="naisf"/>
              <w:spacing w:before="0" w:after="0"/>
              <w:ind w:firstLine="0"/>
              <w:jc w:val="center"/>
              <w:rPr>
                <w:b/>
                <w:i/>
                <w:sz w:val="28"/>
                <w:szCs w:val="28"/>
              </w:rPr>
            </w:pPr>
            <w:r w:rsidRPr="00D73E47">
              <w:rPr>
                <w:sz w:val="28"/>
                <w:szCs w:val="28"/>
              </w:rPr>
              <w:t>izmaiņas, salīdzinot ar kārtējo (</w:t>
            </w:r>
            <w:r w:rsidR="004618C1" w:rsidRPr="00D73E47">
              <w:rPr>
                <w:sz w:val="28"/>
                <w:szCs w:val="28"/>
              </w:rPr>
              <w:t>201</w:t>
            </w:r>
            <w:r w:rsidR="00201899" w:rsidRPr="00D73E47">
              <w:rPr>
                <w:sz w:val="28"/>
                <w:szCs w:val="28"/>
              </w:rPr>
              <w:t>7</w:t>
            </w:r>
            <w:r w:rsidRPr="00D73E47">
              <w:rPr>
                <w:sz w:val="28"/>
                <w:szCs w:val="28"/>
              </w:rPr>
              <w:t>) gadu</w:t>
            </w:r>
          </w:p>
        </w:tc>
      </w:tr>
      <w:tr w:rsidR="00ED0B51" w:rsidRPr="00D73E47" w:rsidTr="00C73E98">
        <w:trPr>
          <w:jc w:val="center"/>
        </w:trPr>
        <w:tc>
          <w:tcPr>
            <w:tcW w:w="3060" w:type="dxa"/>
            <w:vAlign w:val="center"/>
          </w:tcPr>
          <w:p w:rsidR="00D175E9" w:rsidRPr="00D73E47" w:rsidRDefault="00D175E9" w:rsidP="00846DA7">
            <w:pPr>
              <w:pStyle w:val="naisf"/>
              <w:spacing w:before="0" w:after="0"/>
              <w:ind w:firstLine="0"/>
              <w:jc w:val="center"/>
              <w:rPr>
                <w:bCs/>
                <w:sz w:val="28"/>
                <w:szCs w:val="28"/>
              </w:rPr>
            </w:pPr>
            <w:r w:rsidRPr="00D73E47">
              <w:rPr>
                <w:bCs/>
                <w:sz w:val="28"/>
                <w:szCs w:val="28"/>
              </w:rPr>
              <w:lastRenderedPageBreak/>
              <w:t>1</w:t>
            </w:r>
          </w:p>
        </w:tc>
        <w:tc>
          <w:tcPr>
            <w:tcW w:w="1261" w:type="dxa"/>
            <w:vAlign w:val="center"/>
          </w:tcPr>
          <w:p w:rsidR="00D175E9" w:rsidRPr="00D73E47" w:rsidRDefault="00D175E9" w:rsidP="00846DA7">
            <w:pPr>
              <w:pStyle w:val="naisf"/>
              <w:spacing w:before="0" w:after="0"/>
              <w:ind w:firstLine="0"/>
              <w:jc w:val="center"/>
              <w:rPr>
                <w:bCs/>
                <w:sz w:val="28"/>
                <w:szCs w:val="28"/>
              </w:rPr>
            </w:pPr>
            <w:r w:rsidRPr="00D73E47">
              <w:rPr>
                <w:bCs/>
                <w:sz w:val="28"/>
                <w:szCs w:val="28"/>
              </w:rPr>
              <w:t>2</w:t>
            </w:r>
          </w:p>
        </w:tc>
        <w:tc>
          <w:tcPr>
            <w:tcW w:w="1511" w:type="dxa"/>
            <w:vAlign w:val="center"/>
          </w:tcPr>
          <w:p w:rsidR="00D175E9" w:rsidRPr="00D73E47" w:rsidRDefault="00D175E9" w:rsidP="00846DA7">
            <w:pPr>
              <w:pStyle w:val="naisf"/>
              <w:spacing w:before="0" w:after="0"/>
              <w:ind w:firstLine="0"/>
              <w:jc w:val="center"/>
              <w:rPr>
                <w:bCs/>
                <w:sz w:val="28"/>
                <w:szCs w:val="28"/>
              </w:rPr>
            </w:pPr>
            <w:r w:rsidRPr="00D73E47">
              <w:rPr>
                <w:bCs/>
                <w:sz w:val="28"/>
                <w:szCs w:val="28"/>
              </w:rPr>
              <w:t>3</w:t>
            </w:r>
          </w:p>
        </w:tc>
        <w:tc>
          <w:tcPr>
            <w:tcW w:w="1227" w:type="dxa"/>
            <w:vAlign w:val="center"/>
          </w:tcPr>
          <w:p w:rsidR="00D175E9" w:rsidRPr="00D73E47" w:rsidRDefault="00D175E9" w:rsidP="00846DA7">
            <w:pPr>
              <w:pStyle w:val="naisf"/>
              <w:spacing w:before="0" w:after="0"/>
              <w:ind w:firstLine="0"/>
              <w:jc w:val="center"/>
              <w:rPr>
                <w:bCs/>
                <w:sz w:val="28"/>
                <w:szCs w:val="28"/>
              </w:rPr>
            </w:pPr>
            <w:r w:rsidRPr="00D73E47">
              <w:rPr>
                <w:bCs/>
                <w:sz w:val="28"/>
                <w:szCs w:val="28"/>
              </w:rPr>
              <w:t>4</w:t>
            </w:r>
          </w:p>
        </w:tc>
        <w:tc>
          <w:tcPr>
            <w:tcW w:w="1227" w:type="dxa"/>
            <w:vAlign w:val="center"/>
          </w:tcPr>
          <w:p w:rsidR="00D175E9" w:rsidRPr="00D73E47" w:rsidRDefault="00D175E9" w:rsidP="00846DA7">
            <w:pPr>
              <w:pStyle w:val="naisf"/>
              <w:spacing w:before="0" w:after="0"/>
              <w:ind w:firstLine="0"/>
              <w:jc w:val="center"/>
              <w:rPr>
                <w:bCs/>
                <w:sz w:val="28"/>
                <w:szCs w:val="28"/>
              </w:rPr>
            </w:pPr>
            <w:r w:rsidRPr="00D73E47">
              <w:rPr>
                <w:bCs/>
                <w:sz w:val="28"/>
                <w:szCs w:val="28"/>
              </w:rPr>
              <w:t>5</w:t>
            </w:r>
          </w:p>
        </w:tc>
        <w:tc>
          <w:tcPr>
            <w:tcW w:w="1227" w:type="dxa"/>
            <w:vAlign w:val="center"/>
          </w:tcPr>
          <w:p w:rsidR="00D175E9" w:rsidRPr="00D73E47" w:rsidRDefault="00D175E9" w:rsidP="00846DA7">
            <w:pPr>
              <w:pStyle w:val="naisf"/>
              <w:spacing w:before="0" w:after="0"/>
              <w:ind w:firstLine="0"/>
              <w:jc w:val="center"/>
              <w:rPr>
                <w:bCs/>
                <w:sz w:val="28"/>
                <w:szCs w:val="28"/>
              </w:rPr>
            </w:pPr>
            <w:r w:rsidRPr="00D73E47">
              <w:rPr>
                <w:bCs/>
                <w:sz w:val="28"/>
                <w:szCs w:val="28"/>
              </w:rPr>
              <w:t>6</w:t>
            </w:r>
          </w:p>
        </w:tc>
      </w:tr>
      <w:tr w:rsidR="00ED0B51" w:rsidRPr="00D73E47" w:rsidTr="00C73E98">
        <w:trPr>
          <w:jc w:val="center"/>
        </w:trPr>
        <w:tc>
          <w:tcPr>
            <w:tcW w:w="3060" w:type="dxa"/>
          </w:tcPr>
          <w:p w:rsidR="00D175E9" w:rsidRPr="00D73E47" w:rsidRDefault="00D175E9" w:rsidP="00846DA7">
            <w:pPr>
              <w:pStyle w:val="naisf"/>
              <w:spacing w:before="0" w:after="0"/>
              <w:ind w:firstLine="0"/>
              <w:jc w:val="left"/>
              <w:rPr>
                <w:i/>
                <w:sz w:val="28"/>
                <w:szCs w:val="28"/>
              </w:rPr>
            </w:pPr>
            <w:r w:rsidRPr="00D73E47">
              <w:rPr>
                <w:sz w:val="28"/>
                <w:szCs w:val="28"/>
              </w:rPr>
              <w:t>1. Budžeta ieņēmumi:</w:t>
            </w:r>
          </w:p>
        </w:tc>
        <w:tc>
          <w:tcPr>
            <w:tcW w:w="126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51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tcPr>
          <w:p w:rsidR="00D175E9" w:rsidRPr="00D73E47" w:rsidRDefault="00D175E9" w:rsidP="00846DA7">
            <w:pPr>
              <w:pStyle w:val="naisf"/>
              <w:spacing w:before="0" w:after="0"/>
              <w:ind w:firstLine="0"/>
              <w:jc w:val="left"/>
              <w:rPr>
                <w:i/>
                <w:sz w:val="28"/>
                <w:szCs w:val="28"/>
              </w:rPr>
            </w:pPr>
            <w:r w:rsidRPr="00D73E47">
              <w:rPr>
                <w:sz w:val="28"/>
                <w:szCs w:val="28"/>
              </w:rPr>
              <w:t>1.1. valsts pamatbudžets, tai skaitā ieņēmumi no maksas pakalpojumiem un citi pašu ieņēmumi</w:t>
            </w:r>
          </w:p>
        </w:tc>
        <w:tc>
          <w:tcPr>
            <w:tcW w:w="126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51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tcPr>
          <w:p w:rsidR="00D175E9" w:rsidRPr="00D73E47" w:rsidRDefault="00D175E9" w:rsidP="00846DA7">
            <w:pPr>
              <w:pStyle w:val="naisf"/>
              <w:spacing w:before="0" w:after="0"/>
              <w:ind w:firstLine="0"/>
              <w:jc w:val="left"/>
              <w:rPr>
                <w:i/>
                <w:sz w:val="28"/>
                <w:szCs w:val="28"/>
              </w:rPr>
            </w:pPr>
            <w:r w:rsidRPr="00D73E47">
              <w:rPr>
                <w:sz w:val="28"/>
                <w:szCs w:val="28"/>
              </w:rPr>
              <w:t>1.2. valsts speciālais budžets</w:t>
            </w:r>
          </w:p>
        </w:tc>
        <w:tc>
          <w:tcPr>
            <w:tcW w:w="126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51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tcPr>
          <w:p w:rsidR="00D175E9" w:rsidRPr="00D73E47" w:rsidRDefault="00D175E9" w:rsidP="00846DA7">
            <w:pPr>
              <w:pStyle w:val="naisf"/>
              <w:spacing w:before="0" w:after="0"/>
              <w:ind w:firstLine="0"/>
              <w:jc w:val="left"/>
              <w:rPr>
                <w:i/>
                <w:sz w:val="28"/>
                <w:szCs w:val="28"/>
              </w:rPr>
            </w:pPr>
            <w:r w:rsidRPr="00D73E47">
              <w:rPr>
                <w:sz w:val="28"/>
                <w:szCs w:val="28"/>
              </w:rPr>
              <w:t>1.3. pašvaldību budžets</w:t>
            </w:r>
          </w:p>
        </w:tc>
        <w:tc>
          <w:tcPr>
            <w:tcW w:w="126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51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7202CD">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tcPr>
          <w:p w:rsidR="00D175E9" w:rsidRPr="00D73E47" w:rsidRDefault="00D175E9" w:rsidP="001942D4">
            <w:pPr>
              <w:rPr>
                <w:sz w:val="28"/>
                <w:szCs w:val="28"/>
              </w:rPr>
            </w:pPr>
            <w:r w:rsidRPr="00D73E47">
              <w:rPr>
                <w:sz w:val="28"/>
                <w:szCs w:val="28"/>
              </w:rPr>
              <w:t>2. Budžeta izdevumi:</w:t>
            </w:r>
          </w:p>
        </w:tc>
        <w:tc>
          <w:tcPr>
            <w:tcW w:w="126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51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7202CD" w:rsidP="007202CD">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tcPr>
          <w:p w:rsidR="00D175E9" w:rsidRPr="00D73E47" w:rsidRDefault="00D175E9" w:rsidP="001942D4">
            <w:pPr>
              <w:rPr>
                <w:sz w:val="28"/>
                <w:szCs w:val="28"/>
              </w:rPr>
            </w:pPr>
            <w:r w:rsidRPr="00D73E47">
              <w:rPr>
                <w:sz w:val="28"/>
                <w:szCs w:val="28"/>
              </w:rPr>
              <w:t>2.1. valsts pamatbudžets</w:t>
            </w:r>
          </w:p>
        </w:tc>
        <w:tc>
          <w:tcPr>
            <w:tcW w:w="126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51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7202CD" w:rsidP="007202CD">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tcPr>
          <w:p w:rsidR="00D175E9" w:rsidRPr="00D73E47" w:rsidRDefault="00D175E9" w:rsidP="001942D4">
            <w:pPr>
              <w:rPr>
                <w:sz w:val="28"/>
                <w:szCs w:val="28"/>
              </w:rPr>
            </w:pPr>
            <w:r w:rsidRPr="00D73E47">
              <w:rPr>
                <w:sz w:val="28"/>
                <w:szCs w:val="28"/>
              </w:rPr>
              <w:t>2.2. valsts speciālais budžets</w:t>
            </w:r>
          </w:p>
        </w:tc>
        <w:tc>
          <w:tcPr>
            <w:tcW w:w="126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51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7202CD">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tcPr>
          <w:p w:rsidR="00D175E9" w:rsidRPr="00D73E47" w:rsidRDefault="00D175E9" w:rsidP="001942D4">
            <w:pPr>
              <w:rPr>
                <w:sz w:val="28"/>
                <w:szCs w:val="28"/>
              </w:rPr>
            </w:pPr>
            <w:r w:rsidRPr="00D73E47">
              <w:rPr>
                <w:sz w:val="28"/>
                <w:szCs w:val="28"/>
              </w:rPr>
              <w:t xml:space="preserve">2.3. pašvaldību budžets </w:t>
            </w:r>
          </w:p>
        </w:tc>
        <w:tc>
          <w:tcPr>
            <w:tcW w:w="126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51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7202CD">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tcPr>
          <w:p w:rsidR="00CE5203" w:rsidRPr="00D73E47" w:rsidRDefault="00CE5203" w:rsidP="001942D4">
            <w:pPr>
              <w:rPr>
                <w:sz w:val="28"/>
                <w:szCs w:val="28"/>
              </w:rPr>
            </w:pPr>
            <w:r w:rsidRPr="00D73E47">
              <w:rPr>
                <w:sz w:val="28"/>
                <w:szCs w:val="28"/>
              </w:rPr>
              <w:t>3. Finansiālā ietekme:</w:t>
            </w:r>
          </w:p>
        </w:tc>
        <w:tc>
          <w:tcPr>
            <w:tcW w:w="1261" w:type="dxa"/>
            <w:shd w:val="clear" w:color="auto" w:fill="auto"/>
          </w:tcPr>
          <w:p w:rsidR="00CE5203" w:rsidRPr="00D73E47" w:rsidRDefault="00CE5203" w:rsidP="00846DA7">
            <w:pPr>
              <w:pStyle w:val="naisf"/>
              <w:spacing w:before="0" w:after="0"/>
              <w:ind w:firstLine="0"/>
              <w:jc w:val="center"/>
              <w:rPr>
                <w:b/>
                <w:i/>
                <w:sz w:val="28"/>
                <w:szCs w:val="28"/>
              </w:rPr>
            </w:pPr>
            <w:r w:rsidRPr="00D73E47">
              <w:rPr>
                <w:sz w:val="28"/>
                <w:szCs w:val="28"/>
              </w:rPr>
              <w:t>0</w:t>
            </w:r>
          </w:p>
        </w:tc>
        <w:tc>
          <w:tcPr>
            <w:tcW w:w="1511" w:type="dxa"/>
          </w:tcPr>
          <w:p w:rsidR="00CE5203"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CE5203" w:rsidRPr="00D73E47" w:rsidRDefault="007202CD" w:rsidP="007202CD">
            <w:pPr>
              <w:pStyle w:val="naisf"/>
              <w:spacing w:before="0" w:after="0"/>
              <w:ind w:firstLine="0"/>
              <w:jc w:val="center"/>
              <w:rPr>
                <w:b/>
                <w:i/>
                <w:sz w:val="28"/>
                <w:szCs w:val="28"/>
              </w:rPr>
            </w:pPr>
            <w:r w:rsidRPr="00D73E47">
              <w:rPr>
                <w:sz w:val="28"/>
                <w:szCs w:val="28"/>
              </w:rPr>
              <w:t>0</w:t>
            </w:r>
          </w:p>
        </w:tc>
        <w:tc>
          <w:tcPr>
            <w:tcW w:w="1227" w:type="dxa"/>
          </w:tcPr>
          <w:p w:rsidR="00CE5203"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CE5203"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tcPr>
          <w:p w:rsidR="00D175E9" w:rsidRPr="00D73E47" w:rsidRDefault="00D175E9" w:rsidP="001942D4">
            <w:pPr>
              <w:rPr>
                <w:sz w:val="28"/>
                <w:szCs w:val="28"/>
              </w:rPr>
            </w:pPr>
            <w:r w:rsidRPr="00D73E47">
              <w:rPr>
                <w:sz w:val="28"/>
                <w:szCs w:val="28"/>
              </w:rPr>
              <w:t>3.1. valsts pamatbudžets</w:t>
            </w:r>
          </w:p>
        </w:tc>
        <w:tc>
          <w:tcPr>
            <w:tcW w:w="1261" w:type="dxa"/>
            <w:shd w:val="clear" w:color="auto" w:fill="auto"/>
          </w:tcPr>
          <w:p w:rsidR="00D175E9" w:rsidRPr="00D73E47" w:rsidRDefault="00CE5203" w:rsidP="00846DA7">
            <w:pPr>
              <w:pStyle w:val="naisf"/>
              <w:spacing w:before="0" w:after="0"/>
              <w:ind w:firstLine="0"/>
              <w:jc w:val="center"/>
              <w:rPr>
                <w:i/>
                <w:sz w:val="28"/>
                <w:szCs w:val="28"/>
              </w:rPr>
            </w:pPr>
            <w:r w:rsidRPr="00D73E47">
              <w:rPr>
                <w:sz w:val="28"/>
                <w:szCs w:val="28"/>
              </w:rPr>
              <w:t>0</w:t>
            </w:r>
          </w:p>
        </w:tc>
        <w:tc>
          <w:tcPr>
            <w:tcW w:w="151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7202CD" w:rsidP="007202CD">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tcPr>
          <w:p w:rsidR="00D175E9" w:rsidRPr="00D73E47" w:rsidRDefault="00D175E9" w:rsidP="0089091C">
            <w:pPr>
              <w:rPr>
                <w:sz w:val="28"/>
                <w:szCs w:val="28"/>
              </w:rPr>
            </w:pPr>
            <w:r w:rsidRPr="00D73E47">
              <w:rPr>
                <w:sz w:val="28"/>
                <w:szCs w:val="28"/>
              </w:rPr>
              <w:t>3.2. speciālais budžets</w:t>
            </w:r>
          </w:p>
        </w:tc>
        <w:tc>
          <w:tcPr>
            <w:tcW w:w="1261" w:type="dxa"/>
            <w:shd w:val="clear" w:color="auto" w:fill="auto"/>
          </w:tcPr>
          <w:p w:rsidR="00D175E9" w:rsidRPr="00D73E47" w:rsidRDefault="00CE5203" w:rsidP="00846DA7">
            <w:pPr>
              <w:pStyle w:val="naisf"/>
              <w:spacing w:before="0" w:after="0"/>
              <w:ind w:firstLine="0"/>
              <w:jc w:val="center"/>
              <w:rPr>
                <w:i/>
                <w:sz w:val="28"/>
                <w:szCs w:val="28"/>
              </w:rPr>
            </w:pPr>
            <w:r w:rsidRPr="00D73E47">
              <w:rPr>
                <w:sz w:val="28"/>
                <w:szCs w:val="28"/>
              </w:rPr>
              <w:t>0</w:t>
            </w:r>
          </w:p>
        </w:tc>
        <w:tc>
          <w:tcPr>
            <w:tcW w:w="151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tcPr>
          <w:p w:rsidR="00D175E9" w:rsidRPr="00D73E47" w:rsidRDefault="00D175E9" w:rsidP="0089091C">
            <w:pPr>
              <w:rPr>
                <w:sz w:val="28"/>
                <w:szCs w:val="28"/>
              </w:rPr>
            </w:pPr>
            <w:r w:rsidRPr="00D73E47">
              <w:rPr>
                <w:sz w:val="28"/>
                <w:szCs w:val="28"/>
              </w:rPr>
              <w:t xml:space="preserve">3.3. pašvaldību budžets </w:t>
            </w:r>
          </w:p>
        </w:tc>
        <w:tc>
          <w:tcPr>
            <w:tcW w:w="1261" w:type="dxa"/>
            <w:shd w:val="clear" w:color="auto" w:fill="auto"/>
          </w:tcPr>
          <w:p w:rsidR="00D175E9" w:rsidRPr="00D73E47" w:rsidRDefault="00CE5203" w:rsidP="00846DA7">
            <w:pPr>
              <w:pStyle w:val="naisf"/>
              <w:spacing w:before="0" w:after="0"/>
              <w:ind w:firstLine="0"/>
              <w:jc w:val="center"/>
              <w:rPr>
                <w:i/>
                <w:sz w:val="28"/>
                <w:szCs w:val="28"/>
              </w:rPr>
            </w:pPr>
            <w:r w:rsidRPr="00D73E47">
              <w:rPr>
                <w:sz w:val="28"/>
                <w:szCs w:val="28"/>
              </w:rPr>
              <w:t>0</w:t>
            </w:r>
          </w:p>
        </w:tc>
        <w:tc>
          <w:tcPr>
            <w:tcW w:w="151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vMerge w:val="restart"/>
          </w:tcPr>
          <w:p w:rsidR="00D175E9" w:rsidRPr="00D73E47" w:rsidRDefault="00D175E9" w:rsidP="0089091C">
            <w:pPr>
              <w:rPr>
                <w:sz w:val="28"/>
                <w:szCs w:val="28"/>
              </w:rPr>
            </w:pPr>
            <w:r w:rsidRPr="00D73E47">
              <w:rPr>
                <w:sz w:val="28"/>
                <w:szCs w:val="28"/>
              </w:rPr>
              <w:t>4. Finanšu līdzekļi papildu izdevumu finansēšanai (kompensējošu izdevumu samazinājumu norāda ar "+" zīmi)</w:t>
            </w:r>
          </w:p>
        </w:tc>
        <w:tc>
          <w:tcPr>
            <w:tcW w:w="1261" w:type="dxa"/>
            <w:vMerge w:val="restart"/>
          </w:tcPr>
          <w:p w:rsidR="00D175E9" w:rsidRPr="00D73E47" w:rsidRDefault="00D175E9" w:rsidP="00846DA7">
            <w:pPr>
              <w:pStyle w:val="naisf"/>
              <w:spacing w:before="0" w:after="0"/>
              <w:ind w:firstLine="0"/>
              <w:jc w:val="center"/>
              <w:rPr>
                <w:i/>
                <w:sz w:val="28"/>
                <w:szCs w:val="28"/>
              </w:rPr>
            </w:pPr>
            <w:r w:rsidRPr="00D73E47">
              <w:rPr>
                <w:sz w:val="28"/>
                <w:szCs w:val="28"/>
              </w:rPr>
              <w:t>X</w:t>
            </w:r>
          </w:p>
        </w:tc>
        <w:tc>
          <w:tcPr>
            <w:tcW w:w="151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vMerge/>
          </w:tcPr>
          <w:p w:rsidR="00D175E9" w:rsidRPr="00D73E47" w:rsidRDefault="00D175E9" w:rsidP="0089091C">
            <w:pPr>
              <w:rPr>
                <w:sz w:val="28"/>
                <w:szCs w:val="28"/>
              </w:rPr>
            </w:pPr>
          </w:p>
        </w:tc>
        <w:tc>
          <w:tcPr>
            <w:tcW w:w="1261" w:type="dxa"/>
            <w:vMerge/>
          </w:tcPr>
          <w:p w:rsidR="00D175E9" w:rsidRPr="00D73E47" w:rsidRDefault="00D175E9" w:rsidP="00846DA7">
            <w:pPr>
              <w:pStyle w:val="naisf"/>
              <w:spacing w:before="0" w:after="0"/>
              <w:ind w:firstLine="0"/>
              <w:jc w:val="center"/>
              <w:rPr>
                <w:i/>
                <w:sz w:val="28"/>
                <w:szCs w:val="28"/>
              </w:rPr>
            </w:pPr>
          </w:p>
        </w:tc>
        <w:tc>
          <w:tcPr>
            <w:tcW w:w="1511" w:type="dxa"/>
          </w:tcPr>
          <w:p w:rsidR="00D175E9" w:rsidRPr="00D73E47" w:rsidRDefault="00D175E9" w:rsidP="00846DA7">
            <w:pPr>
              <w:pStyle w:val="naisf"/>
              <w:spacing w:before="0" w:after="0"/>
              <w:ind w:firstLine="0"/>
              <w:jc w:val="center"/>
              <w:rPr>
                <w:b/>
                <w:i/>
                <w:sz w:val="28"/>
                <w:szCs w:val="28"/>
              </w:rPr>
            </w:pPr>
          </w:p>
        </w:tc>
        <w:tc>
          <w:tcPr>
            <w:tcW w:w="1227" w:type="dxa"/>
          </w:tcPr>
          <w:p w:rsidR="00D175E9" w:rsidRPr="00D73E47" w:rsidRDefault="00D175E9" w:rsidP="00846DA7">
            <w:pPr>
              <w:pStyle w:val="naisf"/>
              <w:spacing w:before="0" w:after="0"/>
              <w:ind w:firstLine="0"/>
              <w:jc w:val="center"/>
              <w:rPr>
                <w:b/>
                <w:i/>
                <w:sz w:val="28"/>
                <w:szCs w:val="28"/>
              </w:rPr>
            </w:pPr>
          </w:p>
        </w:tc>
        <w:tc>
          <w:tcPr>
            <w:tcW w:w="1227" w:type="dxa"/>
          </w:tcPr>
          <w:p w:rsidR="00D175E9" w:rsidRPr="00D73E47" w:rsidRDefault="00D175E9" w:rsidP="00846DA7">
            <w:pPr>
              <w:pStyle w:val="naisf"/>
              <w:spacing w:before="0" w:after="0"/>
              <w:ind w:firstLine="0"/>
              <w:jc w:val="center"/>
              <w:rPr>
                <w:b/>
                <w:i/>
                <w:sz w:val="28"/>
                <w:szCs w:val="28"/>
              </w:rPr>
            </w:pPr>
          </w:p>
        </w:tc>
        <w:tc>
          <w:tcPr>
            <w:tcW w:w="1227" w:type="dxa"/>
          </w:tcPr>
          <w:p w:rsidR="00D175E9" w:rsidRPr="00D73E47" w:rsidRDefault="00D175E9" w:rsidP="00846DA7">
            <w:pPr>
              <w:pStyle w:val="naisf"/>
              <w:spacing w:before="0" w:after="0"/>
              <w:ind w:firstLine="0"/>
              <w:jc w:val="center"/>
              <w:rPr>
                <w:b/>
                <w:i/>
                <w:sz w:val="28"/>
                <w:szCs w:val="28"/>
              </w:rPr>
            </w:pPr>
          </w:p>
        </w:tc>
      </w:tr>
      <w:tr w:rsidR="00ED0B51" w:rsidRPr="00D73E47" w:rsidTr="00C73E98">
        <w:trPr>
          <w:jc w:val="center"/>
        </w:trPr>
        <w:tc>
          <w:tcPr>
            <w:tcW w:w="3060" w:type="dxa"/>
            <w:vMerge/>
          </w:tcPr>
          <w:p w:rsidR="00D175E9" w:rsidRPr="00D73E47" w:rsidRDefault="00D175E9" w:rsidP="0089091C">
            <w:pPr>
              <w:rPr>
                <w:sz w:val="28"/>
                <w:szCs w:val="28"/>
              </w:rPr>
            </w:pPr>
          </w:p>
        </w:tc>
        <w:tc>
          <w:tcPr>
            <w:tcW w:w="1261" w:type="dxa"/>
            <w:vMerge/>
          </w:tcPr>
          <w:p w:rsidR="00D175E9" w:rsidRPr="00D73E47" w:rsidRDefault="00D175E9" w:rsidP="00846DA7">
            <w:pPr>
              <w:pStyle w:val="naisf"/>
              <w:spacing w:before="0" w:after="0"/>
              <w:ind w:firstLine="0"/>
              <w:jc w:val="center"/>
              <w:rPr>
                <w:i/>
                <w:sz w:val="28"/>
                <w:szCs w:val="28"/>
              </w:rPr>
            </w:pPr>
          </w:p>
        </w:tc>
        <w:tc>
          <w:tcPr>
            <w:tcW w:w="1511" w:type="dxa"/>
          </w:tcPr>
          <w:p w:rsidR="00D175E9" w:rsidRPr="00D73E47" w:rsidRDefault="00D175E9" w:rsidP="00846DA7">
            <w:pPr>
              <w:pStyle w:val="naisf"/>
              <w:spacing w:before="0" w:after="0"/>
              <w:ind w:firstLine="0"/>
              <w:jc w:val="center"/>
              <w:rPr>
                <w:b/>
                <w:i/>
                <w:sz w:val="28"/>
                <w:szCs w:val="28"/>
              </w:rPr>
            </w:pPr>
          </w:p>
        </w:tc>
        <w:tc>
          <w:tcPr>
            <w:tcW w:w="1227" w:type="dxa"/>
          </w:tcPr>
          <w:p w:rsidR="00D175E9" w:rsidRPr="00D73E47" w:rsidRDefault="00D175E9" w:rsidP="00846DA7">
            <w:pPr>
              <w:pStyle w:val="naisf"/>
              <w:spacing w:before="0" w:after="0"/>
              <w:ind w:firstLine="0"/>
              <w:jc w:val="center"/>
              <w:rPr>
                <w:b/>
                <w:i/>
                <w:sz w:val="28"/>
                <w:szCs w:val="28"/>
              </w:rPr>
            </w:pPr>
          </w:p>
        </w:tc>
        <w:tc>
          <w:tcPr>
            <w:tcW w:w="1227" w:type="dxa"/>
          </w:tcPr>
          <w:p w:rsidR="00D175E9" w:rsidRPr="00D73E47" w:rsidRDefault="00D175E9" w:rsidP="00846DA7">
            <w:pPr>
              <w:pStyle w:val="naisf"/>
              <w:spacing w:before="0" w:after="0"/>
              <w:ind w:firstLine="0"/>
              <w:jc w:val="center"/>
              <w:rPr>
                <w:b/>
                <w:i/>
                <w:sz w:val="28"/>
                <w:szCs w:val="28"/>
              </w:rPr>
            </w:pPr>
          </w:p>
        </w:tc>
        <w:tc>
          <w:tcPr>
            <w:tcW w:w="1227" w:type="dxa"/>
          </w:tcPr>
          <w:p w:rsidR="00D175E9" w:rsidRPr="00D73E47" w:rsidRDefault="00D175E9" w:rsidP="00846DA7">
            <w:pPr>
              <w:pStyle w:val="naisf"/>
              <w:spacing w:before="0" w:after="0"/>
              <w:ind w:firstLine="0"/>
              <w:jc w:val="center"/>
              <w:rPr>
                <w:b/>
                <w:i/>
                <w:sz w:val="28"/>
                <w:szCs w:val="28"/>
              </w:rPr>
            </w:pPr>
          </w:p>
        </w:tc>
      </w:tr>
      <w:tr w:rsidR="00ED0B51" w:rsidRPr="00D73E47" w:rsidTr="00C73E98">
        <w:trPr>
          <w:jc w:val="center"/>
        </w:trPr>
        <w:tc>
          <w:tcPr>
            <w:tcW w:w="3060" w:type="dxa"/>
          </w:tcPr>
          <w:p w:rsidR="00D175E9" w:rsidRPr="00D73E47" w:rsidRDefault="00D175E9" w:rsidP="0089091C">
            <w:pPr>
              <w:rPr>
                <w:sz w:val="28"/>
                <w:szCs w:val="28"/>
              </w:rPr>
            </w:pPr>
            <w:r w:rsidRPr="00D73E47">
              <w:rPr>
                <w:sz w:val="28"/>
                <w:szCs w:val="28"/>
              </w:rPr>
              <w:t>5. Precizēta finansiālā ietekme:</w:t>
            </w:r>
          </w:p>
        </w:tc>
        <w:tc>
          <w:tcPr>
            <w:tcW w:w="1261" w:type="dxa"/>
            <w:vMerge w:val="restart"/>
          </w:tcPr>
          <w:p w:rsidR="00D175E9" w:rsidRPr="00D73E47" w:rsidRDefault="00D175E9" w:rsidP="00846DA7">
            <w:pPr>
              <w:pStyle w:val="naisf"/>
              <w:spacing w:before="0" w:after="0"/>
              <w:ind w:firstLine="0"/>
              <w:jc w:val="center"/>
              <w:rPr>
                <w:i/>
                <w:sz w:val="28"/>
                <w:szCs w:val="28"/>
              </w:rPr>
            </w:pPr>
            <w:r w:rsidRPr="00D73E47">
              <w:rPr>
                <w:sz w:val="28"/>
                <w:szCs w:val="28"/>
              </w:rPr>
              <w:t>X</w:t>
            </w:r>
          </w:p>
        </w:tc>
        <w:tc>
          <w:tcPr>
            <w:tcW w:w="151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tcPr>
          <w:p w:rsidR="00D175E9" w:rsidRPr="00D73E47" w:rsidRDefault="00D175E9" w:rsidP="0089091C">
            <w:pPr>
              <w:rPr>
                <w:sz w:val="28"/>
                <w:szCs w:val="28"/>
              </w:rPr>
            </w:pPr>
            <w:r w:rsidRPr="00D73E47">
              <w:rPr>
                <w:sz w:val="28"/>
                <w:szCs w:val="28"/>
              </w:rPr>
              <w:t>5.1. valsts pamatbudžets</w:t>
            </w:r>
          </w:p>
        </w:tc>
        <w:tc>
          <w:tcPr>
            <w:tcW w:w="1261" w:type="dxa"/>
            <w:vMerge/>
            <w:vAlign w:val="center"/>
          </w:tcPr>
          <w:p w:rsidR="00D175E9" w:rsidRPr="00D73E47" w:rsidRDefault="00D175E9" w:rsidP="00846DA7">
            <w:pPr>
              <w:pStyle w:val="naisf"/>
              <w:spacing w:before="0" w:after="0"/>
              <w:ind w:firstLine="0"/>
              <w:jc w:val="center"/>
              <w:rPr>
                <w:i/>
                <w:sz w:val="28"/>
                <w:szCs w:val="28"/>
              </w:rPr>
            </w:pPr>
          </w:p>
        </w:tc>
        <w:tc>
          <w:tcPr>
            <w:tcW w:w="151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tcPr>
          <w:p w:rsidR="00D175E9" w:rsidRPr="00D73E47" w:rsidRDefault="00D175E9" w:rsidP="0089091C">
            <w:pPr>
              <w:rPr>
                <w:sz w:val="28"/>
                <w:szCs w:val="28"/>
              </w:rPr>
            </w:pPr>
            <w:r w:rsidRPr="00D73E47">
              <w:rPr>
                <w:sz w:val="28"/>
                <w:szCs w:val="28"/>
              </w:rPr>
              <w:t>5.2. speciālais budžets</w:t>
            </w:r>
          </w:p>
        </w:tc>
        <w:tc>
          <w:tcPr>
            <w:tcW w:w="1261" w:type="dxa"/>
            <w:vMerge/>
            <w:vAlign w:val="center"/>
          </w:tcPr>
          <w:p w:rsidR="00D175E9" w:rsidRPr="00D73E47" w:rsidRDefault="00D175E9" w:rsidP="00846DA7">
            <w:pPr>
              <w:pStyle w:val="naisf"/>
              <w:spacing w:before="0" w:after="0"/>
              <w:ind w:firstLine="0"/>
              <w:jc w:val="center"/>
              <w:rPr>
                <w:i/>
                <w:sz w:val="28"/>
                <w:szCs w:val="28"/>
              </w:rPr>
            </w:pPr>
          </w:p>
        </w:tc>
        <w:tc>
          <w:tcPr>
            <w:tcW w:w="151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tcPr>
          <w:p w:rsidR="00D175E9" w:rsidRPr="00D73E47" w:rsidRDefault="00D175E9" w:rsidP="0089091C">
            <w:pPr>
              <w:rPr>
                <w:sz w:val="28"/>
                <w:szCs w:val="28"/>
              </w:rPr>
            </w:pPr>
            <w:r w:rsidRPr="00D73E47">
              <w:rPr>
                <w:sz w:val="28"/>
                <w:szCs w:val="28"/>
              </w:rPr>
              <w:t xml:space="preserve">5.3. pašvaldību budžets </w:t>
            </w:r>
          </w:p>
        </w:tc>
        <w:tc>
          <w:tcPr>
            <w:tcW w:w="1261" w:type="dxa"/>
            <w:vMerge/>
            <w:tcBorders>
              <w:bottom w:val="single" w:sz="4" w:space="0" w:color="auto"/>
            </w:tcBorders>
            <w:vAlign w:val="center"/>
          </w:tcPr>
          <w:p w:rsidR="00D175E9" w:rsidRPr="00D73E47" w:rsidRDefault="00D175E9" w:rsidP="00846DA7">
            <w:pPr>
              <w:pStyle w:val="naisf"/>
              <w:spacing w:before="0" w:after="0"/>
              <w:ind w:firstLine="0"/>
              <w:jc w:val="center"/>
              <w:rPr>
                <w:i/>
                <w:sz w:val="28"/>
                <w:szCs w:val="28"/>
              </w:rPr>
            </w:pPr>
          </w:p>
        </w:tc>
        <w:tc>
          <w:tcPr>
            <w:tcW w:w="1511" w:type="dxa"/>
            <w:tcBorders>
              <w:bottom w:val="single" w:sz="4" w:space="0" w:color="auto"/>
            </w:tcBorders>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Borders>
              <w:bottom w:val="single" w:sz="4" w:space="0" w:color="auto"/>
            </w:tcBorders>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Borders>
              <w:bottom w:val="single" w:sz="4" w:space="0" w:color="auto"/>
            </w:tcBorders>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Borders>
              <w:bottom w:val="single" w:sz="4" w:space="0" w:color="auto"/>
            </w:tcBorders>
          </w:tcPr>
          <w:p w:rsidR="00D175E9"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tcPr>
          <w:p w:rsidR="00CE5203" w:rsidRPr="00D73E47" w:rsidRDefault="00CE5203" w:rsidP="00E52D24">
            <w:pPr>
              <w:rPr>
                <w:sz w:val="28"/>
                <w:szCs w:val="28"/>
              </w:rPr>
            </w:pPr>
            <w:r w:rsidRPr="00D73E47">
              <w:rPr>
                <w:sz w:val="28"/>
                <w:szCs w:val="28"/>
              </w:rPr>
              <w:t>6.</w:t>
            </w:r>
            <w:r w:rsidR="00E52D24" w:rsidRPr="00D73E47">
              <w:rPr>
                <w:sz w:val="28"/>
                <w:szCs w:val="28"/>
              </w:rPr>
              <w:t xml:space="preserve"> </w:t>
            </w:r>
            <w:r w:rsidRPr="00D73E47">
              <w:rPr>
                <w:sz w:val="28"/>
                <w:szCs w:val="28"/>
              </w:rPr>
              <w:t>Detalizēts ieņēmumu un izdevumu aprēķins (ja nepieciešams, detalizētu ieņēmumu un izdevumu aprēķinu var pievienot anotācijas pielikumā):</w:t>
            </w:r>
          </w:p>
        </w:tc>
        <w:tc>
          <w:tcPr>
            <w:tcW w:w="6453" w:type="dxa"/>
            <w:gridSpan w:val="5"/>
            <w:vAlign w:val="center"/>
          </w:tcPr>
          <w:p w:rsidR="00CE5203" w:rsidRPr="00D73E47" w:rsidRDefault="00CE5203" w:rsidP="004453FB">
            <w:pPr>
              <w:pStyle w:val="naisf"/>
              <w:spacing w:before="0" w:after="0"/>
              <w:rPr>
                <w:sz w:val="28"/>
                <w:szCs w:val="28"/>
              </w:rPr>
            </w:pPr>
          </w:p>
        </w:tc>
      </w:tr>
      <w:tr w:rsidR="00ED0B51" w:rsidRPr="00D73E47" w:rsidTr="00C73E98">
        <w:trPr>
          <w:jc w:val="center"/>
        </w:trPr>
        <w:tc>
          <w:tcPr>
            <w:tcW w:w="3060" w:type="dxa"/>
          </w:tcPr>
          <w:p w:rsidR="00CE5203" w:rsidRPr="00D73E47" w:rsidRDefault="00CE5203" w:rsidP="00E52D24">
            <w:pPr>
              <w:rPr>
                <w:sz w:val="28"/>
                <w:szCs w:val="28"/>
              </w:rPr>
            </w:pPr>
            <w:r w:rsidRPr="00D73E47">
              <w:rPr>
                <w:sz w:val="28"/>
                <w:szCs w:val="28"/>
              </w:rPr>
              <w:t>6.1.</w:t>
            </w:r>
            <w:r w:rsidR="00E52D24" w:rsidRPr="00D73E47">
              <w:rPr>
                <w:sz w:val="28"/>
                <w:szCs w:val="28"/>
              </w:rPr>
              <w:t xml:space="preserve"> </w:t>
            </w:r>
            <w:r w:rsidRPr="00D73E47">
              <w:rPr>
                <w:sz w:val="28"/>
                <w:szCs w:val="28"/>
              </w:rPr>
              <w:t>detalizēts ieņēmumu aprēķins</w:t>
            </w:r>
          </w:p>
        </w:tc>
        <w:tc>
          <w:tcPr>
            <w:tcW w:w="6453" w:type="dxa"/>
            <w:gridSpan w:val="5"/>
          </w:tcPr>
          <w:p w:rsidR="00CE5203" w:rsidRPr="00D73E47" w:rsidRDefault="00CE5203" w:rsidP="0089091C">
            <w:pPr>
              <w:pStyle w:val="naisf"/>
              <w:spacing w:before="0" w:after="0"/>
              <w:rPr>
                <w:b/>
                <w:i/>
                <w:sz w:val="28"/>
                <w:szCs w:val="28"/>
              </w:rPr>
            </w:pPr>
          </w:p>
        </w:tc>
      </w:tr>
      <w:tr w:rsidR="004F3395" w:rsidRPr="00D73E47" w:rsidTr="00C73E98">
        <w:trPr>
          <w:jc w:val="center"/>
        </w:trPr>
        <w:tc>
          <w:tcPr>
            <w:tcW w:w="3060" w:type="dxa"/>
          </w:tcPr>
          <w:p w:rsidR="00C73E98" w:rsidRPr="00D73E47" w:rsidRDefault="00C73E98" w:rsidP="0089091C">
            <w:pPr>
              <w:rPr>
                <w:sz w:val="28"/>
                <w:szCs w:val="28"/>
              </w:rPr>
            </w:pPr>
            <w:r w:rsidRPr="00D73E47">
              <w:rPr>
                <w:sz w:val="28"/>
                <w:szCs w:val="28"/>
              </w:rPr>
              <w:t xml:space="preserve">6.2. detalizēts </w:t>
            </w:r>
            <w:r w:rsidRPr="00D73E47">
              <w:rPr>
                <w:sz w:val="28"/>
                <w:szCs w:val="28"/>
              </w:rPr>
              <w:lastRenderedPageBreak/>
              <w:t>izdevumu aprēķins</w:t>
            </w:r>
          </w:p>
        </w:tc>
        <w:tc>
          <w:tcPr>
            <w:tcW w:w="6453" w:type="dxa"/>
            <w:gridSpan w:val="5"/>
            <w:tcBorders>
              <w:bottom w:val="single" w:sz="4" w:space="0" w:color="auto"/>
            </w:tcBorders>
          </w:tcPr>
          <w:p w:rsidR="00C73E98" w:rsidRPr="00D73E47" w:rsidRDefault="00C73E98" w:rsidP="00442C65">
            <w:pPr>
              <w:pStyle w:val="naisf"/>
              <w:tabs>
                <w:tab w:val="left" w:pos="4644"/>
              </w:tabs>
              <w:spacing w:before="0" w:after="0"/>
              <w:ind w:firstLine="0"/>
              <w:rPr>
                <w:sz w:val="28"/>
                <w:szCs w:val="28"/>
              </w:rPr>
            </w:pPr>
          </w:p>
        </w:tc>
      </w:tr>
      <w:tr w:rsidR="004F3395" w:rsidRPr="00D73E47" w:rsidTr="00C73E98">
        <w:trPr>
          <w:trHeight w:val="556"/>
          <w:jc w:val="center"/>
        </w:trPr>
        <w:tc>
          <w:tcPr>
            <w:tcW w:w="3060" w:type="dxa"/>
          </w:tcPr>
          <w:p w:rsidR="00C73E98" w:rsidRPr="00D73E47" w:rsidRDefault="00C73E98" w:rsidP="0089091C">
            <w:pPr>
              <w:rPr>
                <w:sz w:val="28"/>
                <w:szCs w:val="28"/>
              </w:rPr>
            </w:pPr>
            <w:r w:rsidRPr="00D73E47">
              <w:rPr>
                <w:sz w:val="28"/>
                <w:szCs w:val="28"/>
              </w:rPr>
              <w:lastRenderedPageBreak/>
              <w:t>7. Cita informācija</w:t>
            </w:r>
          </w:p>
        </w:tc>
        <w:tc>
          <w:tcPr>
            <w:tcW w:w="6453" w:type="dxa"/>
            <w:gridSpan w:val="5"/>
            <w:tcBorders>
              <w:top w:val="single" w:sz="4" w:space="0" w:color="auto"/>
            </w:tcBorders>
          </w:tcPr>
          <w:p w:rsidR="00972C4B" w:rsidRPr="00D73E47" w:rsidRDefault="00972C4B" w:rsidP="00972C4B">
            <w:pPr>
              <w:jc w:val="both"/>
              <w:rPr>
                <w:sz w:val="28"/>
                <w:szCs w:val="28"/>
              </w:rPr>
            </w:pPr>
            <w:r w:rsidRPr="00D73E47">
              <w:rPr>
                <w:sz w:val="28"/>
                <w:szCs w:val="28"/>
              </w:rPr>
              <w:t>Valsts ieņēmumu dienesta informācijas sistēmu izmaiņu veikšanai nepieciešamais finansējums:</w:t>
            </w:r>
          </w:p>
          <w:tbl>
            <w:tblPr>
              <w:tblW w:w="5521" w:type="dxa"/>
              <w:tblCellMar>
                <w:left w:w="0" w:type="dxa"/>
                <w:right w:w="0" w:type="dxa"/>
              </w:tblCellMar>
              <w:tblLook w:val="04A0" w:firstRow="1" w:lastRow="0" w:firstColumn="1" w:lastColumn="0" w:noHBand="0" w:noVBand="1"/>
            </w:tblPr>
            <w:tblGrid>
              <w:gridCol w:w="4153"/>
              <w:gridCol w:w="1368"/>
            </w:tblGrid>
            <w:tr w:rsidR="00972C4B" w:rsidRPr="00D73E47" w:rsidTr="00CB6949">
              <w:trPr>
                <w:trHeight w:val="600"/>
              </w:trPr>
              <w:tc>
                <w:tcPr>
                  <w:tcW w:w="415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972C4B" w:rsidRPr="00D73E47" w:rsidRDefault="00972C4B" w:rsidP="00CB6949">
                  <w:pPr>
                    <w:rPr>
                      <w:rFonts w:eastAsia="Calibri"/>
                      <w:sz w:val="28"/>
                      <w:szCs w:val="28"/>
                    </w:rPr>
                  </w:pPr>
                  <w:r w:rsidRPr="00D73E47">
                    <w:rPr>
                      <w:sz w:val="28"/>
                      <w:szCs w:val="28"/>
                    </w:rPr>
                    <w:t>Valsts ieņēmumu dienesta informācijas sistēma</w:t>
                  </w:r>
                </w:p>
              </w:tc>
              <w:tc>
                <w:tcPr>
                  <w:tcW w:w="13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972C4B" w:rsidRPr="00D73E47" w:rsidRDefault="00972C4B" w:rsidP="00CB6949">
                  <w:pPr>
                    <w:jc w:val="both"/>
                    <w:rPr>
                      <w:rFonts w:eastAsia="Calibri"/>
                      <w:sz w:val="28"/>
                      <w:szCs w:val="28"/>
                    </w:rPr>
                  </w:pPr>
                  <w:r w:rsidRPr="00D73E47">
                    <w:rPr>
                      <w:sz w:val="28"/>
                      <w:szCs w:val="28"/>
                    </w:rPr>
                    <w:t xml:space="preserve">Izmaksas, </w:t>
                  </w:r>
                  <w:r w:rsidRPr="00D73E47">
                    <w:rPr>
                      <w:i/>
                      <w:iCs/>
                      <w:sz w:val="28"/>
                      <w:szCs w:val="28"/>
                    </w:rPr>
                    <w:t>euro</w:t>
                  </w:r>
                </w:p>
              </w:tc>
            </w:tr>
            <w:tr w:rsidR="00972C4B" w:rsidRPr="00D73E47" w:rsidTr="00CB6949">
              <w:trPr>
                <w:trHeight w:val="300"/>
              </w:trPr>
              <w:tc>
                <w:tcPr>
                  <w:tcW w:w="41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72C4B" w:rsidRPr="00D73E47" w:rsidRDefault="00972C4B" w:rsidP="00CB6949">
                  <w:pPr>
                    <w:jc w:val="both"/>
                    <w:rPr>
                      <w:rFonts w:eastAsia="Calibri"/>
                      <w:sz w:val="28"/>
                      <w:szCs w:val="28"/>
                    </w:rPr>
                  </w:pPr>
                  <w:r w:rsidRPr="00D73E47">
                    <w:rPr>
                      <w:sz w:val="28"/>
                      <w:szCs w:val="28"/>
                    </w:rPr>
                    <w:t>Nodokļu informācijas sistēma</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72C4B" w:rsidRPr="00D73E47" w:rsidRDefault="007A3252" w:rsidP="00B344D3">
                  <w:pPr>
                    <w:jc w:val="both"/>
                    <w:rPr>
                      <w:sz w:val="28"/>
                      <w:szCs w:val="28"/>
                    </w:rPr>
                  </w:pPr>
                  <w:r w:rsidRPr="00D73E47">
                    <w:rPr>
                      <w:sz w:val="28"/>
                      <w:szCs w:val="28"/>
                    </w:rPr>
                    <w:t>4 596 </w:t>
                  </w:r>
                </w:p>
              </w:tc>
            </w:tr>
            <w:tr w:rsidR="00972C4B" w:rsidRPr="00D73E47" w:rsidTr="00CB6949">
              <w:trPr>
                <w:trHeight w:val="300"/>
              </w:trPr>
              <w:tc>
                <w:tcPr>
                  <w:tcW w:w="41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72C4B" w:rsidRPr="00D73E47" w:rsidRDefault="00972C4B" w:rsidP="00CB6949">
                  <w:pPr>
                    <w:jc w:val="both"/>
                    <w:rPr>
                      <w:rFonts w:eastAsia="Calibri"/>
                      <w:sz w:val="28"/>
                      <w:szCs w:val="28"/>
                    </w:rPr>
                  </w:pPr>
                  <w:r w:rsidRPr="00D73E47">
                    <w:rPr>
                      <w:sz w:val="28"/>
                      <w:szCs w:val="28"/>
                    </w:rPr>
                    <w:t>Elektroniskās deklarēšanas sistēma</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72C4B" w:rsidRPr="00D73E47" w:rsidRDefault="007A3252" w:rsidP="00B344D3">
                  <w:pPr>
                    <w:jc w:val="both"/>
                    <w:rPr>
                      <w:sz w:val="28"/>
                      <w:szCs w:val="28"/>
                    </w:rPr>
                  </w:pPr>
                  <w:r w:rsidRPr="00D73E47">
                    <w:rPr>
                      <w:sz w:val="28"/>
                      <w:szCs w:val="28"/>
                    </w:rPr>
                    <w:t>5 554 </w:t>
                  </w:r>
                </w:p>
              </w:tc>
            </w:tr>
            <w:tr w:rsidR="00972C4B" w:rsidRPr="00D73E47" w:rsidTr="00CB6949">
              <w:trPr>
                <w:trHeight w:val="285"/>
              </w:trPr>
              <w:tc>
                <w:tcPr>
                  <w:tcW w:w="4153"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72C4B" w:rsidRPr="00D73E47" w:rsidRDefault="00972C4B" w:rsidP="00CB6949">
                  <w:pPr>
                    <w:jc w:val="both"/>
                    <w:rPr>
                      <w:rFonts w:eastAsia="Calibri"/>
                      <w:bCs/>
                      <w:sz w:val="28"/>
                      <w:szCs w:val="28"/>
                    </w:rPr>
                  </w:pPr>
                  <w:r w:rsidRPr="00D73E47">
                    <w:rPr>
                      <w:bCs/>
                      <w:sz w:val="28"/>
                      <w:szCs w:val="28"/>
                    </w:rPr>
                    <w:t>Kopā</w:t>
                  </w:r>
                </w:p>
              </w:tc>
              <w:tc>
                <w:tcPr>
                  <w:tcW w:w="1368"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972C4B" w:rsidRPr="00D73E47" w:rsidRDefault="00FA5FBF" w:rsidP="00B344D3">
                  <w:pPr>
                    <w:jc w:val="both"/>
                    <w:rPr>
                      <w:rFonts w:eastAsia="Calibri"/>
                      <w:bCs/>
                      <w:sz w:val="28"/>
                      <w:szCs w:val="28"/>
                    </w:rPr>
                  </w:pPr>
                  <w:r w:rsidRPr="00D73E47">
                    <w:rPr>
                      <w:sz w:val="28"/>
                      <w:szCs w:val="28"/>
                    </w:rPr>
                    <w:t>10 150</w:t>
                  </w:r>
                  <w:r w:rsidR="007A3252" w:rsidRPr="00D73E47">
                    <w:rPr>
                      <w:sz w:val="28"/>
                      <w:szCs w:val="28"/>
                    </w:rPr>
                    <w:t> </w:t>
                  </w:r>
                </w:p>
              </w:tc>
            </w:tr>
          </w:tbl>
          <w:p w:rsidR="00B344D3" w:rsidRPr="00D73E47" w:rsidRDefault="00B344D3" w:rsidP="00972C4B">
            <w:pPr>
              <w:pStyle w:val="naisf"/>
              <w:spacing w:before="0" w:after="0"/>
              <w:ind w:firstLine="30"/>
              <w:rPr>
                <w:sz w:val="28"/>
                <w:szCs w:val="28"/>
              </w:rPr>
            </w:pPr>
          </w:p>
          <w:p w:rsidR="00972C4B" w:rsidRPr="00D73E47" w:rsidRDefault="00972C4B" w:rsidP="00972C4B">
            <w:pPr>
              <w:pStyle w:val="naisf"/>
              <w:spacing w:before="0" w:after="0"/>
              <w:ind w:firstLine="30"/>
              <w:rPr>
                <w:sz w:val="28"/>
                <w:szCs w:val="28"/>
              </w:rPr>
            </w:pPr>
            <w:r w:rsidRPr="00D73E47">
              <w:rPr>
                <w:sz w:val="28"/>
                <w:szCs w:val="28"/>
              </w:rPr>
              <w:t>Nepieciešamā finansējuma summā ir iekļauta nepieciešamo izmaiņu projektēšana un īstenošana Nodokļu informācijas sistēmā</w:t>
            </w:r>
            <w:r w:rsidR="00A11143" w:rsidRPr="00D73E47">
              <w:rPr>
                <w:sz w:val="28"/>
                <w:szCs w:val="28"/>
              </w:rPr>
              <w:t xml:space="preserve"> un</w:t>
            </w:r>
            <w:r w:rsidR="00B344D3" w:rsidRPr="00D73E47">
              <w:rPr>
                <w:sz w:val="28"/>
                <w:szCs w:val="28"/>
              </w:rPr>
              <w:t xml:space="preserve"> </w:t>
            </w:r>
            <w:r w:rsidRPr="00D73E47">
              <w:rPr>
                <w:sz w:val="28"/>
                <w:szCs w:val="28"/>
              </w:rPr>
              <w:t>Ele</w:t>
            </w:r>
            <w:r w:rsidR="005F020A" w:rsidRPr="00D73E47">
              <w:rPr>
                <w:sz w:val="28"/>
                <w:szCs w:val="28"/>
              </w:rPr>
              <w:t>k</w:t>
            </w:r>
            <w:r w:rsidR="00B344D3" w:rsidRPr="00D73E47">
              <w:rPr>
                <w:sz w:val="28"/>
                <w:szCs w:val="28"/>
              </w:rPr>
              <w:t>troniskās deklarēšanas sistēmā</w:t>
            </w:r>
            <w:r w:rsidRPr="00D73E47">
              <w:rPr>
                <w:sz w:val="28"/>
                <w:szCs w:val="28"/>
              </w:rPr>
              <w:t>.</w:t>
            </w:r>
          </w:p>
          <w:p w:rsidR="00C73E98" w:rsidRPr="00D73E47" w:rsidRDefault="007202CD">
            <w:pPr>
              <w:pStyle w:val="naisf"/>
              <w:spacing w:before="0" w:after="0"/>
              <w:ind w:firstLine="30"/>
              <w:rPr>
                <w:bCs/>
                <w:sz w:val="28"/>
                <w:szCs w:val="28"/>
              </w:rPr>
            </w:pPr>
            <w:r w:rsidRPr="00D73E47">
              <w:rPr>
                <w:sz w:val="28"/>
                <w:szCs w:val="28"/>
              </w:rPr>
              <w:t>Valsts ieņēmumu dienesta informācijas sistēmu izmaiņu veikšanai nepieciešamais finansējums</w:t>
            </w:r>
            <w:r w:rsidRPr="00D73E47" w:rsidDel="00D6578B">
              <w:rPr>
                <w:bCs/>
                <w:sz w:val="28"/>
                <w:szCs w:val="28"/>
              </w:rPr>
              <w:t xml:space="preserve"> </w:t>
            </w:r>
            <w:r w:rsidRPr="00D73E47">
              <w:rPr>
                <w:bCs/>
                <w:sz w:val="28"/>
                <w:szCs w:val="28"/>
              </w:rPr>
              <w:t xml:space="preserve">tiks nodrošināts Valsts ieņēmumu dienesta </w:t>
            </w:r>
            <w:r w:rsidRPr="00D73E47">
              <w:rPr>
                <w:sz w:val="28"/>
                <w:szCs w:val="28"/>
              </w:rPr>
              <w:t>budžeta programmas 33.00.00 “Valsts ieņēmumu un muitas politikas nodrošināšana”</w:t>
            </w:r>
            <w:r w:rsidRPr="00D73E47">
              <w:rPr>
                <w:bCs/>
                <w:sz w:val="28"/>
                <w:szCs w:val="28"/>
              </w:rPr>
              <w:t xml:space="preserve"> ietvaros.</w:t>
            </w:r>
          </w:p>
        </w:tc>
      </w:tr>
    </w:tbl>
    <w:p w:rsidR="00BF2464" w:rsidRPr="00D73E47" w:rsidRDefault="00BF2464">
      <w:pPr>
        <w:rPr>
          <w:sz w:val="28"/>
          <w:szCs w:val="28"/>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ED0B51" w:rsidRPr="00D73E47" w:rsidTr="00F14184">
        <w:trPr>
          <w:trHeight w:val="381"/>
          <w:jc w:val="center"/>
        </w:trPr>
        <w:tc>
          <w:tcPr>
            <w:tcW w:w="9518" w:type="dxa"/>
            <w:gridSpan w:val="3"/>
            <w:vAlign w:val="center"/>
          </w:tcPr>
          <w:p w:rsidR="00594655" w:rsidRPr="00D73E47" w:rsidRDefault="00594655" w:rsidP="00F14184">
            <w:pPr>
              <w:pStyle w:val="naisnod"/>
              <w:spacing w:before="0" w:after="0"/>
              <w:ind w:left="57" w:right="57"/>
              <w:rPr>
                <w:sz w:val="28"/>
                <w:szCs w:val="28"/>
              </w:rPr>
            </w:pPr>
            <w:r w:rsidRPr="00D73E47">
              <w:rPr>
                <w:sz w:val="28"/>
                <w:szCs w:val="28"/>
              </w:rPr>
              <w:t>VI. Sabiedrības līdzdalība un komunikācijas aktivitātes</w:t>
            </w:r>
          </w:p>
        </w:tc>
      </w:tr>
      <w:tr w:rsidR="00ED0B51" w:rsidRPr="00D73E47" w:rsidTr="00F14184">
        <w:trPr>
          <w:trHeight w:val="427"/>
          <w:jc w:val="center"/>
        </w:trPr>
        <w:tc>
          <w:tcPr>
            <w:tcW w:w="437" w:type="dxa"/>
          </w:tcPr>
          <w:p w:rsidR="00594655" w:rsidRPr="00D73E47" w:rsidRDefault="00594655" w:rsidP="00F14184">
            <w:pPr>
              <w:pStyle w:val="naisnod"/>
              <w:spacing w:before="0" w:after="0"/>
              <w:ind w:left="57" w:right="57"/>
              <w:jc w:val="both"/>
              <w:rPr>
                <w:sz w:val="28"/>
                <w:szCs w:val="28"/>
              </w:rPr>
            </w:pPr>
            <w:r w:rsidRPr="00D73E47">
              <w:rPr>
                <w:b w:val="0"/>
                <w:bCs w:val="0"/>
                <w:sz w:val="28"/>
                <w:szCs w:val="28"/>
              </w:rPr>
              <w:t>1.</w:t>
            </w:r>
          </w:p>
        </w:tc>
        <w:tc>
          <w:tcPr>
            <w:tcW w:w="3615" w:type="dxa"/>
          </w:tcPr>
          <w:p w:rsidR="00594655" w:rsidRPr="00D73E47" w:rsidRDefault="00594655" w:rsidP="00F14184">
            <w:pPr>
              <w:pStyle w:val="naisf"/>
              <w:spacing w:before="0" w:after="0"/>
              <w:ind w:firstLine="0"/>
              <w:jc w:val="left"/>
              <w:rPr>
                <w:sz w:val="28"/>
                <w:szCs w:val="28"/>
              </w:rPr>
            </w:pPr>
            <w:r w:rsidRPr="00D73E47">
              <w:rPr>
                <w:sz w:val="28"/>
                <w:szCs w:val="28"/>
              </w:rPr>
              <w:t>Plānotās sabiedrības līdzdalības un komunikācijas aktivitātes saistībā ar projektu</w:t>
            </w:r>
          </w:p>
        </w:tc>
        <w:tc>
          <w:tcPr>
            <w:tcW w:w="5466" w:type="dxa"/>
          </w:tcPr>
          <w:p w:rsidR="00266223" w:rsidRPr="00D73E47" w:rsidRDefault="00EF7046" w:rsidP="005F698F">
            <w:pPr>
              <w:shd w:val="clear" w:color="auto" w:fill="FFFFFF"/>
              <w:jc w:val="both"/>
              <w:rPr>
                <w:iCs/>
                <w:sz w:val="28"/>
                <w:szCs w:val="28"/>
              </w:rPr>
            </w:pPr>
            <w:r w:rsidRPr="00D73E47">
              <w:rPr>
                <w:iCs/>
                <w:sz w:val="28"/>
                <w:szCs w:val="28"/>
              </w:rPr>
              <w:t>Informācija par projekta izstrādi publicēta Finanšu ministrijas mājas lapā sadaļā “Sabiedrības līdzdalība”.</w:t>
            </w:r>
          </w:p>
        </w:tc>
      </w:tr>
      <w:tr w:rsidR="00ED0B51" w:rsidRPr="00D73E47" w:rsidTr="00F14184">
        <w:trPr>
          <w:trHeight w:val="463"/>
          <w:jc w:val="center"/>
        </w:trPr>
        <w:tc>
          <w:tcPr>
            <w:tcW w:w="437" w:type="dxa"/>
          </w:tcPr>
          <w:p w:rsidR="00594655" w:rsidRPr="00D73E47" w:rsidRDefault="00594655" w:rsidP="00F14184">
            <w:pPr>
              <w:pStyle w:val="naisnod"/>
              <w:spacing w:before="0" w:after="0"/>
              <w:ind w:left="57" w:right="57"/>
              <w:jc w:val="both"/>
              <w:rPr>
                <w:sz w:val="28"/>
                <w:szCs w:val="28"/>
              </w:rPr>
            </w:pPr>
            <w:r w:rsidRPr="00D73E47">
              <w:rPr>
                <w:b w:val="0"/>
                <w:bCs w:val="0"/>
                <w:sz w:val="28"/>
                <w:szCs w:val="28"/>
              </w:rPr>
              <w:t>2.</w:t>
            </w:r>
          </w:p>
        </w:tc>
        <w:tc>
          <w:tcPr>
            <w:tcW w:w="3615" w:type="dxa"/>
          </w:tcPr>
          <w:p w:rsidR="00594655" w:rsidRPr="00D73E47" w:rsidRDefault="00594655" w:rsidP="00F14184">
            <w:pPr>
              <w:pStyle w:val="naisf"/>
              <w:spacing w:before="0" w:after="0"/>
              <w:ind w:firstLine="0"/>
              <w:jc w:val="left"/>
              <w:rPr>
                <w:sz w:val="28"/>
                <w:szCs w:val="28"/>
              </w:rPr>
            </w:pPr>
            <w:r w:rsidRPr="00D73E47">
              <w:rPr>
                <w:sz w:val="28"/>
                <w:szCs w:val="28"/>
              </w:rPr>
              <w:t>Sabiedrības līdzdalība projekta izstrādē</w:t>
            </w:r>
          </w:p>
        </w:tc>
        <w:tc>
          <w:tcPr>
            <w:tcW w:w="5466" w:type="dxa"/>
          </w:tcPr>
          <w:p w:rsidR="008C3135" w:rsidRPr="00D73E47" w:rsidRDefault="007855D7" w:rsidP="00201899">
            <w:pPr>
              <w:shd w:val="clear" w:color="auto" w:fill="FFFFFF"/>
              <w:jc w:val="both"/>
              <w:rPr>
                <w:sz w:val="28"/>
                <w:szCs w:val="28"/>
              </w:rPr>
            </w:pPr>
            <w:r w:rsidRPr="00D73E47">
              <w:rPr>
                <w:sz w:val="28"/>
                <w:szCs w:val="28"/>
              </w:rPr>
              <w:t>Punkts tiks precizēts pēc sabiedrības viedokļu saņemšanas.</w:t>
            </w:r>
          </w:p>
        </w:tc>
      </w:tr>
      <w:tr w:rsidR="00ED0B51" w:rsidRPr="00D73E47" w:rsidTr="00F14184">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594655" w:rsidRPr="00D73E47" w:rsidRDefault="00594655" w:rsidP="00F14184">
            <w:pPr>
              <w:pStyle w:val="naisnod"/>
              <w:spacing w:before="0" w:after="0"/>
              <w:ind w:left="57" w:right="57"/>
              <w:jc w:val="both"/>
              <w:rPr>
                <w:sz w:val="28"/>
                <w:szCs w:val="28"/>
              </w:rPr>
            </w:pPr>
            <w:r w:rsidRPr="00D73E47">
              <w:rPr>
                <w:b w:val="0"/>
                <w:bCs w:val="0"/>
                <w:sz w:val="28"/>
                <w:szCs w:val="28"/>
              </w:rPr>
              <w:t>3.</w:t>
            </w:r>
          </w:p>
        </w:tc>
        <w:tc>
          <w:tcPr>
            <w:tcW w:w="3615" w:type="dxa"/>
            <w:tcBorders>
              <w:top w:val="single" w:sz="4" w:space="0" w:color="auto"/>
              <w:left w:val="single" w:sz="4" w:space="0" w:color="auto"/>
              <w:bottom w:val="single" w:sz="4" w:space="0" w:color="auto"/>
              <w:right w:val="single" w:sz="4" w:space="0" w:color="auto"/>
            </w:tcBorders>
          </w:tcPr>
          <w:p w:rsidR="00594655" w:rsidRPr="00D73E47" w:rsidRDefault="00594655" w:rsidP="00F14184">
            <w:pPr>
              <w:pStyle w:val="naisf"/>
              <w:spacing w:before="0" w:after="0"/>
              <w:ind w:firstLine="0"/>
              <w:jc w:val="left"/>
              <w:rPr>
                <w:sz w:val="28"/>
                <w:szCs w:val="28"/>
              </w:rPr>
            </w:pPr>
            <w:r w:rsidRPr="00D73E47">
              <w:rPr>
                <w:sz w:val="28"/>
                <w:szCs w:val="28"/>
              </w:rPr>
              <w:t>Sabiedrības līdzdalības rezultāti</w:t>
            </w:r>
          </w:p>
        </w:tc>
        <w:tc>
          <w:tcPr>
            <w:tcW w:w="5466" w:type="dxa"/>
            <w:tcBorders>
              <w:top w:val="single" w:sz="4" w:space="0" w:color="auto"/>
              <w:left w:val="single" w:sz="4" w:space="0" w:color="auto"/>
              <w:bottom w:val="single" w:sz="4" w:space="0" w:color="auto"/>
              <w:right w:val="single" w:sz="4" w:space="0" w:color="auto"/>
            </w:tcBorders>
          </w:tcPr>
          <w:p w:rsidR="00354A6F" w:rsidRPr="00D73E47" w:rsidRDefault="007A7CC4" w:rsidP="007A7CC4">
            <w:pPr>
              <w:pStyle w:val="ListParagraph"/>
              <w:ind w:left="57" w:right="57"/>
              <w:jc w:val="both"/>
              <w:rPr>
                <w:sz w:val="28"/>
                <w:szCs w:val="28"/>
              </w:rPr>
            </w:pPr>
            <w:r w:rsidRPr="00D73E47">
              <w:rPr>
                <w:sz w:val="28"/>
                <w:szCs w:val="28"/>
              </w:rPr>
              <w:t>Punkts</w:t>
            </w:r>
            <w:r w:rsidR="0090235C" w:rsidRPr="00D73E47">
              <w:rPr>
                <w:sz w:val="28"/>
                <w:szCs w:val="28"/>
              </w:rPr>
              <w:t xml:space="preserve"> tiks precizēt</w:t>
            </w:r>
            <w:r w:rsidRPr="00D73E47">
              <w:rPr>
                <w:sz w:val="28"/>
                <w:szCs w:val="28"/>
              </w:rPr>
              <w:t>s</w:t>
            </w:r>
            <w:r w:rsidR="0090235C" w:rsidRPr="00D73E47">
              <w:rPr>
                <w:sz w:val="28"/>
                <w:szCs w:val="28"/>
              </w:rPr>
              <w:t xml:space="preserve"> pēc sabiedrības viedokļu saņemšanas.</w:t>
            </w:r>
          </w:p>
        </w:tc>
      </w:tr>
      <w:tr w:rsidR="00594655" w:rsidRPr="00D73E47" w:rsidTr="00F14184">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594655" w:rsidRPr="00D73E47" w:rsidRDefault="00594655" w:rsidP="00F14184">
            <w:pPr>
              <w:pStyle w:val="naisnod"/>
              <w:spacing w:before="0" w:after="0"/>
              <w:ind w:left="57" w:right="57"/>
              <w:jc w:val="both"/>
              <w:rPr>
                <w:b w:val="0"/>
                <w:bCs w:val="0"/>
                <w:sz w:val="28"/>
                <w:szCs w:val="28"/>
              </w:rPr>
            </w:pPr>
            <w:r w:rsidRPr="00D73E47">
              <w:rPr>
                <w:b w:val="0"/>
                <w:bCs w:val="0"/>
                <w:sz w:val="28"/>
                <w:szCs w:val="28"/>
              </w:rPr>
              <w:t>4.</w:t>
            </w:r>
          </w:p>
        </w:tc>
        <w:tc>
          <w:tcPr>
            <w:tcW w:w="3615" w:type="dxa"/>
            <w:tcBorders>
              <w:top w:val="single" w:sz="4" w:space="0" w:color="auto"/>
              <w:left w:val="single" w:sz="4" w:space="0" w:color="auto"/>
              <w:bottom w:val="single" w:sz="4" w:space="0" w:color="auto"/>
              <w:right w:val="single" w:sz="4" w:space="0" w:color="auto"/>
            </w:tcBorders>
          </w:tcPr>
          <w:p w:rsidR="00594655" w:rsidRPr="00D73E47" w:rsidRDefault="00594655" w:rsidP="00F14184">
            <w:pPr>
              <w:pStyle w:val="naisf"/>
              <w:spacing w:before="0" w:after="0"/>
              <w:ind w:firstLine="0"/>
              <w:jc w:val="left"/>
              <w:rPr>
                <w:sz w:val="28"/>
                <w:szCs w:val="28"/>
              </w:rPr>
            </w:pPr>
            <w:r w:rsidRPr="00D73E47">
              <w:rPr>
                <w:sz w:val="28"/>
                <w:szCs w:val="28"/>
              </w:rPr>
              <w:t>Cita informācija</w:t>
            </w:r>
          </w:p>
        </w:tc>
        <w:tc>
          <w:tcPr>
            <w:tcW w:w="5466" w:type="dxa"/>
            <w:tcBorders>
              <w:top w:val="single" w:sz="4" w:space="0" w:color="auto"/>
              <w:left w:val="single" w:sz="4" w:space="0" w:color="auto"/>
              <w:bottom w:val="single" w:sz="4" w:space="0" w:color="auto"/>
              <w:right w:val="single" w:sz="4" w:space="0" w:color="auto"/>
            </w:tcBorders>
          </w:tcPr>
          <w:p w:rsidR="00594655" w:rsidRPr="00D73E47" w:rsidRDefault="002C5DBA" w:rsidP="00B82A3E">
            <w:pPr>
              <w:ind w:left="57" w:right="57"/>
              <w:jc w:val="both"/>
              <w:rPr>
                <w:sz w:val="28"/>
                <w:szCs w:val="28"/>
              </w:rPr>
            </w:pPr>
            <w:r w:rsidRPr="00D73E47">
              <w:rPr>
                <w:sz w:val="28"/>
                <w:szCs w:val="28"/>
              </w:rPr>
              <w:t>Nav</w:t>
            </w:r>
          </w:p>
        </w:tc>
      </w:tr>
    </w:tbl>
    <w:p w:rsidR="00594655" w:rsidRPr="00D73E47" w:rsidRDefault="00594655">
      <w:pPr>
        <w:rPr>
          <w:sz w:val="28"/>
          <w:szCs w:val="28"/>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ED0B51" w:rsidRPr="00D73E47" w:rsidTr="00EE5A4F">
        <w:trPr>
          <w:trHeight w:val="381"/>
          <w:jc w:val="center"/>
        </w:trPr>
        <w:tc>
          <w:tcPr>
            <w:tcW w:w="9518" w:type="dxa"/>
            <w:gridSpan w:val="3"/>
            <w:vAlign w:val="center"/>
          </w:tcPr>
          <w:p w:rsidR="00D175E9" w:rsidRPr="00D73E47" w:rsidRDefault="00D175E9" w:rsidP="0089091C">
            <w:pPr>
              <w:pStyle w:val="naisnod"/>
              <w:spacing w:before="0" w:after="0"/>
              <w:ind w:left="57" w:right="57"/>
              <w:rPr>
                <w:sz w:val="28"/>
                <w:szCs w:val="28"/>
              </w:rPr>
            </w:pPr>
            <w:r w:rsidRPr="00D73E47">
              <w:rPr>
                <w:sz w:val="28"/>
                <w:szCs w:val="28"/>
              </w:rPr>
              <w:t>VII. Tiesību akta projekta izpildes nodrošināšana un tās ietekme uz institūcijām</w:t>
            </w:r>
          </w:p>
        </w:tc>
      </w:tr>
      <w:tr w:rsidR="00ED0B51" w:rsidRPr="00D73E47" w:rsidTr="00EE5A4F">
        <w:trPr>
          <w:trHeight w:val="427"/>
          <w:jc w:val="center"/>
        </w:trPr>
        <w:tc>
          <w:tcPr>
            <w:tcW w:w="437" w:type="dxa"/>
          </w:tcPr>
          <w:p w:rsidR="00D175E9" w:rsidRPr="00D73E47" w:rsidRDefault="00D175E9" w:rsidP="0089091C">
            <w:pPr>
              <w:pStyle w:val="naisnod"/>
              <w:spacing w:before="0" w:after="0"/>
              <w:ind w:left="57" w:right="57"/>
              <w:jc w:val="both"/>
              <w:rPr>
                <w:sz w:val="28"/>
                <w:szCs w:val="28"/>
              </w:rPr>
            </w:pPr>
            <w:r w:rsidRPr="00D73E47">
              <w:rPr>
                <w:b w:val="0"/>
                <w:bCs w:val="0"/>
                <w:sz w:val="28"/>
                <w:szCs w:val="28"/>
              </w:rPr>
              <w:t>1.</w:t>
            </w:r>
          </w:p>
        </w:tc>
        <w:tc>
          <w:tcPr>
            <w:tcW w:w="3615" w:type="dxa"/>
          </w:tcPr>
          <w:p w:rsidR="00D175E9" w:rsidRPr="00D73E47" w:rsidRDefault="00D175E9" w:rsidP="00846DA7">
            <w:pPr>
              <w:pStyle w:val="naisf"/>
              <w:spacing w:before="0" w:after="0"/>
              <w:ind w:firstLine="0"/>
              <w:jc w:val="left"/>
              <w:rPr>
                <w:sz w:val="28"/>
                <w:szCs w:val="28"/>
              </w:rPr>
            </w:pPr>
            <w:r w:rsidRPr="00D73E47">
              <w:rPr>
                <w:sz w:val="28"/>
                <w:szCs w:val="28"/>
              </w:rPr>
              <w:t>Projekta izpildē iesaistītās institūcijas</w:t>
            </w:r>
          </w:p>
        </w:tc>
        <w:tc>
          <w:tcPr>
            <w:tcW w:w="5466" w:type="dxa"/>
          </w:tcPr>
          <w:p w:rsidR="00D175E9" w:rsidRPr="00D73E47" w:rsidRDefault="004943A0" w:rsidP="0089091C">
            <w:pPr>
              <w:shd w:val="clear" w:color="auto" w:fill="FFFFFF"/>
              <w:jc w:val="both"/>
              <w:rPr>
                <w:sz w:val="28"/>
                <w:szCs w:val="28"/>
              </w:rPr>
            </w:pPr>
            <w:bookmarkStart w:id="2" w:name="p66"/>
            <w:bookmarkStart w:id="3" w:name="p67"/>
            <w:bookmarkStart w:id="4" w:name="p68"/>
            <w:bookmarkStart w:id="5" w:name="p69"/>
            <w:bookmarkEnd w:id="2"/>
            <w:bookmarkEnd w:id="3"/>
            <w:bookmarkEnd w:id="4"/>
            <w:bookmarkEnd w:id="5"/>
            <w:r w:rsidRPr="00D73E47">
              <w:rPr>
                <w:sz w:val="28"/>
                <w:szCs w:val="28"/>
              </w:rPr>
              <w:t>Normatīvā akta izpildi nodrošinās Valsts ieņēmumu dienests</w:t>
            </w:r>
            <w:r w:rsidR="00314432" w:rsidRPr="00D73E47">
              <w:rPr>
                <w:sz w:val="28"/>
                <w:szCs w:val="28"/>
              </w:rPr>
              <w:t>.</w:t>
            </w:r>
          </w:p>
        </w:tc>
      </w:tr>
      <w:tr w:rsidR="00ED0B51" w:rsidRPr="00D73E47" w:rsidTr="00EE5A4F">
        <w:trPr>
          <w:trHeight w:val="463"/>
          <w:jc w:val="center"/>
        </w:trPr>
        <w:tc>
          <w:tcPr>
            <w:tcW w:w="437" w:type="dxa"/>
          </w:tcPr>
          <w:p w:rsidR="00D175E9" w:rsidRPr="00D73E47" w:rsidRDefault="00D175E9" w:rsidP="0089091C">
            <w:pPr>
              <w:pStyle w:val="naisnod"/>
              <w:spacing w:before="0" w:after="0"/>
              <w:ind w:left="57" w:right="57"/>
              <w:jc w:val="both"/>
              <w:rPr>
                <w:sz w:val="28"/>
                <w:szCs w:val="28"/>
              </w:rPr>
            </w:pPr>
            <w:r w:rsidRPr="00D73E47">
              <w:rPr>
                <w:b w:val="0"/>
                <w:bCs w:val="0"/>
                <w:sz w:val="28"/>
                <w:szCs w:val="28"/>
              </w:rPr>
              <w:t>2.</w:t>
            </w:r>
          </w:p>
        </w:tc>
        <w:tc>
          <w:tcPr>
            <w:tcW w:w="3615" w:type="dxa"/>
          </w:tcPr>
          <w:p w:rsidR="00D175E9" w:rsidRPr="00D73E47" w:rsidRDefault="00D175E9" w:rsidP="00846DA7">
            <w:pPr>
              <w:pStyle w:val="naisf"/>
              <w:spacing w:before="0" w:after="0"/>
              <w:ind w:firstLine="0"/>
              <w:jc w:val="left"/>
              <w:rPr>
                <w:sz w:val="28"/>
                <w:szCs w:val="28"/>
              </w:rPr>
            </w:pPr>
            <w:r w:rsidRPr="00D73E47">
              <w:rPr>
                <w:sz w:val="28"/>
                <w:szCs w:val="28"/>
              </w:rPr>
              <w:t>Projekta izpildes ietekme uz pārvaldes funkcijām un institucionālo struktūru</w:t>
            </w:r>
          </w:p>
          <w:p w:rsidR="00D175E9" w:rsidRPr="00D73E47" w:rsidRDefault="00D175E9" w:rsidP="00BF2464">
            <w:pPr>
              <w:pStyle w:val="naisf"/>
              <w:spacing w:before="0" w:after="0"/>
              <w:ind w:firstLine="0"/>
              <w:jc w:val="left"/>
              <w:rPr>
                <w:sz w:val="28"/>
                <w:szCs w:val="28"/>
              </w:rPr>
            </w:pPr>
            <w:r w:rsidRPr="00D73E47">
              <w:rPr>
                <w:sz w:val="28"/>
                <w:szCs w:val="28"/>
              </w:rPr>
              <w:t>Jaunu institūciju izveide, esošu institūciju likvidācija vai reorga</w:t>
            </w:r>
            <w:r w:rsidRPr="00D73E47">
              <w:rPr>
                <w:sz w:val="28"/>
                <w:szCs w:val="28"/>
              </w:rPr>
              <w:softHyphen/>
              <w:t>nizācija, to ietekme uz institūcijas cilvēkresursiem</w:t>
            </w:r>
          </w:p>
        </w:tc>
        <w:tc>
          <w:tcPr>
            <w:tcW w:w="5466" w:type="dxa"/>
          </w:tcPr>
          <w:p w:rsidR="00D175E9" w:rsidRPr="00D73E47" w:rsidRDefault="007A0296" w:rsidP="00A438B6">
            <w:pPr>
              <w:shd w:val="clear" w:color="auto" w:fill="FFFFFF"/>
              <w:jc w:val="both"/>
              <w:rPr>
                <w:sz w:val="28"/>
                <w:szCs w:val="28"/>
              </w:rPr>
            </w:pPr>
            <w:r w:rsidRPr="00D73E47">
              <w:rPr>
                <w:sz w:val="28"/>
                <w:szCs w:val="28"/>
              </w:rPr>
              <w:t xml:space="preserve">Noteikumu projekta izpilde </w:t>
            </w:r>
            <w:r w:rsidR="004B1A0A" w:rsidRPr="00D73E47">
              <w:rPr>
                <w:sz w:val="28"/>
                <w:szCs w:val="28"/>
              </w:rPr>
              <w:t>nepaplašina un nesašaurina V</w:t>
            </w:r>
            <w:r w:rsidRPr="00D73E47">
              <w:rPr>
                <w:sz w:val="28"/>
                <w:szCs w:val="28"/>
              </w:rPr>
              <w:t>alsts ieņēmumu dienesta</w:t>
            </w:r>
            <w:r w:rsidR="004B1A0A" w:rsidRPr="00D73E47">
              <w:rPr>
                <w:sz w:val="28"/>
                <w:szCs w:val="28"/>
              </w:rPr>
              <w:t xml:space="preserve"> līdzšinējās</w:t>
            </w:r>
            <w:r w:rsidRPr="00D73E47">
              <w:rPr>
                <w:sz w:val="28"/>
                <w:szCs w:val="28"/>
              </w:rPr>
              <w:t xml:space="preserve"> fun</w:t>
            </w:r>
            <w:r w:rsidR="004B1A0A" w:rsidRPr="00D73E47">
              <w:rPr>
                <w:sz w:val="28"/>
                <w:szCs w:val="28"/>
              </w:rPr>
              <w:t xml:space="preserve">kcijas un </w:t>
            </w:r>
            <w:r w:rsidRPr="00D73E47">
              <w:rPr>
                <w:sz w:val="28"/>
                <w:szCs w:val="28"/>
              </w:rPr>
              <w:t>uzdevumus</w:t>
            </w:r>
            <w:r w:rsidR="004B1A0A" w:rsidRPr="00D73E47">
              <w:rPr>
                <w:sz w:val="28"/>
                <w:szCs w:val="28"/>
              </w:rPr>
              <w:t>, neietekmē pieejamos cilvēkresursus</w:t>
            </w:r>
            <w:r w:rsidR="00A438B6" w:rsidRPr="00D73E47">
              <w:rPr>
                <w:sz w:val="28"/>
                <w:szCs w:val="28"/>
              </w:rPr>
              <w:t>.</w:t>
            </w:r>
            <w:r w:rsidR="004B1A0A" w:rsidRPr="00D73E47">
              <w:rPr>
                <w:sz w:val="28"/>
                <w:szCs w:val="28"/>
              </w:rPr>
              <w:t xml:space="preserve"> </w:t>
            </w:r>
            <w:r w:rsidR="00A438B6" w:rsidRPr="00D73E47">
              <w:rPr>
                <w:sz w:val="28"/>
                <w:szCs w:val="28"/>
              </w:rPr>
              <w:t>N</w:t>
            </w:r>
            <w:r w:rsidR="004B1A0A" w:rsidRPr="00D73E47">
              <w:rPr>
                <w:sz w:val="28"/>
                <w:szCs w:val="28"/>
              </w:rPr>
              <w:t>oteikumu projekts nenosaka jaunas institūcijas veidošanu vai institūciju reorganizāciju un likvidāciju</w:t>
            </w:r>
            <w:r w:rsidR="00B308FE" w:rsidRPr="00D73E47">
              <w:rPr>
                <w:sz w:val="28"/>
                <w:szCs w:val="28"/>
              </w:rPr>
              <w:t>.</w:t>
            </w:r>
          </w:p>
        </w:tc>
      </w:tr>
      <w:tr w:rsidR="00D61D6C" w:rsidRPr="00D73E47" w:rsidTr="00EE5A4F">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D175E9" w:rsidRPr="00D73E47" w:rsidRDefault="00D175E9" w:rsidP="0089091C">
            <w:pPr>
              <w:pStyle w:val="naisnod"/>
              <w:spacing w:before="0" w:after="0"/>
              <w:ind w:left="57" w:right="57"/>
              <w:jc w:val="both"/>
              <w:rPr>
                <w:sz w:val="28"/>
                <w:szCs w:val="28"/>
              </w:rPr>
            </w:pPr>
            <w:r w:rsidRPr="00D73E47">
              <w:rPr>
                <w:b w:val="0"/>
                <w:bCs w:val="0"/>
                <w:sz w:val="28"/>
                <w:szCs w:val="28"/>
              </w:rPr>
              <w:t>3.</w:t>
            </w:r>
          </w:p>
        </w:tc>
        <w:tc>
          <w:tcPr>
            <w:tcW w:w="3615" w:type="dxa"/>
            <w:tcBorders>
              <w:top w:val="single" w:sz="4" w:space="0" w:color="auto"/>
              <w:left w:val="single" w:sz="4" w:space="0" w:color="auto"/>
              <w:bottom w:val="single" w:sz="4" w:space="0" w:color="auto"/>
              <w:right w:val="single" w:sz="4" w:space="0" w:color="auto"/>
            </w:tcBorders>
          </w:tcPr>
          <w:p w:rsidR="00D175E9" w:rsidRPr="00D73E47" w:rsidRDefault="00D175E9" w:rsidP="00846DA7">
            <w:pPr>
              <w:pStyle w:val="naisf"/>
              <w:spacing w:before="0" w:after="0"/>
              <w:ind w:firstLine="0"/>
              <w:jc w:val="left"/>
              <w:rPr>
                <w:sz w:val="28"/>
                <w:szCs w:val="28"/>
              </w:rPr>
            </w:pPr>
            <w:r w:rsidRPr="00D73E47">
              <w:rPr>
                <w:sz w:val="28"/>
                <w:szCs w:val="28"/>
              </w:rPr>
              <w:t>Cita informācija</w:t>
            </w:r>
          </w:p>
        </w:tc>
        <w:tc>
          <w:tcPr>
            <w:tcW w:w="5466" w:type="dxa"/>
            <w:tcBorders>
              <w:top w:val="single" w:sz="4" w:space="0" w:color="auto"/>
              <w:left w:val="single" w:sz="4" w:space="0" w:color="auto"/>
              <w:bottom w:val="single" w:sz="4" w:space="0" w:color="auto"/>
              <w:right w:val="single" w:sz="4" w:space="0" w:color="auto"/>
            </w:tcBorders>
          </w:tcPr>
          <w:p w:rsidR="00D175E9" w:rsidRPr="00D73E47" w:rsidRDefault="00D175E9" w:rsidP="004943A0">
            <w:pPr>
              <w:ind w:left="57" w:right="57"/>
              <w:jc w:val="both"/>
              <w:rPr>
                <w:sz w:val="28"/>
                <w:szCs w:val="28"/>
              </w:rPr>
            </w:pPr>
            <w:r w:rsidRPr="00D73E47">
              <w:rPr>
                <w:sz w:val="28"/>
                <w:szCs w:val="28"/>
              </w:rPr>
              <w:t>Nav</w:t>
            </w:r>
          </w:p>
        </w:tc>
      </w:tr>
    </w:tbl>
    <w:p w:rsidR="00EE5A4F" w:rsidRPr="00953BBF" w:rsidRDefault="00EE5A4F" w:rsidP="007756FB">
      <w:pPr>
        <w:rPr>
          <w:sz w:val="26"/>
          <w:szCs w:val="26"/>
        </w:rPr>
      </w:pPr>
    </w:p>
    <w:p w:rsidR="00977398" w:rsidRPr="00953BBF" w:rsidRDefault="00977398" w:rsidP="00BF2464">
      <w:pPr>
        <w:ind w:firstLine="720"/>
        <w:rPr>
          <w:sz w:val="26"/>
          <w:szCs w:val="26"/>
        </w:rPr>
      </w:pPr>
      <w:r w:rsidRPr="00953BBF">
        <w:rPr>
          <w:sz w:val="26"/>
          <w:szCs w:val="26"/>
        </w:rPr>
        <w:lastRenderedPageBreak/>
        <w:t xml:space="preserve">Anotācijas </w:t>
      </w:r>
      <w:r w:rsidR="007007BD" w:rsidRPr="00953BBF">
        <w:rPr>
          <w:sz w:val="26"/>
          <w:szCs w:val="26"/>
        </w:rPr>
        <w:t>IV</w:t>
      </w:r>
      <w:r w:rsidRPr="00953BBF">
        <w:rPr>
          <w:sz w:val="26"/>
          <w:szCs w:val="26"/>
        </w:rPr>
        <w:t xml:space="preserve"> un V sadaļa – projekts šīs jomas neskar.</w:t>
      </w:r>
    </w:p>
    <w:p w:rsidR="00E04EB1" w:rsidRPr="00953BBF" w:rsidRDefault="00E04EB1" w:rsidP="007756FB">
      <w:pPr>
        <w:rPr>
          <w:sz w:val="26"/>
          <w:szCs w:val="26"/>
        </w:rPr>
      </w:pPr>
    </w:p>
    <w:p w:rsidR="002B1E83" w:rsidRPr="00953BBF" w:rsidRDefault="002B1E83" w:rsidP="007756FB">
      <w:pPr>
        <w:rPr>
          <w:sz w:val="26"/>
          <w:szCs w:val="26"/>
        </w:rPr>
      </w:pPr>
    </w:p>
    <w:p w:rsidR="004526F5" w:rsidRPr="00635DB4" w:rsidRDefault="004526F5" w:rsidP="004526F5">
      <w:pPr>
        <w:tabs>
          <w:tab w:val="right" w:pos="9071"/>
        </w:tabs>
        <w:rPr>
          <w:color w:val="000000" w:themeColor="text1"/>
          <w:sz w:val="26"/>
          <w:szCs w:val="26"/>
        </w:rPr>
      </w:pPr>
      <w:r w:rsidRPr="00635DB4">
        <w:rPr>
          <w:color w:val="000000" w:themeColor="text1"/>
          <w:sz w:val="26"/>
          <w:szCs w:val="26"/>
        </w:rPr>
        <w:t>Finanšu ministre</w:t>
      </w:r>
      <w:r w:rsidRPr="00635DB4">
        <w:rPr>
          <w:color w:val="000000" w:themeColor="text1"/>
          <w:sz w:val="26"/>
          <w:szCs w:val="26"/>
        </w:rPr>
        <w:tab/>
      </w:r>
      <w:r w:rsidRPr="00635DB4">
        <w:rPr>
          <w:sz w:val="26"/>
          <w:szCs w:val="26"/>
        </w:rPr>
        <w:t>D.Reizniece-Ozola</w:t>
      </w:r>
    </w:p>
    <w:p w:rsidR="00B40F64" w:rsidRDefault="00B40F64" w:rsidP="007756FB">
      <w:pPr>
        <w:rPr>
          <w:sz w:val="26"/>
          <w:szCs w:val="26"/>
        </w:rPr>
      </w:pPr>
    </w:p>
    <w:p w:rsidR="008A171D" w:rsidRDefault="008A171D" w:rsidP="007756FB">
      <w:pPr>
        <w:rPr>
          <w:sz w:val="26"/>
          <w:szCs w:val="26"/>
        </w:rPr>
      </w:pPr>
    </w:p>
    <w:p w:rsidR="004478E5" w:rsidRDefault="004478E5" w:rsidP="00596D39">
      <w:pPr>
        <w:rPr>
          <w:sz w:val="22"/>
          <w:szCs w:val="22"/>
        </w:rPr>
      </w:pPr>
    </w:p>
    <w:p w:rsidR="00D90FE9" w:rsidRDefault="00D90FE9" w:rsidP="00596D39">
      <w:pPr>
        <w:rPr>
          <w:sz w:val="22"/>
          <w:szCs w:val="22"/>
        </w:rPr>
      </w:pPr>
    </w:p>
    <w:p w:rsidR="00262270" w:rsidRDefault="00262270" w:rsidP="00596D39">
      <w:pPr>
        <w:rPr>
          <w:sz w:val="22"/>
          <w:szCs w:val="22"/>
        </w:rPr>
      </w:pPr>
    </w:p>
    <w:p w:rsidR="00262270" w:rsidRDefault="00262270" w:rsidP="00596D39">
      <w:pPr>
        <w:rPr>
          <w:sz w:val="22"/>
          <w:szCs w:val="22"/>
        </w:rPr>
      </w:pPr>
    </w:p>
    <w:p w:rsidR="004478E5" w:rsidRDefault="004478E5" w:rsidP="00596D39">
      <w:pPr>
        <w:rPr>
          <w:sz w:val="22"/>
          <w:szCs w:val="22"/>
        </w:rPr>
      </w:pPr>
    </w:p>
    <w:p w:rsidR="002E5845" w:rsidRDefault="004478E5" w:rsidP="00596D39">
      <w:pPr>
        <w:rPr>
          <w:sz w:val="22"/>
          <w:szCs w:val="22"/>
        </w:rPr>
      </w:pPr>
      <w:r>
        <w:rPr>
          <w:sz w:val="22"/>
          <w:szCs w:val="22"/>
        </w:rPr>
        <w:t>Kudravecs</w:t>
      </w:r>
      <w:r w:rsidR="002E5845">
        <w:rPr>
          <w:sz w:val="22"/>
          <w:szCs w:val="22"/>
        </w:rPr>
        <w:t xml:space="preserve"> </w:t>
      </w:r>
      <w:r w:rsidR="00596D39" w:rsidRPr="00635DB4">
        <w:rPr>
          <w:sz w:val="22"/>
          <w:szCs w:val="22"/>
        </w:rPr>
        <w:t>6712</w:t>
      </w:r>
      <w:r>
        <w:rPr>
          <w:sz w:val="22"/>
          <w:szCs w:val="22"/>
        </w:rPr>
        <w:t>2042</w:t>
      </w:r>
    </w:p>
    <w:p w:rsidR="00B713F4" w:rsidRPr="00953BBF" w:rsidRDefault="004478E5" w:rsidP="00596D39">
      <w:pPr>
        <w:rPr>
          <w:sz w:val="26"/>
          <w:szCs w:val="26"/>
        </w:rPr>
      </w:pPr>
      <w:r>
        <w:rPr>
          <w:sz w:val="22"/>
          <w:szCs w:val="22"/>
        </w:rPr>
        <w:t>Diana.Kudravecs@vid.gov.lv</w:t>
      </w:r>
    </w:p>
    <w:sectPr w:rsidR="00B713F4" w:rsidRPr="00953BBF" w:rsidSect="00F602BC">
      <w:headerReference w:type="even" r:id="rId12"/>
      <w:headerReference w:type="default" r:id="rId13"/>
      <w:footerReference w:type="default" r:id="rId14"/>
      <w:footerReference w:type="first" r:id="rId15"/>
      <w:pgSz w:w="11906" w:h="16838" w:code="9"/>
      <w:pgMar w:top="1134" w:right="1134" w:bottom="1134" w:left="1701" w:header="70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AD" w:rsidRDefault="00A42CAD">
      <w:r>
        <w:separator/>
      </w:r>
    </w:p>
  </w:endnote>
  <w:endnote w:type="continuationSeparator" w:id="0">
    <w:p w:rsidR="00A42CAD" w:rsidRDefault="00A4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270" w:rsidRPr="002E5845" w:rsidRDefault="00262270" w:rsidP="00262270">
    <w:pPr>
      <w:pStyle w:val="naislab"/>
      <w:spacing w:before="0" w:after="0"/>
      <w:jc w:val="both"/>
      <w:rPr>
        <w:sz w:val="20"/>
        <w:szCs w:val="20"/>
      </w:rPr>
    </w:pPr>
    <w:r>
      <w:rPr>
        <w:sz w:val="20"/>
        <w:szCs w:val="20"/>
      </w:rPr>
      <w:t>FMAnot_</w:t>
    </w:r>
    <w:r w:rsidR="002E5845">
      <w:rPr>
        <w:sz w:val="20"/>
        <w:szCs w:val="20"/>
      </w:rPr>
      <w:t>0</w:t>
    </w:r>
    <w:r w:rsidR="003776CE">
      <w:rPr>
        <w:sz w:val="20"/>
        <w:szCs w:val="20"/>
      </w:rPr>
      <w:t>8</w:t>
    </w:r>
    <w:r w:rsidR="002600F1">
      <w:rPr>
        <w:sz w:val="20"/>
        <w:szCs w:val="20"/>
      </w:rPr>
      <w:t>06</w:t>
    </w:r>
    <w:r w:rsidR="002E5845">
      <w:rPr>
        <w:sz w:val="20"/>
        <w:szCs w:val="20"/>
      </w:rPr>
      <w:t>17</w:t>
    </w:r>
    <w:r>
      <w:rPr>
        <w:sz w:val="20"/>
        <w:szCs w:val="20"/>
      </w:rPr>
      <w:t>_MK</w:t>
    </w:r>
    <w:r w:rsidR="00D90FE9">
      <w:rPr>
        <w:sz w:val="20"/>
        <w:szCs w:val="20"/>
      </w:rPr>
      <w:t>3</w:t>
    </w:r>
    <w:r w:rsidR="00640CAF">
      <w:rPr>
        <w:sz w:val="20"/>
        <w:szCs w:val="20"/>
      </w:rPr>
      <w:t>_</w:t>
    </w:r>
    <w:r>
      <w:rPr>
        <w:sz w:val="20"/>
        <w:szCs w:val="20"/>
      </w:rPr>
      <w:t>groz</w:t>
    </w:r>
  </w:p>
  <w:p w:rsidR="00266223" w:rsidRPr="00262270" w:rsidRDefault="00266223" w:rsidP="002622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23" w:rsidRPr="00596D39" w:rsidRDefault="00596D39" w:rsidP="00635DB4">
    <w:pPr>
      <w:pStyle w:val="naislab"/>
      <w:spacing w:before="0" w:after="0"/>
      <w:jc w:val="both"/>
    </w:pPr>
    <w:r>
      <w:rPr>
        <w:sz w:val="20"/>
        <w:szCs w:val="20"/>
      </w:rPr>
      <w:t>FMAnot_</w:t>
    </w:r>
    <w:r w:rsidR="00201899">
      <w:rPr>
        <w:sz w:val="20"/>
        <w:szCs w:val="20"/>
      </w:rPr>
      <w:t>0</w:t>
    </w:r>
    <w:r w:rsidR="003776CE">
      <w:rPr>
        <w:sz w:val="20"/>
        <w:szCs w:val="20"/>
      </w:rPr>
      <w:t>8</w:t>
    </w:r>
    <w:r w:rsidR="00201899">
      <w:rPr>
        <w:sz w:val="20"/>
        <w:szCs w:val="20"/>
      </w:rPr>
      <w:t>0</w:t>
    </w:r>
    <w:r w:rsidR="00622E33">
      <w:rPr>
        <w:sz w:val="20"/>
        <w:szCs w:val="20"/>
      </w:rPr>
      <w:t>617</w:t>
    </w:r>
    <w:r w:rsidR="004478E5">
      <w:rPr>
        <w:sz w:val="20"/>
        <w:szCs w:val="20"/>
      </w:rPr>
      <w:t>_MK</w:t>
    </w:r>
    <w:r w:rsidR="005B0427">
      <w:rPr>
        <w:sz w:val="20"/>
        <w:szCs w:val="20"/>
      </w:rPr>
      <w:t>3</w:t>
    </w:r>
    <w:r w:rsidR="004478E5">
      <w:rPr>
        <w:sz w:val="20"/>
        <w:szCs w:val="20"/>
      </w:rPr>
      <w:t>_groz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AD" w:rsidRDefault="00A42CAD">
      <w:r>
        <w:separator/>
      </w:r>
    </w:p>
  </w:footnote>
  <w:footnote w:type="continuationSeparator" w:id="0">
    <w:p w:rsidR="00A42CAD" w:rsidRDefault="00A42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23" w:rsidRDefault="00266223"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6223" w:rsidRDefault="002662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23" w:rsidRDefault="00266223"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42B0">
      <w:rPr>
        <w:rStyle w:val="PageNumber"/>
        <w:noProof/>
      </w:rPr>
      <w:t>5</w:t>
    </w:r>
    <w:r>
      <w:rPr>
        <w:rStyle w:val="PageNumber"/>
      </w:rPr>
      <w:fldChar w:fldCharType="end"/>
    </w:r>
  </w:p>
  <w:p w:rsidR="00266223" w:rsidRDefault="002662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A83"/>
    <w:multiLevelType w:val="hybridMultilevel"/>
    <w:tmpl w:val="21620D9A"/>
    <w:lvl w:ilvl="0" w:tplc="A66CF7BA">
      <w:start w:val="1"/>
      <w:numFmt w:val="decimal"/>
      <w:lvlText w:val="%1)"/>
      <w:lvlJc w:val="left"/>
      <w:pPr>
        <w:ind w:left="795" w:hanging="43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69F2453"/>
    <w:multiLevelType w:val="hybridMultilevel"/>
    <w:tmpl w:val="B25275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D302E42"/>
    <w:multiLevelType w:val="hybridMultilevel"/>
    <w:tmpl w:val="193C73CE"/>
    <w:lvl w:ilvl="0" w:tplc="04260011">
      <w:start w:val="1"/>
      <w:numFmt w:val="decimal"/>
      <w:lvlText w:val="%1)"/>
      <w:lvlJc w:val="left"/>
      <w:pPr>
        <w:ind w:left="788" w:hanging="360"/>
      </w:pPr>
      <w:rPr>
        <w:rFonts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3">
    <w:nsid w:val="106B1484"/>
    <w:multiLevelType w:val="hybridMultilevel"/>
    <w:tmpl w:val="1E10A724"/>
    <w:lvl w:ilvl="0" w:tplc="1FBCE5EC">
      <w:start w:val="1"/>
      <w:numFmt w:val="decimal"/>
      <w:lvlText w:val="%1)"/>
      <w:lvlJc w:val="left"/>
      <w:pPr>
        <w:ind w:left="1561" w:hanging="960"/>
      </w:pPr>
      <w:rPr>
        <w:rFonts w:cs="Times New Roman" w:hint="default"/>
      </w:rPr>
    </w:lvl>
    <w:lvl w:ilvl="1" w:tplc="04260019" w:tentative="1">
      <w:start w:val="1"/>
      <w:numFmt w:val="lowerLetter"/>
      <w:lvlText w:val="%2."/>
      <w:lvlJc w:val="left"/>
      <w:pPr>
        <w:ind w:left="1681" w:hanging="360"/>
      </w:pPr>
      <w:rPr>
        <w:rFonts w:cs="Times New Roman"/>
      </w:rPr>
    </w:lvl>
    <w:lvl w:ilvl="2" w:tplc="0426001B" w:tentative="1">
      <w:start w:val="1"/>
      <w:numFmt w:val="lowerRoman"/>
      <w:lvlText w:val="%3."/>
      <w:lvlJc w:val="right"/>
      <w:pPr>
        <w:ind w:left="2401" w:hanging="180"/>
      </w:pPr>
      <w:rPr>
        <w:rFonts w:cs="Times New Roman"/>
      </w:rPr>
    </w:lvl>
    <w:lvl w:ilvl="3" w:tplc="0426000F" w:tentative="1">
      <w:start w:val="1"/>
      <w:numFmt w:val="decimal"/>
      <w:lvlText w:val="%4."/>
      <w:lvlJc w:val="left"/>
      <w:pPr>
        <w:ind w:left="3121" w:hanging="360"/>
      </w:pPr>
      <w:rPr>
        <w:rFonts w:cs="Times New Roman"/>
      </w:rPr>
    </w:lvl>
    <w:lvl w:ilvl="4" w:tplc="04260019" w:tentative="1">
      <w:start w:val="1"/>
      <w:numFmt w:val="lowerLetter"/>
      <w:lvlText w:val="%5."/>
      <w:lvlJc w:val="left"/>
      <w:pPr>
        <w:ind w:left="3841" w:hanging="360"/>
      </w:pPr>
      <w:rPr>
        <w:rFonts w:cs="Times New Roman"/>
      </w:rPr>
    </w:lvl>
    <w:lvl w:ilvl="5" w:tplc="0426001B" w:tentative="1">
      <w:start w:val="1"/>
      <w:numFmt w:val="lowerRoman"/>
      <w:lvlText w:val="%6."/>
      <w:lvlJc w:val="right"/>
      <w:pPr>
        <w:ind w:left="4561" w:hanging="180"/>
      </w:pPr>
      <w:rPr>
        <w:rFonts w:cs="Times New Roman"/>
      </w:rPr>
    </w:lvl>
    <w:lvl w:ilvl="6" w:tplc="0426000F" w:tentative="1">
      <w:start w:val="1"/>
      <w:numFmt w:val="decimal"/>
      <w:lvlText w:val="%7."/>
      <w:lvlJc w:val="left"/>
      <w:pPr>
        <w:ind w:left="5281" w:hanging="360"/>
      </w:pPr>
      <w:rPr>
        <w:rFonts w:cs="Times New Roman"/>
      </w:rPr>
    </w:lvl>
    <w:lvl w:ilvl="7" w:tplc="04260019" w:tentative="1">
      <w:start w:val="1"/>
      <w:numFmt w:val="lowerLetter"/>
      <w:lvlText w:val="%8."/>
      <w:lvlJc w:val="left"/>
      <w:pPr>
        <w:ind w:left="6001" w:hanging="360"/>
      </w:pPr>
      <w:rPr>
        <w:rFonts w:cs="Times New Roman"/>
      </w:rPr>
    </w:lvl>
    <w:lvl w:ilvl="8" w:tplc="0426001B" w:tentative="1">
      <w:start w:val="1"/>
      <w:numFmt w:val="lowerRoman"/>
      <w:lvlText w:val="%9."/>
      <w:lvlJc w:val="right"/>
      <w:pPr>
        <w:ind w:left="6721" w:hanging="180"/>
      </w:pPr>
      <w:rPr>
        <w:rFonts w:cs="Times New Roman"/>
      </w:rPr>
    </w:lvl>
  </w:abstractNum>
  <w:abstractNum w:abstractNumId="4">
    <w:nsid w:val="12533795"/>
    <w:multiLevelType w:val="hybridMultilevel"/>
    <w:tmpl w:val="5D621676"/>
    <w:lvl w:ilvl="0" w:tplc="8BC23408">
      <w:start w:val="3"/>
      <w:numFmt w:val="bullet"/>
      <w:lvlText w:val="-"/>
      <w:lvlJc w:val="left"/>
      <w:pPr>
        <w:ind w:left="720" w:hanging="360"/>
      </w:pPr>
      <w:rPr>
        <w:rFonts w:ascii="Times New Roman" w:eastAsia="Times New Roman" w:hAnsi="Times New Roman" w:cs="Times New Roman" w:hint="default"/>
        <w:b w:val="0"/>
        <w:i w:val="0"/>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909278D"/>
    <w:multiLevelType w:val="hybridMultilevel"/>
    <w:tmpl w:val="38EE7E92"/>
    <w:lvl w:ilvl="0" w:tplc="7BAE266A">
      <w:start w:val="1"/>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1FFE7C0F"/>
    <w:multiLevelType w:val="hybridMultilevel"/>
    <w:tmpl w:val="86B41DC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4F33257"/>
    <w:multiLevelType w:val="hybridMultilevel"/>
    <w:tmpl w:val="2BAE39E4"/>
    <w:lvl w:ilvl="0" w:tplc="0B9E106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nsid w:val="38361F8F"/>
    <w:multiLevelType w:val="hybridMultilevel"/>
    <w:tmpl w:val="D7B269A0"/>
    <w:lvl w:ilvl="0" w:tplc="18EA453E">
      <w:start w:val="2013"/>
      <w:numFmt w:val="bullet"/>
      <w:lvlText w:val="-"/>
      <w:lvlJc w:val="left"/>
      <w:pPr>
        <w:ind w:left="735" w:hanging="375"/>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B2C3A4B"/>
    <w:multiLevelType w:val="hybridMultilevel"/>
    <w:tmpl w:val="D8C21B5A"/>
    <w:lvl w:ilvl="0" w:tplc="E8DCFCF4">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F141D08"/>
    <w:multiLevelType w:val="hybridMultilevel"/>
    <w:tmpl w:val="EFE81D3C"/>
    <w:lvl w:ilvl="0" w:tplc="FF6462E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415269E"/>
    <w:multiLevelType w:val="hybridMultilevel"/>
    <w:tmpl w:val="5E0686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9C26E2D"/>
    <w:multiLevelType w:val="hybridMultilevel"/>
    <w:tmpl w:val="13D2E4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7C03AF0"/>
    <w:multiLevelType w:val="hybridMultilevel"/>
    <w:tmpl w:val="08A4F5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84C305C"/>
    <w:multiLevelType w:val="hybridMultilevel"/>
    <w:tmpl w:val="11F2EF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E9B3391"/>
    <w:multiLevelType w:val="hybridMultilevel"/>
    <w:tmpl w:val="04F479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F482352"/>
    <w:multiLevelType w:val="hybridMultilevel"/>
    <w:tmpl w:val="D5A4B682"/>
    <w:lvl w:ilvl="0" w:tplc="18EA453E">
      <w:start w:val="2013"/>
      <w:numFmt w:val="bullet"/>
      <w:lvlText w:val="-"/>
      <w:lvlJc w:val="left"/>
      <w:pPr>
        <w:ind w:left="615" w:hanging="360"/>
      </w:pPr>
      <w:rPr>
        <w:rFonts w:ascii="Times New Roman" w:eastAsia="Times New Roman" w:hAnsi="Times New Roman" w:cs="Times New Roman" w:hint="default"/>
      </w:rPr>
    </w:lvl>
    <w:lvl w:ilvl="1" w:tplc="04260003" w:tentative="1">
      <w:start w:val="1"/>
      <w:numFmt w:val="bullet"/>
      <w:lvlText w:val="o"/>
      <w:lvlJc w:val="left"/>
      <w:pPr>
        <w:ind w:left="1335" w:hanging="360"/>
      </w:pPr>
      <w:rPr>
        <w:rFonts w:ascii="Courier New" w:hAnsi="Courier New" w:cs="Courier New" w:hint="default"/>
      </w:rPr>
    </w:lvl>
    <w:lvl w:ilvl="2" w:tplc="04260005" w:tentative="1">
      <w:start w:val="1"/>
      <w:numFmt w:val="bullet"/>
      <w:lvlText w:val=""/>
      <w:lvlJc w:val="left"/>
      <w:pPr>
        <w:ind w:left="2055" w:hanging="360"/>
      </w:pPr>
      <w:rPr>
        <w:rFonts w:ascii="Wingdings" w:hAnsi="Wingdings" w:hint="default"/>
      </w:rPr>
    </w:lvl>
    <w:lvl w:ilvl="3" w:tplc="04260001" w:tentative="1">
      <w:start w:val="1"/>
      <w:numFmt w:val="bullet"/>
      <w:lvlText w:val=""/>
      <w:lvlJc w:val="left"/>
      <w:pPr>
        <w:ind w:left="2775" w:hanging="360"/>
      </w:pPr>
      <w:rPr>
        <w:rFonts w:ascii="Symbol" w:hAnsi="Symbol" w:hint="default"/>
      </w:rPr>
    </w:lvl>
    <w:lvl w:ilvl="4" w:tplc="04260003" w:tentative="1">
      <w:start w:val="1"/>
      <w:numFmt w:val="bullet"/>
      <w:lvlText w:val="o"/>
      <w:lvlJc w:val="left"/>
      <w:pPr>
        <w:ind w:left="3495" w:hanging="360"/>
      </w:pPr>
      <w:rPr>
        <w:rFonts w:ascii="Courier New" w:hAnsi="Courier New" w:cs="Courier New" w:hint="default"/>
      </w:rPr>
    </w:lvl>
    <w:lvl w:ilvl="5" w:tplc="04260005" w:tentative="1">
      <w:start w:val="1"/>
      <w:numFmt w:val="bullet"/>
      <w:lvlText w:val=""/>
      <w:lvlJc w:val="left"/>
      <w:pPr>
        <w:ind w:left="4215" w:hanging="360"/>
      </w:pPr>
      <w:rPr>
        <w:rFonts w:ascii="Wingdings" w:hAnsi="Wingdings" w:hint="default"/>
      </w:rPr>
    </w:lvl>
    <w:lvl w:ilvl="6" w:tplc="04260001" w:tentative="1">
      <w:start w:val="1"/>
      <w:numFmt w:val="bullet"/>
      <w:lvlText w:val=""/>
      <w:lvlJc w:val="left"/>
      <w:pPr>
        <w:ind w:left="4935" w:hanging="360"/>
      </w:pPr>
      <w:rPr>
        <w:rFonts w:ascii="Symbol" w:hAnsi="Symbol" w:hint="default"/>
      </w:rPr>
    </w:lvl>
    <w:lvl w:ilvl="7" w:tplc="04260003" w:tentative="1">
      <w:start w:val="1"/>
      <w:numFmt w:val="bullet"/>
      <w:lvlText w:val="o"/>
      <w:lvlJc w:val="left"/>
      <w:pPr>
        <w:ind w:left="5655" w:hanging="360"/>
      </w:pPr>
      <w:rPr>
        <w:rFonts w:ascii="Courier New" w:hAnsi="Courier New" w:cs="Courier New" w:hint="default"/>
      </w:rPr>
    </w:lvl>
    <w:lvl w:ilvl="8" w:tplc="04260005" w:tentative="1">
      <w:start w:val="1"/>
      <w:numFmt w:val="bullet"/>
      <w:lvlText w:val=""/>
      <w:lvlJc w:val="left"/>
      <w:pPr>
        <w:ind w:left="6375" w:hanging="360"/>
      </w:pPr>
      <w:rPr>
        <w:rFonts w:ascii="Wingdings" w:hAnsi="Wingdings" w:hint="default"/>
      </w:rPr>
    </w:lvl>
  </w:abstractNum>
  <w:abstractNum w:abstractNumId="17">
    <w:nsid w:val="64927190"/>
    <w:multiLevelType w:val="hybridMultilevel"/>
    <w:tmpl w:val="63C84EDA"/>
    <w:lvl w:ilvl="0" w:tplc="66380444">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8">
    <w:nsid w:val="66255F80"/>
    <w:multiLevelType w:val="hybridMultilevel"/>
    <w:tmpl w:val="1AF47D8E"/>
    <w:lvl w:ilvl="0" w:tplc="9BBE60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7BA2962"/>
    <w:multiLevelType w:val="hybridMultilevel"/>
    <w:tmpl w:val="9446B9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D035A99"/>
    <w:multiLevelType w:val="hybridMultilevel"/>
    <w:tmpl w:val="D818B846"/>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num w:numId="1">
    <w:abstractNumId w:val="9"/>
  </w:num>
  <w:num w:numId="2">
    <w:abstractNumId w:val="3"/>
  </w:num>
  <w:num w:numId="3">
    <w:abstractNumId w:val="0"/>
  </w:num>
  <w:num w:numId="4">
    <w:abstractNumId w:val="1"/>
  </w:num>
  <w:num w:numId="5">
    <w:abstractNumId w:val="11"/>
  </w:num>
  <w:num w:numId="6">
    <w:abstractNumId w:val="13"/>
  </w:num>
  <w:num w:numId="7">
    <w:abstractNumId w:val="15"/>
  </w:num>
  <w:num w:numId="8">
    <w:abstractNumId w:val="16"/>
  </w:num>
  <w:num w:numId="9">
    <w:abstractNumId w:val="5"/>
  </w:num>
  <w:num w:numId="10">
    <w:abstractNumId w:val="17"/>
  </w:num>
  <w:num w:numId="11">
    <w:abstractNumId w:val="20"/>
  </w:num>
  <w:num w:numId="12">
    <w:abstractNumId w:val="8"/>
  </w:num>
  <w:num w:numId="13">
    <w:abstractNumId w:val="18"/>
  </w:num>
  <w:num w:numId="14">
    <w:abstractNumId w:val="14"/>
  </w:num>
  <w:num w:numId="15">
    <w:abstractNumId w:val="19"/>
  </w:num>
  <w:num w:numId="16">
    <w:abstractNumId w:val="2"/>
  </w:num>
  <w:num w:numId="17">
    <w:abstractNumId w:val="12"/>
  </w:num>
  <w:num w:numId="18">
    <w:abstractNumId w:val="10"/>
  </w:num>
  <w:num w:numId="19">
    <w:abstractNumId w:val="6"/>
  </w:num>
  <w:num w:numId="20">
    <w:abstractNumId w:val="7"/>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lze Āboliņa TAD">
    <w15:presenceInfo w15:providerId="None" w15:userId="Ilze Āboliņa T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4F"/>
    <w:rsid w:val="00001C71"/>
    <w:rsid w:val="000038BE"/>
    <w:rsid w:val="00003B47"/>
    <w:rsid w:val="00003F31"/>
    <w:rsid w:val="00010695"/>
    <w:rsid w:val="000109DF"/>
    <w:rsid w:val="00015A7A"/>
    <w:rsid w:val="00016353"/>
    <w:rsid w:val="00020477"/>
    <w:rsid w:val="00021B35"/>
    <w:rsid w:val="0002259A"/>
    <w:rsid w:val="00024D4A"/>
    <w:rsid w:val="00030A00"/>
    <w:rsid w:val="00031A23"/>
    <w:rsid w:val="00032C63"/>
    <w:rsid w:val="00032DC8"/>
    <w:rsid w:val="000345E4"/>
    <w:rsid w:val="00036DE7"/>
    <w:rsid w:val="00037A67"/>
    <w:rsid w:val="00041308"/>
    <w:rsid w:val="000422AE"/>
    <w:rsid w:val="0004241A"/>
    <w:rsid w:val="00044F33"/>
    <w:rsid w:val="00045255"/>
    <w:rsid w:val="00055B0A"/>
    <w:rsid w:val="00060CF4"/>
    <w:rsid w:val="00062D2A"/>
    <w:rsid w:val="00067667"/>
    <w:rsid w:val="00073551"/>
    <w:rsid w:val="00073FF0"/>
    <w:rsid w:val="00074692"/>
    <w:rsid w:val="00075879"/>
    <w:rsid w:val="000758B5"/>
    <w:rsid w:val="00076C42"/>
    <w:rsid w:val="00077288"/>
    <w:rsid w:val="00077296"/>
    <w:rsid w:val="000814F3"/>
    <w:rsid w:val="00081DAB"/>
    <w:rsid w:val="00082F73"/>
    <w:rsid w:val="00084115"/>
    <w:rsid w:val="00085BB0"/>
    <w:rsid w:val="00086F07"/>
    <w:rsid w:val="000872C5"/>
    <w:rsid w:val="000905CE"/>
    <w:rsid w:val="00091D92"/>
    <w:rsid w:val="00092417"/>
    <w:rsid w:val="00093D0E"/>
    <w:rsid w:val="000A0B63"/>
    <w:rsid w:val="000A234E"/>
    <w:rsid w:val="000A345F"/>
    <w:rsid w:val="000A48F7"/>
    <w:rsid w:val="000A4B49"/>
    <w:rsid w:val="000A53A8"/>
    <w:rsid w:val="000A5842"/>
    <w:rsid w:val="000A5D45"/>
    <w:rsid w:val="000A646D"/>
    <w:rsid w:val="000B3304"/>
    <w:rsid w:val="000B528C"/>
    <w:rsid w:val="000B558D"/>
    <w:rsid w:val="000B6BEE"/>
    <w:rsid w:val="000B75B7"/>
    <w:rsid w:val="000C07F0"/>
    <w:rsid w:val="000C2F8D"/>
    <w:rsid w:val="000C3DD5"/>
    <w:rsid w:val="000C6017"/>
    <w:rsid w:val="000C6482"/>
    <w:rsid w:val="000C735A"/>
    <w:rsid w:val="000C73F6"/>
    <w:rsid w:val="000D6BD3"/>
    <w:rsid w:val="000D6F83"/>
    <w:rsid w:val="000E06A4"/>
    <w:rsid w:val="000E1960"/>
    <w:rsid w:val="000E1F16"/>
    <w:rsid w:val="000E2FFA"/>
    <w:rsid w:val="000E4755"/>
    <w:rsid w:val="000F148C"/>
    <w:rsid w:val="000F3065"/>
    <w:rsid w:val="000F3A07"/>
    <w:rsid w:val="000F5625"/>
    <w:rsid w:val="000F7CD5"/>
    <w:rsid w:val="00100989"/>
    <w:rsid w:val="001012AA"/>
    <w:rsid w:val="00101510"/>
    <w:rsid w:val="00102A21"/>
    <w:rsid w:val="0010375A"/>
    <w:rsid w:val="001065FC"/>
    <w:rsid w:val="00107764"/>
    <w:rsid w:val="00107902"/>
    <w:rsid w:val="00107D9C"/>
    <w:rsid w:val="001127E7"/>
    <w:rsid w:val="00112EFA"/>
    <w:rsid w:val="0011642A"/>
    <w:rsid w:val="001166D1"/>
    <w:rsid w:val="00117BDC"/>
    <w:rsid w:val="0012193A"/>
    <w:rsid w:val="00121C95"/>
    <w:rsid w:val="001311DC"/>
    <w:rsid w:val="001320BD"/>
    <w:rsid w:val="0013216F"/>
    <w:rsid w:val="00134066"/>
    <w:rsid w:val="0013471C"/>
    <w:rsid w:val="0013500B"/>
    <w:rsid w:val="001350E3"/>
    <w:rsid w:val="00142138"/>
    <w:rsid w:val="00142AB7"/>
    <w:rsid w:val="00142DF2"/>
    <w:rsid w:val="001443FC"/>
    <w:rsid w:val="00144CDD"/>
    <w:rsid w:val="001451D8"/>
    <w:rsid w:val="0015172F"/>
    <w:rsid w:val="00151DD1"/>
    <w:rsid w:val="00152C84"/>
    <w:rsid w:val="00152D5E"/>
    <w:rsid w:val="00153263"/>
    <w:rsid w:val="0015482E"/>
    <w:rsid w:val="00154A6D"/>
    <w:rsid w:val="0015730F"/>
    <w:rsid w:val="00157510"/>
    <w:rsid w:val="00160335"/>
    <w:rsid w:val="00161814"/>
    <w:rsid w:val="00162C4C"/>
    <w:rsid w:val="00164AB4"/>
    <w:rsid w:val="001660D4"/>
    <w:rsid w:val="0016693A"/>
    <w:rsid w:val="0016754D"/>
    <w:rsid w:val="00170AC9"/>
    <w:rsid w:val="001755AD"/>
    <w:rsid w:val="00182B74"/>
    <w:rsid w:val="001850CF"/>
    <w:rsid w:val="00186082"/>
    <w:rsid w:val="00187174"/>
    <w:rsid w:val="001916C0"/>
    <w:rsid w:val="001942D4"/>
    <w:rsid w:val="00196D4F"/>
    <w:rsid w:val="001975C7"/>
    <w:rsid w:val="001A0CD1"/>
    <w:rsid w:val="001A0D5C"/>
    <w:rsid w:val="001A33AE"/>
    <w:rsid w:val="001A36A4"/>
    <w:rsid w:val="001A487B"/>
    <w:rsid w:val="001A6116"/>
    <w:rsid w:val="001A6C18"/>
    <w:rsid w:val="001B077D"/>
    <w:rsid w:val="001B0F07"/>
    <w:rsid w:val="001B2712"/>
    <w:rsid w:val="001B33E1"/>
    <w:rsid w:val="001B4056"/>
    <w:rsid w:val="001B530E"/>
    <w:rsid w:val="001B6E27"/>
    <w:rsid w:val="001B76CE"/>
    <w:rsid w:val="001B7D81"/>
    <w:rsid w:val="001C063D"/>
    <w:rsid w:val="001C53C5"/>
    <w:rsid w:val="001C6D98"/>
    <w:rsid w:val="001C7060"/>
    <w:rsid w:val="001C7ACB"/>
    <w:rsid w:val="001C7EFB"/>
    <w:rsid w:val="001D168F"/>
    <w:rsid w:val="001D5D32"/>
    <w:rsid w:val="001D73D4"/>
    <w:rsid w:val="001E09C2"/>
    <w:rsid w:val="001E2A93"/>
    <w:rsid w:val="001F0353"/>
    <w:rsid w:val="001F23CC"/>
    <w:rsid w:val="001F3AC9"/>
    <w:rsid w:val="001F4F4B"/>
    <w:rsid w:val="001F648E"/>
    <w:rsid w:val="002007A1"/>
    <w:rsid w:val="00200CBA"/>
    <w:rsid w:val="00201899"/>
    <w:rsid w:val="00202CE1"/>
    <w:rsid w:val="00220085"/>
    <w:rsid w:val="002205CC"/>
    <w:rsid w:val="00220B00"/>
    <w:rsid w:val="002230C9"/>
    <w:rsid w:val="00223CF6"/>
    <w:rsid w:val="002268EF"/>
    <w:rsid w:val="002300CB"/>
    <w:rsid w:val="00230AA5"/>
    <w:rsid w:val="00231184"/>
    <w:rsid w:val="00231E45"/>
    <w:rsid w:val="00233BD0"/>
    <w:rsid w:val="00234546"/>
    <w:rsid w:val="002347BF"/>
    <w:rsid w:val="0023501B"/>
    <w:rsid w:val="002359C6"/>
    <w:rsid w:val="00235A8C"/>
    <w:rsid w:val="0024124F"/>
    <w:rsid w:val="00242F3A"/>
    <w:rsid w:val="00243CFE"/>
    <w:rsid w:val="0024446B"/>
    <w:rsid w:val="00244AD9"/>
    <w:rsid w:val="00246D9C"/>
    <w:rsid w:val="00250872"/>
    <w:rsid w:val="002515C2"/>
    <w:rsid w:val="00254C81"/>
    <w:rsid w:val="0025683C"/>
    <w:rsid w:val="00257B71"/>
    <w:rsid w:val="002600F1"/>
    <w:rsid w:val="00260464"/>
    <w:rsid w:val="00262270"/>
    <w:rsid w:val="00262598"/>
    <w:rsid w:val="002641E8"/>
    <w:rsid w:val="00266223"/>
    <w:rsid w:val="00267711"/>
    <w:rsid w:val="00270C83"/>
    <w:rsid w:val="00270F4A"/>
    <w:rsid w:val="00271A80"/>
    <w:rsid w:val="0027384B"/>
    <w:rsid w:val="00274A87"/>
    <w:rsid w:val="002757DE"/>
    <w:rsid w:val="00275C11"/>
    <w:rsid w:val="002829BB"/>
    <w:rsid w:val="00282D0F"/>
    <w:rsid w:val="00284496"/>
    <w:rsid w:val="00284B7C"/>
    <w:rsid w:val="00284F4A"/>
    <w:rsid w:val="0028500A"/>
    <w:rsid w:val="002870F5"/>
    <w:rsid w:val="00290801"/>
    <w:rsid w:val="00291E30"/>
    <w:rsid w:val="00292B1F"/>
    <w:rsid w:val="00292CDE"/>
    <w:rsid w:val="00293C07"/>
    <w:rsid w:val="00294287"/>
    <w:rsid w:val="00294A3C"/>
    <w:rsid w:val="00296449"/>
    <w:rsid w:val="002A0ADC"/>
    <w:rsid w:val="002A154B"/>
    <w:rsid w:val="002A16F5"/>
    <w:rsid w:val="002A6AF1"/>
    <w:rsid w:val="002B106A"/>
    <w:rsid w:val="002B19AB"/>
    <w:rsid w:val="002B1E83"/>
    <w:rsid w:val="002B367E"/>
    <w:rsid w:val="002B3F6C"/>
    <w:rsid w:val="002B7E98"/>
    <w:rsid w:val="002C0F02"/>
    <w:rsid w:val="002C2088"/>
    <w:rsid w:val="002C25E3"/>
    <w:rsid w:val="002C2FE2"/>
    <w:rsid w:val="002C443F"/>
    <w:rsid w:val="002C5BD5"/>
    <w:rsid w:val="002C5DBA"/>
    <w:rsid w:val="002C665B"/>
    <w:rsid w:val="002C6D1F"/>
    <w:rsid w:val="002D019E"/>
    <w:rsid w:val="002D373A"/>
    <w:rsid w:val="002D7D23"/>
    <w:rsid w:val="002E1ABA"/>
    <w:rsid w:val="002E257A"/>
    <w:rsid w:val="002E2973"/>
    <w:rsid w:val="002E3E26"/>
    <w:rsid w:val="002E4893"/>
    <w:rsid w:val="002E50FD"/>
    <w:rsid w:val="002E5845"/>
    <w:rsid w:val="002E629C"/>
    <w:rsid w:val="002F4B88"/>
    <w:rsid w:val="002F4C6B"/>
    <w:rsid w:val="002F6E8B"/>
    <w:rsid w:val="002F71A5"/>
    <w:rsid w:val="00301A82"/>
    <w:rsid w:val="00304A8A"/>
    <w:rsid w:val="00304D65"/>
    <w:rsid w:val="00306ADD"/>
    <w:rsid w:val="00306BB5"/>
    <w:rsid w:val="00307F62"/>
    <w:rsid w:val="00310376"/>
    <w:rsid w:val="0031278B"/>
    <w:rsid w:val="003131FF"/>
    <w:rsid w:val="00314432"/>
    <w:rsid w:val="003170E0"/>
    <w:rsid w:val="0032116B"/>
    <w:rsid w:val="003231F5"/>
    <w:rsid w:val="00324570"/>
    <w:rsid w:val="00324A5D"/>
    <w:rsid w:val="003260B9"/>
    <w:rsid w:val="00330826"/>
    <w:rsid w:val="003372D0"/>
    <w:rsid w:val="003402B0"/>
    <w:rsid w:val="003403B9"/>
    <w:rsid w:val="00341A2C"/>
    <w:rsid w:val="00343F57"/>
    <w:rsid w:val="00345B4C"/>
    <w:rsid w:val="00345C5E"/>
    <w:rsid w:val="003512C8"/>
    <w:rsid w:val="003513CF"/>
    <w:rsid w:val="00352217"/>
    <w:rsid w:val="003537C1"/>
    <w:rsid w:val="0035460C"/>
    <w:rsid w:val="00354A6F"/>
    <w:rsid w:val="00355774"/>
    <w:rsid w:val="00357EBA"/>
    <w:rsid w:val="00357F7C"/>
    <w:rsid w:val="003613AA"/>
    <w:rsid w:val="00366209"/>
    <w:rsid w:val="003665CF"/>
    <w:rsid w:val="00367691"/>
    <w:rsid w:val="0037109E"/>
    <w:rsid w:val="00372823"/>
    <w:rsid w:val="0037290F"/>
    <w:rsid w:val="00372E43"/>
    <w:rsid w:val="003746C8"/>
    <w:rsid w:val="00375562"/>
    <w:rsid w:val="00376F0E"/>
    <w:rsid w:val="003776CE"/>
    <w:rsid w:val="00377BE7"/>
    <w:rsid w:val="003804CD"/>
    <w:rsid w:val="00382C17"/>
    <w:rsid w:val="0038306F"/>
    <w:rsid w:val="00384CBD"/>
    <w:rsid w:val="00387B30"/>
    <w:rsid w:val="00390C7C"/>
    <w:rsid w:val="00391124"/>
    <w:rsid w:val="003916EE"/>
    <w:rsid w:val="00396B11"/>
    <w:rsid w:val="003979C7"/>
    <w:rsid w:val="003A0C5F"/>
    <w:rsid w:val="003A1772"/>
    <w:rsid w:val="003A7FB5"/>
    <w:rsid w:val="003B3655"/>
    <w:rsid w:val="003B3E89"/>
    <w:rsid w:val="003B411A"/>
    <w:rsid w:val="003B4CAE"/>
    <w:rsid w:val="003B790B"/>
    <w:rsid w:val="003C237A"/>
    <w:rsid w:val="003C30E2"/>
    <w:rsid w:val="003C642A"/>
    <w:rsid w:val="003D0712"/>
    <w:rsid w:val="003D0CFE"/>
    <w:rsid w:val="003D35D3"/>
    <w:rsid w:val="003D5A01"/>
    <w:rsid w:val="003D71EE"/>
    <w:rsid w:val="003D7C05"/>
    <w:rsid w:val="003E3BB1"/>
    <w:rsid w:val="003E3CA3"/>
    <w:rsid w:val="003E659D"/>
    <w:rsid w:val="003E6FD1"/>
    <w:rsid w:val="003E7CAE"/>
    <w:rsid w:val="003F2E64"/>
    <w:rsid w:val="003F3DA5"/>
    <w:rsid w:val="003F3F16"/>
    <w:rsid w:val="003F4933"/>
    <w:rsid w:val="003F5A1B"/>
    <w:rsid w:val="003F5B66"/>
    <w:rsid w:val="00400754"/>
    <w:rsid w:val="00401BE8"/>
    <w:rsid w:val="00402250"/>
    <w:rsid w:val="00403090"/>
    <w:rsid w:val="00403704"/>
    <w:rsid w:val="00403888"/>
    <w:rsid w:val="004041F4"/>
    <w:rsid w:val="004068E5"/>
    <w:rsid w:val="004103AA"/>
    <w:rsid w:val="00411DBE"/>
    <w:rsid w:val="00412F42"/>
    <w:rsid w:val="00415204"/>
    <w:rsid w:val="00417F66"/>
    <w:rsid w:val="004204CB"/>
    <w:rsid w:val="004216A8"/>
    <w:rsid w:val="004249C8"/>
    <w:rsid w:val="00424B8B"/>
    <w:rsid w:val="00424DC6"/>
    <w:rsid w:val="004271EC"/>
    <w:rsid w:val="00432F00"/>
    <w:rsid w:val="004337BA"/>
    <w:rsid w:val="00434B1B"/>
    <w:rsid w:val="00434DC0"/>
    <w:rsid w:val="00436D4E"/>
    <w:rsid w:val="004402AD"/>
    <w:rsid w:val="004404BD"/>
    <w:rsid w:val="0044251A"/>
    <w:rsid w:val="00442C65"/>
    <w:rsid w:val="004453FB"/>
    <w:rsid w:val="004478E5"/>
    <w:rsid w:val="004526F5"/>
    <w:rsid w:val="00452F83"/>
    <w:rsid w:val="00454C08"/>
    <w:rsid w:val="004551B7"/>
    <w:rsid w:val="004552FA"/>
    <w:rsid w:val="00456B10"/>
    <w:rsid w:val="00457BF8"/>
    <w:rsid w:val="00460173"/>
    <w:rsid w:val="00460694"/>
    <w:rsid w:val="00461601"/>
    <w:rsid w:val="004618C1"/>
    <w:rsid w:val="00462036"/>
    <w:rsid w:val="0046217D"/>
    <w:rsid w:val="004634B3"/>
    <w:rsid w:val="00463CBF"/>
    <w:rsid w:val="004672AB"/>
    <w:rsid w:val="00467ED0"/>
    <w:rsid w:val="00470034"/>
    <w:rsid w:val="004729F6"/>
    <w:rsid w:val="004738CF"/>
    <w:rsid w:val="00474685"/>
    <w:rsid w:val="004800A1"/>
    <w:rsid w:val="00480580"/>
    <w:rsid w:val="00482DEA"/>
    <w:rsid w:val="0048311F"/>
    <w:rsid w:val="00483499"/>
    <w:rsid w:val="00490E60"/>
    <w:rsid w:val="00491BD7"/>
    <w:rsid w:val="00492699"/>
    <w:rsid w:val="00492E0C"/>
    <w:rsid w:val="00493009"/>
    <w:rsid w:val="004933D4"/>
    <w:rsid w:val="00493932"/>
    <w:rsid w:val="004943A0"/>
    <w:rsid w:val="004969A9"/>
    <w:rsid w:val="004A6129"/>
    <w:rsid w:val="004A7720"/>
    <w:rsid w:val="004A79ED"/>
    <w:rsid w:val="004B19EE"/>
    <w:rsid w:val="004B1A0A"/>
    <w:rsid w:val="004B2092"/>
    <w:rsid w:val="004B36C5"/>
    <w:rsid w:val="004B4045"/>
    <w:rsid w:val="004B4667"/>
    <w:rsid w:val="004B4F88"/>
    <w:rsid w:val="004B5F66"/>
    <w:rsid w:val="004C050A"/>
    <w:rsid w:val="004C2632"/>
    <w:rsid w:val="004C2705"/>
    <w:rsid w:val="004C64A4"/>
    <w:rsid w:val="004D04AA"/>
    <w:rsid w:val="004D1C84"/>
    <w:rsid w:val="004D42EC"/>
    <w:rsid w:val="004D76A5"/>
    <w:rsid w:val="004E0951"/>
    <w:rsid w:val="004E0D38"/>
    <w:rsid w:val="004E147E"/>
    <w:rsid w:val="004E4573"/>
    <w:rsid w:val="004E5BDC"/>
    <w:rsid w:val="004E5F1F"/>
    <w:rsid w:val="004E6076"/>
    <w:rsid w:val="004E683A"/>
    <w:rsid w:val="004F1B4F"/>
    <w:rsid w:val="004F22CC"/>
    <w:rsid w:val="004F3395"/>
    <w:rsid w:val="004F56AF"/>
    <w:rsid w:val="004F7B81"/>
    <w:rsid w:val="005032A7"/>
    <w:rsid w:val="005048F8"/>
    <w:rsid w:val="005103BA"/>
    <w:rsid w:val="00516ECD"/>
    <w:rsid w:val="00517046"/>
    <w:rsid w:val="00517BEE"/>
    <w:rsid w:val="005232F6"/>
    <w:rsid w:val="00524F45"/>
    <w:rsid w:val="00526F56"/>
    <w:rsid w:val="00527E2A"/>
    <w:rsid w:val="005356A0"/>
    <w:rsid w:val="00537051"/>
    <w:rsid w:val="00541893"/>
    <w:rsid w:val="00543F39"/>
    <w:rsid w:val="00547F35"/>
    <w:rsid w:val="005524C9"/>
    <w:rsid w:val="00556C36"/>
    <w:rsid w:val="005571CE"/>
    <w:rsid w:val="00562268"/>
    <w:rsid w:val="00563974"/>
    <w:rsid w:val="005652D9"/>
    <w:rsid w:val="0057002D"/>
    <w:rsid w:val="00570C0F"/>
    <w:rsid w:val="00571950"/>
    <w:rsid w:val="00573867"/>
    <w:rsid w:val="005748E3"/>
    <w:rsid w:val="00577AEB"/>
    <w:rsid w:val="00584DAB"/>
    <w:rsid w:val="005864CF"/>
    <w:rsid w:val="005910B1"/>
    <w:rsid w:val="00594655"/>
    <w:rsid w:val="00596D39"/>
    <w:rsid w:val="005A020D"/>
    <w:rsid w:val="005B0427"/>
    <w:rsid w:val="005B1CB3"/>
    <w:rsid w:val="005B2A82"/>
    <w:rsid w:val="005B5961"/>
    <w:rsid w:val="005B67BD"/>
    <w:rsid w:val="005C17D4"/>
    <w:rsid w:val="005C1EEC"/>
    <w:rsid w:val="005C25A3"/>
    <w:rsid w:val="005C3DC4"/>
    <w:rsid w:val="005C3FD7"/>
    <w:rsid w:val="005C49BE"/>
    <w:rsid w:val="005C4CD6"/>
    <w:rsid w:val="005C5803"/>
    <w:rsid w:val="005C584D"/>
    <w:rsid w:val="005C7E95"/>
    <w:rsid w:val="005D1383"/>
    <w:rsid w:val="005D2404"/>
    <w:rsid w:val="005D35F5"/>
    <w:rsid w:val="005D4E24"/>
    <w:rsid w:val="005D60B8"/>
    <w:rsid w:val="005E0FE3"/>
    <w:rsid w:val="005E28F5"/>
    <w:rsid w:val="005E72E7"/>
    <w:rsid w:val="005F020A"/>
    <w:rsid w:val="005F1981"/>
    <w:rsid w:val="005F199A"/>
    <w:rsid w:val="005F3353"/>
    <w:rsid w:val="005F58F3"/>
    <w:rsid w:val="005F6646"/>
    <w:rsid w:val="005F698F"/>
    <w:rsid w:val="0060204F"/>
    <w:rsid w:val="00603BC1"/>
    <w:rsid w:val="0061103D"/>
    <w:rsid w:val="00612351"/>
    <w:rsid w:val="0061368D"/>
    <w:rsid w:val="00615DC4"/>
    <w:rsid w:val="006162DA"/>
    <w:rsid w:val="00621AD7"/>
    <w:rsid w:val="00622E33"/>
    <w:rsid w:val="00624D1E"/>
    <w:rsid w:val="00624E57"/>
    <w:rsid w:val="0062656C"/>
    <w:rsid w:val="00630A87"/>
    <w:rsid w:val="00631D1D"/>
    <w:rsid w:val="00635DB4"/>
    <w:rsid w:val="00637959"/>
    <w:rsid w:val="00640CAF"/>
    <w:rsid w:val="00641C87"/>
    <w:rsid w:val="00643EAB"/>
    <w:rsid w:val="00646DD6"/>
    <w:rsid w:val="00647CF2"/>
    <w:rsid w:val="00650250"/>
    <w:rsid w:val="0065188A"/>
    <w:rsid w:val="00651F03"/>
    <w:rsid w:val="00652498"/>
    <w:rsid w:val="0065302E"/>
    <w:rsid w:val="006554B1"/>
    <w:rsid w:val="00656019"/>
    <w:rsid w:val="00657D42"/>
    <w:rsid w:val="00660223"/>
    <w:rsid w:val="006608FB"/>
    <w:rsid w:val="00663DC1"/>
    <w:rsid w:val="006655C3"/>
    <w:rsid w:val="00666B6A"/>
    <w:rsid w:val="00672467"/>
    <w:rsid w:val="00672710"/>
    <w:rsid w:val="00672763"/>
    <w:rsid w:val="00675268"/>
    <w:rsid w:val="00677437"/>
    <w:rsid w:val="00682D3B"/>
    <w:rsid w:val="00684766"/>
    <w:rsid w:val="00685326"/>
    <w:rsid w:val="006855E7"/>
    <w:rsid w:val="006865FE"/>
    <w:rsid w:val="00686CAE"/>
    <w:rsid w:val="006909A4"/>
    <w:rsid w:val="00691F40"/>
    <w:rsid w:val="006924F7"/>
    <w:rsid w:val="00692A40"/>
    <w:rsid w:val="0069327A"/>
    <w:rsid w:val="00694740"/>
    <w:rsid w:val="00696E84"/>
    <w:rsid w:val="006A3F47"/>
    <w:rsid w:val="006A58A9"/>
    <w:rsid w:val="006A6EE7"/>
    <w:rsid w:val="006A7A60"/>
    <w:rsid w:val="006B0070"/>
    <w:rsid w:val="006B0D28"/>
    <w:rsid w:val="006B1B31"/>
    <w:rsid w:val="006B1B83"/>
    <w:rsid w:val="006B3DDE"/>
    <w:rsid w:val="006B4310"/>
    <w:rsid w:val="006B4B80"/>
    <w:rsid w:val="006B5AEE"/>
    <w:rsid w:val="006C120F"/>
    <w:rsid w:val="006C1CF4"/>
    <w:rsid w:val="006C4098"/>
    <w:rsid w:val="006C4340"/>
    <w:rsid w:val="006C5BB3"/>
    <w:rsid w:val="006C7023"/>
    <w:rsid w:val="006D27B2"/>
    <w:rsid w:val="006D342E"/>
    <w:rsid w:val="006D64E8"/>
    <w:rsid w:val="006E2B8F"/>
    <w:rsid w:val="006E3BF2"/>
    <w:rsid w:val="006F2BD0"/>
    <w:rsid w:val="006F3364"/>
    <w:rsid w:val="006F4081"/>
    <w:rsid w:val="006F6B4C"/>
    <w:rsid w:val="006F701B"/>
    <w:rsid w:val="006F789E"/>
    <w:rsid w:val="007007BD"/>
    <w:rsid w:val="00702067"/>
    <w:rsid w:val="00702A49"/>
    <w:rsid w:val="00705659"/>
    <w:rsid w:val="00706328"/>
    <w:rsid w:val="0070693C"/>
    <w:rsid w:val="00706B39"/>
    <w:rsid w:val="007118F7"/>
    <w:rsid w:val="007146F2"/>
    <w:rsid w:val="00714D1B"/>
    <w:rsid w:val="0071539B"/>
    <w:rsid w:val="007202CD"/>
    <w:rsid w:val="00721844"/>
    <w:rsid w:val="00722A85"/>
    <w:rsid w:val="00725FDC"/>
    <w:rsid w:val="00732450"/>
    <w:rsid w:val="00733F23"/>
    <w:rsid w:val="00735A85"/>
    <w:rsid w:val="00735EF4"/>
    <w:rsid w:val="007401FE"/>
    <w:rsid w:val="00743410"/>
    <w:rsid w:val="0075262D"/>
    <w:rsid w:val="0075503B"/>
    <w:rsid w:val="00760640"/>
    <w:rsid w:val="00762522"/>
    <w:rsid w:val="00763853"/>
    <w:rsid w:val="0076494E"/>
    <w:rsid w:val="00764F14"/>
    <w:rsid w:val="007705E7"/>
    <w:rsid w:val="00772AA7"/>
    <w:rsid w:val="00772C67"/>
    <w:rsid w:val="00774CA6"/>
    <w:rsid w:val="007756FB"/>
    <w:rsid w:val="007804AB"/>
    <w:rsid w:val="007833F0"/>
    <w:rsid w:val="0078381A"/>
    <w:rsid w:val="007839EA"/>
    <w:rsid w:val="00783CB3"/>
    <w:rsid w:val="00784135"/>
    <w:rsid w:val="00784D84"/>
    <w:rsid w:val="007855D7"/>
    <w:rsid w:val="00785F87"/>
    <w:rsid w:val="00792283"/>
    <w:rsid w:val="00792933"/>
    <w:rsid w:val="007935FC"/>
    <w:rsid w:val="007939C8"/>
    <w:rsid w:val="007945A5"/>
    <w:rsid w:val="007961CD"/>
    <w:rsid w:val="007A0296"/>
    <w:rsid w:val="007A07C5"/>
    <w:rsid w:val="007A3252"/>
    <w:rsid w:val="007A3DA0"/>
    <w:rsid w:val="007A7CC4"/>
    <w:rsid w:val="007B066B"/>
    <w:rsid w:val="007B0D47"/>
    <w:rsid w:val="007B114F"/>
    <w:rsid w:val="007B1AE4"/>
    <w:rsid w:val="007B2E8C"/>
    <w:rsid w:val="007B41AF"/>
    <w:rsid w:val="007B5F73"/>
    <w:rsid w:val="007C0002"/>
    <w:rsid w:val="007C131E"/>
    <w:rsid w:val="007C1DD6"/>
    <w:rsid w:val="007C1DFC"/>
    <w:rsid w:val="007C4653"/>
    <w:rsid w:val="007C4D2C"/>
    <w:rsid w:val="007C78C3"/>
    <w:rsid w:val="007D0663"/>
    <w:rsid w:val="007D1A10"/>
    <w:rsid w:val="007D3366"/>
    <w:rsid w:val="007D5F85"/>
    <w:rsid w:val="007D6B8D"/>
    <w:rsid w:val="007E0F24"/>
    <w:rsid w:val="007E1BEC"/>
    <w:rsid w:val="007E2CF2"/>
    <w:rsid w:val="007E5F70"/>
    <w:rsid w:val="007E6D95"/>
    <w:rsid w:val="007E6DAA"/>
    <w:rsid w:val="007E7AF1"/>
    <w:rsid w:val="007F0F57"/>
    <w:rsid w:val="007F2674"/>
    <w:rsid w:val="007F37B3"/>
    <w:rsid w:val="007F7DF0"/>
    <w:rsid w:val="008017E8"/>
    <w:rsid w:val="008018FD"/>
    <w:rsid w:val="00804750"/>
    <w:rsid w:val="00804AE1"/>
    <w:rsid w:val="00805F64"/>
    <w:rsid w:val="008060DA"/>
    <w:rsid w:val="008105C4"/>
    <w:rsid w:val="00810BAF"/>
    <w:rsid w:val="00812111"/>
    <w:rsid w:val="00814B30"/>
    <w:rsid w:val="00815277"/>
    <w:rsid w:val="00817C53"/>
    <w:rsid w:val="008203B4"/>
    <w:rsid w:val="00820738"/>
    <w:rsid w:val="008210C7"/>
    <w:rsid w:val="00822CC1"/>
    <w:rsid w:val="00825CE7"/>
    <w:rsid w:val="008270B3"/>
    <w:rsid w:val="00827512"/>
    <w:rsid w:val="0082754E"/>
    <w:rsid w:val="00830D41"/>
    <w:rsid w:val="008313CA"/>
    <w:rsid w:val="00833985"/>
    <w:rsid w:val="00836BAA"/>
    <w:rsid w:val="008437A6"/>
    <w:rsid w:val="008441C4"/>
    <w:rsid w:val="008452B7"/>
    <w:rsid w:val="00845DF7"/>
    <w:rsid w:val="00846DA7"/>
    <w:rsid w:val="00847FA2"/>
    <w:rsid w:val="00851A6B"/>
    <w:rsid w:val="008572A4"/>
    <w:rsid w:val="00861465"/>
    <w:rsid w:val="00862020"/>
    <w:rsid w:val="0086438E"/>
    <w:rsid w:val="00864BA4"/>
    <w:rsid w:val="008718FD"/>
    <w:rsid w:val="008774C5"/>
    <w:rsid w:val="00883606"/>
    <w:rsid w:val="00885D0C"/>
    <w:rsid w:val="00887D10"/>
    <w:rsid w:val="0089091C"/>
    <w:rsid w:val="00894E8F"/>
    <w:rsid w:val="0089563B"/>
    <w:rsid w:val="008961E6"/>
    <w:rsid w:val="008A13A8"/>
    <w:rsid w:val="008A171D"/>
    <w:rsid w:val="008A1989"/>
    <w:rsid w:val="008A2662"/>
    <w:rsid w:val="008A2780"/>
    <w:rsid w:val="008A2B45"/>
    <w:rsid w:val="008A2DC3"/>
    <w:rsid w:val="008A51B5"/>
    <w:rsid w:val="008A5300"/>
    <w:rsid w:val="008B1DBB"/>
    <w:rsid w:val="008B759B"/>
    <w:rsid w:val="008C19D3"/>
    <w:rsid w:val="008C2091"/>
    <w:rsid w:val="008C3135"/>
    <w:rsid w:val="008C7961"/>
    <w:rsid w:val="008C7D3D"/>
    <w:rsid w:val="008D09E5"/>
    <w:rsid w:val="008D27EC"/>
    <w:rsid w:val="008D3A7B"/>
    <w:rsid w:val="008E090E"/>
    <w:rsid w:val="008E1241"/>
    <w:rsid w:val="008E1EB5"/>
    <w:rsid w:val="008E2D18"/>
    <w:rsid w:val="008E59E5"/>
    <w:rsid w:val="008E682B"/>
    <w:rsid w:val="008E76BF"/>
    <w:rsid w:val="008E7763"/>
    <w:rsid w:val="008F22F3"/>
    <w:rsid w:val="008F618C"/>
    <w:rsid w:val="008F6803"/>
    <w:rsid w:val="008F7CA7"/>
    <w:rsid w:val="008F7DF2"/>
    <w:rsid w:val="009003E8"/>
    <w:rsid w:val="00901336"/>
    <w:rsid w:val="0090235C"/>
    <w:rsid w:val="00905FA7"/>
    <w:rsid w:val="00906DD8"/>
    <w:rsid w:val="00910EA9"/>
    <w:rsid w:val="0091278B"/>
    <w:rsid w:val="00913C8C"/>
    <w:rsid w:val="00915C60"/>
    <w:rsid w:val="009164B7"/>
    <w:rsid w:val="00922955"/>
    <w:rsid w:val="00925880"/>
    <w:rsid w:val="00927EC1"/>
    <w:rsid w:val="009316B0"/>
    <w:rsid w:val="00934026"/>
    <w:rsid w:val="00934215"/>
    <w:rsid w:val="00936425"/>
    <w:rsid w:val="0094519D"/>
    <w:rsid w:val="00945FCB"/>
    <w:rsid w:val="009525A0"/>
    <w:rsid w:val="00952705"/>
    <w:rsid w:val="00953BB7"/>
    <w:rsid w:val="00953BBF"/>
    <w:rsid w:val="009545D1"/>
    <w:rsid w:val="00954D03"/>
    <w:rsid w:val="009562EA"/>
    <w:rsid w:val="00956F86"/>
    <w:rsid w:val="0096139B"/>
    <w:rsid w:val="009633FD"/>
    <w:rsid w:val="00964D1D"/>
    <w:rsid w:val="009663E2"/>
    <w:rsid w:val="00972C4B"/>
    <w:rsid w:val="00975E90"/>
    <w:rsid w:val="00976323"/>
    <w:rsid w:val="00977398"/>
    <w:rsid w:val="00977D49"/>
    <w:rsid w:val="00977DD4"/>
    <w:rsid w:val="00980171"/>
    <w:rsid w:val="00981B9B"/>
    <w:rsid w:val="00982540"/>
    <w:rsid w:val="00983328"/>
    <w:rsid w:val="00983706"/>
    <w:rsid w:val="009839F3"/>
    <w:rsid w:val="00984778"/>
    <w:rsid w:val="00987A5B"/>
    <w:rsid w:val="00990ED9"/>
    <w:rsid w:val="009920E0"/>
    <w:rsid w:val="0099362B"/>
    <w:rsid w:val="009947FA"/>
    <w:rsid w:val="00994A1A"/>
    <w:rsid w:val="00997C98"/>
    <w:rsid w:val="00997D98"/>
    <w:rsid w:val="009A0F50"/>
    <w:rsid w:val="009A1F3D"/>
    <w:rsid w:val="009A4C32"/>
    <w:rsid w:val="009A4D3D"/>
    <w:rsid w:val="009A5814"/>
    <w:rsid w:val="009A66B2"/>
    <w:rsid w:val="009B0FD6"/>
    <w:rsid w:val="009B4B94"/>
    <w:rsid w:val="009C067F"/>
    <w:rsid w:val="009C1F85"/>
    <w:rsid w:val="009C52C1"/>
    <w:rsid w:val="009C6D55"/>
    <w:rsid w:val="009C737B"/>
    <w:rsid w:val="009D4290"/>
    <w:rsid w:val="009D4DAE"/>
    <w:rsid w:val="009D7C87"/>
    <w:rsid w:val="009E38A2"/>
    <w:rsid w:val="009E5CF3"/>
    <w:rsid w:val="009E670F"/>
    <w:rsid w:val="009F1159"/>
    <w:rsid w:val="009F2EC3"/>
    <w:rsid w:val="009F4FA4"/>
    <w:rsid w:val="009F5EEF"/>
    <w:rsid w:val="009F62FF"/>
    <w:rsid w:val="009F693E"/>
    <w:rsid w:val="009F76EE"/>
    <w:rsid w:val="00A00266"/>
    <w:rsid w:val="00A06BF6"/>
    <w:rsid w:val="00A10D43"/>
    <w:rsid w:val="00A10EC3"/>
    <w:rsid w:val="00A11143"/>
    <w:rsid w:val="00A119B1"/>
    <w:rsid w:val="00A11D5F"/>
    <w:rsid w:val="00A12488"/>
    <w:rsid w:val="00A13495"/>
    <w:rsid w:val="00A13EC7"/>
    <w:rsid w:val="00A146FA"/>
    <w:rsid w:val="00A16C05"/>
    <w:rsid w:val="00A24013"/>
    <w:rsid w:val="00A24F4C"/>
    <w:rsid w:val="00A3039C"/>
    <w:rsid w:val="00A3208E"/>
    <w:rsid w:val="00A322A8"/>
    <w:rsid w:val="00A33CA6"/>
    <w:rsid w:val="00A34424"/>
    <w:rsid w:val="00A36BFD"/>
    <w:rsid w:val="00A37120"/>
    <w:rsid w:val="00A37D5A"/>
    <w:rsid w:val="00A409A8"/>
    <w:rsid w:val="00A425AB"/>
    <w:rsid w:val="00A42CAD"/>
    <w:rsid w:val="00A4355D"/>
    <w:rsid w:val="00A438B6"/>
    <w:rsid w:val="00A4459A"/>
    <w:rsid w:val="00A44C40"/>
    <w:rsid w:val="00A44D38"/>
    <w:rsid w:val="00A4580E"/>
    <w:rsid w:val="00A45861"/>
    <w:rsid w:val="00A45E88"/>
    <w:rsid w:val="00A50C86"/>
    <w:rsid w:val="00A51D5B"/>
    <w:rsid w:val="00A51E77"/>
    <w:rsid w:val="00A5290C"/>
    <w:rsid w:val="00A54408"/>
    <w:rsid w:val="00A57B9F"/>
    <w:rsid w:val="00A60302"/>
    <w:rsid w:val="00A643E2"/>
    <w:rsid w:val="00A70A89"/>
    <w:rsid w:val="00A71ED4"/>
    <w:rsid w:val="00A75135"/>
    <w:rsid w:val="00A77BD9"/>
    <w:rsid w:val="00A77DC1"/>
    <w:rsid w:val="00A8203F"/>
    <w:rsid w:val="00A909D4"/>
    <w:rsid w:val="00A9178E"/>
    <w:rsid w:val="00A93167"/>
    <w:rsid w:val="00A93D3D"/>
    <w:rsid w:val="00A9754F"/>
    <w:rsid w:val="00AA108F"/>
    <w:rsid w:val="00AA1964"/>
    <w:rsid w:val="00AA38FE"/>
    <w:rsid w:val="00AA415B"/>
    <w:rsid w:val="00AA6283"/>
    <w:rsid w:val="00AA7A62"/>
    <w:rsid w:val="00AB01EB"/>
    <w:rsid w:val="00AB25B1"/>
    <w:rsid w:val="00AB276B"/>
    <w:rsid w:val="00AB3382"/>
    <w:rsid w:val="00AB3C3A"/>
    <w:rsid w:val="00AB4549"/>
    <w:rsid w:val="00AB458D"/>
    <w:rsid w:val="00AB57C7"/>
    <w:rsid w:val="00AB57EA"/>
    <w:rsid w:val="00AB7F36"/>
    <w:rsid w:val="00AC00C7"/>
    <w:rsid w:val="00AC1452"/>
    <w:rsid w:val="00AC752F"/>
    <w:rsid w:val="00AD1C9F"/>
    <w:rsid w:val="00AD3225"/>
    <w:rsid w:val="00AD438B"/>
    <w:rsid w:val="00AD45E2"/>
    <w:rsid w:val="00AD4B36"/>
    <w:rsid w:val="00AD583F"/>
    <w:rsid w:val="00AE168A"/>
    <w:rsid w:val="00AE2CB6"/>
    <w:rsid w:val="00AE3F15"/>
    <w:rsid w:val="00AE4E30"/>
    <w:rsid w:val="00AF0B64"/>
    <w:rsid w:val="00AF1F98"/>
    <w:rsid w:val="00AF51EF"/>
    <w:rsid w:val="00AF6BB4"/>
    <w:rsid w:val="00B00E36"/>
    <w:rsid w:val="00B02BFC"/>
    <w:rsid w:val="00B02DFA"/>
    <w:rsid w:val="00B04BD4"/>
    <w:rsid w:val="00B0580B"/>
    <w:rsid w:val="00B05C30"/>
    <w:rsid w:val="00B1028D"/>
    <w:rsid w:val="00B10DC3"/>
    <w:rsid w:val="00B15105"/>
    <w:rsid w:val="00B1580C"/>
    <w:rsid w:val="00B16E3B"/>
    <w:rsid w:val="00B17FAD"/>
    <w:rsid w:val="00B20702"/>
    <w:rsid w:val="00B21DDA"/>
    <w:rsid w:val="00B24AB8"/>
    <w:rsid w:val="00B25026"/>
    <w:rsid w:val="00B260CB"/>
    <w:rsid w:val="00B308FE"/>
    <w:rsid w:val="00B3130F"/>
    <w:rsid w:val="00B32363"/>
    <w:rsid w:val="00B32A57"/>
    <w:rsid w:val="00B344D3"/>
    <w:rsid w:val="00B34D0C"/>
    <w:rsid w:val="00B3508F"/>
    <w:rsid w:val="00B35925"/>
    <w:rsid w:val="00B404F0"/>
    <w:rsid w:val="00B406B7"/>
    <w:rsid w:val="00B40F64"/>
    <w:rsid w:val="00B42BE1"/>
    <w:rsid w:val="00B44248"/>
    <w:rsid w:val="00B44FC5"/>
    <w:rsid w:val="00B50153"/>
    <w:rsid w:val="00B51BD2"/>
    <w:rsid w:val="00B555AC"/>
    <w:rsid w:val="00B6741E"/>
    <w:rsid w:val="00B67E57"/>
    <w:rsid w:val="00B71218"/>
    <w:rsid w:val="00B713F4"/>
    <w:rsid w:val="00B7396A"/>
    <w:rsid w:val="00B741D1"/>
    <w:rsid w:val="00B7471E"/>
    <w:rsid w:val="00B7606A"/>
    <w:rsid w:val="00B7703D"/>
    <w:rsid w:val="00B82A3E"/>
    <w:rsid w:val="00B85AE4"/>
    <w:rsid w:val="00B86095"/>
    <w:rsid w:val="00B90419"/>
    <w:rsid w:val="00B93619"/>
    <w:rsid w:val="00B939CD"/>
    <w:rsid w:val="00B94BFC"/>
    <w:rsid w:val="00B95498"/>
    <w:rsid w:val="00B95661"/>
    <w:rsid w:val="00BA1618"/>
    <w:rsid w:val="00BA2273"/>
    <w:rsid w:val="00BA4B92"/>
    <w:rsid w:val="00BA68A0"/>
    <w:rsid w:val="00BA7295"/>
    <w:rsid w:val="00BA79D6"/>
    <w:rsid w:val="00BB060F"/>
    <w:rsid w:val="00BB2B46"/>
    <w:rsid w:val="00BB5B79"/>
    <w:rsid w:val="00BB606A"/>
    <w:rsid w:val="00BC13A4"/>
    <w:rsid w:val="00BC1D26"/>
    <w:rsid w:val="00BC2110"/>
    <w:rsid w:val="00BC775C"/>
    <w:rsid w:val="00BD04AC"/>
    <w:rsid w:val="00BD28BF"/>
    <w:rsid w:val="00BD2E79"/>
    <w:rsid w:val="00BD3AF5"/>
    <w:rsid w:val="00BD6EC4"/>
    <w:rsid w:val="00BD778F"/>
    <w:rsid w:val="00BE2689"/>
    <w:rsid w:val="00BE3B60"/>
    <w:rsid w:val="00BE5202"/>
    <w:rsid w:val="00BF1CC1"/>
    <w:rsid w:val="00BF2464"/>
    <w:rsid w:val="00BF4C77"/>
    <w:rsid w:val="00C0209A"/>
    <w:rsid w:val="00C06239"/>
    <w:rsid w:val="00C07378"/>
    <w:rsid w:val="00C07BAE"/>
    <w:rsid w:val="00C10E62"/>
    <w:rsid w:val="00C13D69"/>
    <w:rsid w:val="00C15214"/>
    <w:rsid w:val="00C154F6"/>
    <w:rsid w:val="00C1653F"/>
    <w:rsid w:val="00C21036"/>
    <w:rsid w:val="00C2222E"/>
    <w:rsid w:val="00C226D8"/>
    <w:rsid w:val="00C32498"/>
    <w:rsid w:val="00C326B8"/>
    <w:rsid w:val="00C32BE4"/>
    <w:rsid w:val="00C40BD0"/>
    <w:rsid w:val="00C424EF"/>
    <w:rsid w:val="00C424F0"/>
    <w:rsid w:val="00C432B7"/>
    <w:rsid w:val="00C43745"/>
    <w:rsid w:val="00C451F1"/>
    <w:rsid w:val="00C46499"/>
    <w:rsid w:val="00C47F1B"/>
    <w:rsid w:val="00C52494"/>
    <w:rsid w:val="00C52901"/>
    <w:rsid w:val="00C541D6"/>
    <w:rsid w:val="00C55FB9"/>
    <w:rsid w:val="00C56185"/>
    <w:rsid w:val="00C61238"/>
    <w:rsid w:val="00C61924"/>
    <w:rsid w:val="00C632AE"/>
    <w:rsid w:val="00C6730D"/>
    <w:rsid w:val="00C67531"/>
    <w:rsid w:val="00C675A4"/>
    <w:rsid w:val="00C72A21"/>
    <w:rsid w:val="00C73B10"/>
    <w:rsid w:val="00C73E98"/>
    <w:rsid w:val="00C74583"/>
    <w:rsid w:val="00C77A11"/>
    <w:rsid w:val="00C837B1"/>
    <w:rsid w:val="00C86AC2"/>
    <w:rsid w:val="00C8715D"/>
    <w:rsid w:val="00C9021E"/>
    <w:rsid w:val="00C9114D"/>
    <w:rsid w:val="00C91BBC"/>
    <w:rsid w:val="00C934E4"/>
    <w:rsid w:val="00C96E98"/>
    <w:rsid w:val="00CA23A1"/>
    <w:rsid w:val="00CA248D"/>
    <w:rsid w:val="00CA2557"/>
    <w:rsid w:val="00CA3A25"/>
    <w:rsid w:val="00CA3FFA"/>
    <w:rsid w:val="00CA42B0"/>
    <w:rsid w:val="00CB0EC2"/>
    <w:rsid w:val="00CB3C74"/>
    <w:rsid w:val="00CB4CC7"/>
    <w:rsid w:val="00CB56CF"/>
    <w:rsid w:val="00CC0E3A"/>
    <w:rsid w:val="00CD06FB"/>
    <w:rsid w:val="00CD125F"/>
    <w:rsid w:val="00CD53D5"/>
    <w:rsid w:val="00CE0080"/>
    <w:rsid w:val="00CE06F7"/>
    <w:rsid w:val="00CE07AD"/>
    <w:rsid w:val="00CE2005"/>
    <w:rsid w:val="00CE3A92"/>
    <w:rsid w:val="00CE5203"/>
    <w:rsid w:val="00CE53AA"/>
    <w:rsid w:val="00CE6188"/>
    <w:rsid w:val="00CF01E4"/>
    <w:rsid w:val="00CF11F9"/>
    <w:rsid w:val="00CF2DDB"/>
    <w:rsid w:val="00CF3C85"/>
    <w:rsid w:val="00CF449A"/>
    <w:rsid w:val="00CF4B0D"/>
    <w:rsid w:val="00CF4F65"/>
    <w:rsid w:val="00CF5BDC"/>
    <w:rsid w:val="00CF6181"/>
    <w:rsid w:val="00D00089"/>
    <w:rsid w:val="00D02168"/>
    <w:rsid w:val="00D05373"/>
    <w:rsid w:val="00D06543"/>
    <w:rsid w:val="00D06937"/>
    <w:rsid w:val="00D15A36"/>
    <w:rsid w:val="00D175E9"/>
    <w:rsid w:val="00D22CE1"/>
    <w:rsid w:val="00D2304E"/>
    <w:rsid w:val="00D237D9"/>
    <w:rsid w:val="00D238CD"/>
    <w:rsid w:val="00D26B20"/>
    <w:rsid w:val="00D26D28"/>
    <w:rsid w:val="00D27150"/>
    <w:rsid w:val="00D3032B"/>
    <w:rsid w:val="00D32452"/>
    <w:rsid w:val="00D36D69"/>
    <w:rsid w:val="00D43602"/>
    <w:rsid w:val="00D45322"/>
    <w:rsid w:val="00D4534C"/>
    <w:rsid w:val="00D45730"/>
    <w:rsid w:val="00D517A1"/>
    <w:rsid w:val="00D51BD2"/>
    <w:rsid w:val="00D52EA6"/>
    <w:rsid w:val="00D531B8"/>
    <w:rsid w:val="00D55E69"/>
    <w:rsid w:val="00D564B1"/>
    <w:rsid w:val="00D57C0A"/>
    <w:rsid w:val="00D57E14"/>
    <w:rsid w:val="00D60652"/>
    <w:rsid w:val="00D61D6C"/>
    <w:rsid w:val="00D63858"/>
    <w:rsid w:val="00D6578B"/>
    <w:rsid w:val="00D65B64"/>
    <w:rsid w:val="00D66311"/>
    <w:rsid w:val="00D71B8A"/>
    <w:rsid w:val="00D71EAE"/>
    <w:rsid w:val="00D722A3"/>
    <w:rsid w:val="00D73E47"/>
    <w:rsid w:val="00D744B6"/>
    <w:rsid w:val="00D75003"/>
    <w:rsid w:val="00D760DB"/>
    <w:rsid w:val="00D80B20"/>
    <w:rsid w:val="00D812E4"/>
    <w:rsid w:val="00D82EDA"/>
    <w:rsid w:val="00D84D6D"/>
    <w:rsid w:val="00D874C6"/>
    <w:rsid w:val="00D90FE9"/>
    <w:rsid w:val="00D91E04"/>
    <w:rsid w:val="00D92FB0"/>
    <w:rsid w:val="00D95B61"/>
    <w:rsid w:val="00D96EC5"/>
    <w:rsid w:val="00D97661"/>
    <w:rsid w:val="00DA0324"/>
    <w:rsid w:val="00DA111F"/>
    <w:rsid w:val="00DA236D"/>
    <w:rsid w:val="00DB00DC"/>
    <w:rsid w:val="00DB0B72"/>
    <w:rsid w:val="00DB3F5F"/>
    <w:rsid w:val="00DC0231"/>
    <w:rsid w:val="00DC5106"/>
    <w:rsid w:val="00DC7A59"/>
    <w:rsid w:val="00DD0108"/>
    <w:rsid w:val="00DD10D9"/>
    <w:rsid w:val="00DD13E0"/>
    <w:rsid w:val="00DD2A13"/>
    <w:rsid w:val="00DD63DA"/>
    <w:rsid w:val="00DD765D"/>
    <w:rsid w:val="00DE0625"/>
    <w:rsid w:val="00DE1124"/>
    <w:rsid w:val="00DE3821"/>
    <w:rsid w:val="00DE3D90"/>
    <w:rsid w:val="00DE521C"/>
    <w:rsid w:val="00DF07AD"/>
    <w:rsid w:val="00DF18FC"/>
    <w:rsid w:val="00DF3289"/>
    <w:rsid w:val="00DF3CBC"/>
    <w:rsid w:val="00DF4FC9"/>
    <w:rsid w:val="00DF53BA"/>
    <w:rsid w:val="00DF6EF0"/>
    <w:rsid w:val="00E00069"/>
    <w:rsid w:val="00E0169F"/>
    <w:rsid w:val="00E037B7"/>
    <w:rsid w:val="00E03E2F"/>
    <w:rsid w:val="00E04EB1"/>
    <w:rsid w:val="00E07878"/>
    <w:rsid w:val="00E11110"/>
    <w:rsid w:val="00E158EC"/>
    <w:rsid w:val="00E20AE9"/>
    <w:rsid w:val="00E21835"/>
    <w:rsid w:val="00E22BB2"/>
    <w:rsid w:val="00E22FC4"/>
    <w:rsid w:val="00E24587"/>
    <w:rsid w:val="00E26158"/>
    <w:rsid w:val="00E30105"/>
    <w:rsid w:val="00E316DA"/>
    <w:rsid w:val="00E31D77"/>
    <w:rsid w:val="00E42F8A"/>
    <w:rsid w:val="00E4382C"/>
    <w:rsid w:val="00E458FA"/>
    <w:rsid w:val="00E47181"/>
    <w:rsid w:val="00E51879"/>
    <w:rsid w:val="00E52762"/>
    <w:rsid w:val="00E52D24"/>
    <w:rsid w:val="00E55E84"/>
    <w:rsid w:val="00E56B72"/>
    <w:rsid w:val="00E60D8F"/>
    <w:rsid w:val="00E62008"/>
    <w:rsid w:val="00E63872"/>
    <w:rsid w:val="00E643A0"/>
    <w:rsid w:val="00E65575"/>
    <w:rsid w:val="00E70339"/>
    <w:rsid w:val="00E72CB8"/>
    <w:rsid w:val="00E73893"/>
    <w:rsid w:val="00E74CB0"/>
    <w:rsid w:val="00E74D8B"/>
    <w:rsid w:val="00E76EB0"/>
    <w:rsid w:val="00E773F9"/>
    <w:rsid w:val="00E8095C"/>
    <w:rsid w:val="00E8205F"/>
    <w:rsid w:val="00E82843"/>
    <w:rsid w:val="00E82CCB"/>
    <w:rsid w:val="00E86E98"/>
    <w:rsid w:val="00E87604"/>
    <w:rsid w:val="00E879FD"/>
    <w:rsid w:val="00E90A57"/>
    <w:rsid w:val="00E93F94"/>
    <w:rsid w:val="00E94830"/>
    <w:rsid w:val="00E961D5"/>
    <w:rsid w:val="00EA1287"/>
    <w:rsid w:val="00EA1AF0"/>
    <w:rsid w:val="00EA232C"/>
    <w:rsid w:val="00EA527E"/>
    <w:rsid w:val="00EA5FA1"/>
    <w:rsid w:val="00EA645E"/>
    <w:rsid w:val="00EA76A0"/>
    <w:rsid w:val="00EB050E"/>
    <w:rsid w:val="00EB1818"/>
    <w:rsid w:val="00EB2BF6"/>
    <w:rsid w:val="00EB53E4"/>
    <w:rsid w:val="00EC1399"/>
    <w:rsid w:val="00EC2392"/>
    <w:rsid w:val="00EC4E42"/>
    <w:rsid w:val="00ED0735"/>
    <w:rsid w:val="00ED0B51"/>
    <w:rsid w:val="00ED7329"/>
    <w:rsid w:val="00EE5A4F"/>
    <w:rsid w:val="00EE5BF2"/>
    <w:rsid w:val="00EE5DD3"/>
    <w:rsid w:val="00EE663A"/>
    <w:rsid w:val="00EE7EF5"/>
    <w:rsid w:val="00EF0B31"/>
    <w:rsid w:val="00EF1B0C"/>
    <w:rsid w:val="00EF3C4D"/>
    <w:rsid w:val="00EF425D"/>
    <w:rsid w:val="00EF54F9"/>
    <w:rsid w:val="00EF67AE"/>
    <w:rsid w:val="00EF6D54"/>
    <w:rsid w:val="00EF7046"/>
    <w:rsid w:val="00F0480D"/>
    <w:rsid w:val="00F06673"/>
    <w:rsid w:val="00F07288"/>
    <w:rsid w:val="00F1055D"/>
    <w:rsid w:val="00F111EB"/>
    <w:rsid w:val="00F1274C"/>
    <w:rsid w:val="00F14184"/>
    <w:rsid w:val="00F141B8"/>
    <w:rsid w:val="00F1427D"/>
    <w:rsid w:val="00F144B1"/>
    <w:rsid w:val="00F15986"/>
    <w:rsid w:val="00F2164A"/>
    <w:rsid w:val="00F22ACC"/>
    <w:rsid w:val="00F24904"/>
    <w:rsid w:val="00F2683C"/>
    <w:rsid w:val="00F308A8"/>
    <w:rsid w:val="00F309B7"/>
    <w:rsid w:val="00F34E2D"/>
    <w:rsid w:val="00F36D3B"/>
    <w:rsid w:val="00F40D44"/>
    <w:rsid w:val="00F41E94"/>
    <w:rsid w:val="00F420C0"/>
    <w:rsid w:val="00F43911"/>
    <w:rsid w:val="00F4402C"/>
    <w:rsid w:val="00F454F5"/>
    <w:rsid w:val="00F46C4F"/>
    <w:rsid w:val="00F47011"/>
    <w:rsid w:val="00F472D9"/>
    <w:rsid w:val="00F50932"/>
    <w:rsid w:val="00F50E37"/>
    <w:rsid w:val="00F50F65"/>
    <w:rsid w:val="00F51C16"/>
    <w:rsid w:val="00F524C0"/>
    <w:rsid w:val="00F5291E"/>
    <w:rsid w:val="00F53350"/>
    <w:rsid w:val="00F5515A"/>
    <w:rsid w:val="00F56172"/>
    <w:rsid w:val="00F57180"/>
    <w:rsid w:val="00F5723C"/>
    <w:rsid w:val="00F602BC"/>
    <w:rsid w:val="00F629BC"/>
    <w:rsid w:val="00F65706"/>
    <w:rsid w:val="00F65903"/>
    <w:rsid w:val="00F67C35"/>
    <w:rsid w:val="00F707A9"/>
    <w:rsid w:val="00F70A59"/>
    <w:rsid w:val="00F71CC6"/>
    <w:rsid w:val="00F76E56"/>
    <w:rsid w:val="00F81DAE"/>
    <w:rsid w:val="00F904D2"/>
    <w:rsid w:val="00F9122C"/>
    <w:rsid w:val="00F9296D"/>
    <w:rsid w:val="00F970AA"/>
    <w:rsid w:val="00FA35FE"/>
    <w:rsid w:val="00FA4DE8"/>
    <w:rsid w:val="00FA51B1"/>
    <w:rsid w:val="00FA5FBF"/>
    <w:rsid w:val="00FA61B7"/>
    <w:rsid w:val="00FA680A"/>
    <w:rsid w:val="00FA728C"/>
    <w:rsid w:val="00FA72C7"/>
    <w:rsid w:val="00FA7CB5"/>
    <w:rsid w:val="00FB0272"/>
    <w:rsid w:val="00FB0C45"/>
    <w:rsid w:val="00FB10E3"/>
    <w:rsid w:val="00FB2EA0"/>
    <w:rsid w:val="00FB4789"/>
    <w:rsid w:val="00FB5AD9"/>
    <w:rsid w:val="00FB5DDA"/>
    <w:rsid w:val="00FC183E"/>
    <w:rsid w:val="00FC259A"/>
    <w:rsid w:val="00FC4117"/>
    <w:rsid w:val="00FC4195"/>
    <w:rsid w:val="00FD0B0A"/>
    <w:rsid w:val="00FD13B6"/>
    <w:rsid w:val="00FD2229"/>
    <w:rsid w:val="00FD27DC"/>
    <w:rsid w:val="00FD29BB"/>
    <w:rsid w:val="00FD4443"/>
    <w:rsid w:val="00FD4738"/>
    <w:rsid w:val="00FD5C9B"/>
    <w:rsid w:val="00FD5CBC"/>
    <w:rsid w:val="00FD6F89"/>
    <w:rsid w:val="00FE0DE1"/>
    <w:rsid w:val="00FE294F"/>
    <w:rsid w:val="00FE2DE7"/>
    <w:rsid w:val="00FE5BDB"/>
    <w:rsid w:val="00FE6B83"/>
    <w:rsid w:val="00FE779F"/>
    <w:rsid w:val="00FE7F99"/>
    <w:rsid w:val="00FF1FE5"/>
    <w:rsid w:val="00FF28D3"/>
    <w:rsid w:val="00FF2D35"/>
    <w:rsid w:val="00FF43F7"/>
    <w:rsid w:val="00FF486E"/>
    <w:rsid w:val="00FF593A"/>
    <w:rsid w:val="00FF5D7E"/>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sz w:val="24"/>
      <w:szCs w:val="24"/>
      <w:lang w:val="lv-LV" w:eastAsia="lv-LV"/>
    </w:rPr>
  </w:style>
  <w:style w:type="paragraph" w:styleId="Heading3">
    <w:name w:val="heading 3"/>
    <w:basedOn w:val="Normal"/>
    <w:link w:val="Heading3Char"/>
    <w:uiPriority w:val="9"/>
    <w:qFormat/>
    <w:locked/>
    <w:rsid w:val="00D175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B4F"/>
    <w:pPr>
      <w:tabs>
        <w:tab w:val="center" w:pos="4153"/>
        <w:tab w:val="right" w:pos="8306"/>
      </w:tabs>
    </w:pPr>
  </w:style>
  <w:style w:type="character" w:customStyle="1" w:styleId="HeaderChar">
    <w:name w:val="Header Char"/>
    <w:link w:val="Header"/>
    <w:uiPriority w:val="99"/>
    <w:locked/>
    <w:rsid w:val="004F1B4F"/>
    <w:rPr>
      <w:rFonts w:eastAsia="Times New Roman" w:cs="Times New Roman"/>
      <w:sz w:val="24"/>
      <w:szCs w:val="24"/>
      <w:lang w:eastAsia="lv-LV"/>
    </w:rPr>
  </w:style>
  <w:style w:type="character" w:styleId="PageNumber">
    <w:name w:val="page number"/>
    <w:uiPriority w:val="99"/>
    <w:rsid w:val="004F1B4F"/>
    <w:rPr>
      <w:rFonts w:cs="Times New Roman"/>
    </w:rPr>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uiPriority w:val="99"/>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uiPriority w:val="99"/>
    <w:rsid w:val="004F1B4F"/>
    <w:rPr>
      <w:rFonts w:cs="Times New Roman"/>
    </w:rPr>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rsid w:val="004F1B4F"/>
    <w:rPr>
      <w:rFonts w:ascii="Tahoma" w:eastAsia="Calibri" w:hAnsi="Tahoma"/>
      <w:sz w:val="16"/>
      <w:szCs w:val="16"/>
    </w:rPr>
  </w:style>
  <w:style w:type="character" w:customStyle="1" w:styleId="BalloonTextChar">
    <w:name w:val="Balloon Text Char"/>
    <w:link w:val="BalloonText"/>
    <w:uiPriority w:val="99"/>
    <w:semiHidden/>
    <w:locked/>
    <w:rsid w:val="004F1B4F"/>
    <w:rPr>
      <w:rFonts w:ascii="Tahoma" w:hAnsi="Tahoma" w:cs="Tahoma"/>
      <w:sz w:val="16"/>
      <w:szCs w:val="16"/>
      <w:lang w:eastAsia="lv-LV"/>
    </w:rPr>
  </w:style>
  <w:style w:type="paragraph" w:styleId="Footer">
    <w:name w:val="footer"/>
    <w:basedOn w:val="Normal"/>
    <w:link w:val="FooterChar"/>
    <w:uiPriority w:val="99"/>
    <w:rsid w:val="00994A1A"/>
    <w:pPr>
      <w:tabs>
        <w:tab w:val="center" w:pos="4153"/>
        <w:tab w:val="right" w:pos="8306"/>
      </w:tabs>
    </w:pPr>
  </w:style>
  <w:style w:type="character" w:customStyle="1" w:styleId="FooterChar">
    <w:name w:val="Footer Char"/>
    <w:link w:val="Footer"/>
    <w:uiPriority w:val="99"/>
    <w:locked/>
    <w:rsid w:val="00994A1A"/>
    <w:rPr>
      <w:rFonts w:eastAsia="Times New Roman" w:cs="Times New Roman"/>
      <w:sz w:val="24"/>
      <w:szCs w:val="24"/>
      <w:lang w:eastAsia="lv-LV"/>
    </w:rPr>
  </w:style>
  <w:style w:type="character" w:styleId="Hyperlink">
    <w:name w:val="Hyperlink"/>
    <w:uiPriority w:val="99"/>
    <w:rsid w:val="007756FB"/>
    <w:rPr>
      <w:rFonts w:cs="Times New Roman"/>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rsid w:val="00075879"/>
    <w:rPr>
      <w:rFonts w:cs="Times New Roman"/>
      <w:sz w:val="16"/>
      <w:szCs w:val="16"/>
    </w:rPr>
  </w:style>
  <w:style w:type="paragraph" w:styleId="CommentText">
    <w:name w:val="annotation text"/>
    <w:basedOn w:val="Normal"/>
    <w:link w:val="CommentTextChar"/>
    <w:uiPriority w:val="99"/>
    <w:rsid w:val="00075879"/>
    <w:rPr>
      <w:sz w:val="20"/>
      <w:szCs w:val="20"/>
    </w:rPr>
  </w:style>
  <w:style w:type="character" w:customStyle="1" w:styleId="CommentTextChar">
    <w:name w:val="Comment Text Char"/>
    <w:link w:val="CommentText"/>
    <w:uiPriority w:val="99"/>
    <w:locked/>
    <w:rsid w:val="00075879"/>
    <w:rPr>
      <w:rFonts w:eastAsia="Times New Roman" w:cs="Times New Roman"/>
      <w:sz w:val="20"/>
      <w:szCs w:val="20"/>
      <w:lang w:eastAsia="lv-LV"/>
    </w:rPr>
  </w:style>
  <w:style w:type="table" w:styleId="TableGrid">
    <w:name w:val="Table Grid"/>
    <w:basedOn w:val="TableNormal"/>
    <w:uiPriority w:val="59"/>
    <w:locked/>
    <w:rsid w:val="00FD222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175E9"/>
    <w:rPr>
      <w:rFonts w:eastAsia="Times New Roman"/>
      <w:b/>
      <w:bCs/>
      <w:sz w:val="27"/>
      <w:szCs w:val="27"/>
    </w:rPr>
  </w:style>
  <w:style w:type="character" w:styleId="FollowedHyperlink">
    <w:name w:val="FollowedHyperlink"/>
    <w:uiPriority w:val="99"/>
    <w:semiHidden/>
    <w:unhideWhenUsed/>
    <w:rsid w:val="00952705"/>
    <w:rPr>
      <w:color w:val="800080"/>
      <w:u w:val="single"/>
    </w:rPr>
  </w:style>
  <w:style w:type="paragraph" w:styleId="CommentSubject">
    <w:name w:val="annotation subject"/>
    <w:basedOn w:val="CommentText"/>
    <w:next w:val="CommentText"/>
    <w:link w:val="CommentSubjectChar"/>
    <w:uiPriority w:val="99"/>
    <w:semiHidden/>
    <w:unhideWhenUsed/>
    <w:rsid w:val="00A425AB"/>
    <w:rPr>
      <w:b/>
      <w:bCs/>
    </w:rPr>
  </w:style>
  <w:style w:type="character" w:customStyle="1" w:styleId="CommentSubjectChar">
    <w:name w:val="Comment Subject Char"/>
    <w:link w:val="CommentSubject"/>
    <w:uiPriority w:val="99"/>
    <w:semiHidden/>
    <w:rsid w:val="00A425AB"/>
    <w:rPr>
      <w:rFonts w:eastAsia="Times New Roman" w:cs="Times New Roman"/>
      <w:b/>
      <w:bCs/>
      <w:sz w:val="20"/>
      <w:szCs w:val="20"/>
      <w:lang w:eastAsia="lv-LV"/>
    </w:rPr>
  </w:style>
  <w:style w:type="character" w:customStyle="1" w:styleId="c4">
    <w:name w:val="c4"/>
    <w:basedOn w:val="DefaultParagraphFont"/>
    <w:rsid w:val="008275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sz w:val="24"/>
      <w:szCs w:val="24"/>
      <w:lang w:val="lv-LV" w:eastAsia="lv-LV"/>
    </w:rPr>
  </w:style>
  <w:style w:type="paragraph" w:styleId="Heading3">
    <w:name w:val="heading 3"/>
    <w:basedOn w:val="Normal"/>
    <w:link w:val="Heading3Char"/>
    <w:uiPriority w:val="9"/>
    <w:qFormat/>
    <w:locked/>
    <w:rsid w:val="00D175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B4F"/>
    <w:pPr>
      <w:tabs>
        <w:tab w:val="center" w:pos="4153"/>
        <w:tab w:val="right" w:pos="8306"/>
      </w:tabs>
    </w:pPr>
  </w:style>
  <w:style w:type="character" w:customStyle="1" w:styleId="HeaderChar">
    <w:name w:val="Header Char"/>
    <w:link w:val="Header"/>
    <w:uiPriority w:val="99"/>
    <w:locked/>
    <w:rsid w:val="004F1B4F"/>
    <w:rPr>
      <w:rFonts w:eastAsia="Times New Roman" w:cs="Times New Roman"/>
      <w:sz w:val="24"/>
      <w:szCs w:val="24"/>
      <w:lang w:eastAsia="lv-LV"/>
    </w:rPr>
  </w:style>
  <w:style w:type="character" w:styleId="PageNumber">
    <w:name w:val="page number"/>
    <w:uiPriority w:val="99"/>
    <w:rsid w:val="004F1B4F"/>
    <w:rPr>
      <w:rFonts w:cs="Times New Roman"/>
    </w:rPr>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uiPriority w:val="99"/>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uiPriority w:val="99"/>
    <w:rsid w:val="004F1B4F"/>
    <w:rPr>
      <w:rFonts w:cs="Times New Roman"/>
    </w:rPr>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rsid w:val="004F1B4F"/>
    <w:rPr>
      <w:rFonts w:ascii="Tahoma" w:eastAsia="Calibri" w:hAnsi="Tahoma"/>
      <w:sz w:val="16"/>
      <w:szCs w:val="16"/>
    </w:rPr>
  </w:style>
  <w:style w:type="character" w:customStyle="1" w:styleId="BalloonTextChar">
    <w:name w:val="Balloon Text Char"/>
    <w:link w:val="BalloonText"/>
    <w:uiPriority w:val="99"/>
    <w:semiHidden/>
    <w:locked/>
    <w:rsid w:val="004F1B4F"/>
    <w:rPr>
      <w:rFonts w:ascii="Tahoma" w:hAnsi="Tahoma" w:cs="Tahoma"/>
      <w:sz w:val="16"/>
      <w:szCs w:val="16"/>
      <w:lang w:eastAsia="lv-LV"/>
    </w:rPr>
  </w:style>
  <w:style w:type="paragraph" w:styleId="Footer">
    <w:name w:val="footer"/>
    <w:basedOn w:val="Normal"/>
    <w:link w:val="FooterChar"/>
    <w:uiPriority w:val="99"/>
    <w:rsid w:val="00994A1A"/>
    <w:pPr>
      <w:tabs>
        <w:tab w:val="center" w:pos="4153"/>
        <w:tab w:val="right" w:pos="8306"/>
      </w:tabs>
    </w:pPr>
  </w:style>
  <w:style w:type="character" w:customStyle="1" w:styleId="FooterChar">
    <w:name w:val="Footer Char"/>
    <w:link w:val="Footer"/>
    <w:uiPriority w:val="99"/>
    <w:locked/>
    <w:rsid w:val="00994A1A"/>
    <w:rPr>
      <w:rFonts w:eastAsia="Times New Roman" w:cs="Times New Roman"/>
      <w:sz w:val="24"/>
      <w:szCs w:val="24"/>
      <w:lang w:eastAsia="lv-LV"/>
    </w:rPr>
  </w:style>
  <w:style w:type="character" w:styleId="Hyperlink">
    <w:name w:val="Hyperlink"/>
    <w:uiPriority w:val="99"/>
    <w:rsid w:val="007756FB"/>
    <w:rPr>
      <w:rFonts w:cs="Times New Roman"/>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rsid w:val="00075879"/>
    <w:rPr>
      <w:rFonts w:cs="Times New Roman"/>
      <w:sz w:val="16"/>
      <w:szCs w:val="16"/>
    </w:rPr>
  </w:style>
  <w:style w:type="paragraph" w:styleId="CommentText">
    <w:name w:val="annotation text"/>
    <w:basedOn w:val="Normal"/>
    <w:link w:val="CommentTextChar"/>
    <w:uiPriority w:val="99"/>
    <w:rsid w:val="00075879"/>
    <w:rPr>
      <w:sz w:val="20"/>
      <w:szCs w:val="20"/>
    </w:rPr>
  </w:style>
  <w:style w:type="character" w:customStyle="1" w:styleId="CommentTextChar">
    <w:name w:val="Comment Text Char"/>
    <w:link w:val="CommentText"/>
    <w:uiPriority w:val="99"/>
    <w:locked/>
    <w:rsid w:val="00075879"/>
    <w:rPr>
      <w:rFonts w:eastAsia="Times New Roman" w:cs="Times New Roman"/>
      <w:sz w:val="20"/>
      <w:szCs w:val="20"/>
      <w:lang w:eastAsia="lv-LV"/>
    </w:rPr>
  </w:style>
  <w:style w:type="table" w:styleId="TableGrid">
    <w:name w:val="Table Grid"/>
    <w:basedOn w:val="TableNormal"/>
    <w:uiPriority w:val="59"/>
    <w:locked/>
    <w:rsid w:val="00FD222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175E9"/>
    <w:rPr>
      <w:rFonts w:eastAsia="Times New Roman"/>
      <w:b/>
      <w:bCs/>
      <w:sz w:val="27"/>
      <w:szCs w:val="27"/>
    </w:rPr>
  </w:style>
  <w:style w:type="character" w:styleId="FollowedHyperlink">
    <w:name w:val="FollowedHyperlink"/>
    <w:uiPriority w:val="99"/>
    <w:semiHidden/>
    <w:unhideWhenUsed/>
    <w:rsid w:val="00952705"/>
    <w:rPr>
      <w:color w:val="800080"/>
      <w:u w:val="single"/>
    </w:rPr>
  </w:style>
  <w:style w:type="paragraph" w:styleId="CommentSubject">
    <w:name w:val="annotation subject"/>
    <w:basedOn w:val="CommentText"/>
    <w:next w:val="CommentText"/>
    <w:link w:val="CommentSubjectChar"/>
    <w:uiPriority w:val="99"/>
    <w:semiHidden/>
    <w:unhideWhenUsed/>
    <w:rsid w:val="00A425AB"/>
    <w:rPr>
      <w:b/>
      <w:bCs/>
    </w:rPr>
  </w:style>
  <w:style w:type="character" w:customStyle="1" w:styleId="CommentSubjectChar">
    <w:name w:val="Comment Subject Char"/>
    <w:link w:val="CommentSubject"/>
    <w:uiPriority w:val="99"/>
    <w:semiHidden/>
    <w:rsid w:val="00A425AB"/>
    <w:rPr>
      <w:rFonts w:eastAsia="Times New Roman" w:cs="Times New Roman"/>
      <w:b/>
      <w:bCs/>
      <w:sz w:val="20"/>
      <w:szCs w:val="20"/>
      <w:lang w:eastAsia="lv-LV"/>
    </w:rPr>
  </w:style>
  <w:style w:type="character" w:customStyle="1" w:styleId="c4">
    <w:name w:val="c4"/>
    <w:basedOn w:val="DefaultParagraphFont"/>
    <w:rsid w:val="0082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5750">
      <w:bodyDiv w:val="1"/>
      <w:marLeft w:val="0"/>
      <w:marRight w:val="0"/>
      <w:marTop w:val="0"/>
      <w:marBottom w:val="0"/>
      <w:divBdr>
        <w:top w:val="none" w:sz="0" w:space="0" w:color="auto"/>
        <w:left w:val="none" w:sz="0" w:space="0" w:color="auto"/>
        <w:bottom w:val="none" w:sz="0" w:space="0" w:color="auto"/>
        <w:right w:val="none" w:sz="0" w:space="0" w:color="auto"/>
      </w:divBdr>
    </w:div>
    <w:div w:id="158497347">
      <w:bodyDiv w:val="1"/>
      <w:marLeft w:val="0"/>
      <w:marRight w:val="0"/>
      <w:marTop w:val="0"/>
      <w:marBottom w:val="0"/>
      <w:divBdr>
        <w:top w:val="none" w:sz="0" w:space="0" w:color="auto"/>
        <w:left w:val="none" w:sz="0" w:space="0" w:color="auto"/>
        <w:bottom w:val="none" w:sz="0" w:space="0" w:color="auto"/>
        <w:right w:val="none" w:sz="0" w:space="0" w:color="auto"/>
      </w:divBdr>
    </w:div>
    <w:div w:id="197354606">
      <w:bodyDiv w:val="1"/>
      <w:marLeft w:val="0"/>
      <w:marRight w:val="0"/>
      <w:marTop w:val="0"/>
      <w:marBottom w:val="0"/>
      <w:divBdr>
        <w:top w:val="none" w:sz="0" w:space="0" w:color="auto"/>
        <w:left w:val="none" w:sz="0" w:space="0" w:color="auto"/>
        <w:bottom w:val="none" w:sz="0" w:space="0" w:color="auto"/>
        <w:right w:val="none" w:sz="0" w:space="0" w:color="auto"/>
      </w:divBdr>
    </w:div>
    <w:div w:id="233929637">
      <w:bodyDiv w:val="1"/>
      <w:marLeft w:val="0"/>
      <w:marRight w:val="0"/>
      <w:marTop w:val="0"/>
      <w:marBottom w:val="0"/>
      <w:divBdr>
        <w:top w:val="none" w:sz="0" w:space="0" w:color="auto"/>
        <w:left w:val="none" w:sz="0" w:space="0" w:color="auto"/>
        <w:bottom w:val="none" w:sz="0" w:space="0" w:color="auto"/>
        <w:right w:val="none" w:sz="0" w:space="0" w:color="auto"/>
      </w:divBdr>
    </w:div>
    <w:div w:id="278221757">
      <w:bodyDiv w:val="1"/>
      <w:marLeft w:val="0"/>
      <w:marRight w:val="0"/>
      <w:marTop w:val="0"/>
      <w:marBottom w:val="0"/>
      <w:divBdr>
        <w:top w:val="none" w:sz="0" w:space="0" w:color="auto"/>
        <w:left w:val="none" w:sz="0" w:space="0" w:color="auto"/>
        <w:bottom w:val="none" w:sz="0" w:space="0" w:color="auto"/>
        <w:right w:val="none" w:sz="0" w:space="0" w:color="auto"/>
      </w:divBdr>
    </w:div>
    <w:div w:id="335621412">
      <w:bodyDiv w:val="1"/>
      <w:marLeft w:val="0"/>
      <w:marRight w:val="0"/>
      <w:marTop w:val="0"/>
      <w:marBottom w:val="0"/>
      <w:divBdr>
        <w:top w:val="none" w:sz="0" w:space="0" w:color="auto"/>
        <w:left w:val="none" w:sz="0" w:space="0" w:color="auto"/>
        <w:bottom w:val="none" w:sz="0" w:space="0" w:color="auto"/>
        <w:right w:val="none" w:sz="0" w:space="0" w:color="auto"/>
      </w:divBdr>
    </w:div>
    <w:div w:id="427972506">
      <w:bodyDiv w:val="1"/>
      <w:marLeft w:val="0"/>
      <w:marRight w:val="0"/>
      <w:marTop w:val="0"/>
      <w:marBottom w:val="0"/>
      <w:divBdr>
        <w:top w:val="none" w:sz="0" w:space="0" w:color="auto"/>
        <w:left w:val="none" w:sz="0" w:space="0" w:color="auto"/>
        <w:bottom w:val="none" w:sz="0" w:space="0" w:color="auto"/>
        <w:right w:val="none" w:sz="0" w:space="0" w:color="auto"/>
      </w:divBdr>
    </w:div>
    <w:div w:id="448668423">
      <w:bodyDiv w:val="1"/>
      <w:marLeft w:val="0"/>
      <w:marRight w:val="0"/>
      <w:marTop w:val="0"/>
      <w:marBottom w:val="0"/>
      <w:divBdr>
        <w:top w:val="none" w:sz="0" w:space="0" w:color="auto"/>
        <w:left w:val="none" w:sz="0" w:space="0" w:color="auto"/>
        <w:bottom w:val="none" w:sz="0" w:space="0" w:color="auto"/>
        <w:right w:val="none" w:sz="0" w:space="0" w:color="auto"/>
      </w:divBdr>
    </w:div>
    <w:div w:id="457989380">
      <w:bodyDiv w:val="1"/>
      <w:marLeft w:val="0"/>
      <w:marRight w:val="0"/>
      <w:marTop w:val="0"/>
      <w:marBottom w:val="0"/>
      <w:divBdr>
        <w:top w:val="none" w:sz="0" w:space="0" w:color="auto"/>
        <w:left w:val="none" w:sz="0" w:space="0" w:color="auto"/>
        <w:bottom w:val="none" w:sz="0" w:space="0" w:color="auto"/>
        <w:right w:val="none" w:sz="0" w:space="0" w:color="auto"/>
      </w:divBdr>
    </w:div>
    <w:div w:id="518931228">
      <w:bodyDiv w:val="1"/>
      <w:marLeft w:val="0"/>
      <w:marRight w:val="0"/>
      <w:marTop w:val="0"/>
      <w:marBottom w:val="0"/>
      <w:divBdr>
        <w:top w:val="none" w:sz="0" w:space="0" w:color="auto"/>
        <w:left w:val="none" w:sz="0" w:space="0" w:color="auto"/>
        <w:bottom w:val="none" w:sz="0" w:space="0" w:color="auto"/>
        <w:right w:val="none" w:sz="0" w:space="0" w:color="auto"/>
      </w:divBdr>
    </w:div>
    <w:div w:id="606885030">
      <w:bodyDiv w:val="1"/>
      <w:marLeft w:val="0"/>
      <w:marRight w:val="0"/>
      <w:marTop w:val="0"/>
      <w:marBottom w:val="0"/>
      <w:divBdr>
        <w:top w:val="none" w:sz="0" w:space="0" w:color="auto"/>
        <w:left w:val="none" w:sz="0" w:space="0" w:color="auto"/>
        <w:bottom w:val="none" w:sz="0" w:space="0" w:color="auto"/>
        <w:right w:val="none" w:sz="0" w:space="0" w:color="auto"/>
      </w:divBdr>
    </w:div>
    <w:div w:id="659382531">
      <w:marLeft w:val="0"/>
      <w:marRight w:val="0"/>
      <w:marTop w:val="0"/>
      <w:marBottom w:val="0"/>
      <w:divBdr>
        <w:top w:val="none" w:sz="0" w:space="0" w:color="auto"/>
        <w:left w:val="none" w:sz="0" w:space="0" w:color="auto"/>
        <w:bottom w:val="none" w:sz="0" w:space="0" w:color="auto"/>
        <w:right w:val="none" w:sz="0" w:space="0" w:color="auto"/>
      </w:divBdr>
    </w:div>
    <w:div w:id="659382532">
      <w:marLeft w:val="0"/>
      <w:marRight w:val="0"/>
      <w:marTop w:val="0"/>
      <w:marBottom w:val="0"/>
      <w:divBdr>
        <w:top w:val="none" w:sz="0" w:space="0" w:color="auto"/>
        <w:left w:val="none" w:sz="0" w:space="0" w:color="auto"/>
        <w:bottom w:val="none" w:sz="0" w:space="0" w:color="auto"/>
        <w:right w:val="none" w:sz="0" w:space="0" w:color="auto"/>
      </w:divBdr>
    </w:div>
    <w:div w:id="659382533">
      <w:marLeft w:val="0"/>
      <w:marRight w:val="0"/>
      <w:marTop w:val="0"/>
      <w:marBottom w:val="0"/>
      <w:divBdr>
        <w:top w:val="none" w:sz="0" w:space="0" w:color="auto"/>
        <w:left w:val="none" w:sz="0" w:space="0" w:color="auto"/>
        <w:bottom w:val="none" w:sz="0" w:space="0" w:color="auto"/>
        <w:right w:val="none" w:sz="0" w:space="0" w:color="auto"/>
      </w:divBdr>
    </w:div>
    <w:div w:id="659382534">
      <w:marLeft w:val="0"/>
      <w:marRight w:val="0"/>
      <w:marTop w:val="0"/>
      <w:marBottom w:val="0"/>
      <w:divBdr>
        <w:top w:val="none" w:sz="0" w:space="0" w:color="auto"/>
        <w:left w:val="none" w:sz="0" w:space="0" w:color="auto"/>
        <w:bottom w:val="none" w:sz="0" w:space="0" w:color="auto"/>
        <w:right w:val="none" w:sz="0" w:space="0" w:color="auto"/>
      </w:divBdr>
    </w:div>
    <w:div w:id="659382535">
      <w:marLeft w:val="0"/>
      <w:marRight w:val="0"/>
      <w:marTop w:val="0"/>
      <w:marBottom w:val="0"/>
      <w:divBdr>
        <w:top w:val="none" w:sz="0" w:space="0" w:color="auto"/>
        <w:left w:val="none" w:sz="0" w:space="0" w:color="auto"/>
        <w:bottom w:val="none" w:sz="0" w:space="0" w:color="auto"/>
        <w:right w:val="none" w:sz="0" w:space="0" w:color="auto"/>
      </w:divBdr>
    </w:div>
    <w:div w:id="659382536">
      <w:marLeft w:val="0"/>
      <w:marRight w:val="0"/>
      <w:marTop w:val="0"/>
      <w:marBottom w:val="0"/>
      <w:divBdr>
        <w:top w:val="none" w:sz="0" w:space="0" w:color="auto"/>
        <w:left w:val="none" w:sz="0" w:space="0" w:color="auto"/>
        <w:bottom w:val="none" w:sz="0" w:space="0" w:color="auto"/>
        <w:right w:val="none" w:sz="0" w:space="0" w:color="auto"/>
      </w:divBdr>
    </w:div>
    <w:div w:id="659382537">
      <w:marLeft w:val="0"/>
      <w:marRight w:val="0"/>
      <w:marTop w:val="0"/>
      <w:marBottom w:val="0"/>
      <w:divBdr>
        <w:top w:val="none" w:sz="0" w:space="0" w:color="auto"/>
        <w:left w:val="none" w:sz="0" w:space="0" w:color="auto"/>
        <w:bottom w:val="none" w:sz="0" w:space="0" w:color="auto"/>
        <w:right w:val="none" w:sz="0" w:space="0" w:color="auto"/>
      </w:divBdr>
    </w:div>
    <w:div w:id="940987711">
      <w:bodyDiv w:val="1"/>
      <w:marLeft w:val="0"/>
      <w:marRight w:val="0"/>
      <w:marTop w:val="0"/>
      <w:marBottom w:val="0"/>
      <w:divBdr>
        <w:top w:val="none" w:sz="0" w:space="0" w:color="auto"/>
        <w:left w:val="none" w:sz="0" w:space="0" w:color="auto"/>
        <w:bottom w:val="none" w:sz="0" w:space="0" w:color="auto"/>
        <w:right w:val="none" w:sz="0" w:space="0" w:color="auto"/>
      </w:divBdr>
    </w:div>
    <w:div w:id="1110900915">
      <w:bodyDiv w:val="1"/>
      <w:marLeft w:val="0"/>
      <w:marRight w:val="0"/>
      <w:marTop w:val="0"/>
      <w:marBottom w:val="0"/>
      <w:divBdr>
        <w:top w:val="none" w:sz="0" w:space="0" w:color="auto"/>
        <w:left w:val="none" w:sz="0" w:space="0" w:color="auto"/>
        <w:bottom w:val="none" w:sz="0" w:space="0" w:color="auto"/>
        <w:right w:val="none" w:sz="0" w:space="0" w:color="auto"/>
      </w:divBdr>
    </w:div>
    <w:div w:id="1225995282">
      <w:bodyDiv w:val="1"/>
      <w:marLeft w:val="0"/>
      <w:marRight w:val="0"/>
      <w:marTop w:val="0"/>
      <w:marBottom w:val="0"/>
      <w:divBdr>
        <w:top w:val="none" w:sz="0" w:space="0" w:color="auto"/>
        <w:left w:val="none" w:sz="0" w:space="0" w:color="auto"/>
        <w:bottom w:val="none" w:sz="0" w:space="0" w:color="auto"/>
        <w:right w:val="none" w:sz="0" w:space="0" w:color="auto"/>
      </w:divBdr>
    </w:div>
    <w:div w:id="1340280594">
      <w:bodyDiv w:val="1"/>
      <w:marLeft w:val="0"/>
      <w:marRight w:val="0"/>
      <w:marTop w:val="0"/>
      <w:marBottom w:val="0"/>
      <w:divBdr>
        <w:top w:val="none" w:sz="0" w:space="0" w:color="auto"/>
        <w:left w:val="none" w:sz="0" w:space="0" w:color="auto"/>
        <w:bottom w:val="none" w:sz="0" w:space="0" w:color="auto"/>
        <w:right w:val="none" w:sz="0" w:space="0" w:color="auto"/>
      </w:divBdr>
    </w:div>
    <w:div w:id="1411929742">
      <w:bodyDiv w:val="1"/>
      <w:marLeft w:val="0"/>
      <w:marRight w:val="0"/>
      <w:marTop w:val="0"/>
      <w:marBottom w:val="0"/>
      <w:divBdr>
        <w:top w:val="none" w:sz="0" w:space="0" w:color="auto"/>
        <w:left w:val="none" w:sz="0" w:space="0" w:color="auto"/>
        <w:bottom w:val="none" w:sz="0" w:space="0" w:color="auto"/>
        <w:right w:val="none" w:sz="0" w:space="0" w:color="auto"/>
      </w:divBdr>
    </w:div>
    <w:div w:id="1434933974">
      <w:bodyDiv w:val="1"/>
      <w:marLeft w:val="0"/>
      <w:marRight w:val="0"/>
      <w:marTop w:val="0"/>
      <w:marBottom w:val="0"/>
      <w:divBdr>
        <w:top w:val="none" w:sz="0" w:space="0" w:color="auto"/>
        <w:left w:val="none" w:sz="0" w:space="0" w:color="auto"/>
        <w:bottom w:val="none" w:sz="0" w:space="0" w:color="auto"/>
        <w:right w:val="none" w:sz="0" w:space="0" w:color="auto"/>
      </w:divBdr>
    </w:div>
    <w:div w:id="1800412906">
      <w:bodyDiv w:val="1"/>
      <w:marLeft w:val="0"/>
      <w:marRight w:val="0"/>
      <w:marTop w:val="0"/>
      <w:marBottom w:val="0"/>
      <w:divBdr>
        <w:top w:val="none" w:sz="0" w:space="0" w:color="auto"/>
        <w:left w:val="none" w:sz="0" w:space="0" w:color="auto"/>
        <w:bottom w:val="none" w:sz="0" w:space="0" w:color="auto"/>
        <w:right w:val="none" w:sz="0" w:space="0" w:color="auto"/>
      </w:divBdr>
    </w:div>
    <w:div w:id="202751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Vad_x012b_t_x0101_js xmlns="2e5bb04e-596e-45bd-9003-43ca78b1ba16">Agnese Rudzīte</Vad_x012b_t_x0101_js>
    <Kategorija xmlns="2e5bb04e-596e-45bd-9003-43ca78b1ba16">Anotācija</Kategorija>
    <DKP xmlns="2e5bb04e-596e-45bd-9003-43ca78b1ba16">123</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5FFEF2D-F049-4B85-9AEA-24EA2C0D62F2}"/>
</file>

<file path=customXml/itemProps2.xml><?xml version="1.0" encoding="utf-8"?>
<ds:datastoreItem xmlns:ds="http://schemas.openxmlformats.org/officeDocument/2006/customXml" ds:itemID="{33C671F2-B5D3-42C0-BE92-6EAAB8A349BF}"/>
</file>

<file path=customXml/itemProps3.xml><?xml version="1.0" encoding="utf-8"?>
<ds:datastoreItem xmlns:ds="http://schemas.openxmlformats.org/officeDocument/2006/customXml" ds:itemID="{1BE98176-B9D9-4839-9ACF-813F34F4840A}"/>
</file>

<file path=customXml/itemProps4.xml><?xml version="1.0" encoding="utf-8"?>
<ds:datastoreItem xmlns:ds="http://schemas.openxmlformats.org/officeDocument/2006/customXml" ds:itemID="{0E45B949-D7BA-4575-A134-A5DA5E373819}"/>
</file>

<file path=docProps/app.xml><?xml version="1.0" encoding="utf-8"?>
<Properties xmlns="http://schemas.openxmlformats.org/officeDocument/2006/extended-properties" xmlns:vt="http://schemas.openxmlformats.org/officeDocument/2006/docPropsVTypes">
  <Template>Normal</Template>
  <TotalTime>1</TotalTime>
  <Pages>5</Pages>
  <Words>4287</Words>
  <Characters>2444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Grozījums 2015.gada 6.janvāra noteikumos Nr.3 “Noteikumi par izložu un azartspēļu nodokļa pārskatu veidlapu paraugiem un izložu un azartspēļu nodokļu pārskatu iesniegšanas kārtību”</vt:lpstr>
    </vt:vector>
  </TitlesOfParts>
  <Company>Valsts ieņēmumu dienests/Finanšu ministrija</Company>
  <LinksUpToDate>false</LinksUpToDate>
  <CharactersWithSpaces>6718</CharactersWithSpaces>
  <SharedDoc>false</SharedDoc>
  <HLinks>
    <vt:vector size="18" baseType="variant">
      <vt:variant>
        <vt:i4>524559</vt:i4>
      </vt:variant>
      <vt:variant>
        <vt:i4>6</vt:i4>
      </vt:variant>
      <vt:variant>
        <vt:i4>0</vt:i4>
      </vt:variant>
      <vt:variant>
        <vt:i4>5</vt:i4>
      </vt:variant>
      <vt:variant>
        <vt:lpwstr>mailto:Inese.Riekstiņa@vid.gov.lv</vt:lpwstr>
      </vt:variant>
      <vt:variant>
        <vt:lpwstr/>
      </vt:variant>
      <vt:variant>
        <vt:i4>4980746</vt:i4>
      </vt:variant>
      <vt:variant>
        <vt:i4>3</vt:i4>
      </vt:variant>
      <vt:variant>
        <vt:i4>0</vt:i4>
      </vt:variant>
      <vt:variant>
        <vt:i4>5</vt:i4>
      </vt:variant>
      <vt:variant>
        <vt:lpwstr>http://likumi.lv/doc.php?id=215302</vt:lpwstr>
      </vt:variant>
      <vt:variant>
        <vt:lpwstr>p6</vt:lpwstr>
      </vt:variant>
      <vt:variant>
        <vt:i4>7995514</vt:i4>
      </vt:variant>
      <vt:variant>
        <vt:i4>0</vt:i4>
      </vt:variant>
      <vt:variant>
        <vt:i4>0</vt:i4>
      </vt:variant>
      <vt:variant>
        <vt:i4>5</vt:i4>
      </vt:variant>
      <vt:variant>
        <vt:lpwstr>http://likumi.lv/doc.php?id=215302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2015.gada 6.janvāra noteikumos Nr.3 “Noteikumi par izložu un azartspēļu nodokļa pārskatu veidlapu paraugiem un izložu un azartspēļu nodokļu pārskatu iesniegšanas kārtību”</dc:title>
  <dc:subject>anotācija</dc:subject>
  <dc:creator>D.Kudravecs</dc:creator>
  <dc:description>67122042, Diana.Kudravecs@vid.gov.lv</dc:description>
  <cp:lastModifiedBy>Diāna Kudravecs</cp:lastModifiedBy>
  <cp:revision>2</cp:revision>
  <cp:lastPrinted>2017-06-12T11:27:00Z</cp:lastPrinted>
  <dcterms:created xsi:type="dcterms:W3CDTF">2017-06-12T11:28:00Z</dcterms:created>
  <dcterms:modified xsi:type="dcterms:W3CDTF">2017-06-12T11:28:00Z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