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894C55" w:rsidRDefault="00A51D9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w:t>
      </w:r>
      <w:r w:rsidRPr="00894C55">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B71CEA">
        <w:rPr>
          <w:rFonts w:ascii="Times New Roman" w:eastAsia="Times New Roman" w:hAnsi="Times New Roman" w:cs="Times New Roman"/>
          <w:b/>
          <w:bCs/>
          <w:color w:val="414142"/>
          <w:sz w:val="28"/>
          <w:szCs w:val="24"/>
          <w:lang w:eastAsia="lv-LV"/>
        </w:rPr>
        <w:t>“Grozījumi Noziedzīgi iegūtu līdzekļu legalizācijas un terorisma finansēšanas novēršanas likumā”</w:t>
      </w:r>
      <w:r w:rsidR="00894C55" w:rsidRPr="00894C55">
        <w:rPr>
          <w:rFonts w:ascii="Times New Roman" w:eastAsia="Times New Roman" w:hAnsi="Times New Roman" w:cs="Times New Roman"/>
          <w:b/>
          <w:bCs/>
          <w:color w:val="414142"/>
          <w:sz w:val="28"/>
          <w:szCs w:val="24"/>
          <w:lang w:eastAsia="lv-LV"/>
        </w:rPr>
        <w:t xml:space="preserve"> </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DE6E37" w:rsidRPr="00894C55" w:rsidRDefault="00DE6E37" w:rsidP="003F4D41">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2282A"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Pr="0032282A" w:rsidRDefault="0032282A" w:rsidP="0032282A">
            <w:pPr>
              <w:rPr>
                <w:rFonts w:ascii="Times New Roman" w:eastAsia="Times New Roman" w:hAnsi="Times New Roman" w:cs="Times New Roman"/>
                <w:sz w:val="24"/>
                <w:szCs w:val="24"/>
                <w:lang w:eastAsia="lv-LV"/>
              </w:rPr>
            </w:pPr>
          </w:p>
          <w:p w:rsidR="0032282A" w:rsidRDefault="0032282A" w:rsidP="0032282A">
            <w:pPr>
              <w:rPr>
                <w:rFonts w:ascii="Times New Roman" w:eastAsia="Times New Roman" w:hAnsi="Times New Roman" w:cs="Times New Roman"/>
                <w:sz w:val="24"/>
                <w:szCs w:val="24"/>
                <w:lang w:eastAsia="lv-LV"/>
              </w:rPr>
            </w:pPr>
          </w:p>
          <w:p w:rsidR="0032282A" w:rsidRDefault="0032282A" w:rsidP="0032282A">
            <w:pPr>
              <w:rPr>
                <w:rFonts w:ascii="Times New Roman" w:eastAsia="Times New Roman" w:hAnsi="Times New Roman" w:cs="Times New Roman"/>
                <w:sz w:val="24"/>
                <w:szCs w:val="24"/>
                <w:lang w:eastAsia="lv-LV"/>
              </w:rPr>
            </w:pPr>
          </w:p>
          <w:p w:rsidR="00894C55" w:rsidRPr="0032282A" w:rsidRDefault="00894C55" w:rsidP="0032282A">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161A49" w:rsidRDefault="00161A49" w:rsidP="0004515B">
            <w:pPr>
              <w:spacing w:after="0" w:line="240" w:lineRule="auto"/>
              <w:ind w:firstLine="394"/>
              <w:jc w:val="both"/>
              <w:rPr>
                <w:rFonts w:ascii="Times New Roman" w:hAnsi="Times New Roman" w:cs="Times New Roman"/>
                <w:color w:val="FF0000"/>
                <w:sz w:val="24"/>
                <w:szCs w:val="24"/>
              </w:rPr>
            </w:pPr>
            <w:r>
              <w:rPr>
                <w:rFonts w:ascii="Times New Roman" w:hAnsi="Times New Roman" w:cs="Times New Roman"/>
                <w:sz w:val="24"/>
                <w:szCs w:val="24"/>
              </w:rPr>
              <w:t xml:space="preserve">Efektīva noziedzīgi iegūtu līdzekļu legalizācijas novēršanas sistēma ir būtiska, lai nodrošinātu cīņu ar noziedzību, kā arī finanšu sektora un valsts reputāciju starptautiskā līmenī. 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ir līdz 2017.gada 26.jūnijam, taču Eiropas </w:t>
            </w:r>
            <w:r w:rsidR="0048243F">
              <w:rPr>
                <w:rFonts w:ascii="Times New Roman" w:hAnsi="Times New Roman" w:cs="Times New Roman"/>
                <w:sz w:val="24"/>
                <w:szCs w:val="24"/>
              </w:rPr>
              <w:t>S</w:t>
            </w:r>
            <w:r>
              <w:rPr>
                <w:rFonts w:ascii="Times New Roman" w:hAnsi="Times New Roman" w:cs="Times New Roman"/>
                <w:sz w:val="24"/>
                <w:szCs w:val="24"/>
              </w:rPr>
              <w:t>avienības dalībvalstis, tajā skaitā arī Latvija, ir apņēmusies to ieviest pirms laika. Eiropas Komisija 2016.gada 6.jūlijā ir publicējusi priekšlikumu Eiropas Parlamenta un Padomes direktīvai ar kuru tiek grozīta direktīva 2015/849 par to, lai nepieļautu finanšu sistēmas izmantošanu nelikumīgi iegūtu līdzekļu legalizēšanai vai terorisma finansēšanai un ar kuru groza direktīvu 2009/101/EC (</w:t>
            </w:r>
            <w:r w:rsidR="007C4C2B">
              <w:rPr>
                <w:rFonts w:ascii="Times New Roman" w:hAnsi="Times New Roman" w:cs="Times New Roman"/>
                <w:sz w:val="24"/>
                <w:szCs w:val="24"/>
              </w:rPr>
              <w:t xml:space="preserve">turpmāk - </w:t>
            </w:r>
            <w:r>
              <w:rPr>
                <w:rFonts w:ascii="Times New Roman" w:hAnsi="Times New Roman" w:cs="Times New Roman"/>
                <w:sz w:val="24"/>
                <w:szCs w:val="24"/>
              </w:rPr>
              <w:t xml:space="preserve">AML IV direktīvas </w:t>
            </w:r>
            <w:r w:rsidR="00600917">
              <w:rPr>
                <w:rFonts w:ascii="Times New Roman" w:hAnsi="Times New Roman" w:cs="Times New Roman"/>
                <w:sz w:val="24"/>
                <w:szCs w:val="24"/>
              </w:rPr>
              <w:t xml:space="preserve">grozījumu </w:t>
            </w:r>
            <w:r>
              <w:rPr>
                <w:rFonts w:ascii="Times New Roman" w:hAnsi="Times New Roman" w:cs="Times New Roman"/>
                <w:sz w:val="24"/>
                <w:szCs w:val="24"/>
              </w:rPr>
              <w:t xml:space="preserve">priekšlikums 2016/0208 (COD)). AML IV direktīvas grozījumu priekšlikumā 2016/0208 (COD) iekļautais transponēšanas termiņš </w:t>
            </w:r>
            <w:r w:rsidR="000E3648">
              <w:rPr>
                <w:rFonts w:ascii="Times New Roman" w:hAnsi="Times New Roman" w:cs="Times New Roman"/>
                <w:sz w:val="24"/>
                <w:szCs w:val="24"/>
              </w:rPr>
              <w:t xml:space="preserve">dalībvalstīm ir 12 mēneši pēc minētās direktīvas publicēšanas oficiālajā Eiropas Savienības mājaslapā. </w:t>
            </w:r>
          </w:p>
          <w:p w:rsidR="00C31EA3" w:rsidRDefault="00C31EA3" w:rsidP="0004515B">
            <w:pPr>
              <w:spacing w:after="0" w:line="240" w:lineRule="auto"/>
              <w:ind w:firstLine="394"/>
              <w:jc w:val="both"/>
              <w:rPr>
                <w:rFonts w:ascii="Times New Roman" w:hAnsi="Times New Roman" w:cs="Times New Roman"/>
                <w:color w:val="000000" w:themeColor="text1"/>
                <w:sz w:val="24"/>
                <w:szCs w:val="24"/>
              </w:rPr>
            </w:pPr>
          </w:p>
          <w:p w:rsidR="00161A49" w:rsidRDefault="00161A49" w:rsidP="0004515B">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w:t>
            </w:r>
            <w:r w:rsidR="007055E7">
              <w:rPr>
                <w:rFonts w:ascii="Times New Roman" w:hAnsi="Times New Roman" w:cs="Times New Roman"/>
                <w:color w:val="000000" w:themeColor="text1"/>
                <w:sz w:val="24"/>
                <w:szCs w:val="24"/>
              </w:rPr>
              <w:t xml:space="preserve">“Grozījumi Noziedzīgi iegūtu līdzekļu legalizācijas un terorisma finansēšanas novēršanas likumā” (turpmāk - likumprojekts) </w:t>
            </w:r>
            <w:r>
              <w:rPr>
                <w:rFonts w:ascii="Times New Roman" w:hAnsi="Times New Roman" w:cs="Times New Roman"/>
                <w:color w:val="000000" w:themeColor="text1"/>
                <w:sz w:val="24"/>
                <w:szCs w:val="24"/>
              </w:rPr>
              <w:t>izstrādāts, lai:</w:t>
            </w:r>
          </w:p>
          <w:p w:rsidR="00161A49" w:rsidRDefault="00161A49" w:rsidP="0042442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pārņemtu AML IV direktīvas prasības;</w:t>
            </w:r>
          </w:p>
          <w:p w:rsidR="00161A49" w:rsidRPr="00740E54" w:rsidRDefault="00161A49" w:rsidP="0042442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iekļautu jau daļu </w:t>
            </w:r>
            <w:r>
              <w:rPr>
                <w:rFonts w:ascii="Times New Roman" w:hAnsi="Times New Roman" w:cs="Times New Roman"/>
                <w:sz w:val="24"/>
                <w:szCs w:val="24"/>
              </w:rPr>
              <w:t>AML IV direktīvas priekšlikumu 2016/0208 (COD) prasību;</w:t>
            </w:r>
          </w:p>
          <w:p w:rsidR="00161A49" w:rsidRPr="00DD2ACA" w:rsidRDefault="00161A49" w:rsidP="0042442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pilnveidotu Noziedzīgi iegūtu līdzekļu legalizācijas un terorisma finansēšanas novēršanas likumu (turpmāk - NILLTFNL) atbilstoši starptautisko Finanšu darījumu darba grupas </w:t>
            </w:r>
            <w:r w:rsidR="005E0D54">
              <w:rPr>
                <w:rFonts w:ascii="Times New Roman" w:hAnsi="Times New Roman" w:cs="Times New Roman"/>
                <w:sz w:val="24"/>
                <w:szCs w:val="24"/>
              </w:rPr>
              <w:t xml:space="preserve">(turpmāk – FATF) </w:t>
            </w:r>
            <w:r>
              <w:rPr>
                <w:rFonts w:ascii="Times New Roman" w:hAnsi="Times New Roman" w:cs="Times New Roman"/>
                <w:sz w:val="24"/>
                <w:szCs w:val="24"/>
              </w:rPr>
              <w:t>rekomendācijām</w:t>
            </w:r>
            <w:r w:rsidR="00DD2ACA">
              <w:rPr>
                <w:rFonts w:ascii="Times New Roman" w:hAnsi="Times New Roman" w:cs="Times New Roman"/>
                <w:sz w:val="24"/>
                <w:szCs w:val="24"/>
              </w:rPr>
              <w:t>;</w:t>
            </w:r>
          </w:p>
          <w:p w:rsidR="00894C55" w:rsidRPr="00A10846" w:rsidRDefault="00DD2ACA" w:rsidP="003562B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pilnveidotu NILLTFNL atbilstoši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iropas Padomes Moneyval ekspertu ieteikumiem, tādējādi 2017.gada novembrī</w:t>
            </w:r>
            <w:r w:rsidR="00CB32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kad </w:t>
            </w:r>
            <w:r w:rsidRPr="00AC71CB">
              <w:rPr>
                <w:rFonts w:ascii="Times New Roman" w:hAnsi="Times New Roman" w:cs="Times New Roman"/>
                <w:color w:val="000000" w:themeColor="text1"/>
                <w:sz w:val="24"/>
                <w:szCs w:val="24"/>
              </w:rPr>
              <w:t>Latvij</w:t>
            </w:r>
            <w:r>
              <w:rPr>
                <w:rFonts w:ascii="Times New Roman" w:hAnsi="Times New Roman" w:cs="Times New Roman"/>
                <w:color w:val="000000" w:themeColor="text1"/>
                <w:sz w:val="24"/>
                <w:szCs w:val="24"/>
              </w:rPr>
              <w:t>ā</w:t>
            </w:r>
            <w:r w:rsidRPr="00AC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uz </w:t>
            </w:r>
            <w:r w:rsidRPr="00AC71CB">
              <w:rPr>
                <w:rFonts w:ascii="Times New Roman" w:hAnsi="Times New Roman" w:cs="Times New Roman"/>
                <w:color w:val="000000" w:themeColor="text1"/>
                <w:sz w:val="24"/>
                <w:szCs w:val="24"/>
              </w:rPr>
              <w:t>divām nedēļām ieradīsies Eiropas Padomes Moneyval eksperti</w:t>
            </w:r>
            <w:r>
              <w:rPr>
                <w:rFonts w:ascii="Times New Roman" w:hAnsi="Times New Roman" w:cs="Times New Roman"/>
                <w:color w:val="000000" w:themeColor="text1"/>
                <w:sz w:val="24"/>
                <w:szCs w:val="24"/>
              </w:rPr>
              <w:t xml:space="preserve">, </w:t>
            </w:r>
            <w:r w:rsidRPr="00AC71CB">
              <w:rPr>
                <w:rFonts w:ascii="Times New Roman" w:hAnsi="Times New Roman" w:cs="Times New Roman"/>
                <w:color w:val="000000" w:themeColor="text1"/>
                <w:sz w:val="24"/>
                <w:szCs w:val="24"/>
              </w:rPr>
              <w:t xml:space="preserve">lai veiktu valsts noziedzīgi iegūtu līdzekļu legalizācijas un terorisma finansēšanas novēršanas </w:t>
            </w:r>
            <w:r w:rsidR="003D41A9">
              <w:rPr>
                <w:rFonts w:ascii="Times New Roman" w:hAnsi="Times New Roman" w:cs="Times New Roman"/>
                <w:color w:val="000000" w:themeColor="text1"/>
                <w:sz w:val="24"/>
                <w:szCs w:val="24"/>
              </w:rPr>
              <w:t xml:space="preserve"> (turpmāk - NILLTFN) </w:t>
            </w:r>
            <w:r w:rsidRPr="00AC71CB">
              <w:rPr>
                <w:rFonts w:ascii="Times New Roman" w:hAnsi="Times New Roman" w:cs="Times New Roman"/>
                <w:color w:val="000000" w:themeColor="text1"/>
                <w:sz w:val="24"/>
                <w:szCs w:val="24"/>
              </w:rPr>
              <w:t xml:space="preserve">un apkarošanas sistēmas 5.kārtas </w:t>
            </w:r>
            <w:r w:rsidRPr="00AC71CB">
              <w:rPr>
                <w:rFonts w:ascii="Times New Roman" w:hAnsi="Times New Roman" w:cs="Times New Roman"/>
                <w:color w:val="000000" w:themeColor="text1"/>
                <w:sz w:val="24"/>
                <w:szCs w:val="24"/>
              </w:rPr>
              <w:lastRenderedPageBreak/>
              <w:t>novērtēšan</w:t>
            </w:r>
            <w:r>
              <w:rPr>
                <w:rFonts w:ascii="Times New Roman" w:hAnsi="Times New Roman" w:cs="Times New Roman"/>
                <w:color w:val="000000" w:themeColor="text1"/>
                <w:sz w:val="24"/>
                <w:szCs w:val="24"/>
              </w:rPr>
              <w:t>u</w:t>
            </w:r>
            <w:r w:rsidR="00CB32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w:t>
            </w:r>
            <w:r w:rsidR="007D3204">
              <w:rPr>
                <w:rFonts w:ascii="Times New Roman" w:hAnsi="Times New Roman" w:cs="Times New Roman"/>
                <w:color w:val="000000" w:themeColor="text1"/>
                <w:sz w:val="24"/>
                <w:szCs w:val="24"/>
              </w:rPr>
              <w:t>ū</w:t>
            </w:r>
            <w:r>
              <w:rPr>
                <w:rFonts w:ascii="Times New Roman" w:hAnsi="Times New Roman" w:cs="Times New Roman"/>
                <w:color w:val="000000" w:themeColor="text1"/>
                <w:sz w:val="24"/>
                <w:szCs w:val="24"/>
              </w:rPr>
              <w:t xml:space="preserve">tu iespējams </w:t>
            </w:r>
            <w:r w:rsidR="00503319">
              <w:rPr>
                <w:rFonts w:ascii="Times New Roman" w:hAnsi="Times New Roman" w:cs="Times New Roman"/>
                <w:color w:val="000000" w:themeColor="text1"/>
                <w:sz w:val="24"/>
                <w:szCs w:val="24"/>
              </w:rPr>
              <w:t>parādīt NILLTFNL sistēmas praktiskās darbības efektivitāti</w:t>
            </w:r>
            <w:r w:rsidR="003562B3">
              <w:rPr>
                <w:rFonts w:ascii="Times New Roman" w:hAnsi="Times New Roman" w:cs="Times New Roman"/>
                <w:color w:val="000000" w:themeColor="text1"/>
                <w:sz w:val="24"/>
                <w:szCs w:val="24"/>
              </w:rPr>
              <w:t>.</w:t>
            </w:r>
          </w:p>
          <w:p w:rsidR="00A10846" w:rsidRPr="00A10846" w:rsidRDefault="00B94E25" w:rsidP="00A10846">
            <w:pPr>
              <w:spacing w:after="0" w:line="240" w:lineRule="auto"/>
              <w:ind w:firstLine="403"/>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w:t>
            </w:r>
            <w:r w:rsidR="00A10846" w:rsidRPr="00A10846">
              <w:rPr>
                <w:rFonts w:ascii="Times New Roman" w:eastAsia="Times New Roman" w:hAnsi="Times New Roman" w:cs="Times New Roman"/>
                <w:color w:val="000000" w:themeColor="text1"/>
                <w:sz w:val="24"/>
                <w:szCs w:val="24"/>
                <w:lang w:eastAsia="lv-LV"/>
              </w:rPr>
              <w:t xml:space="preserve"> izsludināts 2017.gada 23.marta Valsts sekretāru sanāksmē, VSS-309.</w:t>
            </w:r>
          </w:p>
        </w:tc>
      </w:tr>
      <w:tr w:rsidR="00894C55" w:rsidRPr="0094070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34750" w:rsidRPr="00657A14" w:rsidRDefault="003C1391" w:rsidP="00B34750">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Pašreiz Latvijā saskaņā ar spēkā esošo </w:t>
            </w:r>
            <w:r w:rsidR="00122192" w:rsidRPr="00657A14">
              <w:rPr>
                <w:rFonts w:ascii="Times New Roman" w:hAnsi="Times New Roman" w:cs="Times New Roman"/>
                <w:color w:val="000000" w:themeColor="text1"/>
                <w:sz w:val="24"/>
                <w:szCs w:val="24"/>
              </w:rPr>
              <w:t xml:space="preserve">AML IV direktīvu </w:t>
            </w:r>
            <w:r w:rsidR="00CC765E" w:rsidRPr="00657A14">
              <w:rPr>
                <w:rFonts w:ascii="Times New Roman" w:hAnsi="Times New Roman" w:cs="Times New Roman"/>
                <w:color w:val="000000" w:themeColor="text1"/>
                <w:sz w:val="24"/>
                <w:szCs w:val="24"/>
              </w:rPr>
              <w:t xml:space="preserve">prasību pārņemšanu </w:t>
            </w:r>
            <w:r w:rsidR="00122192" w:rsidRPr="00657A14">
              <w:rPr>
                <w:rFonts w:ascii="Times New Roman" w:hAnsi="Times New Roman" w:cs="Times New Roman"/>
                <w:color w:val="000000" w:themeColor="text1"/>
                <w:sz w:val="24"/>
                <w:szCs w:val="24"/>
              </w:rPr>
              <w:t xml:space="preserve">ir </w:t>
            </w:r>
            <w:r w:rsidR="00665848" w:rsidRPr="00657A14">
              <w:rPr>
                <w:rFonts w:ascii="Times New Roman" w:hAnsi="Times New Roman" w:cs="Times New Roman"/>
                <w:color w:val="000000" w:themeColor="text1"/>
                <w:sz w:val="24"/>
                <w:szCs w:val="24"/>
              </w:rPr>
              <w:t>jau veiktas izmaiņas normatīvo aktu regulējumos</w:t>
            </w:r>
            <w:r w:rsidR="00CC765E" w:rsidRPr="00657A14">
              <w:rPr>
                <w:rFonts w:ascii="Times New Roman" w:hAnsi="Times New Roman" w:cs="Times New Roman"/>
                <w:color w:val="000000" w:themeColor="text1"/>
                <w:sz w:val="24"/>
                <w:szCs w:val="24"/>
              </w:rPr>
              <w:t>, taču tā ir tikai neliela daļa prasību</w:t>
            </w:r>
            <w:r w:rsidR="005E6CCA" w:rsidRPr="00657A14">
              <w:rPr>
                <w:rFonts w:ascii="Times New Roman" w:hAnsi="Times New Roman" w:cs="Times New Roman"/>
                <w:color w:val="000000" w:themeColor="text1"/>
                <w:sz w:val="24"/>
                <w:szCs w:val="24"/>
              </w:rPr>
              <w:t>, kuras ir pārņemtas</w:t>
            </w:r>
            <w:r w:rsidR="00665848" w:rsidRPr="00657A14">
              <w:rPr>
                <w:rFonts w:ascii="Times New Roman" w:hAnsi="Times New Roman" w:cs="Times New Roman"/>
                <w:color w:val="000000" w:themeColor="text1"/>
                <w:sz w:val="24"/>
                <w:szCs w:val="24"/>
              </w:rPr>
              <w:t xml:space="preserve">. </w:t>
            </w:r>
          </w:p>
          <w:p w:rsidR="002A59C7" w:rsidRPr="00657A14" w:rsidRDefault="00665848" w:rsidP="00B34750">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2016.gada 29.februārī stājās spēkā groz</w:t>
            </w:r>
            <w:r w:rsidR="005E6CCA" w:rsidRPr="00657A14">
              <w:rPr>
                <w:rFonts w:ascii="Times New Roman" w:hAnsi="Times New Roman" w:cs="Times New Roman"/>
                <w:color w:val="000000" w:themeColor="text1"/>
                <w:sz w:val="24"/>
                <w:szCs w:val="24"/>
              </w:rPr>
              <w:t xml:space="preserve">ījumi NILLTFNL, kuros tika paplašināta politiski nozīmīgu personu definīcijā </w:t>
            </w:r>
            <w:r w:rsidR="00571229" w:rsidRPr="00657A14">
              <w:rPr>
                <w:rFonts w:ascii="Times New Roman" w:hAnsi="Times New Roman" w:cs="Times New Roman"/>
                <w:color w:val="000000" w:themeColor="text1"/>
                <w:sz w:val="24"/>
                <w:szCs w:val="24"/>
              </w:rPr>
              <w:t>atbilstoši AML IV direktīvas 3.panta 9.punkta prasībām</w:t>
            </w:r>
            <w:r w:rsidR="00DE72EB" w:rsidRPr="00657A14">
              <w:rPr>
                <w:rFonts w:ascii="Times New Roman" w:hAnsi="Times New Roman" w:cs="Times New Roman"/>
                <w:color w:val="000000" w:themeColor="text1"/>
                <w:sz w:val="24"/>
                <w:szCs w:val="24"/>
              </w:rPr>
              <w:t xml:space="preserve">, atsevišķi tika veidotas definīcijas politiski nozīmīgās personas ģimenes loceklim </w:t>
            </w:r>
            <w:r w:rsidR="00CA63B2" w:rsidRPr="00657A14">
              <w:rPr>
                <w:rFonts w:ascii="Times New Roman" w:hAnsi="Times New Roman" w:cs="Times New Roman"/>
                <w:color w:val="000000" w:themeColor="text1"/>
                <w:sz w:val="24"/>
                <w:szCs w:val="24"/>
              </w:rPr>
              <w:t xml:space="preserve">AML IV direktīvas 3.panta 10.punkts </w:t>
            </w:r>
            <w:r w:rsidR="00DE72EB" w:rsidRPr="00657A14">
              <w:rPr>
                <w:rFonts w:ascii="Times New Roman" w:hAnsi="Times New Roman" w:cs="Times New Roman"/>
                <w:color w:val="000000" w:themeColor="text1"/>
                <w:sz w:val="24"/>
                <w:szCs w:val="24"/>
              </w:rPr>
              <w:t>un ar politiski nozīmīgu personu cieši saist</w:t>
            </w:r>
            <w:r w:rsidR="00891DD6" w:rsidRPr="00657A14">
              <w:rPr>
                <w:rFonts w:ascii="Times New Roman" w:hAnsi="Times New Roman" w:cs="Times New Roman"/>
                <w:color w:val="000000" w:themeColor="text1"/>
                <w:sz w:val="24"/>
                <w:szCs w:val="24"/>
              </w:rPr>
              <w:t xml:space="preserve">ītai </w:t>
            </w:r>
            <w:r w:rsidR="00DE72EB" w:rsidRPr="00657A14">
              <w:rPr>
                <w:rFonts w:ascii="Times New Roman" w:hAnsi="Times New Roman" w:cs="Times New Roman"/>
                <w:color w:val="000000" w:themeColor="text1"/>
                <w:sz w:val="24"/>
                <w:szCs w:val="24"/>
              </w:rPr>
              <w:t>personai</w:t>
            </w:r>
            <w:r w:rsidR="00571229" w:rsidRPr="00657A14">
              <w:rPr>
                <w:rFonts w:ascii="Times New Roman" w:hAnsi="Times New Roman" w:cs="Times New Roman"/>
                <w:color w:val="000000" w:themeColor="text1"/>
                <w:sz w:val="24"/>
                <w:szCs w:val="24"/>
              </w:rPr>
              <w:t xml:space="preserve"> </w:t>
            </w:r>
            <w:r w:rsidR="00EF5B89" w:rsidRPr="00657A14">
              <w:rPr>
                <w:rFonts w:ascii="Times New Roman" w:hAnsi="Times New Roman" w:cs="Times New Roman"/>
                <w:color w:val="000000" w:themeColor="text1"/>
                <w:sz w:val="24"/>
                <w:szCs w:val="24"/>
              </w:rPr>
              <w:t>(</w:t>
            </w:r>
            <w:r w:rsidR="00CA63B2" w:rsidRPr="00657A14">
              <w:rPr>
                <w:rFonts w:ascii="Times New Roman" w:hAnsi="Times New Roman" w:cs="Times New Roman"/>
                <w:color w:val="000000" w:themeColor="text1"/>
                <w:sz w:val="24"/>
                <w:szCs w:val="24"/>
              </w:rPr>
              <w:t>AML IV direktīvas 11.punkts</w:t>
            </w:r>
            <w:r w:rsidR="00EF5B89" w:rsidRPr="00657A14">
              <w:rPr>
                <w:rFonts w:ascii="Times New Roman" w:hAnsi="Times New Roman" w:cs="Times New Roman"/>
                <w:color w:val="000000" w:themeColor="text1"/>
                <w:sz w:val="24"/>
                <w:szCs w:val="24"/>
              </w:rPr>
              <w:t>),</w:t>
            </w:r>
            <w:r w:rsidR="00CA63B2" w:rsidRPr="00657A14">
              <w:rPr>
                <w:rFonts w:ascii="Times New Roman" w:hAnsi="Times New Roman" w:cs="Times New Roman"/>
                <w:color w:val="000000" w:themeColor="text1"/>
                <w:sz w:val="24"/>
                <w:szCs w:val="24"/>
              </w:rPr>
              <w:t xml:space="preserve"> </w:t>
            </w:r>
            <w:r w:rsidR="00FA6259" w:rsidRPr="00657A14">
              <w:rPr>
                <w:rFonts w:ascii="Times New Roman" w:hAnsi="Times New Roman" w:cs="Times New Roman"/>
                <w:color w:val="000000" w:themeColor="text1"/>
                <w:sz w:val="24"/>
                <w:szCs w:val="24"/>
              </w:rPr>
              <w:t>un pilnveidota kārtība, kādā šī likuma subjekti, tai skaitā bankas, pārvalda riskus, kas saistīti ar politiski nozīmīgām personām, atbilstoši starptautiska</w:t>
            </w:r>
            <w:r w:rsidR="00DE72EB" w:rsidRPr="00657A14">
              <w:rPr>
                <w:rFonts w:ascii="Times New Roman" w:hAnsi="Times New Roman" w:cs="Times New Roman"/>
                <w:color w:val="000000" w:themeColor="text1"/>
                <w:sz w:val="24"/>
                <w:szCs w:val="24"/>
              </w:rPr>
              <w:t>m standartam</w:t>
            </w:r>
            <w:r w:rsidR="00404AA4" w:rsidRPr="00657A14">
              <w:rPr>
                <w:rFonts w:ascii="Times New Roman" w:hAnsi="Times New Roman" w:cs="Times New Roman"/>
                <w:color w:val="000000" w:themeColor="text1"/>
                <w:sz w:val="24"/>
                <w:szCs w:val="24"/>
              </w:rPr>
              <w:t xml:space="preserve"> </w:t>
            </w:r>
            <w:r w:rsidR="00EF5B89" w:rsidRPr="00657A14">
              <w:rPr>
                <w:rFonts w:ascii="Times New Roman" w:hAnsi="Times New Roman" w:cs="Times New Roman"/>
                <w:color w:val="000000" w:themeColor="text1"/>
                <w:sz w:val="24"/>
                <w:szCs w:val="24"/>
              </w:rPr>
              <w:t>(</w:t>
            </w:r>
            <w:r w:rsidR="00404AA4" w:rsidRPr="00657A14">
              <w:rPr>
                <w:rFonts w:ascii="Times New Roman" w:hAnsi="Times New Roman" w:cs="Times New Roman"/>
                <w:color w:val="000000" w:themeColor="text1"/>
                <w:sz w:val="24"/>
                <w:szCs w:val="24"/>
              </w:rPr>
              <w:t>AML IV direktīvas 20.-23.pants</w:t>
            </w:r>
            <w:r w:rsidR="00EF5B89" w:rsidRPr="00657A14">
              <w:rPr>
                <w:rFonts w:ascii="Times New Roman" w:hAnsi="Times New Roman" w:cs="Times New Roman"/>
                <w:color w:val="000000" w:themeColor="text1"/>
                <w:sz w:val="24"/>
                <w:szCs w:val="24"/>
              </w:rPr>
              <w:t>)</w:t>
            </w:r>
            <w:r w:rsidR="00404AA4" w:rsidRPr="00657A14">
              <w:rPr>
                <w:rFonts w:ascii="Times New Roman" w:hAnsi="Times New Roman" w:cs="Times New Roman"/>
                <w:color w:val="000000" w:themeColor="text1"/>
                <w:sz w:val="24"/>
                <w:szCs w:val="24"/>
              </w:rPr>
              <w:t>.</w:t>
            </w:r>
            <w:r w:rsidR="00702496" w:rsidRPr="00657A14">
              <w:rPr>
                <w:rFonts w:ascii="Times New Roman" w:hAnsi="Times New Roman" w:cs="Times New Roman"/>
                <w:color w:val="000000" w:themeColor="text1"/>
                <w:sz w:val="24"/>
                <w:szCs w:val="24"/>
              </w:rPr>
              <w:t xml:space="preserve"> </w:t>
            </w:r>
          </w:p>
          <w:p w:rsidR="002E39A0" w:rsidRPr="00657A14" w:rsidRDefault="00702496" w:rsidP="00B34750">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Savukārt 2016.gada 29.jūnijā stājās </w:t>
            </w:r>
            <w:r w:rsidR="007878B9" w:rsidRPr="00657A14">
              <w:rPr>
                <w:rFonts w:ascii="Times New Roman" w:hAnsi="Times New Roman" w:cs="Times New Roman"/>
                <w:color w:val="000000" w:themeColor="text1"/>
                <w:sz w:val="24"/>
                <w:szCs w:val="24"/>
              </w:rPr>
              <w:t xml:space="preserve">spēkā </w:t>
            </w:r>
            <w:r w:rsidRPr="00657A14">
              <w:rPr>
                <w:rFonts w:ascii="Times New Roman" w:hAnsi="Times New Roman" w:cs="Times New Roman"/>
                <w:color w:val="000000" w:themeColor="text1"/>
                <w:sz w:val="24"/>
                <w:szCs w:val="24"/>
              </w:rPr>
              <w:t xml:space="preserve"> grozījumi NILLTFNL</w:t>
            </w:r>
            <w:r w:rsidR="005E7F01" w:rsidRPr="00657A14">
              <w:rPr>
                <w:rFonts w:ascii="Times New Roman" w:hAnsi="Times New Roman" w:cs="Times New Roman"/>
                <w:color w:val="000000" w:themeColor="text1"/>
                <w:sz w:val="24"/>
                <w:szCs w:val="24"/>
              </w:rPr>
              <w:t xml:space="preserve">, </w:t>
            </w:r>
            <w:r w:rsidR="00EF5B89" w:rsidRPr="00657A14">
              <w:rPr>
                <w:rFonts w:ascii="Times New Roman" w:hAnsi="Times New Roman" w:cs="Times New Roman"/>
                <w:color w:val="000000" w:themeColor="text1"/>
                <w:sz w:val="24"/>
                <w:szCs w:val="24"/>
              </w:rPr>
              <w:t xml:space="preserve">ar kuriem </w:t>
            </w:r>
            <w:r w:rsidR="005E7F01" w:rsidRPr="00657A14">
              <w:rPr>
                <w:rFonts w:ascii="Times New Roman" w:hAnsi="Times New Roman" w:cs="Times New Roman"/>
                <w:color w:val="000000" w:themeColor="text1"/>
                <w:sz w:val="24"/>
                <w:szCs w:val="24"/>
              </w:rPr>
              <w:t>tika pārņemtas AML IV direktīvas 48.panta otrās daļas</w:t>
            </w:r>
            <w:r w:rsidR="002A0FCB" w:rsidRPr="00657A14">
              <w:rPr>
                <w:rFonts w:ascii="Times New Roman" w:hAnsi="Times New Roman" w:cs="Times New Roman"/>
                <w:color w:val="000000" w:themeColor="text1"/>
                <w:sz w:val="24"/>
                <w:szCs w:val="24"/>
              </w:rPr>
              <w:t xml:space="preserve"> prasības</w:t>
            </w:r>
            <w:r w:rsidR="00030DCA" w:rsidRPr="00657A14">
              <w:rPr>
                <w:rFonts w:ascii="Times New Roman" w:hAnsi="Times New Roman" w:cs="Times New Roman"/>
                <w:color w:val="000000" w:themeColor="text1"/>
                <w:sz w:val="24"/>
                <w:szCs w:val="24"/>
              </w:rPr>
              <w:t xml:space="preserve">, kuras tika iekļautas NILLTFNL </w:t>
            </w:r>
            <w:r w:rsidR="00602BB9" w:rsidRPr="00657A14">
              <w:rPr>
                <w:rFonts w:ascii="Times New Roman" w:hAnsi="Times New Roman" w:cs="Times New Roman"/>
                <w:color w:val="000000" w:themeColor="text1"/>
                <w:sz w:val="24"/>
                <w:szCs w:val="24"/>
              </w:rPr>
              <w:t>38.panta 2</w:t>
            </w:r>
            <w:r w:rsidR="00373DDB" w:rsidRPr="00657A14">
              <w:rPr>
                <w:rFonts w:ascii="Times New Roman" w:hAnsi="Times New Roman" w:cs="Times New Roman"/>
                <w:color w:val="000000" w:themeColor="text1"/>
                <w:sz w:val="24"/>
                <w:szCs w:val="24"/>
              </w:rPr>
              <w:t>.</w:t>
            </w:r>
            <w:r w:rsidR="00602BB9" w:rsidRPr="00657A14">
              <w:rPr>
                <w:rFonts w:ascii="Times New Roman" w:hAnsi="Times New Roman" w:cs="Times New Roman"/>
                <w:color w:val="000000" w:themeColor="text1"/>
                <w:sz w:val="24"/>
                <w:szCs w:val="24"/>
              </w:rPr>
              <w:t>¹</w:t>
            </w:r>
            <w:r w:rsidR="00373DDB" w:rsidRPr="00657A14">
              <w:rPr>
                <w:rFonts w:ascii="Times New Roman" w:hAnsi="Times New Roman" w:cs="Times New Roman"/>
                <w:color w:val="000000" w:themeColor="text1"/>
                <w:sz w:val="24"/>
                <w:szCs w:val="24"/>
              </w:rPr>
              <w:t xml:space="preserve"> </w:t>
            </w:r>
            <w:r w:rsidR="00602BB9" w:rsidRPr="00657A14">
              <w:rPr>
                <w:rFonts w:ascii="Times New Roman" w:hAnsi="Times New Roman" w:cs="Times New Roman"/>
                <w:color w:val="000000" w:themeColor="text1"/>
                <w:sz w:val="24"/>
                <w:szCs w:val="24"/>
              </w:rPr>
              <w:t>daļā, par likuma subjekta pilnvarām pieprasīt informāciju par atbilstības pārraudzību un risku identificēšanu</w:t>
            </w:r>
            <w:r w:rsidR="00836FB5" w:rsidRPr="00657A14">
              <w:rPr>
                <w:rFonts w:ascii="Times New Roman" w:hAnsi="Times New Roman" w:cs="Times New Roman"/>
                <w:color w:val="000000" w:themeColor="text1"/>
                <w:sz w:val="24"/>
                <w:szCs w:val="24"/>
              </w:rPr>
              <w:t xml:space="preserve">, novērtēšanu, pārvaldību un uzraudzību, kā arī </w:t>
            </w:r>
            <w:r w:rsidR="003F3C9F" w:rsidRPr="00657A14">
              <w:rPr>
                <w:rFonts w:ascii="Times New Roman" w:hAnsi="Times New Roman" w:cs="Times New Roman"/>
                <w:color w:val="000000" w:themeColor="text1"/>
                <w:sz w:val="24"/>
                <w:szCs w:val="24"/>
              </w:rPr>
              <w:t xml:space="preserve">par to, kā </w:t>
            </w:r>
            <w:r w:rsidR="00836FB5" w:rsidRPr="00657A14">
              <w:rPr>
                <w:rFonts w:ascii="Times New Roman" w:hAnsi="Times New Roman" w:cs="Times New Roman"/>
                <w:color w:val="000000" w:themeColor="text1"/>
                <w:sz w:val="24"/>
                <w:szCs w:val="24"/>
              </w:rPr>
              <w:t>likuma subjekts veic pasākumus, nodrošinot informācijas aizsardzību pret tālāku izpaušanu.</w:t>
            </w:r>
            <w:r w:rsidR="006E78CF" w:rsidRPr="00657A14">
              <w:rPr>
                <w:rFonts w:ascii="Times New Roman" w:hAnsi="Times New Roman" w:cs="Times New Roman"/>
                <w:color w:val="000000" w:themeColor="text1"/>
                <w:sz w:val="24"/>
                <w:szCs w:val="24"/>
              </w:rPr>
              <w:t xml:space="preserve"> </w:t>
            </w:r>
          </w:p>
          <w:p w:rsidR="002E39A0" w:rsidRPr="00657A14" w:rsidRDefault="006E78CF" w:rsidP="00B34750">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Finanšu </w:t>
            </w:r>
            <w:r w:rsidR="003F3C9F" w:rsidRPr="00657A14">
              <w:rPr>
                <w:rFonts w:ascii="Times New Roman" w:hAnsi="Times New Roman" w:cs="Times New Roman"/>
                <w:color w:val="000000" w:themeColor="text1"/>
                <w:sz w:val="24"/>
                <w:szCs w:val="24"/>
              </w:rPr>
              <w:t xml:space="preserve">un </w:t>
            </w:r>
            <w:r w:rsidRPr="00657A14">
              <w:rPr>
                <w:rFonts w:ascii="Times New Roman" w:hAnsi="Times New Roman" w:cs="Times New Roman"/>
                <w:color w:val="000000" w:themeColor="text1"/>
                <w:sz w:val="24"/>
                <w:szCs w:val="24"/>
              </w:rPr>
              <w:t xml:space="preserve">kapitāla tirgus komisija </w:t>
            </w:r>
            <w:r w:rsidR="008276B9" w:rsidRPr="00657A14">
              <w:rPr>
                <w:rFonts w:ascii="Times New Roman" w:hAnsi="Times New Roman" w:cs="Times New Roman"/>
                <w:color w:val="000000" w:themeColor="text1"/>
                <w:sz w:val="24"/>
                <w:szCs w:val="24"/>
              </w:rPr>
              <w:t>(turpmāk - FKTK)</w:t>
            </w:r>
            <w:r w:rsidR="003F3C9F" w:rsidRPr="00657A14">
              <w:rPr>
                <w:rFonts w:ascii="Times New Roman" w:hAnsi="Times New Roman" w:cs="Times New Roman"/>
                <w:color w:val="000000" w:themeColor="text1"/>
                <w:sz w:val="24"/>
                <w:szCs w:val="24"/>
              </w:rPr>
              <w:t>,</w:t>
            </w:r>
            <w:r w:rsidR="008276B9"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izstrādājot normatīvos noteikumus Nr. 234</w:t>
            </w:r>
            <w:r w:rsidR="00FA6259" w:rsidRPr="00657A14">
              <w:rPr>
                <w:rFonts w:ascii="Times New Roman" w:hAnsi="Times New Roman" w:cs="Times New Roman"/>
                <w:color w:val="000000" w:themeColor="text1"/>
                <w:sz w:val="24"/>
                <w:szCs w:val="24"/>
              </w:rPr>
              <w:t xml:space="preserve"> </w:t>
            </w:r>
            <w:r w:rsidR="005E6CCA"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“Klientu padziļinātās izpētes normatīvie noteikumi kredītiestādēm un licencētām maksājumu un elektroniskās naudas iestād</w:t>
            </w:r>
            <w:r w:rsidR="006C0BD4" w:rsidRPr="00657A14">
              <w:rPr>
                <w:rFonts w:ascii="Times New Roman" w:hAnsi="Times New Roman" w:cs="Times New Roman"/>
                <w:color w:val="000000" w:themeColor="text1"/>
                <w:sz w:val="24"/>
                <w:szCs w:val="24"/>
              </w:rPr>
              <w:t>ēm</w:t>
            </w:r>
            <w:r w:rsidRPr="00657A14">
              <w:rPr>
                <w:rFonts w:ascii="Times New Roman" w:hAnsi="Times New Roman" w:cs="Times New Roman"/>
                <w:color w:val="000000" w:themeColor="text1"/>
                <w:sz w:val="24"/>
                <w:szCs w:val="24"/>
              </w:rPr>
              <w:t>”</w:t>
            </w:r>
            <w:r w:rsidR="006C0BD4" w:rsidRPr="00657A14">
              <w:rPr>
                <w:rFonts w:ascii="Times New Roman" w:hAnsi="Times New Roman" w:cs="Times New Roman"/>
                <w:color w:val="000000" w:themeColor="text1"/>
                <w:sz w:val="24"/>
                <w:szCs w:val="24"/>
              </w:rPr>
              <w:t>, kuri stājās spēkā 2015.gada 31.decembrī, iestrādāja AML IV direktīvas III pielikuma prasības saistībā ar risku paaugstinošajiem faktoriem.</w:t>
            </w:r>
            <w:r w:rsidR="002E079F" w:rsidRPr="00657A14">
              <w:rPr>
                <w:rFonts w:ascii="Times New Roman" w:hAnsi="Times New Roman" w:cs="Times New Roman"/>
                <w:color w:val="000000" w:themeColor="text1"/>
                <w:sz w:val="24"/>
                <w:szCs w:val="24"/>
              </w:rPr>
              <w:t xml:space="preserve"> </w:t>
            </w:r>
          </w:p>
          <w:p w:rsidR="008B6539" w:rsidRPr="00657A14" w:rsidRDefault="002E079F" w:rsidP="008B6539">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2016.gada 1.jūlijā stājās spēkā grozījumi Kredītiestāžu likumā, kurā  AML IV direktīvas 59.panta trešās daļas prasības attiecībā uz sankciju piemērošanu tika iestrādātas Kredītiestāžu likuma 198</w:t>
            </w:r>
            <w:r w:rsidR="003F3C9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¹pantā.</w:t>
            </w:r>
          </w:p>
          <w:p w:rsidR="008B6539" w:rsidRPr="00657A14" w:rsidRDefault="008B6539" w:rsidP="008B6539">
            <w:p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Digitalizācija un inovācija</w:t>
            </w:r>
          </w:p>
          <w:p w:rsidR="008B6539" w:rsidRPr="00657A14" w:rsidRDefault="008B6539" w:rsidP="008B6539">
            <w:pPr>
              <w:spacing w:before="100" w:beforeAutospacing="1" w:after="100" w:afterAutospacing="1"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Līdz ar finanšu tehnoloģiju (FinTech)</w:t>
            </w:r>
            <w:r w:rsidRPr="00940700">
              <w:rPr>
                <w:rFonts w:ascii="Times New Roman" w:hAnsi="Times New Roman" w:cs="Times New Roman"/>
                <w:color w:val="000000" w:themeColor="text1"/>
                <w:sz w:val="24"/>
                <w:szCs w:val="24"/>
              </w:rPr>
              <w:footnoteReference w:id="1"/>
            </w:r>
            <w:r w:rsidRPr="00657A14">
              <w:rPr>
                <w:rFonts w:ascii="Times New Roman" w:hAnsi="Times New Roman" w:cs="Times New Roman"/>
                <w:color w:val="000000" w:themeColor="text1"/>
                <w:sz w:val="24"/>
                <w:szCs w:val="24"/>
              </w:rPr>
              <w:t xml:space="preserve"> straujās attīstības radītajām iespējām, strauji pieaug alternatīvo finanšu </w:t>
            </w:r>
            <w:r w:rsidRPr="00657A14">
              <w:rPr>
                <w:rFonts w:ascii="Times New Roman" w:hAnsi="Times New Roman" w:cs="Times New Roman"/>
                <w:color w:val="000000" w:themeColor="text1"/>
                <w:sz w:val="24"/>
                <w:szCs w:val="24"/>
              </w:rPr>
              <w:lastRenderedPageBreak/>
              <w:t xml:space="preserve">pakalpojumu klāsts. </w:t>
            </w:r>
            <w:r w:rsidR="00342504" w:rsidRPr="00657A14">
              <w:rPr>
                <w:rFonts w:ascii="Times New Roman" w:hAnsi="Times New Roman" w:cs="Times New Roman"/>
                <w:color w:val="000000" w:themeColor="text1"/>
                <w:sz w:val="24"/>
                <w:szCs w:val="24"/>
              </w:rPr>
              <w:t>F</w:t>
            </w:r>
            <w:r w:rsidRPr="00657A14">
              <w:rPr>
                <w:rFonts w:ascii="Times New Roman" w:hAnsi="Times New Roman" w:cs="Times New Roman"/>
                <w:color w:val="000000" w:themeColor="text1"/>
                <w:sz w:val="24"/>
                <w:szCs w:val="24"/>
              </w:rPr>
              <w:t>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iespējamo risku detalizētu izvērtējumu.</w:t>
            </w:r>
            <w:r w:rsidR="00342504"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Ņemot vērā straujo finanšu inovāciju attīstību, nepieciešams rast risinājumus arī atbilstošai ar finanšu inovāciju saistīto risku pārvaldībai. Vienlaikus, ņemot vērā augsto FinTech nozares uzņēmumu mobilitāti, šādu nozaru uzņēmumu labvēlīgu attīstības iespēju radīšanai nepieciešams saglabāt starptautiski konkurētspējīgu nozares regulāciju</w:t>
            </w:r>
            <w:r w:rsidR="00342504"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 xml:space="preserve">Digitālo instrumentu un pakalpojumu attīstība atbilst Latvijas patērētāju un investoru vajadzībām, kā arī atbalsta produktivitāti, tomēr jānodrošina, ka tā nekaitē valsts, kā augoša reģionālā finanšu centra reputācijai, jo neesoša vai nepietiekoša regulējuma apstākļos var samazināt darījumu, pārskaitījumu drošību un veicināt nelegāli iegūtu līdzekļu legalizāciju un terorisma finansēšanu, kā arī var palielināt divus tradicionālos finanšu sistēmas riskus – kredītrisku un likviditātes risku. Tādēļ veicinot digitalizāciju un inovāciju, ir kritiski nodrošināt atbilstošu normatīvo, tajā skaitā NILLTF un reputācijas risku ierobežojošo, vidi kā arī regulāru finanšu sektora un tās atsevišķo elementu NILLTFN atbilstības vērtējumu. Šie nosacījumi attiecināmi arī uz inovatīviem finanšu pakalpojumiem, tai skaitā arī nepieļaujot valsts finanšu sektora NILLTF riska ekspozīcijas palielināšanos pret finanšu pakalpojumu sniegšanu ārvalstu klientiem. Šīs riska ekspozīcijas nepienācīga pārvaldīšana ir nozīmīgākais paaugstināta NILLTF riska avots. Šim nolūkam NILLTF riska kontrole tiks nodrošināta,  vērtējot gan inovatīva finanšu pakalpojuma biznesa modeļu saimnieciskās darbības plānu, kam jābūt ar caurskatāmu un ekonomiski pamatotu darbības struktūru, un reālu devumu valsts tautsaimniecībai, gan arī visu ar tām saistīto NILLTF risku mazināšanas pasākumu pietiekamību, ieskaitot ierobežojumus darījumu apjomam un klientu bāzei. </w:t>
            </w:r>
          </w:p>
          <w:p w:rsidR="00F63D02" w:rsidRPr="00657A14" w:rsidRDefault="009428C1" w:rsidP="00F63D02">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Kā jau iepriekš minēts</w:t>
            </w:r>
            <w:r w:rsidR="00D92C67"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šī likumprojekta galvenais mērķis ir pārņemt AML IV direktīvas prasības pilnīb</w:t>
            </w:r>
            <w:r w:rsidR="00D92C67" w:rsidRPr="00657A14">
              <w:rPr>
                <w:rFonts w:ascii="Times New Roman" w:hAnsi="Times New Roman" w:cs="Times New Roman"/>
                <w:color w:val="000000" w:themeColor="text1"/>
                <w:sz w:val="24"/>
                <w:szCs w:val="24"/>
              </w:rPr>
              <w:t xml:space="preserve">ā. </w:t>
            </w:r>
            <w:r w:rsidR="00825120">
              <w:rPr>
                <w:rFonts w:ascii="Times New Roman" w:hAnsi="Times New Roman" w:cs="Times New Roman"/>
                <w:color w:val="000000" w:themeColor="text1"/>
                <w:sz w:val="24"/>
                <w:szCs w:val="24"/>
              </w:rPr>
              <w:t>NILLTFN</w:t>
            </w:r>
            <w:r w:rsidR="00D769DF">
              <w:rPr>
                <w:rFonts w:ascii="Times New Roman" w:hAnsi="Times New Roman" w:cs="Times New Roman"/>
                <w:color w:val="000000" w:themeColor="text1"/>
                <w:sz w:val="24"/>
                <w:szCs w:val="24"/>
              </w:rPr>
              <w:t xml:space="preserve"> parasti t</w:t>
            </w:r>
            <w:r w:rsidR="00D92C67">
              <w:rPr>
                <w:rFonts w:ascii="Times New Roman" w:hAnsi="Times New Roman" w:cs="Times New Roman"/>
                <w:color w:val="000000" w:themeColor="text1"/>
                <w:sz w:val="24"/>
                <w:szCs w:val="24"/>
              </w:rPr>
              <w:t>iek īstenota starptautiskā vidē. I</w:t>
            </w:r>
            <w:r w:rsidR="001F7298">
              <w:rPr>
                <w:rFonts w:ascii="Times New Roman" w:hAnsi="Times New Roman" w:cs="Times New Roman"/>
                <w:color w:val="000000" w:themeColor="text1"/>
                <w:sz w:val="24"/>
                <w:szCs w:val="24"/>
              </w:rPr>
              <w:t>zvair</w:t>
            </w:r>
            <w:r w:rsidR="00D92C67">
              <w:rPr>
                <w:rFonts w:ascii="Times New Roman" w:hAnsi="Times New Roman" w:cs="Times New Roman"/>
                <w:color w:val="000000" w:themeColor="text1"/>
                <w:sz w:val="24"/>
                <w:szCs w:val="24"/>
              </w:rPr>
              <w:t>oties</w:t>
            </w:r>
            <w:r w:rsidR="001F7298">
              <w:rPr>
                <w:rFonts w:ascii="Times New Roman" w:hAnsi="Times New Roman" w:cs="Times New Roman"/>
                <w:color w:val="000000" w:themeColor="text1"/>
                <w:sz w:val="24"/>
                <w:szCs w:val="24"/>
              </w:rPr>
              <w:t xml:space="preserve"> no ierobežotas ietekmes, </w:t>
            </w:r>
            <w:r w:rsidR="002131E6">
              <w:rPr>
                <w:rFonts w:ascii="Times New Roman" w:hAnsi="Times New Roman" w:cs="Times New Roman"/>
                <w:color w:val="000000" w:themeColor="text1"/>
                <w:sz w:val="24"/>
                <w:szCs w:val="24"/>
              </w:rPr>
              <w:t>NILLTFN</w:t>
            </w:r>
            <w:r w:rsidR="00D92C67">
              <w:rPr>
                <w:rFonts w:ascii="Times New Roman" w:hAnsi="Times New Roman" w:cs="Times New Roman"/>
                <w:color w:val="000000" w:themeColor="text1"/>
                <w:sz w:val="24"/>
                <w:szCs w:val="24"/>
              </w:rPr>
              <w:t xml:space="preserve"> </w:t>
            </w:r>
            <w:r w:rsidR="001F7298">
              <w:rPr>
                <w:rFonts w:ascii="Times New Roman" w:hAnsi="Times New Roman" w:cs="Times New Roman"/>
                <w:color w:val="000000" w:themeColor="text1"/>
                <w:sz w:val="24"/>
                <w:szCs w:val="24"/>
              </w:rPr>
              <w:t xml:space="preserve"> </w:t>
            </w:r>
            <w:r w:rsidR="002E1DDA">
              <w:rPr>
                <w:rFonts w:ascii="Times New Roman" w:hAnsi="Times New Roman" w:cs="Times New Roman"/>
                <w:color w:val="000000" w:themeColor="text1"/>
                <w:sz w:val="24"/>
                <w:szCs w:val="24"/>
              </w:rPr>
              <w:t>pasākum</w:t>
            </w:r>
            <w:r w:rsidR="00D92C67">
              <w:rPr>
                <w:rFonts w:ascii="Times New Roman" w:hAnsi="Times New Roman" w:cs="Times New Roman"/>
                <w:color w:val="000000" w:themeColor="text1"/>
                <w:sz w:val="24"/>
                <w:szCs w:val="24"/>
              </w:rPr>
              <w:t>os tiek ņemta vērā starptautiskā koordinācija un sadarbība</w:t>
            </w:r>
            <w:r w:rsidR="002E1DDA">
              <w:rPr>
                <w:rFonts w:ascii="Times New Roman" w:hAnsi="Times New Roman" w:cs="Times New Roman"/>
                <w:color w:val="000000" w:themeColor="text1"/>
                <w:sz w:val="24"/>
                <w:szCs w:val="24"/>
              </w:rPr>
              <w:t xml:space="preserve">. </w:t>
            </w:r>
            <w:r w:rsidR="00F420F3">
              <w:rPr>
                <w:rFonts w:ascii="Times New Roman" w:hAnsi="Times New Roman" w:cs="Times New Roman"/>
                <w:color w:val="000000" w:themeColor="text1"/>
                <w:sz w:val="24"/>
                <w:szCs w:val="24"/>
              </w:rPr>
              <w:t xml:space="preserve">Eiropas </w:t>
            </w:r>
            <w:r w:rsidR="003D42EE">
              <w:rPr>
                <w:rFonts w:ascii="Times New Roman" w:hAnsi="Times New Roman" w:cs="Times New Roman"/>
                <w:color w:val="000000" w:themeColor="text1"/>
                <w:sz w:val="24"/>
                <w:szCs w:val="24"/>
              </w:rPr>
              <w:t>Savienības rīcībā ir</w:t>
            </w:r>
            <w:r w:rsidR="00F420F3">
              <w:rPr>
                <w:rFonts w:ascii="Times New Roman" w:hAnsi="Times New Roman" w:cs="Times New Roman"/>
                <w:color w:val="000000" w:themeColor="text1"/>
                <w:sz w:val="24"/>
                <w:szCs w:val="24"/>
              </w:rPr>
              <w:t xml:space="preserve"> īpaši </w:t>
            </w:r>
            <w:r w:rsidR="002E1DDA">
              <w:rPr>
                <w:rFonts w:ascii="Times New Roman" w:hAnsi="Times New Roman" w:cs="Times New Roman"/>
                <w:color w:val="000000" w:themeColor="text1"/>
                <w:sz w:val="24"/>
                <w:szCs w:val="24"/>
              </w:rPr>
              <w:t>ieteicams ņemt vērā FATF ieteikumus un instrumentus</w:t>
            </w:r>
            <w:r w:rsidR="0042127F">
              <w:rPr>
                <w:rFonts w:ascii="Times New Roman" w:hAnsi="Times New Roman" w:cs="Times New Roman"/>
                <w:color w:val="000000" w:themeColor="text1"/>
                <w:sz w:val="24"/>
                <w:szCs w:val="24"/>
              </w:rPr>
              <w:t>, kurus izstrādājušas citas starptautiskās organiz</w:t>
            </w:r>
            <w:r w:rsidR="00034CF3">
              <w:rPr>
                <w:rFonts w:ascii="Times New Roman" w:hAnsi="Times New Roman" w:cs="Times New Roman"/>
                <w:color w:val="000000" w:themeColor="text1"/>
                <w:sz w:val="24"/>
                <w:szCs w:val="24"/>
              </w:rPr>
              <w:t xml:space="preserve">ācijas cīņai pret </w:t>
            </w:r>
            <w:r w:rsidR="00721FA5">
              <w:rPr>
                <w:rFonts w:ascii="Times New Roman" w:hAnsi="Times New Roman" w:cs="Times New Roman"/>
                <w:color w:val="000000" w:themeColor="text1"/>
                <w:sz w:val="24"/>
                <w:szCs w:val="24"/>
              </w:rPr>
              <w:t>NILLTFN</w:t>
            </w:r>
            <w:r w:rsidR="00034CF3">
              <w:rPr>
                <w:rFonts w:ascii="Times New Roman" w:hAnsi="Times New Roman" w:cs="Times New Roman"/>
                <w:color w:val="000000" w:themeColor="text1"/>
                <w:sz w:val="24"/>
                <w:szCs w:val="24"/>
              </w:rPr>
              <w:t>.</w:t>
            </w:r>
            <w:r w:rsidR="00085714">
              <w:rPr>
                <w:rFonts w:ascii="Times New Roman" w:hAnsi="Times New Roman" w:cs="Times New Roman"/>
                <w:color w:val="000000" w:themeColor="text1"/>
                <w:sz w:val="24"/>
                <w:szCs w:val="24"/>
              </w:rPr>
              <w:t xml:space="preserve"> Efektīvākai cīņai pret </w:t>
            </w:r>
            <w:r w:rsidR="00721FA5">
              <w:rPr>
                <w:rFonts w:ascii="Times New Roman" w:hAnsi="Times New Roman" w:cs="Times New Roman"/>
                <w:color w:val="000000" w:themeColor="text1"/>
                <w:sz w:val="24"/>
                <w:szCs w:val="24"/>
              </w:rPr>
              <w:t>NILLTFN,</w:t>
            </w:r>
            <w:r w:rsidR="00085714">
              <w:rPr>
                <w:rFonts w:ascii="Times New Roman" w:hAnsi="Times New Roman" w:cs="Times New Roman"/>
                <w:color w:val="000000" w:themeColor="text1"/>
                <w:sz w:val="24"/>
                <w:szCs w:val="24"/>
              </w:rPr>
              <w:t xml:space="preserve"> tiesību aktus ir vēlams pielāgot FATF 2012.gada februārī pieņemtajiem Starptautiskajiem standartiem par </w:t>
            </w:r>
            <w:r w:rsidR="004D7A9B">
              <w:rPr>
                <w:rFonts w:ascii="Times New Roman" w:hAnsi="Times New Roman" w:cs="Times New Roman"/>
                <w:color w:val="000000" w:themeColor="text1"/>
                <w:sz w:val="24"/>
                <w:szCs w:val="24"/>
              </w:rPr>
              <w:t xml:space="preserve">nelikumīgi iegūtu līdzekļu </w:t>
            </w:r>
            <w:r w:rsidR="004D7A9B">
              <w:rPr>
                <w:rFonts w:ascii="Times New Roman" w:hAnsi="Times New Roman" w:cs="Times New Roman"/>
                <w:color w:val="000000" w:themeColor="text1"/>
                <w:sz w:val="24"/>
                <w:szCs w:val="24"/>
              </w:rPr>
              <w:lastRenderedPageBreak/>
              <w:t xml:space="preserve">legalizācijas, terorisma </w:t>
            </w:r>
            <w:r w:rsidR="005175A6">
              <w:rPr>
                <w:rFonts w:ascii="Times New Roman" w:hAnsi="Times New Roman" w:cs="Times New Roman"/>
                <w:color w:val="000000" w:themeColor="text1"/>
                <w:sz w:val="24"/>
                <w:szCs w:val="24"/>
              </w:rPr>
              <w:t>finansēšanu un</w:t>
            </w:r>
            <w:r w:rsidR="0070635B">
              <w:rPr>
                <w:rFonts w:ascii="Times New Roman" w:hAnsi="Times New Roman" w:cs="Times New Roman"/>
                <w:color w:val="000000" w:themeColor="text1"/>
                <w:sz w:val="24"/>
                <w:szCs w:val="24"/>
              </w:rPr>
              <w:t xml:space="preserve"> ieroču izplatīšanas apkarošanu.</w:t>
            </w:r>
          </w:p>
          <w:p w:rsidR="00626652" w:rsidRPr="00657A14" w:rsidRDefault="000F2AF7" w:rsidP="00626652">
            <w:pPr>
              <w:ind w:firstLine="394"/>
              <w:jc w:val="both"/>
              <w:rPr>
                <w:rFonts w:ascii="Times New Roman" w:hAnsi="Times New Roman" w:cs="Times New Roman"/>
                <w:color w:val="000000" w:themeColor="text1"/>
                <w:sz w:val="24"/>
                <w:szCs w:val="24"/>
              </w:rPr>
            </w:pPr>
            <w:r w:rsidRPr="001B724E">
              <w:rPr>
                <w:rFonts w:ascii="Times New Roman" w:hAnsi="Times New Roman" w:cs="Times New Roman"/>
                <w:color w:val="000000" w:themeColor="text1"/>
                <w:sz w:val="24"/>
                <w:szCs w:val="24"/>
              </w:rPr>
              <w:t>Viena no jaunākajām tehnoloģijām, kas prasa piesardzīgu novērošanu, taču ne ierobežojošu regulēšanu, lai netiktu slāpēta inovatīvā idejas attīstība</w:t>
            </w:r>
            <w:r w:rsidR="003F3C9F">
              <w:rPr>
                <w:rFonts w:ascii="Times New Roman" w:hAnsi="Times New Roman" w:cs="Times New Roman"/>
                <w:color w:val="000000" w:themeColor="text1"/>
                <w:sz w:val="24"/>
                <w:szCs w:val="24"/>
              </w:rPr>
              <w:t>,</w:t>
            </w:r>
            <w:r w:rsidRPr="001B724E">
              <w:rPr>
                <w:rFonts w:ascii="Times New Roman" w:hAnsi="Times New Roman" w:cs="Times New Roman"/>
                <w:color w:val="000000" w:themeColor="text1"/>
                <w:sz w:val="24"/>
                <w:szCs w:val="24"/>
              </w:rPr>
              <w:t xml:space="preserve"> ir </w:t>
            </w:r>
            <w:r w:rsidR="00D613E4" w:rsidRPr="001B724E">
              <w:rPr>
                <w:rFonts w:ascii="Times New Roman" w:hAnsi="Times New Roman" w:cs="Times New Roman"/>
                <w:color w:val="000000" w:themeColor="text1"/>
                <w:sz w:val="24"/>
                <w:szCs w:val="24"/>
              </w:rPr>
              <w:t xml:space="preserve">virtuālās valūtas tehnoloģija. Kā zināms “virtuālā valūta” </w:t>
            </w:r>
            <w:r w:rsidR="00360393" w:rsidRPr="001B724E">
              <w:rPr>
                <w:rFonts w:ascii="Times New Roman" w:hAnsi="Times New Roman" w:cs="Times New Roman"/>
                <w:color w:val="000000" w:themeColor="text1"/>
                <w:sz w:val="24"/>
                <w:szCs w:val="24"/>
              </w:rPr>
              <w:t xml:space="preserve">Latvijā un Eiropas Savienībā </w:t>
            </w:r>
            <w:r w:rsidR="00D613E4" w:rsidRPr="001B724E">
              <w:rPr>
                <w:rFonts w:ascii="Times New Roman" w:hAnsi="Times New Roman" w:cs="Times New Roman"/>
                <w:color w:val="000000" w:themeColor="text1"/>
                <w:sz w:val="24"/>
                <w:szCs w:val="24"/>
              </w:rPr>
              <w:t xml:space="preserve">netiek regulēta un tādējādi pastāv liels risks izmantot šo specifisko </w:t>
            </w:r>
            <w:r w:rsidR="003F3C9F">
              <w:rPr>
                <w:rFonts w:ascii="Times New Roman" w:hAnsi="Times New Roman" w:cs="Times New Roman"/>
                <w:color w:val="000000" w:themeColor="text1"/>
                <w:sz w:val="24"/>
                <w:szCs w:val="24"/>
              </w:rPr>
              <w:t xml:space="preserve">tehnoloģiju </w:t>
            </w:r>
            <w:r w:rsidR="009F73E7">
              <w:rPr>
                <w:rFonts w:ascii="Times New Roman" w:hAnsi="Times New Roman" w:cs="Times New Roman"/>
                <w:color w:val="000000" w:themeColor="text1"/>
                <w:sz w:val="24"/>
                <w:szCs w:val="24"/>
              </w:rPr>
              <w:t>NILLTFN</w:t>
            </w:r>
            <w:r w:rsidR="00D613E4" w:rsidRPr="001B724E">
              <w:rPr>
                <w:rFonts w:ascii="Times New Roman" w:hAnsi="Times New Roman" w:cs="Times New Roman"/>
                <w:color w:val="000000" w:themeColor="text1"/>
                <w:sz w:val="24"/>
                <w:szCs w:val="24"/>
              </w:rPr>
              <w:t xml:space="preserve"> jomā. </w:t>
            </w:r>
            <w:r w:rsidR="00576760" w:rsidRPr="00657A14">
              <w:rPr>
                <w:rFonts w:ascii="Times New Roman" w:hAnsi="Times New Roman" w:cs="Times New Roman"/>
                <w:color w:val="000000" w:themeColor="text1"/>
                <w:sz w:val="24"/>
                <w:szCs w:val="24"/>
              </w:rPr>
              <w:t xml:space="preserve">AML IV direktīvas grozījumu priekšlikums 2016/0208 (COD) iekļauj virtuālās valūtas apmaiņas platformas kā atbildīgos subjektus un tiek sniegta virtuālās valūtas definīcija. </w:t>
            </w:r>
          </w:p>
          <w:p w:rsidR="00D40FD3" w:rsidRPr="00657A14" w:rsidRDefault="00576760" w:rsidP="00D40FD3">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Pašreiz</w:t>
            </w:r>
            <w:r w:rsidR="00360393" w:rsidRPr="001B724E">
              <w:rPr>
                <w:rFonts w:ascii="Times New Roman" w:hAnsi="Times New Roman" w:cs="Times New Roman"/>
                <w:color w:val="000000" w:themeColor="text1"/>
                <w:sz w:val="24"/>
                <w:szCs w:val="24"/>
              </w:rPr>
              <w:t xml:space="preserve"> </w:t>
            </w:r>
            <w:r w:rsidR="00360393" w:rsidRPr="00657A14">
              <w:rPr>
                <w:rFonts w:ascii="Times New Roman" w:hAnsi="Times New Roman" w:cs="Times New Roman"/>
                <w:color w:val="000000" w:themeColor="text1"/>
                <w:sz w:val="24"/>
                <w:szCs w:val="24"/>
              </w:rPr>
              <w:t xml:space="preserve">NILLTFNL 45.panta otrās daļas 6.punktā ir norādīts, ka </w:t>
            </w:r>
            <w:r w:rsidR="003F726F" w:rsidRPr="00657A14">
              <w:rPr>
                <w:rFonts w:ascii="Times New Roman" w:hAnsi="Times New Roman" w:cs="Times New Roman"/>
                <w:color w:val="000000" w:themeColor="text1"/>
                <w:sz w:val="24"/>
                <w:szCs w:val="24"/>
              </w:rPr>
              <w:t xml:space="preserve">Valsts ieņēmumu dienests (turpmāk - VID) </w:t>
            </w:r>
            <w:r w:rsidR="00360393" w:rsidRPr="00657A14">
              <w:rPr>
                <w:rFonts w:ascii="Times New Roman" w:hAnsi="Times New Roman" w:cs="Times New Roman"/>
                <w:color w:val="000000" w:themeColor="text1"/>
                <w:sz w:val="24"/>
                <w:szCs w:val="24"/>
              </w:rPr>
              <w:t xml:space="preserve">uzrauga citas finanšu iestādes, kas nav minētas šā likuma 1.panta 7.punktā, kas netieši norāda ka “virtuālās valūtas” pakalpojumu sniedzēji  ir </w:t>
            </w:r>
            <w:r w:rsidR="003F726F" w:rsidRPr="00657A14">
              <w:rPr>
                <w:rFonts w:ascii="Times New Roman" w:hAnsi="Times New Roman" w:cs="Times New Roman"/>
                <w:color w:val="000000" w:themeColor="text1"/>
                <w:sz w:val="24"/>
                <w:szCs w:val="24"/>
              </w:rPr>
              <w:t xml:space="preserve">VID </w:t>
            </w:r>
            <w:r w:rsidR="00360393" w:rsidRPr="00657A14">
              <w:rPr>
                <w:rFonts w:ascii="Times New Roman" w:hAnsi="Times New Roman" w:cs="Times New Roman"/>
                <w:color w:val="000000" w:themeColor="text1"/>
                <w:sz w:val="24"/>
                <w:szCs w:val="24"/>
              </w:rPr>
              <w:t>uzraudzībā. Iepriekš minētā</w:t>
            </w:r>
            <w:r w:rsidR="00721FA5" w:rsidRPr="00657A14">
              <w:rPr>
                <w:rFonts w:ascii="Times New Roman" w:hAnsi="Times New Roman" w:cs="Times New Roman"/>
                <w:color w:val="000000" w:themeColor="text1"/>
                <w:sz w:val="24"/>
                <w:szCs w:val="24"/>
              </w:rPr>
              <w:t>,</w:t>
            </w:r>
            <w:r w:rsidR="00360393" w:rsidRPr="00657A14">
              <w:rPr>
                <w:rFonts w:ascii="Times New Roman" w:hAnsi="Times New Roman" w:cs="Times New Roman"/>
                <w:color w:val="000000" w:themeColor="text1"/>
                <w:sz w:val="24"/>
                <w:szCs w:val="24"/>
              </w:rPr>
              <w:t xml:space="preserve"> netiešā norāde</w:t>
            </w:r>
            <w:r w:rsidR="00721FA5" w:rsidRPr="00657A14">
              <w:rPr>
                <w:rFonts w:ascii="Times New Roman" w:hAnsi="Times New Roman" w:cs="Times New Roman"/>
                <w:color w:val="000000" w:themeColor="text1"/>
                <w:sz w:val="24"/>
                <w:szCs w:val="24"/>
              </w:rPr>
              <w:t>,</w:t>
            </w:r>
            <w:r w:rsidR="00360393" w:rsidRPr="00657A14">
              <w:rPr>
                <w:rFonts w:ascii="Times New Roman" w:hAnsi="Times New Roman" w:cs="Times New Roman"/>
                <w:color w:val="000000" w:themeColor="text1"/>
                <w:sz w:val="24"/>
                <w:szCs w:val="24"/>
              </w:rPr>
              <w:t xml:space="preserve"> patreizējā regulējumā rada likuma interpretācijas iespējas</w:t>
            </w:r>
            <w:r w:rsidR="00721FA5" w:rsidRPr="00657A14">
              <w:rPr>
                <w:rFonts w:ascii="Times New Roman" w:hAnsi="Times New Roman" w:cs="Times New Roman"/>
                <w:color w:val="000000" w:themeColor="text1"/>
                <w:sz w:val="24"/>
                <w:szCs w:val="24"/>
              </w:rPr>
              <w:t>,</w:t>
            </w:r>
            <w:r w:rsidR="00360393" w:rsidRPr="00657A14">
              <w:rPr>
                <w:rFonts w:ascii="Times New Roman" w:hAnsi="Times New Roman" w:cs="Times New Roman"/>
                <w:color w:val="000000" w:themeColor="text1"/>
                <w:sz w:val="24"/>
                <w:szCs w:val="24"/>
              </w:rPr>
              <w:t xml:space="preserve"> līdz ar to </w:t>
            </w:r>
            <w:r w:rsidR="00360393" w:rsidRPr="001B724E">
              <w:rPr>
                <w:rFonts w:ascii="Times New Roman" w:hAnsi="Times New Roman" w:cs="Times New Roman"/>
                <w:color w:val="000000" w:themeColor="text1"/>
                <w:sz w:val="24"/>
                <w:szCs w:val="24"/>
              </w:rPr>
              <w:t xml:space="preserve">  </w:t>
            </w:r>
            <w:r w:rsidR="00721FA5">
              <w:rPr>
                <w:rFonts w:ascii="Times New Roman" w:hAnsi="Times New Roman" w:cs="Times New Roman"/>
                <w:color w:val="000000" w:themeColor="text1"/>
                <w:sz w:val="24"/>
                <w:szCs w:val="24"/>
              </w:rPr>
              <w:t>l</w:t>
            </w:r>
            <w:r w:rsidR="00D613E4" w:rsidRPr="001B724E">
              <w:rPr>
                <w:rFonts w:ascii="Times New Roman" w:hAnsi="Times New Roman" w:cs="Times New Roman"/>
                <w:color w:val="000000" w:themeColor="text1"/>
                <w:sz w:val="24"/>
                <w:szCs w:val="24"/>
              </w:rPr>
              <w:t>ikumprojekt</w:t>
            </w:r>
            <w:r w:rsidR="00CD04BD">
              <w:rPr>
                <w:rFonts w:ascii="Times New Roman" w:hAnsi="Times New Roman" w:cs="Times New Roman"/>
                <w:color w:val="000000" w:themeColor="text1"/>
                <w:sz w:val="24"/>
                <w:szCs w:val="24"/>
              </w:rPr>
              <w:t xml:space="preserve">a </w:t>
            </w:r>
            <w:r w:rsidR="00F70835">
              <w:rPr>
                <w:rFonts w:ascii="Times New Roman" w:hAnsi="Times New Roman" w:cs="Times New Roman"/>
                <w:color w:val="000000" w:themeColor="text1"/>
                <w:sz w:val="24"/>
                <w:szCs w:val="24"/>
              </w:rPr>
              <w:t xml:space="preserve">45.panta otrās daļas 6.punkts tiek papildināts ar f) apakšpunktu </w:t>
            </w:r>
            <w:r w:rsidR="009E3502">
              <w:rPr>
                <w:rFonts w:ascii="Times New Roman" w:hAnsi="Times New Roman" w:cs="Times New Roman"/>
                <w:color w:val="000000" w:themeColor="text1"/>
                <w:sz w:val="24"/>
                <w:szCs w:val="24"/>
              </w:rPr>
              <w:t>un nosaka, ka VID turpmāk uzrauga virtuālās valūtas pakalpojumu sniedz</w:t>
            </w:r>
            <w:r w:rsidR="00567856">
              <w:rPr>
                <w:rFonts w:ascii="Times New Roman" w:hAnsi="Times New Roman" w:cs="Times New Roman"/>
                <w:color w:val="000000" w:themeColor="text1"/>
                <w:sz w:val="24"/>
                <w:szCs w:val="24"/>
              </w:rPr>
              <w:t>ēju</w:t>
            </w:r>
            <w:r w:rsidR="00391E76">
              <w:rPr>
                <w:rFonts w:ascii="Times New Roman" w:hAnsi="Times New Roman" w:cs="Times New Roman"/>
                <w:color w:val="000000" w:themeColor="text1"/>
                <w:sz w:val="24"/>
                <w:szCs w:val="24"/>
              </w:rPr>
              <w:t>. Virtuālās valūtas, kā arī virtuāl</w:t>
            </w:r>
            <w:r w:rsidR="00567856">
              <w:rPr>
                <w:rFonts w:ascii="Times New Roman" w:hAnsi="Times New Roman" w:cs="Times New Roman"/>
                <w:color w:val="000000" w:themeColor="text1"/>
                <w:sz w:val="24"/>
                <w:szCs w:val="24"/>
              </w:rPr>
              <w:t>ās valūtas pakalpojumu sniedzējs</w:t>
            </w:r>
            <w:r w:rsidR="007B3555">
              <w:rPr>
                <w:rFonts w:ascii="Times New Roman" w:hAnsi="Times New Roman" w:cs="Times New Roman"/>
                <w:color w:val="000000" w:themeColor="text1"/>
                <w:sz w:val="24"/>
                <w:szCs w:val="24"/>
              </w:rPr>
              <w:t xml:space="preserve"> tiek definēti l</w:t>
            </w:r>
            <w:r w:rsidR="00391E76">
              <w:rPr>
                <w:rFonts w:ascii="Times New Roman" w:hAnsi="Times New Roman" w:cs="Times New Roman"/>
                <w:color w:val="000000" w:themeColor="text1"/>
                <w:sz w:val="24"/>
                <w:szCs w:val="24"/>
              </w:rPr>
              <w:t>ikumprojekta 1.p</w:t>
            </w:r>
            <w:r w:rsidR="00567856">
              <w:rPr>
                <w:rFonts w:ascii="Times New Roman" w:hAnsi="Times New Roman" w:cs="Times New Roman"/>
                <w:color w:val="000000" w:themeColor="text1"/>
                <w:sz w:val="24"/>
                <w:szCs w:val="24"/>
              </w:rPr>
              <w:t>antā</w:t>
            </w:r>
            <w:r w:rsidR="00562D1D">
              <w:rPr>
                <w:rFonts w:ascii="Times New Roman" w:hAnsi="Times New Roman" w:cs="Times New Roman"/>
                <w:color w:val="000000" w:themeColor="text1"/>
                <w:sz w:val="24"/>
                <w:szCs w:val="24"/>
              </w:rPr>
              <w:t>.</w:t>
            </w:r>
            <w:r w:rsidR="00B01CC7">
              <w:rPr>
                <w:rFonts w:ascii="Times New Roman" w:hAnsi="Times New Roman" w:cs="Times New Roman"/>
                <w:color w:val="000000" w:themeColor="text1"/>
                <w:sz w:val="24"/>
                <w:szCs w:val="24"/>
              </w:rPr>
              <w:t xml:space="preserve"> Virtuālās valūtas definīcijas pamat</w:t>
            </w:r>
            <w:r w:rsidR="00264DBC">
              <w:rPr>
                <w:rFonts w:ascii="Times New Roman" w:hAnsi="Times New Roman" w:cs="Times New Roman"/>
                <w:color w:val="000000" w:themeColor="text1"/>
                <w:sz w:val="24"/>
                <w:szCs w:val="24"/>
              </w:rPr>
              <w:t>ā tiek izmantotas FATF un Pasaules Bankas vadlīnijas.</w:t>
            </w:r>
            <w:r w:rsidR="00043770">
              <w:rPr>
                <w:rFonts w:ascii="Times New Roman" w:hAnsi="Times New Roman" w:cs="Times New Roman"/>
                <w:color w:val="000000" w:themeColor="text1"/>
                <w:sz w:val="24"/>
                <w:szCs w:val="24"/>
              </w:rPr>
              <w:t xml:space="preserve"> Galvenais uzsvars tiek likts uz to, ka virtuālā valūta ir vērtības digitālais atspoguļojums, </w:t>
            </w:r>
            <w:r w:rsidR="00912EBB">
              <w:rPr>
                <w:rFonts w:ascii="Times New Roman" w:hAnsi="Times New Roman" w:cs="Times New Roman"/>
                <w:color w:val="000000" w:themeColor="text1"/>
                <w:sz w:val="24"/>
                <w:szCs w:val="24"/>
              </w:rPr>
              <w:t>kas</w:t>
            </w:r>
            <w:r w:rsidR="00DD1BA8">
              <w:rPr>
                <w:rFonts w:ascii="Times New Roman" w:hAnsi="Times New Roman" w:cs="Times New Roman"/>
                <w:color w:val="000000" w:themeColor="text1"/>
                <w:sz w:val="24"/>
                <w:szCs w:val="24"/>
              </w:rPr>
              <w:t xml:space="preserve"> funkcionē </w:t>
            </w:r>
            <w:r w:rsidR="00053F4E">
              <w:rPr>
                <w:rFonts w:ascii="Times New Roman" w:hAnsi="Times New Roman" w:cs="Times New Roman"/>
                <w:color w:val="000000" w:themeColor="text1"/>
                <w:sz w:val="24"/>
                <w:szCs w:val="24"/>
              </w:rPr>
              <w:t>digitālajā</w:t>
            </w:r>
            <w:r w:rsidR="00DD1BA8">
              <w:rPr>
                <w:rFonts w:ascii="Times New Roman" w:hAnsi="Times New Roman" w:cs="Times New Roman"/>
                <w:color w:val="000000" w:themeColor="text1"/>
                <w:sz w:val="24"/>
                <w:szCs w:val="24"/>
              </w:rPr>
              <w:t xml:space="preserve"> vid</w:t>
            </w:r>
            <w:r w:rsidR="00912EBB">
              <w:rPr>
                <w:rFonts w:ascii="Times New Roman" w:hAnsi="Times New Roman" w:cs="Times New Roman"/>
                <w:color w:val="000000" w:themeColor="text1"/>
                <w:sz w:val="24"/>
                <w:szCs w:val="24"/>
              </w:rPr>
              <w:t>ē</w:t>
            </w:r>
            <w:r w:rsidR="00D57A01">
              <w:rPr>
                <w:rFonts w:ascii="Times New Roman" w:hAnsi="Times New Roman" w:cs="Times New Roman"/>
                <w:color w:val="000000" w:themeColor="text1"/>
                <w:sz w:val="24"/>
                <w:szCs w:val="24"/>
              </w:rPr>
              <w:t xml:space="preserve"> un var būt digitāli nosūt</w:t>
            </w:r>
            <w:r w:rsidR="001322A6">
              <w:rPr>
                <w:rFonts w:ascii="Times New Roman" w:hAnsi="Times New Roman" w:cs="Times New Roman"/>
                <w:color w:val="000000" w:themeColor="text1"/>
                <w:sz w:val="24"/>
                <w:szCs w:val="24"/>
              </w:rPr>
              <w:t>īts</w:t>
            </w:r>
            <w:r w:rsidR="00D57A01">
              <w:rPr>
                <w:rFonts w:ascii="Times New Roman" w:hAnsi="Times New Roman" w:cs="Times New Roman"/>
                <w:color w:val="000000" w:themeColor="text1"/>
                <w:sz w:val="24"/>
                <w:szCs w:val="24"/>
              </w:rPr>
              <w:t>, glab</w:t>
            </w:r>
            <w:r w:rsidR="001322A6">
              <w:rPr>
                <w:rFonts w:ascii="Times New Roman" w:hAnsi="Times New Roman" w:cs="Times New Roman"/>
                <w:color w:val="000000" w:themeColor="text1"/>
                <w:sz w:val="24"/>
                <w:szCs w:val="24"/>
              </w:rPr>
              <w:t>āts</w:t>
            </w:r>
            <w:r w:rsidR="00D57A01">
              <w:rPr>
                <w:rFonts w:ascii="Times New Roman" w:hAnsi="Times New Roman" w:cs="Times New Roman"/>
                <w:color w:val="000000" w:themeColor="text1"/>
                <w:sz w:val="24"/>
                <w:szCs w:val="24"/>
              </w:rPr>
              <w:t xml:space="preserve">, </w:t>
            </w:r>
            <w:r w:rsidR="001322A6">
              <w:rPr>
                <w:rFonts w:ascii="Times New Roman" w:hAnsi="Times New Roman" w:cs="Times New Roman"/>
                <w:color w:val="000000" w:themeColor="text1"/>
                <w:sz w:val="24"/>
                <w:szCs w:val="24"/>
              </w:rPr>
              <w:t xml:space="preserve">funkcionēt kā </w:t>
            </w:r>
            <w:r w:rsidR="00D57A01">
              <w:rPr>
                <w:rFonts w:ascii="Times New Roman" w:hAnsi="Times New Roman" w:cs="Times New Roman"/>
                <w:color w:val="000000" w:themeColor="text1"/>
                <w:sz w:val="24"/>
                <w:szCs w:val="24"/>
              </w:rPr>
              <w:t>tirdzniecības rīks un apmaiņas līdzeklis</w:t>
            </w:r>
            <w:r w:rsidR="00682577">
              <w:rPr>
                <w:rFonts w:ascii="Times New Roman" w:hAnsi="Times New Roman" w:cs="Times New Roman"/>
                <w:color w:val="000000" w:themeColor="text1"/>
                <w:sz w:val="24"/>
                <w:szCs w:val="24"/>
              </w:rPr>
              <w:t xml:space="preserve">, tā netiek emitēta un tai nav </w:t>
            </w:r>
            <w:r w:rsidR="00271337">
              <w:rPr>
                <w:rFonts w:ascii="Times New Roman" w:hAnsi="Times New Roman" w:cs="Times New Roman"/>
                <w:color w:val="000000" w:themeColor="text1"/>
                <w:sz w:val="24"/>
                <w:szCs w:val="24"/>
              </w:rPr>
              <w:t>likumīgās garantijas</w:t>
            </w:r>
            <w:r w:rsidR="00682577">
              <w:rPr>
                <w:rFonts w:ascii="Times New Roman" w:hAnsi="Times New Roman" w:cs="Times New Roman"/>
                <w:color w:val="000000" w:themeColor="text1"/>
                <w:sz w:val="24"/>
                <w:szCs w:val="24"/>
              </w:rPr>
              <w:t xml:space="preserve">, iepriekš minētās funkcijas tiek veiktas šīs valūtas lietotāju ietvaros uz </w:t>
            </w:r>
            <w:r w:rsidR="005C194B">
              <w:rPr>
                <w:rFonts w:ascii="Times New Roman" w:hAnsi="Times New Roman" w:cs="Times New Roman"/>
                <w:color w:val="000000" w:themeColor="text1"/>
                <w:sz w:val="24"/>
                <w:szCs w:val="24"/>
              </w:rPr>
              <w:t xml:space="preserve">savstarpēja </w:t>
            </w:r>
            <w:r w:rsidR="008C1441">
              <w:rPr>
                <w:rFonts w:ascii="Times New Roman" w:hAnsi="Times New Roman" w:cs="Times New Roman"/>
                <w:color w:val="000000" w:themeColor="text1"/>
                <w:sz w:val="24"/>
                <w:szCs w:val="24"/>
              </w:rPr>
              <w:t xml:space="preserve">vienošanās pamata. Virtuālā valūta tiek nošķirta no bezseguma naudas – patiesās valūtas, īstās naudas vai nacionālās valūtas, </w:t>
            </w:r>
            <w:r w:rsidR="00F7148A">
              <w:rPr>
                <w:rFonts w:ascii="Times New Roman" w:hAnsi="Times New Roman" w:cs="Times New Roman"/>
                <w:color w:val="000000" w:themeColor="text1"/>
                <w:sz w:val="24"/>
                <w:szCs w:val="24"/>
              </w:rPr>
              <w:t>kas ir  monētas un papīra nauda valstī</w:t>
            </w:r>
            <w:r w:rsidR="006C689F">
              <w:rPr>
                <w:rFonts w:ascii="Times New Roman" w:hAnsi="Times New Roman" w:cs="Times New Roman"/>
                <w:color w:val="000000" w:themeColor="text1"/>
                <w:sz w:val="24"/>
                <w:szCs w:val="24"/>
              </w:rPr>
              <w:t xml:space="preserve">, </w:t>
            </w:r>
            <w:r w:rsidR="00F7148A">
              <w:rPr>
                <w:rFonts w:ascii="Times New Roman" w:hAnsi="Times New Roman" w:cs="Times New Roman"/>
                <w:color w:val="000000" w:themeColor="text1"/>
                <w:sz w:val="24"/>
                <w:szCs w:val="24"/>
              </w:rPr>
              <w:t>kur tā ir izraudzīta par</w:t>
            </w:r>
            <w:r w:rsidR="006C689F">
              <w:rPr>
                <w:rFonts w:ascii="Times New Roman" w:hAnsi="Times New Roman" w:cs="Times New Roman"/>
                <w:color w:val="000000" w:themeColor="text1"/>
                <w:sz w:val="24"/>
                <w:szCs w:val="24"/>
              </w:rPr>
              <w:t xml:space="preserve"> likumīgu maksāšanas līdzekli; cirkulē un parasti tiek izmantota un atzīta kā maiņas līdzeklis izdevējvalstī.</w:t>
            </w:r>
            <w:r w:rsidR="00DA06BD">
              <w:rPr>
                <w:rFonts w:ascii="Times New Roman" w:hAnsi="Times New Roman" w:cs="Times New Roman"/>
                <w:color w:val="000000" w:themeColor="text1"/>
                <w:sz w:val="24"/>
                <w:szCs w:val="24"/>
              </w:rPr>
              <w:t xml:space="preserve"> Tā atšķiras arī no </w:t>
            </w:r>
            <w:r w:rsidR="008F4D04">
              <w:rPr>
                <w:rFonts w:ascii="Times New Roman" w:hAnsi="Times New Roman" w:cs="Times New Roman"/>
                <w:color w:val="000000" w:themeColor="text1"/>
                <w:sz w:val="24"/>
                <w:szCs w:val="24"/>
              </w:rPr>
              <w:t>elektronisk</w:t>
            </w:r>
            <w:r w:rsidR="00CA27E6">
              <w:rPr>
                <w:rFonts w:ascii="Times New Roman" w:hAnsi="Times New Roman" w:cs="Times New Roman"/>
                <w:color w:val="000000" w:themeColor="text1"/>
                <w:sz w:val="24"/>
                <w:szCs w:val="24"/>
              </w:rPr>
              <w:t>ās naudas, kas kalpo</w:t>
            </w:r>
            <w:r w:rsidR="008F4D04">
              <w:rPr>
                <w:rFonts w:ascii="Times New Roman" w:hAnsi="Times New Roman" w:cs="Times New Roman"/>
                <w:color w:val="000000" w:themeColor="text1"/>
                <w:sz w:val="24"/>
                <w:szCs w:val="24"/>
              </w:rPr>
              <w:t xml:space="preserve"> kā naudas pārskaitīšanas mehānisms</w:t>
            </w:r>
            <w:r w:rsidR="00CA27E6">
              <w:rPr>
                <w:rFonts w:ascii="Times New Roman" w:hAnsi="Times New Roman" w:cs="Times New Roman"/>
                <w:color w:val="000000" w:themeColor="text1"/>
                <w:sz w:val="24"/>
                <w:szCs w:val="24"/>
              </w:rPr>
              <w:t xml:space="preserve"> bezseguma valūtai – elektroniski pārskaitīta vērtība</w:t>
            </w:r>
            <w:r w:rsidR="00D40FD3">
              <w:rPr>
                <w:rFonts w:ascii="Times New Roman" w:hAnsi="Times New Roman" w:cs="Times New Roman"/>
                <w:color w:val="000000" w:themeColor="text1"/>
                <w:sz w:val="24"/>
                <w:szCs w:val="24"/>
              </w:rPr>
              <w:t>,</w:t>
            </w:r>
            <w:r w:rsidR="00CA27E6">
              <w:rPr>
                <w:rFonts w:ascii="Times New Roman" w:hAnsi="Times New Roman" w:cs="Times New Roman"/>
                <w:color w:val="000000" w:themeColor="text1"/>
                <w:sz w:val="24"/>
                <w:szCs w:val="24"/>
              </w:rPr>
              <w:t xml:space="preserve"> kurai ir likumīgs maksāšanas līdzekļa statuss.</w:t>
            </w:r>
          </w:p>
          <w:p w:rsidR="00D40FD3" w:rsidRPr="00657A14" w:rsidRDefault="002860D6" w:rsidP="00D40FD3">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Virtuālās valūtas pakalpojumu sniedzējs tiek defin</w:t>
            </w:r>
            <w:r w:rsidR="00335291">
              <w:rPr>
                <w:rFonts w:ascii="Times New Roman" w:hAnsi="Times New Roman" w:cs="Times New Roman"/>
                <w:color w:val="000000" w:themeColor="text1"/>
                <w:sz w:val="24"/>
                <w:szCs w:val="24"/>
              </w:rPr>
              <w:t>ēts</w:t>
            </w:r>
            <w:r>
              <w:rPr>
                <w:rFonts w:ascii="Times New Roman" w:hAnsi="Times New Roman" w:cs="Times New Roman"/>
                <w:color w:val="000000" w:themeColor="text1"/>
                <w:sz w:val="24"/>
                <w:szCs w:val="24"/>
              </w:rPr>
              <w:t xml:space="preserve"> kā persona, kura nodrošina virtuālās valūtas pakalpojumus. Persona piedāvā savā digitālajā vidē lietotājiem</w:t>
            </w:r>
            <w:r w:rsidR="00454144">
              <w:rPr>
                <w:rFonts w:ascii="Times New Roman" w:hAnsi="Times New Roman" w:cs="Times New Roman"/>
                <w:color w:val="000000" w:themeColor="text1"/>
                <w:sz w:val="24"/>
                <w:szCs w:val="24"/>
              </w:rPr>
              <w:t xml:space="preserve"> iespēju veikt maiņas darījumus ar digitālo val</w:t>
            </w:r>
            <w:r w:rsidR="00335291">
              <w:rPr>
                <w:rFonts w:ascii="Times New Roman" w:hAnsi="Times New Roman" w:cs="Times New Roman"/>
                <w:color w:val="000000" w:themeColor="text1"/>
                <w:sz w:val="24"/>
                <w:szCs w:val="24"/>
              </w:rPr>
              <w:t>ūtu, apmainot viena emitenta emitēto digitālo valūtu pret cita emitenta emitēto digitālo v</w:t>
            </w:r>
            <w:r w:rsidR="000D31AE">
              <w:rPr>
                <w:rFonts w:ascii="Times New Roman" w:hAnsi="Times New Roman" w:cs="Times New Roman"/>
                <w:color w:val="000000" w:themeColor="text1"/>
                <w:sz w:val="24"/>
                <w:szCs w:val="24"/>
              </w:rPr>
              <w:t xml:space="preserve">alūtu, </w:t>
            </w:r>
            <w:r w:rsidR="00335291">
              <w:rPr>
                <w:rFonts w:ascii="Times New Roman" w:hAnsi="Times New Roman" w:cs="Times New Roman"/>
                <w:color w:val="000000" w:themeColor="text1"/>
                <w:sz w:val="24"/>
                <w:szCs w:val="24"/>
              </w:rPr>
              <w:t>digitālās valūtas turētājs ir pati persona, kura sniedz šo pakalpojumu</w:t>
            </w:r>
            <w:r w:rsidR="00454144">
              <w:rPr>
                <w:rFonts w:ascii="Times New Roman" w:hAnsi="Times New Roman" w:cs="Times New Roman"/>
                <w:color w:val="000000" w:themeColor="text1"/>
                <w:sz w:val="24"/>
                <w:szCs w:val="24"/>
              </w:rPr>
              <w:t>, par šo pakalpojuma izmantošanu saņemot komisija maksu. Persona</w:t>
            </w:r>
            <w:r w:rsidR="00373365">
              <w:rPr>
                <w:rFonts w:ascii="Times New Roman" w:hAnsi="Times New Roman" w:cs="Times New Roman"/>
                <w:color w:val="000000" w:themeColor="text1"/>
                <w:sz w:val="24"/>
                <w:szCs w:val="24"/>
              </w:rPr>
              <w:t>,</w:t>
            </w:r>
            <w:r w:rsidR="00454144">
              <w:rPr>
                <w:rFonts w:ascii="Times New Roman" w:hAnsi="Times New Roman" w:cs="Times New Roman"/>
                <w:color w:val="000000" w:themeColor="text1"/>
                <w:sz w:val="24"/>
                <w:szCs w:val="24"/>
              </w:rPr>
              <w:t xml:space="preserve"> papildus minētajam</w:t>
            </w:r>
            <w:r w:rsidR="00373365">
              <w:rPr>
                <w:rFonts w:ascii="Times New Roman" w:hAnsi="Times New Roman" w:cs="Times New Roman"/>
                <w:color w:val="000000" w:themeColor="text1"/>
                <w:sz w:val="24"/>
                <w:szCs w:val="24"/>
              </w:rPr>
              <w:t>,</w:t>
            </w:r>
            <w:r w:rsidR="00454144">
              <w:rPr>
                <w:rFonts w:ascii="Times New Roman" w:hAnsi="Times New Roman" w:cs="Times New Roman"/>
                <w:color w:val="000000" w:themeColor="text1"/>
                <w:sz w:val="24"/>
                <w:szCs w:val="24"/>
              </w:rPr>
              <w:t xml:space="preserve"> </w:t>
            </w:r>
            <w:r w:rsidR="00454144">
              <w:rPr>
                <w:rFonts w:ascii="Times New Roman" w:hAnsi="Times New Roman" w:cs="Times New Roman"/>
                <w:color w:val="000000" w:themeColor="text1"/>
                <w:sz w:val="24"/>
                <w:szCs w:val="24"/>
              </w:rPr>
              <w:lastRenderedPageBreak/>
              <w:t xml:space="preserve">piedāvā iegādāties un atpirkt digitālo valūtu, taču pati šo valūtu neemitē. </w:t>
            </w:r>
            <w:r w:rsidR="00684EF8">
              <w:rPr>
                <w:rFonts w:ascii="Times New Roman" w:hAnsi="Times New Roman" w:cs="Times New Roman"/>
                <w:color w:val="000000" w:themeColor="text1"/>
                <w:sz w:val="24"/>
                <w:szCs w:val="24"/>
              </w:rPr>
              <w:t>Pirkšana un pārdošana notiek izmantojot atzītu likumīgu maksāšanas līdzekli.</w:t>
            </w:r>
          </w:p>
          <w:p w:rsidR="00274DB9" w:rsidRPr="00657A14" w:rsidRDefault="00806AA1" w:rsidP="00274DB9">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(NIL</w:t>
            </w:r>
            <w:r w:rsidR="00B60C60">
              <w:rPr>
                <w:rFonts w:ascii="Times New Roman" w:hAnsi="Times New Roman" w:cs="Times New Roman"/>
                <w:color w:val="000000" w:themeColor="text1"/>
                <w:sz w:val="24"/>
                <w:szCs w:val="24"/>
              </w:rPr>
              <w:t xml:space="preserve">LTFNL 1.panta 2¹.punkts) paredz ieviest, </w:t>
            </w:r>
            <w:r>
              <w:rPr>
                <w:rFonts w:ascii="Times New Roman" w:hAnsi="Times New Roman" w:cs="Times New Roman"/>
                <w:color w:val="000000" w:themeColor="text1"/>
                <w:sz w:val="24"/>
                <w:szCs w:val="24"/>
              </w:rPr>
              <w:t>atbilstoši AML IV direktīvas 3.panta 15.punkt</w:t>
            </w:r>
            <w:r w:rsidR="00373365">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 xml:space="preserve"> </w:t>
            </w:r>
            <w:r w:rsidR="00D40FD3">
              <w:rPr>
                <w:rFonts w:ascii="Times New Roman" w:hAnsi="Times New Roman" w:cs="Times New Roman"/>
                <w:color w:val="000000" w:themeColor="text1"/>
                <w:sz w:val="24"/>
                <w:szCs w:val="24"/>
              </w:rPr>
              <w:t>noteiktajam</w:t>
            </w:r>
            <w:r w:rsidR="007B3555">
              <w:rPr>
                <w:rFonts w:ascii="Times New Roman" w:hAnsi="Times New Roman" w:cs="Times New Roman"/>
                <w:color w:val="000000" w:themeColor="text1"/>
                <w:sz w:val="24"/>
                <w:szCs w:val="24"/>
              </w:rPr>
              <w:t xml:space="preserve">, </w:t>
            </w:r>
            <w:r w:rsidR="00B60C60">
              <w:rPr>
                <w:rFonts w:ascii="Times New Roman" w:hAnsi="Times New Roman" w:cs="Times New Roman"/>
                <w:color w:val="000000" w:themeColor="text1"/>
                <w:sz w:val="24"/>
                <w:szCs w:val="24"/>
              </w:rPr>
              <w:t xml:space="preserve">terminu </w:t>
            </w:r>
            <w:r>
              <w:rPr>
                <w:rFonts w:ascii="Times New Roman" w:hAnsi="Times New Roman" w:cs="Times New Roman"/>
                <w:color w:val="000000" w:themeColor="text1"/>
                <w:sz w:val="24"/>
                <w:szCs w:val="24"/>
              </w:rPr>
              <w:t>“grupa”</w:t>
            </w:r>
            <w:r w:rsidR="00B60C60">
              <w:rPr>
                <w:rFonts w:ascii="Times New Roman" w:hAnsi="Times New Roman" w:cs="Times New Roman"/>
                <w:color w:val="000000" w:themeColor="text1"/>
                <w:sz w:val="24"/>
                <w:szCs w:val="24"/>
              </w:rPr>
              <w:t>. Ar terminu “grupa” turpmāk NILLTFNL izpratnē tiek definēta juridisko veidojumu grupa, kura sastāv no mātes un meitas sabiedrībām vai arī veidojumiem</w:t>
            </w:r>
            <w:r w:rsidR="00CB1CF4">
              <w:rPr>
                <w:rFonts w:ascii="Times New Roman" w:hAnsi="Times New Roman" w:cs="Times New Roman"/>
                <w:color w:val="000000" w:themeColor="text1"/>
                <w:sz w:val="24"/>
                <w:szCs w:val="24"/>
              </w:rPr>
              <w:t xml:space="preserve">, ņemot vērā </w:t>
            </w:r>
            <w:r w:rsidR="00D922BB">
              <w:rPr>
                <w:rFonts w:ascii="Times New Roman" w:hAnsi="Times New Roman" w:cs="Times New Roman"/>
                <w:color w:val="000000" w:themeColor="text1"/>
                <w:sz w:val="24"/>
                <w:szCs w:val="24"/>
              </w:rPr>
              <w:t xml:space="preserve">ārvalstu komersantus, </w:t>
            </w:r>
            <w:r w:rsidR="00373365">
              <w:rPr>
                <w:rFonts w:ascii="Times New Roman" w:hAnsi="Times New Roman" w:cs="Times New Roman"/>
                <w:color w:val="000000" w:themeColor="text1"/>
                <w:sz w:val="24"/>
                <w:szCs w:val="24"/>
              </w:rPr>
              <w:t xml:space="preserve">atbilstoši </w:t>
            </w:r>
            <w:r w:rsidR="00434888">
              <w:rPr>
                <w:rFonts w:ascii="Times New Roman" w:hAnsi="Times New Roman" w:cs="Times New Roman"/>
                <w:color w:val="000000" w:themeColor="text1"/>
                <w:sz w:val="24"/>
                <w:szCs w:val="24"/>
              </w:rPr>
              <w:t xml:space="preserve"> </w:t>
            </w:r>
            <w:r w:rsidR="00434888" w:rsidRPr="00434888">
              <w:rPr>
                <w:rFonts w:ascii="Times New Roman" w:hAnsi="Times New Roman" w:cs="Times New Roman"/>
                <w:color w:val="000000" w:themeColor="text1"/>
                <w:sz w:val="24"/>
                <w:szCs w:val="24"/>
              </w:rPr>
              <w:t>prasīb</w:t>
            </w:r>
            <w:r w:rsidR="00373365">
              <w:rPr>
                <w:rFonts w:ascii="Times New Roman" w:hAnsi="Times New Roman" w:cs="Times New Roman"/>
                <w:color w:val="000000" w:themeColor="text1"/>
                <w:sz w:val="24"/>
                <w:szCs w:val="24"/>
              </w:rPr>
              <w:t>ām</w:t>
            </w:r>
            <w:r w:rsidR="00434888" w:rsidRPr="00434888">
              <w:rPr>
                <w:rFonts w:ascii="Times New Roman" w:hAnsi="Times New Roman" w:cs="Times New Roman"/>
                <w:color w:val="000000" w:themeColor="text1"/>
                <w:sz w:val="24"/>
                <w:szCs w:val="24"/>
              </w:rPr>
              <w:t xml:space="preserve">, kuras paredz sagatavot konsolidētos finanšu pārskatus </w:t>
            </w:r>
            <w:r w:rsidR="009E5F4B">
              <w:rPr>
                <w:rFonts w:ascii="Times New Roman" w:hAnsi="Times New Roman" w:cs="Times New Roman"/>
                <w:color w:val="000000" w:themeColor="text1"/>
                <w:sz w:val="24"/>
                <w:szCs w:val="24"/>
              </w:rPr>
              <w:t xml:space="preserve">pēc </w:t>
            </w:r>
            <w:r w:rsidR="00434888" w:rsidRPr="00434888">
              <w:rPr>
                <w:rFonts w:ascii="Times New Roman" w:hAnsi="Times New Roman" w:cs="Times New Roman"/>
                <w:color w:val="000000" w:themeColor="text1"/>
                <w:sz w:val="24"/>
                <w:szCs w:val="24"/>
              </w:rPr>
              <w:t xml:space="preserve">Eiropas Parlamenta un Padomes </w:t>
            </w:r>
            <w:r w:rsidR="00434888" w:rsidRPr="00657A14">
              <w:rPr>
                <w:rFonts w:ascii="Times New Roman" w:hAnsi="Times New Roman" w:cs="Times New Roman"/>
                <w:color w:val="000000" w:themeColor="text1"/>
                <w:sz w:val="24"/>
                <w:szCs w:val="24"/>
              </w:rPr>
              <w:t>2013.gada 26.jūnija Direktīvas 2013/34/ES par noteiktu veidu uzņēmumu gada finanšu pārskatiem, konsolidētajiem finanšu pārskatiem un saistītiem ziņojumiem, ar ko groza Eiropas Parlamenta un Padomes Direktīvu 2006/43/EK un atceļ Padomes Direktīvas 78/660/EEK un 83/349 EEK</w:t>
            </w:r>
            <w:r w:rsidR="009E5F4B" w:rsidRPr="00657A14">
              <w:rPr>
                <w:rFonts w:ascii="Times New Roman" w:hAnsi="Times New Roman" w:cs="Times New Roman"/>
                <w:color w:val="000000" w:themeColor="text1"/>
                <w:sz w:val="24"/>
                <w:szCs w:val="24"/>
              </w:rPr>
              <w:t xml:space="preserve"> noteiktās kārtības. </w:t>
            </w:r>
          </w:p>
          <w:p w:rsidR="00274DB9" w:rsidRPr="00657A14" w:rsidRDefault="002E7E13" w:rsidP="00274DB9">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NILLTFN</w:t>
            </w:r>
            <w:r w:rsidR="00046998">
              <w:rPr>
                <w:rFonts w:ascii="Times New Roman" w:hAnsi="Times New Roman" w:cs="Times New Roman"/>
                <w:color w:val="000000" w:themeColor="text1"/>
                <w:sz w:val="24"/>
                <w:szCs w:val="24"/>
              </w:rPr>
              <w:t xml:space="preserve"> ir starptautiskas problēmas, centieniem ar šīm problēmām cīnīties ir jābūt globāliem. Gadījumos, kad likuma subjektiem ir filiāles un meitasuzņēmumi trešajās valstīs ar zemākām</w:t>
            </w:r>
            <w:r w:rsidR="000941DF">
              <w:rPr>
                <w:rFonts w:ascii="Times New Roman" w:hAnsi="Times New Roman" w:cs="Times New Roman"/>
                <w:color w:val="000000" w:themeColor="text1"/>
                <w:sz w:val="24"/>
                <w:szCs w:val="24"/>
              </w:rPr>
              <w:t xml:space="preserve"> NILLTFN</w:t>
            </w:r>
            <w:r w:rsidR="00046998">
              <w:rPr>
                <w:rFonts w:ascii="Times New Roman" w:hAnsi="Times New Roman" w:cs="Times New Roman"/>
                <w:color w:val="000000" w:themeColor="text1"/>
                <w:sz w:val="24"/>
                <w:szCs w:val="24"/>
              </w:rPr>
              <w:t xml:space="preserve"> prasībām, likuma subjektiem, lai izvairītos no dažādo standartu piemērošanas iestādē vai iestādes grupā</w:t>
            </w:r>
            <w:r w:rsidR="000941DF">
              <w:rPr>
                <w:rFonts w:ascii="Times New Roman" w:hAnsi="Times New Roman" w:cs="Times New Roman"/>
                <w:color w:val="000000" w:themeColor="text1"/>
                <w:sz w:val="24"/>
                <w:szCs w:val="24"/>
              </w:rPr>
              <w:t>,</w:t>
            </w:r>
            <w:r w:rsidR="00046998">
              <w:rPr>
                <w:rFonts w:ascii="Times New Roman" w:hAnsi="Times New Roman" w:cs="Times New Roman"/>
                <w:color w:val="000000" w:themeColor="text1"/>
                <w:sz w:val="24"/>
                <w:szCs w:val="24"/>
              </w:rPr>
              <w:t xml:space="preserve"> būtu jāpiemēro Eiropas Savienības standarti, taču</w:t>
            </w:r>
            <w:r w:rsidR="000941DF">
              <w:rPr>
                <w:rFonts w:ascii="Times New Roman" w:hAnsi="Times New Roman" w:cs="Times New Roman"/>
                <w:color w:val="000000" w:themeColor="text1"/>
                <w:sz w:val="24"/>
                <w:szCs w:val="24"/>
              </w:rPr>
              <w:t>,</w:t>
            </w:r>
            <w:r w:rsidR="00046998">
              <w:rPr>
                <w:rFonts w:ascii="Times New Roman" w:hAnsi="Times New Roman" w:cs="Times New Roman"/>
                <w:color w:val="000000" w:themeColor="text1"/>
                <w:sz w:val="24"/>
                <w:szCs w:val="24"/>
              </w:rPr>
              <w:t xml:space="preserve"> ja standartu ievērošana nav iespējama</w:t>
            </w:r>
            <w:r w:rsidR="000941DF">
              <w:rPr>
                <w:rFonts w:ascii="Times New Roman" w:hAnsi="Times New Roman" w:cs="Times New Roman"/>
                <w:color w:val="000000" w:themeColor="text1"/>
                <w:sz w:val="24"/>
                <w:szCs w:val="24"/>
              </w:rPr>
              <w:t>,</w:t>
            </w:r>
            <w:r w:rsidR="00046998">
              <w:rPr>
                <w:rFonts w:ascii="Times New Roman" w:hAnsi="Times New Roman" w:cs="Times New Roman"/>
                <w:color w:val="000000" w:themeColor="text1"/>
                <w:sz w:val="24"/>
                <w:szCs w:val="24"/>
              </w:rPr>
              <w:t xml:space="preserve"> ir jāinformē piederības valsts kompetentā iestāde.</w:t>
            </w:r>
          </w:p>
          <w:p w:rsidR="004F7989" w:rsidRDefault="00046998" w:rsidP="004F7989">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AML IV direktīvas VI nodaļa – Politika, procedūras un uzraudzības 1.iedaļas </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Iekšējās procedūras, apmācība un atgriezeniskā saite</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45.panta 1.punktā noteikts, ka likuma subjekti, kas ir kādas grupas sastāvā īsteno grupas mēroga politiku, procedūras, datu aizsardzības politiku, noteikto apmaiņas politiku, procedūras </w:t>
            </w:r>
            <w:r w:rsidR="00915C28">
              <w:rPr>
                <w:rFonts w:ascii="Times New Roman" w:hAnsi="Times New Roman" w:cs="Times New Roman"/>
                <w:color w:val="000000" w:themeColor="text1"/>
                <w:sz w:val="24"/>
                <w:szCs w:val="24"/>
              </w:rPr>
              <w:t>NILLTFN</w:t>
            </w:r>
            <w:r>
              <w:rPr>
                <w:rFonts w:ascii="Times New Roman" w:hAnsi="Times New Roman" w:cs="Times New Roman"/>
                <w:color w:val="000000" w:themeColor="text1"/>
                <w:sz w:val="24"/>
                <w:szCs w:val="24"/>
              </w:rPr>
              <w:t xml:space="preserve"> apkarošanā ar nosacījumu, ka tas tiek īstenots filiāļu un meitasuzņēmumu  līmenī, kuros pieder lielākā kapitāla daļa. Iepriekšminētās prasības ir izstrādātas</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ņemot vērā FATF 18.rekomendācijā </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Iekšējās kontroles mehānisms, ārvalstu filiāles un meitasuzņēmumi</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noteikto, kas ir attiecināts uz finanšu iestādēm, kurām ieteikts noteikt prasības ieviest programmas NILLTFN. Finanšu grupām ir jānosaka pienākums ieviest grupu līmenī programm</w:t>
            </w:r>
            <w:r w:rsidR="000941DF">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w:t>
            </w:r>
            <w:r w:rsidR="006C10C8">
              <w:rPr>
                <w:rFonts w:ascii="Times New Roman" w:hAnsi="Times New Roman" w:cs="Times New Roman"/>
                <w:color w:val="000000" w:themeColor="text1"/>
                <w:sz w:val="24"/>
                <w:szCs w:val="24"/>
              </w:rPr>
              <w:t>NILLTFN</w:t>
            </w:r>
            <w:r>
              <w:rPr>
                <w:rFonts w:ascii="Times New Roman" w:hAnsi="Times New Roman" w:cs="Times New Roman"/>
                <w:color w:val="000000" w:themeColor="text1"/>
                <w:sz w:val="24"/>
                <w:szCs w:val="24"/>
              </w:rPr>
              <w:t>, tostarp politikas un procedūras informācijas apmaiņai grupā NILLTFN vajadzībām. FATF 18.rekomendācijas skaidrojošā piezīmē teikts, ka finanšu grupas programmas NILLTFN jāattiecina uz visām grupas filiālēm un meitasuzņēmumiem, kuros tai pieder lielākā kapitāldaļa. Likumprojekts (NILLTFNL 3.pant</w:t>
            </w:r>
            <w:r w:rsidR="006D793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otrā daļa), ietver sevī </w:t>
            </w:r>
            <w:r>
              <w:rPr>
                <w:rFonts w:ascii="Times New Roman" w:hAnsi="Times New Roman" w:cs="Times New Roman"/>
                <w:color w:val="000000" w:themeColor="text1"/>
                <w:sz w:val="24"/>
                <w:szCs w:val="24"/>
              </w:rPr>
              <w:lastRenderedPageBreak/>
              <w:t>iepriekšminētos nosacījumus atbilstoši AML IV direktīvas 45.panta 1.punktam un FATF 18.rekomendācijai.</w:t>
            </w:r>
          </w:p>
          <w:p w:rsidR="00B919B6" w:rsidRPr="00657A14" w:rsidRDefault="00B919B6" w:rsidP="004F7989">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FATF 18.rekomendācijas skaidrojošā piezīmes 4.punkts nosaka arī </w:t>
            </w:r>
            <w:r w:rsidR="00AB753A">
              <w:rPr>
                <w:rFonts w:ascii="Times New Roman" w:hAnsi="Times New Roman" w:cs="Times New Roman"/>
                <w:color w:val="000000" w:themeColor="text1"/>
                <w:sz w:val="24"/>
                <w:szCs w:val="24"/>
              </w:rPr>
              <w:t xml:space="preserve">Finanšu grupas </w:t>
            </w:r>
            <w:r>
              <w:rPr>
                <w:rFonts w:ascii="Times New Roman" w:hAnsi="Times New Roman" w:cs="Times New Roman"/>
                <w:color w:val="000000" w:themeColor="text1"/>
                <w:sz w:val="24"/>
                <w:szCs w:val="24"/>
              </w:rPr>
              <w:t>programmās iekļauto grupas līmeņa atbilstību, revīziju (auditu)</w:t>
            </w:r>
            <w:r w:rsidR="00080164">
              <w:rPr>
                <w:rFonts w:ascii="Times New Roman" w:hAnsi="Times New Roman" w:cs="Times New Roman"/>
                <w:color w:val="000000" w:themeColor="text1"/>
                <w:sz w:val="24"/>
                <w:szCs w:val="24"/>
              </w:rPr>
              <w:t xml:space="preserve"> un/vai NILLTFN funkcijas, kuras jānodrošina vienlaikus ar filiālēm un meitasuzņēmumiem pieejamo informāciju</w:t>
            </w:r>
            <w:r w:rsidR="00462696">
              <w:rPr>
                <w:rFonts w:ascii="Times New Roman" w:hAnsi="Times New Roman" w:cs="Times New Roman"/>
                <w:color w:val="000000" w:themeColor="text1"/>
                <w:sz w:val="24"/>
                <w:szCs w:val="24"/>
              </w:rPr>
              <w:t xml:space="preserve"> par klientu, kontu un darījumu, ja šāda informācija ir nepieciešama NILLTFN mērķu īstenošanai. Ievērojot iepriekš minēto likumprojekts (NILLTFNL 3.pants 2.¹daļa)</w:t>
            </w:r>
            <w:r w:rsidR="00E60049">
              <w:rPr>
                <w:rFonts w:ascii="Times New Roman" w:hAnsi="Times New Roman" w:cs="Times New Roman"/>
                <w:color w:val="000000" w:themeColor="text1"/>
                <w:sz w:val="24"/>
                <w:szCs w:val="24"/>
              </w:rPr>
              <w:t xml:space="preserve"> paredz, ka likuma subjekti, kas ir kādas grupas sastāvā finanšu grupas līmenī nodrošina, ka par atbilstību un auditu vai NILLTFN funkciju izpildi atbildīgajām struktūrvienībām ir pieejama nepieciešamā informācija no filiālēm un meitasuzņēmumiem, ietverot </w:t>
            </w:r>
            <w:r w:rsidR="00462696">
              <w:rPr>
                <w:rFonts w:ascii="Times New Roman" w:hAnsi="Times New Roman" w:cs="Times New Roman"/>
                <w:color w:val="000000" w:themeColor="text1"/>
                <w:sz w:val="24"/>
                <w:szCs w:val="24"/>
              </w:rPr>
              <w:t xml:space="preserve"> </w:t>
            </w:r>
            <w:r w:rsidR="00E60049">
              <w:rPr>
                <w:rFonts w:ascii="Times New Roman" w:hAnsi="Times New Roman" w:cs="Times New Roman"/>
                <w:color w:val="000000" w:themeColor="text1"/>
                <w:sz w:val="24"/>
                <w:szCs w:val="24"/>
              </w:rPr>
              <w:t>informāciju par klientu, kontiem un maksājumiem.</w:t>
            </w:r>
          </w:p>
          <w:p w:rsidR="00BD73B3" w:rsidRPr="00657A14" w:rsidRDefault="00046998" w:rsidP="00BD73B3">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AML IV direktīvas 45.panta 2.punkta prasības par to, ka atbildīgie subjekti</w:t>
            </w:r>
            <w:r w:rsidR="000941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vadot uzņēmumus citā dalībvalstī, nodrošina to, ka minētie uzņēmumi ievēro minētās citas dalībvalsts notei</w:t>
            </w:r>
            <w:r w:rsidR="004F7989">
              <w:rPr>
                <w:rFonts w:ascii="Times New Roman" w:hAnsi="Times New Roman" w:cs="Times New Roman"/>
                <w:color w:val="000000" w:themeColor="text1"/>
                <w:sz w:val="24"/>
                <w:szCs w:val="24"/>
              </w:rPr>
              <w:t>kumus, l</w:t>
            </w:r>
            <w:r>
              <w:rPr>
                <w:rFonts w:ascii="Times New Roman" w:hAnsi="Times New Roman" w:cs="Times New Roman"/>
                <w:color w:val="000000" w:themeColor="text1"/>
                <w:sz w:val="24"/>
                <w:szCs w:val="24"/>
              </w:rPr>
              <w:t>ikumprojekts (NILLTFNL 3.pant</w:t>
            </w:r>
            <w:r w:rsidR="006D793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trešā daļa), paredz AML IV direktīvas 45.panta 2.punkta prasīb</w:t>
            </w:r>
            <w:r w:rsidR="000941DF">
              <w:rPr>
                <w:rFonts w:ascii="Times New Roman" w:hAnsi="Times New Roman" w:cs="Times New Roman"/>
                <w:color w:val="000000" w:themeColor="text1"/>
                <w:sz w:val="24"/>
                <w:szCs w:val="24"/>
              </w:rPr>
              <w:t>u pārņemšanu,</w:t>
            </w:r>
            <w:r>
              <w:rPr>
                <w:rFonts w:ascii="Times New Roman" w:hAnsi="Times New Roman" w:cs="Times New Roman"/>
                <w:color w:val="000000" w:themeColor="text1"/>
                <w:sz w:val="24"/>
                <w:szCs w:val="24"/>
              </w:rPr>
              <w:t xml:space="preserve"> un papildus tiek paplašināts tvērums iekļaujot pakalpojumu brīvību, un nosaka, ka likuma subjekti, ja to filiāles vai likumīgie pārstāvji darbojas citā dalībvalstī kā arī piedāvā to pakalpojumus, nodrošina, ka tiek ievērota minētās dalībvalsts normatīvo aktu prasības NILLTFNL jomā.</w:t>
            </w:r>
          </w:p>
          <w:p w:rsidR="00BD73B3" w:rsidRPr="00657A14" w:rsidRDefault="00046998" w:rsidP="00BD73B3">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FATF 18.rekomendācijas skaidrojošajā piezīmē teikts, ja veicot ārvalstu darbības, minimālās NILLTFNL prasības uzņēmēj</w:t>
            </w:r>
            <w:r w:rsidR="000941DF">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 xml:space="preserve"> valstī nav tik stingras kā izcelsmes valstī, finanšu iestādēm ir jānodrošina, ka to filiāles un meitasuzņēmumi, kuros tām ir kapitāla daļa, uzņēmēj</w:t>
            </w:r>
            <w:r w:rsidR="000941DF">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 xml:space="preserve"> valstī izpilda izcelsmes valsts prasības tiktāl, ciktāl tas atļauts uzņēmējas valsts tiesību aktos. AMLV direktīvas 45.panta 3.punkts ietver FATF 18.rekomendāciju un nosaka, ja atbildīgajiem subjektiem ir filiāles un meitasuzņēmumi ar lielāko kapitāla daļas piederību trešajās valstīs, kur minimālās prasības attiecībā uz NILLTFNL nav tik stingras, kā attiecīgajā dalībvalstī, tiek īstenotas attiecīgās dalībvalsts prasības, tostarp attiecībā uz datu aizsardzību, tiktāl, ciktāl atļauj trešās valsts tiesību akti. Piemērojot FATF 18.rekomendācijas skaidrojošo piezīmi un AML IV direktīvas 45.pa</w:t>
            </w:r>
            <w:r w:rsidR="00A1253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ta 3.punkta prasības attiecībā uz iepriekš aprakstīto situāciju likumprojekts (NILLTFNL 3.panta 3</w:t>
            </w:r>
            <w:r w:rsidR="00A12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¹</w:t>
            </w:r>
            <w:r w:rsidR="00A12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daļa) paredz to, ka likuma subjektiem, kuriem ir filiāles vai meitasuzņēmumi, kuros pieder lielākā kapitāla daļa trešajās valstīs un NILLTFNL jomā minimālās prasības nav tik </w:t>
            </w:r>
            <w:r>
              <w:rPr>
                <w:rFonts w:ascii="Times New Roman" w:hAnsi="Times New Roman" w:cs="Times New Roman"/>
                <w:color w:val="000000" w:themeColor="text1"/>
                <w:sz w:val="24"/>
                <w:szCs w:val="24"/>
              </w:rPr>
              <w:lastRenderedPageBreak/>
              <w:t>stingras kā Latvijas Republikas normatīvajos aktos paredzētās, šo subjektu trešajās valstīs izveidotās filiāles un meitasuzņēmumi piemēro Latvijas Republikas normatīvajos aktos paredzētās prasības arī attiecībā uz datu aizsardzību ar nosacījumu, tiktāl, ciktāl to atļauj trešās valsts tiesību akti.</w:t>
            </w:r>
          </w:p>
          <w:p w:rsidR="006047AF" w:rsidRPr="00657A14" w:rsidRDefault="00046998" w:rsidP="006047AF">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Gadījumos, kad trešajās valstīs nevar īstenot visus iepriekš minētos pasākumus, ievērojot FATF 18.rekomendācijas skaidrojošo pazīmi, par to, ka šādā gadījumā, ja uzņēmēja valsts neļauj pareizi īstenot iepriekš minētos pasākumus, grupām ir jāpiemēro papildu pasākumi NILLTFNL risku pārvaldīšanai un jāinformē par uzraudzību atbildīgās personas izcelsmes valstī. Papildus pa</w:t>
            </w:r>
            <w:r w:rsidR="006047AF">
              <w:rPr>
                <w:rFonts w:ascii="Times New Roman" w:hAnsi="Times New Roman" w:cs="Times New Roman"/>
                <w:color w:val="000000" w:themeColor="text1"/>
                <w:sz w:val="24"/>
                <w:szCs w:val="24"/>
              </w:rPr>
              <w:t>sākumu nepietiekamības gadījumā</w:t>
            </w:r>
            <w:r>
              <w:rPr>
                <w:rFonts w:ascii="Times New Roman" w:hAnsi="Times New Roman" w:cs="Times New Roman"/>
                <w:color w:val="000000" w:themeColor="text1"/>
                <w:sz w:val="24"/>
                <w:szCs w:val="24"/>
              </w:rPr>
              <w:t>, izcelsmes valsts kompetentās iestādes apsver iespēju īstenot papildus uzraudzības darbības – papildus kontroles mehānisms, vai grupa aptur savu darbību uzņēmēj</w:t>
            </w:r>
            <w:r w:rsidR="008E5D2C">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 xml:space="preserve"> valstī. AML IV direktīvas 45.panta 5.punkts pārņem FATF 18.rekomendācijas skaidrojošo p</w:t>
            </w:r>
            <w:r w:rsidR="008E5D2C">
              <w:rPr>
                <w:rFonts w:ascii="Times New Roman" w:hAnsi="Times New Roman" w:cs="Times New Roman"/>
                <w:color w:val="000000" w:themeColor="text1"/>
                <w:sz w:val="24"/>
                <w:szCs w:val="24"/>
              </w:rPr>
              <w:t>ie</w:t>
            </w:r>
            <w:r>
              <w:rPr>
                <w:rFonts w:ascii="Times New Roman" w:hAnsi="Times New Roman" w:cs="Times New Roman"/>
                <w:color w:val="000000" w:themeColor="text1"/>
                <w:sz w:val="24"/>
                <w:szCs w:val="24"/>
              </w:rPr>
              <w:t>zīmi un nosaka, ka gadījumos, kad trešās valsts tiesību akti neļauj īstenot 45.panta 1.punktā minēto politiku un procedūras, atbildīgie subjekti nodrošina</w:t>
            </w:r>
            <w:r w:rsidR="008E5D2C">
              <w:rPr>
                <w:rFonts w:ascii="Times New Roman" w:hAnsi="Times New Roman" w:cs="Times New Roman"/>
                <w:color w:val="000000" w:themeColor="text1"/>
                <w:sz w:val="24"/>
                <w:szCs w:val="24"/>
              </w:rPr>
              <w:t>, ka</w:t>
            </w:r>
            <w:r>
              <w:rPr>
                <w:rFonts w:ascii="Times New Roman" w:hAnsi="Times New Roman" w:cs="Times New Roman"/>
                <w:color w:val="000000" w:themeColor="text1"/>
                <w:sz w:val="24"/>
                <w:szCs w:val="24"/>
              </w:rPr>
              <w:t xml:space="preserve"> filiālēs un meitasuzņēmumos, kuros tiem pieder lielākā kapitāla daļa trešajā valstī veic papildus pasākumus NILLTFNL risku ierobežošanai un informē savas piederības valsts kompetentās iestādes. Papildu pasākumu nepietiekamības gadījumā, piederības valsts kompetentā iestāde veic papildus uzraudzības pasākumus, tostarp</w:t>
            </w:r>
            <w:r w:rsidR="008E5D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prasot grupai neveikt vai izbeigt darījuma attiecības un neveikt darījumus, vajadzības gadījumā pat izbeigt grupai savas darbības trešajā valstī. Likumprojekts (NILLTFNL 3.pants 3</w:t>
            </w:r>
            <w:r w:rsidR="00A12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²</w:t>
            </w:r>
            <w:r w:rsidR="008E5D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daļa) paredz iepriekšminēto un nosaka, ka gadījumos, kad trešās valsts normatīvie akti neļauj īstenot likumprojektā (NILLTFNL 3.pant</w:t>
            </w:r>
            <w:r w:rsidR="006D793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946029">
              <w:rPr>
                <w:rFonts w:ascii="Times New Roman" w:hAnsi="Times New Roman" w:cs="Times New Roman"/>
                <w:color w:val="000000" w:themeColor="text1"/>
                <w:sz w:val="24"/>
                <w:szCs w:val="24"/>
              </w:rPr>
              <w:t>2.¹</w:t>
            </w:r>
            <w:r>
              <w:rPr>
                <w:rFonts w:ascii="Times New Roman" w:hAnsi="Times New Roman" w:cs="Times New Roman"/>
                <w:color w:val="000000" w:themeColor="text1"/>
                <w:sz w:val="24"/>
                <w:szCs w:val="24"/>
              </w:rPr>
              <w:t xml:space="preserve"> daļa) minēto politiku un procedūras vai likumprojektā (NILLTFNL 3.pant</w:t>
            </w:r>
            <w:r w:rsidR="006D793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3</w:t>
            </w:r>
            <w:r w:rsidR="00A12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¹</w:t>
            </w:r>
            <w:r w:rsidR="00A125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daļa) noteiktās prasības, filiālēs vai meitasuzņēmumos, kuros</w:t>
            </w:r>
            <w:r w:rsidR="008E5D2C">
              <w:rPr>
                <w:rFonts w:ascii="Times New Roman" w:hAnsi="Times New Roman" w:cs="Times New Roman"/>
                <w:color w:val="000000" w:themeColor="text1"/>
                <w:sz w:val="24"/>
                <w:szCs w:val="24"/>
              </w:rPr>
              <w:t xml:space="preserve"> tiem</w:t>
            </w:r>
            <w:r>
              <w:rPr>
                <w:rFonts w:ascii="Times New Roman" w:hAnsi="Times New Roman" w:cs="Times New Roman"/>
                <w:color w:val="000000" w:themeColor="text1"/>
                <w:sz w:val="24"/>
                <w:szCs w:val="24"/>
              </w:rPr>
              <w:t xml:space="preserve"> pieder lielākā kapitāla daļa trešajā valstī, tiek veikti papildus pasākumi efektīvai NILLTFNL risku ierobežošanai, kā arī tiek informēt</w:t>
            </w:r>
            <w:r w:rsidR="008E5D2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uzraudzības un kontroles </w:t>
            </w:r>
            <w:r w:rsidR="008E5D2C">
              <w:rPr>
                <w:rFonts w:ascii="Times New Roman" w:hAnsi="Times New Roman" w:cs="Times New Roman"/>
                <w:color w:val="000000" w:themeColor="text1"/>
                <w:sz w:val="24"/>
                <w:szCs w:val="24"/>
              </w:rPr>
              <w:t>institūcija</w:t>
            </w:r>
            <w:r>
              <w:rPr>
                <w:rFonts w:ascii="Times New Roman" w:hAnsi="Times New Roman" w:cs="Times New Roman"/>
                <w:color w:val="000000" w:themeColor="text1"/>
                <w:sz w:val="24"/>
                <w:szCs w:val="24"/>
              </w:rPr>
              <w:t xml:space="preserve"> Latvijas Republikā. Papildus pasākumu nepietiekamības gadījumā Latvijas Republikas uzraudzības </w:t>
            </w:r>
            <w:r w:rsidR="008E5D2C">
              <w:rPr>
                <w:rFonts w:ascii="Times New Roman" w:hAnsi="Times New Roman" w:cs="Times New Roman"/>
                <w:color w:val="000000" w:themeColor="text1"/>
                <w:sz w:val="24"/>
                <w:szCs w:val="24"/>
              </w:rPr>
              <w:t>institūcija</w:t>
            </w:r>
            <w:r>
              <w:rPr>
                <w:rFonts w:ascii="Times New Roman" w:hAnsi="Times New Roman" w:cs="Times New Roman"/>
                <w:color w:val="000000" w:themeColor="text1"/>
                <w:sz w:val="24"/>
                <w:szCs w:val="24"/>
              </w:rPr>
              <w:t xml:space="preserve"> veic papildus uzraudzības pasākumus, tostarp</w:t>
            </w:r>
            <w:r w:rsidR="008E5D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grupai var tikt prasīts izbeigt darījuma attiecības un neveikt darījumus </w:t>
            </w:r>
            <w:r w:rsidR="008E5D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un vajadzības gadījumā var prasīt grupai izbeigt darbības trešajā valstī.</w:t>
            </w:r>
          </w:p>
          <w:p w:rsidR="00E50070" w:rsidRDefault="00E57A9F" w:rsidP="00E50070">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(NILLTFNL 1.panta 3</w:t>
            </w:r>
            <w:r w:rsidR="00A1253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¹punkts) paredz ieviest </w:t>
            </w:r>
            <w:r w:rsidR="008E5D2C">
              <w:rPr>
                <w:rFonts w:ascii="Times New Roman" w:hAnsi="Times New Roman" w:cs="Times New Roman"/>
                <w:color w:val="000000" w:themeColor="text1"/>
                <w:sz w:val="24"/>
                <w:szCs w:val="24"/>
              </w:rPr>
              <w:t xml:space="preserve">terminu </w:t>
            </w:r>
            <w:r w:rsidR="00E368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gadījuma rakstura dar</w:t>
            </w:r>
            <w:r w:rsidR="00E368BD">
              <w:rPr>
                <w:rFonts w:ascii="Times New Roman" w:hAnsi="Times New Roman" w:cs="Times New Roman"/>
                <w:color w:val="000000" w:themeColor="text1"/>
                <w:sz w:val="24"/>
                <w:szCs w:val="24"/>
              </w:rPr>
              <w:t>ījums”</w:t>
            </w:r>
            <w:r>
              <w:rPr>
                <w:rFonts w:ascii="Times New Roman" w:hAnsi="Times New Roman" w:cs="Times New Roman"/>
                <w:color w:val="000000" w:themeColor="text1"/>
                <w:sz w:val="24"/>
                <w:szCs w:val="24"/>
              </w:rPr>
              <w:t xml:space="preserve">, tādējādi </w:t>
            </w:r>
            <w:r w:rsidR="00260A99">
              <w:rPr>
                <w:rFonts w:ascii="Times New Roman" w:hAnsi="Times New Roman" w:cs="Times New Roman"/>
                <w:color w:val="000000" w:themeColor="text1"/>
                <w:sz w:val="24"/>
                <w:szCs w:val="24"/>
              </w:rPr>
              <w:t xml:space="preserve">tiek precizēta darījuma specifika, kad </w:t>
            </w:r>
            <w:r>
              <w:rPr>
                <w:rFonts w:ascii="Times New Roman" w:hAnsi="Times New Roman" w:cs="Times New Roman"/>
                <w:color w:val="000000" w:themeColor="text1"/>
                <w:sz w:val="24"/>
                <w:szCs w:val="24"/>
              </w:rPr>
              <w:t xml:space="preserve"> viena noteikta darījuma </w:t>
            </w:r>
            <w:r>
              <w:rPr>
                <w:rFonts w:ascii="Times New Roman" w:hAnsi="Times New Roman" w:cs="Times New Roman"/>
                <w:color w:val="000000" w:themeColor="text1"/>
                <w:sz w:val="24"/>
                <w:szCs w:val="24"/>
              </w:rPr>
              <w:lastRenderedPageBreak/>
              <w:t>ietvaros, ar kuru darījuma attiecības starp klientu</w:t>
            </w:r>
            <w:r w:rsidR="00BD519E">
              <w:rPr>
                <w:rFonts w:ascii="Times New Roman" w:hAnsi="Times New Roman" w:cs="Times New Roman"/>
                <w:color w:val="000000" w:themeColor="text1"/>
                <w:sz w:val="24"/>
                <w:szCs w:val="24"/>
              </w:rPr>
              <w:t xml:space="preserve"> (</w:t>
            </w:r>
            <w:r w:rsidR="00260A99">
              <w:rPr>
                <w:rFonts w:ascii="Times New Roman" w:hAnsi="Times New Roman" w:cs="Times New Roman"/>
                <w:color w:val="000000" w:themeColor="text1"/>
                <w:sz w:val="24"/>
                <w:szCs w:val="24"/>
              </w:rPr>
              <w:t>var būt kā fiziska persona, tā arī ju</w:t>
            </w:r>
            <w:r w:rsidR="00BD519E">
              <w:rPr>
                <w:rFonts w:ascii="Times New Roman" w:hAnsi="Times New Roman" w:cs="Times New Roman"/>
                <w:color w:val="000000" w:themeColor="text1"/>
                <w:sz w:val="24"/>
                <w:szCs w:val="24"/>
              </w:rPr>
              <w:t>ridisks veidojums)</w:t>
            </w:r>
            <w:r>
              <w:rPr>
                <w:rFonts w:ascii="Times New Roman" w:hAnsi="Times New Roman" w:cs="Times New Roman"/>
                <w:color w:val="000000" w:themeColor="text1"/>
                <w:sz w:val="24"/>
                <w:szCs w:val="24"/>
              </w:rPr>
              <w:t xml:space="preserve"> un  </w:t>
            </w:r>
            <w:r w:rsidR="00FD3D59">
              <w:rPr>
                <w:rFonts w:ascii="Times New Roman" w:hAnsi="Times New Roman" w:cs="Times New Roman"/>
                <w:color w:val="000000" w:themeColor="text1"/>
                <w:sz w:val="24"/>
                <w:szCs w:val="24"/>
              </w:rPr>
              <w:t xml:space="preserve">ar </w:t>
            </w:r>
            <w:r w:rsidR="00260A99">
              <w:rPr>
                <w:rFonts w:ascii="Times New Roman" w:hAnsi="Times New Roman" w:cs="Times New Roman"/>
                <w:color w:val="000000" w:themeColor="text1"/>
                <w:sz w:val="24"/>
                <w:szCs w:val="24"/>
              </w:rPr>
              <w:t>likuma subjektu</w:t>
            </w:r>
            <w:r w:rsidR="00E368BD">
              <w:rPr>
                <w:rFonts w:ascii="Times New Roman" w:hAnsi="Times New Roman" w:cs="Times New Roman"/>
                <w:color w:val="000000" w:themeColor="text1"/>
                <w:sz w:val="24"/>
                <w:szCs w:val="24"/>
              </w:rPr>
              <w:t>,</w:t>
            </w:r>
            <w:r w:rsidR="00260A99">
              <w:rPr>
                <w:rFonts w:ascii="Times New Roman" w:hAnsi="Times New Roman" w:cs="Times New Roman"/>
                <w:color w:val="000000" w:themeColor="text1"/>
                <w:sz w:val="24"/>
                <w:szCs w:val="24"/>
              </w:rPr>
              <w:t xml:space="preserve"> tiek nosl</w:t>
            </w:r>
            <w:r w:rsidR="00BD519E">
              <w:rPr>
                <w:rFonts w:ascii="Times New Roman" w:hAnsi="Times New Roman" w:cs="Times New Roman"/>
                <w:color w:val="000000" w:themeColor="text1"/>
                <w:sz w:val="24"/>
                <w:szCs w:val="24"/>
              </w:rPr>
              <w:t>ēgt</w:t>
            </w:r>
            <w:r w:rsidR="00260A99">
              <w:rPr>
                <w:rFonts w:ascii="Times New Roman" w:hAnsi="Times New Roman" w:cs="Times New Roman"/>
                <w:color w:val="000000" w:themeColor="text1"/>
                <w:sz w:val="24"/>
                <w:szCs w:val="24"/>
              </w:rPr>
              <w:t>s atsevišķs darījums, kurš atšķiras ar to, ka šī darījuma ietvaros netiek nodibinātas darījuma attiecības šā likuma izpratn</w:t>
            </w:r>
            <w:r w:rsidR="008E5D2C">
              <w:rPr>
                <w:rFonts w:ascii="Times New Roman" w:hAnsi="Times New Roman" w:cs="Times New Roman"/>
                <w:color w:val="000000" w:themeColor="text1"/>
                <w:sz w:val="24"/>
                <w:szCs w:val="24"/>
              </w:rPr>
              <w:t>ē</w:t>
            </w:r>
            <w:r w:rsidR="00260A99">
              <w:rPr>
                <w:rFonts w:ascii="Times New Roman" w:hAnsi="Times New Roman" w:cs="Times New Roman"/>
                <w:color w:val="000000" w:themeColor="text1"/>
                <w:sz w:val="24"/>
                <w:szCs w:val="24"/>
              </w:rPr>
              <w:t xml:space="preserve">. </w:t>
            </w:r>
          </w:p>
          <w:p w:rsidR="00B71D11" w:rsidRDefault="00B71D11" w:rsidP="00E50070">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(NILLTFNL 1.panta 8.¹ punkts) paredz ieviest terminu “augstākā vadība”, ar to saprotot valdes locekli, kā arī valdes īpaši pilnvarotu valdes locekli kā arī darbinieku, kurš ir kompetents NILLTFN risku jautājumos, ar nosacījumu, ka ieņemamajam amatam jābūt pietiekami augsta līmeņa, lai varētu pieņemt lēmumus, kas skar iestādes pakļautību riskam.</w:t>
            </w:r>
          </w:p>
          <w:p w:rsidR="00657A14" w:rsidRPr="00657A14" w:rsidRDefault="00657A14" w:rsidP="00940700">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Ievērojot, ka likumā tiek noteikts regulējums saistībā ar čaulas kompānijām, likums tiek papildināts </w:t>
            </w:r>
            <w:r>
              <w:rPr>
                <w:rFonts w:ascii="Times New Roman" w:hAnsi="Times New Roman" w:cs="Times New Roman"/>
                <w:color w:val="000000" w:themeColor="text1"/>
                <w:sz w:val="24"/>
                <w:szCs w:val="24"/>
              </w:rPr>
              <w:t>ar čaulas kompānijas definīciju likumprojekts (NILLTFNL 1.pants 15.¹ punkts)</w:t>
            </w:r>
            <w:r w:rsidR="001B7A04">
              <w:rPr>
                <w:rFonts w:ascii="Times New Roman" w:hAnsi="Times New Roman" w:cs="Times New Roman"/>
                <w:color w:val="000000" w:themeColor="text1"/>
                <w:sz w:val="24"/>
                <w:szCs w:val="24"/>
              </w:rPr>
              <w:t>.</w:t>
            </w:r>
            <w:r w:rsidR="00940700">
              <w:rPr>
                <w:rFonts w:ascii="Times New Roman" w:hAnsi="Times New Roman" w:cs="Times New Roman"/>
                <w:color w:val="000000" w:themeColor="text1"/>
                <w:sz w:val="24"/>
                <w:szCs w:val="24"/>
              </w:rPr>
              <w:t xml:space="preserve"> </w:t>
            </w:r>
            <w:r w:rsidR="00940700" w:rsidRPr="00940700">
              <w:rPr>
                <w:rFonts w:ascii="Times New Roman" w:hAnsi="Times New Roman" w:cs="Times New Roman"/>
                <w:color w:val="000000" w:themeColor="text1"/>
                <w:sz w:val="24"/>
                <w:szCs w:val="24"/>
              </w:rPr>
              <w:t xml:space="preserve">Likumprojektā ietvertā čaulas kompānijas definīcija pašreiz ir sniegta Finanšu un kapitāla tirgus komisijas </w:t>
            </w:r>
            <w:r w:rsidR="00940700">
              <w:rPr>
                <w:rFonts w:ascii="Times New Roman" w:hAnsi="Times New Roman" w:cs="Times New Roman"/>
                <w:color w:val="000000" w:themeColor="text1"/>
                <w:sz w:val="24"/>
                <w:szCs w:val="24"/>
              </w:rPr>
              <w:t xml:space="preserve">2015.gada 23.decembra </w:t>
            </w:r>
            <w:r w:rsidR="00940700" w:rsidRPr="00940700">
              <w:rPr>
                <w:rFonts w:ascii="Times New Roman" w:hAnsi="Times New Roman" w:cs="Times New Roman"/>
                <w:color w:val="000000" w:themeColor="text1"/>
                <w:sz w:val="24"/>
                <w:szCs w:val="24"/>
              </w:rPr>
              <w:t xml:space="preserve">noteikumu Nr.234  "Klientu padziļinātās izpētes normatīvie noteikumi kredītiestādēm un licencētām maksājumu un elektroniskās naudas iestādēm" 1.8. punktā, taču ņemot vērā likumprojekta </w:t>
            </w:r>
            <w:r w:rsidR="00940700">
              <w:rPr>
                <w:rFonts w:ascii="Times New Roman" w:hAnsi="Times New Roman" w:cs="Times New Roman"/>
                <w:color w:val="000000" w:themeColor="text1"/>
                <w:sz w:val="24"/>
                <w:szCs w:val="24"/>
              </w:rPr>
              <w:t xml:space="preserve">(NILLTFNL 1.pants 15.¹ punkts) </w:t>
            </w:r>
            <w:r w:rsidR="00940700" w:rsidRPr="00940700">
              <w:rPr>
                <w:rFonts w:ascii="Times New Roman" w:hAnsi="Times New Roman" w:cs="Times New Roman"/>
                <w:color w:val="000000" w:themeColor="text1"/>
                <w:sz w:val="24"/>
                <w:szCs w:val="24"/>
              </w:rPr>
              <w:t>ietverto regulējumu šo definīciju būtu nepieciešams pārnest uz šo likumu. Čaulas kompānijas defi</w:t>
            </w:r>
            <w:r w:rsidR="00940700">
              <w:rPr>
                <w:rFonts w:ascii="Times New Roman" w:hAnsi="Times New Roman" w:cs="Times New Roman"/>
                <w:color w:val="000000" w:themeColor="text1"/>
                <w:sz w:val="24"/>
                <w:szCs w:val="24"/>
              </w:rPr>
              <w:t xml:space="preserve">nīcija izstrādāta </w:t>
            </w:r>
            <w:r w:rsidR="00940700" w:rsidRPr="00940700">
              <w:rPr>
                <w:rFonts w:ascii="Times New Roman" w:hAnsi="Times New Roman" w:cs="Times New Roman"/>
                <w:color w:val="000000" w:themeColor="text1"/>
                <w:sz w:val="24"/>
                <w:szCs w:val="24"/>
              </w:rPr>
              <w:t>pamatojoties uz FATF un</w:t>
            </w:r>
            <w:r w:rsidR="00940700">
              <w:rPr>
                <w:rFonts w:ascii="Times New Roman" w:hAnsi="Times New Roman" w:cs="Times New Roman"/>
                <w:color w:val="000000" w:themeColor="text1"/>
                <w:sz w:val="24"/>
                <w:szCs w:val="24"/>
              </w:rPr>
              <w:t xml:space="preserve"> ASV lietotām čaulas kompānijas </w:t>
            </w:r>
            <w:r w:rsidR="00940700" w:rsidRPr="00940700">
              <w:rPr>
                <w:rFonts w:ascii="Times New Roman" w:hAnsi="Times New Roman" w:cs="Times New Roman"/>
                <w:color w:val="000000" w:themeColor="text1"/>
                <w:sz w:val="24"/>
                <w:szCs w:val="24"/>
              </w:rPr>
              <w:t>definīcijām.</w:t>
            </w:r>
          </w:p>
          <w:p w:rsidR="00E50070" w:rsidRPr="00657A14" w:rsidRDefault="00E920CF" w:rsidP="00E50070">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(NILLTFNL 1.panta 7.punkts a) un b) apakšpunkts) </w:t>
            </w:r>
            <w:r w:rsidR="00FB48D6">
              <w:rPr>
                <w:rFonts w:ascii="Times New Roman" w:hAnsi="Times New Roman" w:cs="Times New Roman"/>
                <w:color w:val="000000" w:themeColor="text1"/>
                <w:sz w:val="24"/>
                <w:szCs w:val="24"/>
              </w:rPr>
              <w:t>paredz precizēt esošo redakciju, nosakot</w:t>
            </w:r>
            <w:r w:rsidR="008E5D2C">
              <w:rPr>
                <w:rFonts w:ascii="Times New Roman" w:hAnsi="Times New Roman" w:cs="Times New Roman"/>
                <w:color w:val="000000" w:themeColor="text1"/>
                <w:sz w:val="24"/>
                <w:szCs w:val="24"/>
              </w:rPr>
              <w:t xml:space="preserve"> to, </w:t>
            </w:r>
            <w:r w:rsidR="00FB48D6">
              <w:rPr>
                <w:rFonts w:ascii="Times New Roman" w:hAnsi="Times New Roman" w:cs="Times New Roman"/>
                <w:color w:val="000000" w:themeColor="text1"/>
                <w:sz w:val="24"/>
                <w:szCs w:val="24"/>
              </w:rPr>
              <w:t xml:space="preserve"> kādi apdrošināšanas komersanti un starpnieki ir atzīstami par NILLTFNL subjektiem</w:t>
            </w:r>
            <w:r w:rsidR="0070109A">
              <w:rPr>
                <w:rFonts w:ascii="Times New Roman" w:hAnsi="Times New Roman" w:cs="Times New Roman"/>
                <w:color w:val="000000" w:themeColor="text1"/>
                <w:sz w:val="24"/>
                <w:szCs w:val="24"/>
              </w:rPr>
              <w:t xml:space="preserve"> un uz kādām to darbībām ir attiecināms NILLTFNL. Atbilstoši apdrošināšanas jomu reglamentē</w:t>
            </w:r>
            <w:r w:rsidR="008E5D2C">
              <w:rPr>
                <w:rFonts w:ascii="Times New Roman" w:hAnsi="Times New Roman" w:cs="Times New Roman"/>
                <w:color w:val="000000" w:themeColor="text1"/>
                <w:sz w:val="24"/>
                <w:szCs w:val="24"/>
              </w:rPr>
              <w:t>jošiem</w:t>
            </w:r>
            <w:r w:rsidR="0070109A">
              <w:rPr>
                <w:rFonts w:ascii="Times New Roman" w:hAnsi="Times New Roman" w:cs="Times New Roman"/>
                <w:color w:val="000000" w:themeColor="text1"/>
                <w:sz w:val="24"/>
                <w:szCs w:val="24"/>
              </w:rPr>
              <w:t xml:space="preserve"> normatīvajiem aktiem, dzīvības apdrošināšanas sabiedrībai ir tiesības saņemt licenci apdrošināšanas pakalpojumu sniegšanai nelaimes gadījumu apdrošināšanas un veselības apdrošināšanas veidā, kas ir nedzīvības </w:t>
            </w:r>
            <w:r w:rsidR="00AE07E6">
              <w:rPr>
                <w:rFonts w:ascii="Times New Roman" w:hAnsi="Times New Roman" w:cs="Times New Roman"/>
                <w:color w:val="000000" w:themeColor="text1"/>
                <w:sz w:val="24"/>
                <w:szCs w:val="24"/>
              </w:rPr>
              <w:t>apdrošināšanas veidi, savukārt</w:t>
            </w:r>
            <w:r w:rsidR="00227B48">
              <w:rPr>
                <w:rFonts w:ascii="Times New Roman" w:hAnsi="Times New Roman" w:cs="Times New Roman"/>
                <w:color w:val="000000" w:themeColor="text1"/>
                <w:sz w:val="24"/>
                <w:szCs w:val="24"/>
              </w:rPr>
              <w:t>,</w:t>
            </w:r>
            <w:r w:rsidR="00AE07E6">
              <w:rPr>
                <w:rFonts w:ascii="Times New Roman" w:hAnsi="Times New Roman" w:cs="Times New Roman"/>
                <w:color w:val="000000" w:themeColor="text1"/>
                <w:sz w:val="24"/>
                <w:szCs w:val="24"/>
              </w:rPr>
              <w:t xml:space="preserve"> nedzīvības apdrošināšanas komersantam</w:t>
            </w:r>
            <w:r w:rsidR="00227B48">
              <w:rPr>
                <w:rFonts w:ascii="Times New Roman" w:hAnsi="Times New Roman" w:cs="Times New Roman"/>
                <w:color w:val="000000" w:themeColor="text1"/>
                <w:sz w:val="24"/>
                <w:szCs w:val="24"/>
              </w:rPr>
              <w:t>-</w:t>
            </w:r>
            <w:r w:rsidR="00AE07E6">
              <w:rPr>
                <w:rFonts w:ascii="Times New Roman" w:hAnsi="Times New Roman" w:cs="Times New Roman"/>
                <w:color w:val="000000" w:themeColor="text1"/>
                <w:sz w:val="24"/>
                <w:szCs w:val="24"/>
              </w:rPr>
              <w:t>,saņ</w:t>
            </w:r>
            <w:r w:rsidR="00227B48">
              <w:rPr>
                <w:rFonts w:ascii="Times New Roman" w:hAnsi="Times New Roman" w:cs="Times New Roman"/>
                <w:color w:val="000000" w:themeColor="text1"/>
                <w:sz w:val="24"/>
                <w:szCs w:val="24"/>
              </w:rPr>
              <w:t>emt</w:t>
            </w:r>
            <w:r w:rsidR="00AE07E6">
              <w:rPr>
                <w:rFonts w:ascii="Times New Roman" w:hAnsi="Times New Roman" w:cs="Times New Roman"/>
                <w:color w:val="000000" w:themeColor="text1"/>
                <w:sz w:val="24"/>
                <w:szCs w:val="24"/>
              </w:rPr>
              <w:t xml:space="preserve"> licenci dzīvības apdrošināšanas pakalpojumu sniegšanai. </w:t>
            </w:r>
            <w:r w:rsidR="00227B48">
              <w:rPr>
                <w:rFonts w:ascii="Times New Roman" w:hAnsi="Times New Roman" w:cs="Times New Roman"/>
                <w:color w:val="000000" w:themeColor="text1"/>
                <w:sz w:val="24"/>
                <w:szCs w:val="24"/>
              </w:rPr>
              <w:t xml:space="preserve">Attiecīgi atbilstoši </w:t>
            </w:r>
            <w:r w:rsidR="00AE07E6">
              <w:rPr>
                <w:rFonts w:ascii="Times New Roman" w:hAnsi="Times New Roman" w:cs="Times New Roman"/>
                <w:color w:val="000000" w:themeColor="text1"/>
                <w:sz w:val="24"/>
                <w:szCs w:val="24"/>
              </w:rPr>
              <w:t>AML IV direktīvas 3.panta 2.punkta b) apakšpunktā noteikt</w:t>
            </w:r>
            <w:r w:rsidR="00227B48">
              <w:rPr>
                <w:rFonts w:ascii="Times New Roman" w:hAnsi="Times New Roman" w:cs="Times New Roman"/>
                <w:color w:val="000000" w:themeColor="text1"/>
                <w:sz w:val="24"/>
                <w:szCs w:val="24"/>
              </w:rPr>
              <w:t xml:space="preserve">ajam, </w:t>
            </w:r>
            <w:r w:rsidR="00144B1A">
              <w:rPr>
                <w:rFonts w:ascii="Times New Roman" w:hAnsi="Times New Roman" w:cs="Times New Roman"/>
                <w:color w:val="000000" w:themeColor="text1"/>
                <w:sz w:val="24"/>
                <w:szCs w:val="24"/>
              </w:rPr>
              <w:t>NILLTFNL 1.panta 7.punkt</w:t>
            </w:r>
            <w:r w:rsidR="00227B48">
              <w:rPr>
                <w:rFonts w:ascii="Times New Roman" w:hAnsi="Times New Roman" w:cs="Times New Roman"/>
                <w:color w:val="000000" w:themeColor="text1"/>
                <w:sz w:val="24"/>
                <w:szCs w:val="24"/>
              </w:rPr>
              <w:t>ā</w:t>
            </w:r>
            <w:r w:rsidR="00144B1A">
              <w:rPr>
                <w:rFonts w:ascii="Times New Roman" w:hAnsi="Times New Roman" w:cs="Times New Roman"/>
                <w:color w:val="000000" w:themeColor="text1"/>
                <w:sz w:val="24"/>
                <w:szCs w:val="24"/>
              </w:rPr>
              <w:t xml:space="preserve"> a) un b) </w:t>
            </w:r>
            <w:r w:rsidR="00227B48">
              <w:rPr>
                <w:rFonts w:ascii="Times New Roman" w:hAnsi="Times New Roman" w:cs="Times New Roman"/>
                <w:color w:val="000000" w:themeColor="text1"/>
                <w:sz w:val="24"/>
                <w:szCs w:val="24"/>
              </w:rPr>
              <w:t xml:space="preserve">apakšpunkti </w:t>
            </w:r>
            <w:r w:rsidR="00144B1A">
              <w:rPr>
                <w:rFonts w:ascii="Times New Roman" w:hAnsi="Times New Roman" w:cs="Times New Roman"/>
                <w:color w:val="000000" w:themeColor="text1"/>
                <w:sz w:val="24"/>
                <w:szCs w:val="24"/>
              </w:rPr>
              <w:t>tiek precizēt</w:t>
            </w:r>
            <w:r w:rsidR="00227B48">
              <w:rPr>
                <w:rFonts w:ascii="Times New Roman" w:hAnsi="Times New Roman" w:cs="Times New Roman"/>
                <w:color w:val="000000" w:themeColor="text1"/>
                <w:sz w:val="24"/>
                <w:szCs w:val="24"/>
              </w:rPr>
              <w:t>i</w:t>
            </w:r>
            <w:r w:rsidR="00144B1A">
              <w:rPr>
                <w:rFonts w:ascii="Times New Roman" w:hAnsi="Times New Roman" w:cs="Times New Roman"/>
                <w:color w:val="000000" w:themeColor="text1"/>
                <w:sz w:val="24"/>
                <w:szCs w:val="24"/>
              </w:rPr>
              <w:t xml:space="preserve"> atbilstoši </w:t>
            </w:r>
            <w:r w:rsidR="00227B48">
              <w:rPr>
                <w:rFonts w:ascii="Times New Roman" w:hAnsi="Times New Roman" w:cs="Times New Roman"/>
                <w:color w:val="000000" w:themeColor="text1"/>
                <w:sz w:val="24"/>
                <w:szCs w:val="24"/>
              </w:rPr>
              <w:t xml:space="preserve">direktīvā minētajam terminam, attiecīgi </w:t>
            </w:r>
            <w:r w:rsidR="00144B1A">
              <w:rPr>
                <w:rFonts w:ascii="Times New Roman" w:hAnsi="Times New Roman" w:cs="Times New Roman"/>
                <w:color w:val="000000" w:themeColor="text1"/>
                <w:sz w:val="24"/>
                <w:szCs w:val="24"/>
              </w:rPr>
              <w:t xml:space="preserve"> </w:t>
            </w:r>
            <w:r w:rsidR="00227B48">
              <w:rPr>
                <w:rFonts w:ascii="Times New Roman" w:hAnsi="Times New Roman" w:cs="Times New Roman"/>
                <w:color w:val="000000" w:themeColor="text1"/>
                <w:sz w:val="24"/>
                <w:szCs w:val="24"/>
              </w:rPr>
              <w:t xml:space="preserve">terminu </w:t>
            </w:r>
            <w:r w:rsidR="00144B1A">
              <w:rPr>
                <w:rFonts w:ascii="Times New Roman" w:hAnsi="Times New Roman" w:cs="Times New Roman"/>
                <w:color w:val="000000" w:themeColor="text1"/>
                <w:sz w:val="24"/>
                <w:szCs w:val="24"/>
              </w:rPr>
              <w:t>“dzīvības apdrošināšana” precizējot kā “</w:t>
            </w:r>
            <w:r w:rsidR="00144B1A" w:rsidRPr="00657A14">
              <w:rPr>
                <w:rFonts w:ascii="Times New Roman" w:hAnsi="Times New Roman" w:cs="Times New Roman"/>
                <w:color w:val="000000" w:themeColor="text1"/>
                <w:sz w:val="24"/>
                <w:szCs w:val="24"/>
              </w:rPr>
              <w:t>dzīvības apdrošināšanas vai citas ar līdzekļu uzkrāšanu saistītas apdrošināšanas darbības</w:t>
            </w:r>
            <w:r w:rsidR="00A119F5" w:rsidRPr="00657A14">
              <w:rPr>
                <w:rFonts w:ascii="Times New Roman" w:hAnsi="Times New Roman" w:cs="Times New Roman"/>
                <w:color w:val="000000" w:themeColor="text1"/>
                <w:sz w:val="24"/>
                <w:szCs w:val="24"/>
              </w:rPr>
              <w:t xml:space="preserve">”, kā arī atbilstoši tiek precizēta </w:t>
            </w:r>
            <w:r w:rsidR="00227B48" w:rsidRPr="00657A14">
              <w:rPr>
                <w:rFonts w:ascii="Times New Roman" w:hAnsi="Times New Roman" w:cs="Times New Roman"/>
                <w:color w:val="000000" w:themeColor="text1"/>
                <w:sz w:val="24"/>
                <w:szCs w:val="24"/>
              </w:rPr>
              <w:t xml:space="preserve">arī </w:t>
            </w:r>
            <w:r w:rsidR="00A119F5" w:rsidRPr="00657A14">
              <w:rPr>
                <w:rFonts w:ascii="Times New Roman" w:hAnsi="Times New Roman" w:cs="Times New Roman"/>
                <w:color w:val="000000" w:themeColor="text1"/>
                <w:sz w:val="24"/>
                <w:szCs w:val="24"/>
              </w:rPr>
              <w:t xml:space="preserve">esošā NILLTFNL redakcija un izdarīti grozījumi NILLTFNL 10.panta ceturtajā daļā, </w:t>
            </w:r>
            <w:r w:rsidR="00A119F5" w:rsidRPr="00657A14">
              <w:rPr>
                <w:rFonts w:ascii="Times New Roman" w:hAnsi="Times New Roman" w:cs="Times New Roman"/>
                <w:color w:val="000000" w:themeColor="text1"/>
                <w:sz w:val="24"/>
                <w:szCs w:val="24"/>
              </w:rPr>
              <w:lastRenderedPageBreak/>
              <w:t>41.panta pirmajā, otrajā un ceturtajā daļā, 45.panta pirmās daļas 1.punktā.</w:t>
            </w:r>
          </w:p>
          <w:p w:rsidR="006B47B8" w:rsidRPr="00657A14" w:rsidRDefault="00E14EB1" w:rsidP="0049458C">
            <w:pPr>
              <w:ind w:firstLine="394"/>
              <w:jc w:val="both"/>
              <w:rPr>
                <w:rFonts w:ascii="Times New Roman" w:hAnsi="Times New Roman" w:cs="Times New Roman"/>
                <w:color w:val="000000" w:themeColor="text1"/>
                <w:sz w:val="24"/>
                <w:szCs w:val="24"/>
              </w:rPr>
            </w:pPr>
            <w:r w:rsidRPr="00AC71CB">
              <w:rPr>
                <w:rFonts w:ascii="Times New Roman" w:hAnsi="Times New Roman" w:cs="Times New Roman"/>
                <w:color w:val="000000" w:themeColor="text1"/>
                <w:sz w:val="24"/>
                <w:szCs w:val="24"/>
              </w:rPr>
              <w:t xml:space="preserve">Likumprojekts (NILLTFNL 1.panta </w:t>
            </w:r>
            <w:r w:rsidR="00A12530">
              <w:rPr>
                <w:rFonts w:ascii="Times New Roman" w:hAnsi="Times New Roman" w:cs="Times New Roman"/>
                <w:color w:val="000000" w:themeColor="text1"/>
                <w:sz w:val="24"/>
                <w:szCs w:val="24"/>
              </w:rPr>
              <w:t>12</w:t>
            </w:r>
            <w:r w:rsidRPr="00AC71CB">
              <w:rPr>
                <w:rFonts w:ascii="Times New Roman" w:hAnsi="Times New Roman" w:cs="Times New Roman"/>
                <w:color w:val="000000" w:themeColor="text1"/>
                <w:sz w:val="24"/>
                <w:szCs w:val="24"/>
              </w:rPr>
              <w:t>.</w:t>
            </w:r>
            <w:r w:rsidR="000E16CC">
              <w:rPr>
                <w:rFonts w:ascii="Times New Roman" w:hAnsi="Times New Roman" w:cs="Times New Roman"/>
                <w:color w:val="000000" w:themeColor="text1"/>
                <w:sz w:val="24"/>
                <w:szCs w:val="24"/>
              </w:rPr>
              <w:t>¹</w:t>
            </w:r>
            <w:r w:rsidRPr="00AC71CB">
              <w:rPr>
                <w:rFonts w:ascii="Times New Roman" w:hAnsi="Times New Roman" w:cs="Times New Roman"/>
                <w:color w:val="000000" w:themeColor="text1"/>
                <w:sz w:val="24"/>
                <w:szCs w:val="24"/>
              </w:rPr>
              <w:t xml:space="preserve">punkts) tiek papildināts ar </w:t>
            </w:r>
            <w:r w:rsidR="00227B48" w:rsidRPr="00AC71CB">
              <w:rPr>
                <w:rFonts w:ascii="Times New Roman" w:hAnsi="Times New Roman" w:cs="Times New Roman"/>
                <w:color w:val="000000" w:themeColor="text1"/>
                <w:sz w:val="24"/>
                <w:szCs w:val="24"/>
              </w:rPr>
              <w:t xml:space="preserve">definīciju </w:t>
            </w:r>
            <w:r w:rsidRPr="00AC71CB">
              <w:rPr>
                <w:rFonts w:ascii="Times New Roman" w:hAnsi="Times New Roman" w:cs="Times New Roman"/>
                <w:color w:val="000000" w:themeColor="text1"/>
                <w:sz w:val="24"/>
                <w:szCs w:val="24"/>
              </w:rPr>
              <w:t xml:space="preserve">“augsta riska trešās valstis”. Likumprojekts paredz turpmāk lietot terminu </w:t>
            </w:r>
            <w:r w:rsidR="00227B48">
              <w:rPr>
                <w:rFonts w:ascii="Times New Roman" w:hAnsi="Times New Roman" w:cs="Times New Roman"/>
                <w:color w:val="000000" w:themeColor="text1"/>
                <w:sz w:val="24"/>
                <w:szCs w:val="24"/>
              </w:rPr>
              <w:t>“</w:t>
            </w:r>
            <w:r w:rsidRPr="00AC71CB">
              <w:rPr>
                <w:rFonts w:ascii="Times New Roman" w:hAnsi="Times New Roman" w:cs="Times New Roman"/>
                <w:color w:val="000000" w:themeColor="text1"/>
                <w:sz w:val="24"/>
                <w:szCs w:val="24"/>
              </w:rPr>
              <w:t>augsta riska trešās valstis</w:t>
            </w:r>
            <w:r w:rsidR="00227B48">
              <w:rPr>
                <w:rFonts w:ascii="Times New Roman" w:hAnsi="Times New Roman" w:cs="Times New Roman"/>
                <w:color w:val="000000" w:themeColor="text1"/>
                <w:sz w:val="24"/>
                <w:szCs w:val="24"/>
              </w:rPr>
              <w:t>”</w:t>
            </w:r>
            <w:r w:rsidRPr="00AC71CB">
              <w:rPr>
                <w:rFonts w:ascii="Times New Roman" w:hAnsi="Times New Roman" w:cs="Times New Roman"/>
                <w:color w:val="000000" w:themeColor="text1"/>
                <w:sz w:val="24"/>
                <w:szCs w:val="24"/>
              </w:rPr>
              <w:t xml:space="preserve"> atbilstoši direktīvas noteiktajai trešo valstu politikai ar mērķi aizsargāt iekšējā tirgus darbību </w:t>
            </w:r>
            <w:r w:rsidR="00227B48">
              <w:rPr>
                <w:rFonts w:ascii="Times New Roman" w:hAnsi="Times New Roman" w:cs="Times New Roman"/>
                <w:color w:val="000000" w:themeColor="text1"/>
                <w:sz w:val="24"/>
                <w:szCs w:val="24"/>
              </w:rPr>
              <w:t xml:space="preserve">, </w:t>
            </w:r>
            <w:r w:rsidRPr="00AC71CB">
              <w:rPr>
                <w:rFonts w:ascii="Times New Roman" w:hAnsi="Times New Roman" w:cs="Times New Roman"/>
                <w:color w:val="000000" w:themeColor="text1"/>
                <w:sz w:val="24"/>
                <w:szCs w:val="24"/>
              </w:rPr>
              <w:t>apzinot šo valstu jurisdikcij</w:t>
            </w:r>
            <w:r w:rsidR="00227B48">
              <w:rPr>
                <w:rFonts w:ascii="Times New Roman" w:hAnsi="Times New Roman" w:cs="Times New Roman"/>
                <w:color w:val="000000" w:themeColor="text1"/>
                <w:sz w:val="24"/>
                <w:szCs w:val="24"/>
              </w:rPr>
              <w:t>as</w:t>
            </w:r>
            <w:r w:rsidRPr="00AC71CB">
              <w:rPr>
                <w:rFonts w:ascii="Times New Roman" w:hAnsi="Times New Roman" w:cs="Times New Roman"/>
                <w:color w:val="000000" w:themeColor="text1"/>
                <w:sz w:val="24"/>
                <w:szCs w:val="24"/>
              </w:rPr>
              <w:t xml:space="preserve"> režīmos ar stratēģiskām nepilnībām </w:t>
            </w:r>
            <w:r w:rsidR="00E50070">
              <w:rPr>
                <w:rFonts w:ascii="Times New Roman" w:hAnsi="Times New Roman" w:cs="Times New Roman"/>
                <w:color w:val="000000" w:themeColor="text1"/>
                <w:sz w:val="24"/>
                <w:szCs w:val="24"/>
              </w:rPr>
              <w:t>NILLTFN</w:t>
            </w:r>
            <w:r w:rsidRPr="00AC71CB">
              <w:rPr>
                <w:rFonts w:ascii="Times New Roman" w:hAnsi="Times New Roman" w:cs="Times New Roman"/>
                <w:color w:val="000000" w:themeColor="text1"/>
                <w:sz w:val="24"/>
                <w:szCs w:val="24"/>
              </w:rPr>
              <w:t xml:space="preserve"> jomā.</w:t>
            </w:r>
            <w:r>
              <w:rPr>
                <w:rFonts w:ascii="Times New Roman" w:hAnsi="Times New Roman" w:cs="Times New Roman"/>
                <w:color w:val="000000" w:themeColor="text1"/>
                <w:sz w:val="24"/>
                <w:szCs w:val="24"/>
              </w:rPr>
              <w:t xml:space="preserve"> </w:t>
            </w:r>
          </w:p>
          <w:p w:rsidR="003216A5" w:rsidRPr="00657A14" w:rsidRDefault="0008284D" w:rsidP="003216A5">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Latvijā </w:t>
            </w:r>
            <w:r w:rsidR="00227B48">
              <w:rPr>
                <w:rFonts w:ascii="Times New Roman" w:hAnsi="Times New Roman" w:cs="Times New Roman"/>
                <w:color w:val="000000" w:themeColor="text1"/>
                <w:sz w:val="24"/>
                <w:szCs w:val="24"/>
              </w:rPr>
              <w:t xml:space="preserve">ar terminu </w:t>
            </w:r>
            <w:r>
              <w:rPr>
                <w:rFonts w:ascii="Times New Roman" w:hAnsi="Times New Roman" w:cs="Times New Roman"/>
                <w:color w:val="000000" w:themeColor="text1"/>
                <w:sz w:val="24"/>
                <w:szCs w:val="24"/>
              </w:rPr>
              <w:t xml:space="preserve">“trasts” netiek </w:t>
            </w:r>
            <w:r w:rsidR="00227B48">
              <w:rPr>
                <w:rFonts w:ascii="Times New Roman" w:hAnsi="Times New Roman" w:cs="Times New Roman"/>
                <w:color w:val="000000" w:themeColor="text1"/>
                <w:sz w:val="24"/>
                <w:szCs w:val="24"/>
              </w:rPr>
              <w:t>saprasts neatkarīgs</w:t>
            </w:r>
            <w:r w:rsidR="00F84D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ties</w:t>
            </w:r>
            <w:r w:rsidR="00C16662">
              <w:rPr>
                <w:rFonts w:ascii="Times New Roman" w:hAnsi="Times New Roman" w:cs="Times New Roman"/>
                <w:color w:val="000000" w:themeColor="text1"/>
                <w:sz w:val="24"/>
                <w:szCs w:val="24"/>
              </w:rPr>
              <w:t>ību subjekt</w:t>
            </w:r>
            <w:r w:rsidR="00227B48">
              <w:rPr>
                <w:rFonts w:ascii="Times New Roman" w:hAnsi="Times New Roman" w:cs="Times New Roman"/>
                <w:color w:val="000000" w:themeColor="text1"/>
                <w:sz w:val="24"/>
                <w:szCs w:val="24"/>
              </w:rPr>
              <w:t>s</w:t>
            </w:r>
            <w:r w:rsidR="00C16662">
              <w:rPr>
                <w:rFonts w:ascii="Times New Roman" w:hAnsi="Times New Roman" w:cs="Times New Roman"/>
                <w:color w:val="000000" w:themeColor="text1"/>
                <w:sz w:val="24"/>
                <w:szCs w:val="24"/>
              </w:rPr>
              <w:t xml:space="preserve">. Ievērojot FATF </w:t>
            </w:r>
            <w:r w:rsidR="00494EAB">
              <w:rPr>
                <w:rFonts w:ascii="Times New Roman" w:hAnsi="Times New Roman" w:cs="Times New Roman"/>
                <w:color w:val="000000" w:themeColor="text1"/>
                <w:sz w:val="24"/>
                <w:szCs w:val="24"/>
              </w:rPr>
              <w:t>25.</w:t>
            </w:r>
            <w:r w:rsidR="00C16662">
              <w:rPr>
                <w:rFonts w:ascii="Times New Roman" w:hAnsi="Times New Roman" w:cs="Times New Roman"/>
                <w:color w:val="000000" w:themeColor="text1"/>
                <w:sz w:val="24"/>
                <w:szCs w:val="24"/>
              </w:rPr>
              <w:t>rekomendācij</w:t>
            </w:r>
            <w:r w:rsidR="00494EAB">
              <w:rPr>
                <w:rFonts w:ascii="Times New Roman" w:hAnsi="Times New Roman" w:cs="Times New Roman"/>
                <w:color w:val="000000" w:themeColor="text1"/>
                <w:sz w:val="24"/>
                <w:szCs w:val="24"/>
              </w:rPr>
              <w:t xml:space="preserve">u par trastiem, </w:t>
            </w:r>
            <w:r w:rsidR="00227B48">
              <w:rPr>
                <w:rFonts w:ascii="Times New Roman" w:hAnsi="Times New Roman" w:cs="Times New Roman"/>
                <w:color w:val="000000" w:themeColor="text1"/>
                <w:sz w:val="24"/>
                <w:szCs w:val="24"/>
              </w:rPr>
              <w:t xml:space="preserve">ir noteikts, </w:t>
            </w:r>
            <w:r w:rsidR="00494EAB">
              <w:rPr>
                <w:rFonts w:ascii="Times New Roman" w:hAnsi="Times New Roman" w:cs="Times New Roman"/>
                <w:color w:val="000000" w:themeColor="text1"/>
                <w:sz w:val="24"/>
                <w:szCs w:val="24"/>
              </w:rPr>
              <w:t xml:space="preserve">ka valstīm ir īpaši jānodrošina, ka ir pieejama tāda informācija par trastiem, tostarp informācija par trasta dibinātājiem, pilnvarotajiem un labuma guvējiem, kuru kompetentās iestādes var laikus iegūt. FATF </w:t>
            </w:r>
            <w:r w:rsidR="00A53A1A">
              <w:rPr>
                <w:rFonts w:ascii="Times New Roman" w:hAnsi="Times New Roman" w:cs="Times New Roman"/>
                <w:color w:val="000000" w:themeColor="text1"/>
                <w:sz w:val="24"/>
                <w:szCs w:val="24"/>
              </w:rPr>
              <w:t>25.rekomendācijas skaidrojošā pie</w:t>
            </w:r>
            <w:r w:rsidR="00494EAB">
              <w:rPr>
                <w:rFonts w:ascii="Times New Roman" w:hAnsi="Times New Roman" w:cs="Times New Roman"/>
                <w:color w:val="000000" w:themeColor="text1"/>
                <w:sz w:val="24"/>
                <w:szCs w:val="24"/>
              </w:rPr>
              <w:t>zīme nosaka, ka</w:t>
            </w:r>
            <w:r w:rsidR="00227B48">
              <w:rPr>
                <w:rFonts w:ascii="Times New Roman" w:hAnsi="Times New Roman" w:cs="Times New Roman"/>
                <w:color w:val="000000" w:themeColor="text1"/>
                <w:sz w:val="24"/>
                <w:szCs w:val="24"/>
              </w:rPr>
              <w:t>,</w:t>
            </w:r>
            <w:r w:rsidR="00494EAB">
              <w:rPr>
                <w:rFonts w:ascii="Times New Roman" w:hAnsi="Times New Roman" w:cs="Times New Roman"/>
                <w:color w:val="000000" w:themeColor="text1"/>
                <w:sz w:val="24"/>
                <w:szCs w:val="24"/>
              </w:rPr>
              <w:t xml:space="preserve"> ņemot vērā šo rekomendāciju, valstīm nav jāatzīst trasti, savukārt FATF vadlīnijas “Par caurskatāmību un patiesā labuma guvējiem” nosaka, ka gadījumā, ja trasts ir izveidots saskaņā ar vienas valsts likumiem, bet trasts tiek administrēts</w:t>
            </w:r>
            <w:r w:rsidR="003216A5">
              <w:rPr>
                <w:rFonts w:ascii="Times New Roman" w:hAnsi="Times New Roman" w:cs="Times New Roman"/>
                <w:color w:val="000000" w:themeColor="text1"/>
                <w:sz w:val="24"/>
                <w:szCs w:val="24"/>
              </w:rPr>
              <w:t xml:space="preserve"> </w:t>
            </w:r>
            <w:r w:rsidR="00DE334D">
              <w:rPr>
                <w:rFonts w:ascii="Times New Roman" w:hAnsi="Times New Roman" w:cs="Times New Roman"/>
                <w:color w:val="000000" w:themeColor="text1"/>
                <w:sz w:val="24"/>
                <w:szCs w:val="24"/>
              </w:rPr>
              <w:t>(un trasta pilnvarnieki un trasta aktīvi atrodas) citā valstī, pēdējai valstij ir vairāk kontaktu ar trastu un tā aktīviem, kā arī ar personām un vienībām, kas ir saistītas ar trastu. Tādējādi šai valstij ir jābūt atbildīgai par trastu un</w:t>
            </w:r>
            <w:r w:rsidR="00227B48">
              <w:rPr>
                <w:rFonts w:ascii="Times New Roman" w:hAnsi="Times New Roman" w:cs="Times New Roman"/>
                <w:color w:val="000000" w:themeColor="text1"/>
                <w:sz w:val="24"/>
                <w:szCs w:val="24"/>
              </w:rPr>
              <w:t>,</w:t>
            </w:r>
            <w:r w:rsidR="00DE334D">
              <w:rPr>
                <w:rFonts w:ascii="Times New Roman" w:hAnsi="Times New Roman" w:cs="Times New Roman"/>
                <w:color w:val="000000" w:themeColor="text1"/>
                <w:sz w:val="24"/>
                <w:szCs w:val="24"/>
              </w:rPr>
              <w:t xml:space="preserve"> ja nepieciešams, tad jāpiemēro atbilstošas sankcijas.</w:t>
            </w:r>
            <w:r w:rsidR="00B1197F">
              <w:rPr>
                <w:rFonts w:ascii="Times New Roman" w:hAnsi="Times New Roman" w:cs="Times New Roman"/>
                <w:color w:val="000000" w:themeColor="text1"/>
                <w:sz w:val="24"/>
                <w:szCs w:val="24"/>
              </w:rPr>
              <w:t xml:space="preserve"> </w:t>
            </w:r>
          </w:p>
          <w:p w:rsidR="00F105A6" w:rsidRPr="00657A14" w:rsidRDefault="00B1197F" w:rsidP="00F105A6">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iepriekšminēto</w:t>
            </w:r>
            <w:r w:rsidR="002A6E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005451AF" w:rsidRPr="00AC71CB">
              <w:rPr>
                <w:rFonts w:ascii="Times New Roman" w:hAnsi="Times New Roman" w:cs="Times New Roman"/>
                <w:color w:val="000000" w:themeColor="text1"/>
                <w:sz w:val="24"/>
                <w:szCs w:val="24"/>
              </w:rPr>
              <w:t>ikumprojekts (NILLTFNL</w:t>
            </w:r>
            <w:r w:rsidR="00042C89" w:rsidRPr="00AC71CB">
              <w:rPr>
                <w:rFonts w:ascii="Times New Roman" w:hAnsi="Times New Roman" w:cs="Times New Roman"/>
                <w:color w:val="000000" w:themeColor="text1"/>
                <w:sz w:val="24"/>
                <w:szCs w:val="24"/>
              </w:rPr>
              <w:t xml:space="preserve"> 3.panta </w:t>
            </w:r>
            <w:r w:rsidR="00F70DFB" w:rsidRPr="00AC71CB">
              <w:rPr>
                <w:rFonts w:ascii="Times New Roman" w:hAnsi="Times New Roman" w:cs="Times New Roman"/>
                <w:color w:val="000000" w:themeColor="text1"/>
                <w:sz w:val="24"/>
                <w:szCs w:val="24"/>
              </w:rPr>
              <w:t>pirmās daļas 4.punkta d) apakšpunkts</w:t>
            </w:r>
            <w:r w:rsidR="00042C89" w:rsidRPr="00AC71CB">
              <w:rPr>
                <w:rFonts w:ascii="Times New Roman" w:hAnsi="Times New Roman" w:cs="Times New Roman"/>
                <w:color w:val="000000" w:themeColor="text1"/>
                <w:sz w:val="24"/>
                <w:szCs w:val="24"/>
              </w:rPr>
              <w:t>)</w:t>
            </w:r>
            <w:r w:rsidR="00466DAA" w:rsidRPr="00AC71CB">
              <w:rPr>
                <w:rFonts w:ascii="Times New Roman" w:hAnsi="Times New Roman" w:cs="Times New Roman"/>
                <w:color w:val="000000" w:themeColor="text1"/>
                <w:sz w:val="24"/>
                <w:szCs w:val="24"/>
              </w:rPr>
              <w:t xml:space="preserve"> </w:t>
            </w:r>
            <w:r w:rsidR="00FF5F1A">
              <w:rPr>
                <w:rFonts w:ascii="Times New Roman" w:hAnsi="Times New Roman" w:cs="Times New Roman"/>
                <w:color w:val="000000" w:themeColor="text1"/>
                <w:sz w:val="24"/>
                <w:szCs w:val="24"/>
              </w:rPr>
              <w:t>atbilstoši AML IV direktīvas 2.panta 3.punkta v</w:t>
            </w:r>
            <w:r w:rsidR="002A6E6E">
              <w:rPr>
                <w:rFonts w:ascii="Times New Roman" w:hAnsi="Times New Roman" w:cs="Times New Roman"/>
                <w:color w:val="000000" w:themeColor="text1"/>
                <w:sz w:val="24"/>
                <w:szCs w:val="24"/>
              </w:rPr>
              <w:t>)</w:t>
            </w:r>
            <w:r w:rsidR="00FF5F1A">
              <w:rPr>
                <w:rFonts w:ascii="Times New Roman" w:hAnsi="Times New Roman" w:cs="Times New Roman"/>
                <w:color w:val="000000" w:themeColor="text1"/>
                <w:sz w:val="24"/>
                <w:szCs w:val="24"/>
              </w:rPr>
              <w:t xml:space="preserve"> apakšpunktā noteiktajam, nosaka, ka NILLTFNL subjekti ir arī tās juridiskās personas, kuras darbojas klientu vārdā vai sniedz palīdzību darījumu plānošanā vai veikšanā, piedaloties tajos vai veicot ar tiem saistītas citas profesionālās darbības attiecībā arī uz trasti</w:t>
            </w:r>
            <w:r w:rsidR="00B06288">
              <w:rPr>
                <w:rFonts w:ascii="Times New Roman" w:hAnsi="Times New Roman" w:cs="Times New Roman"/>
                <w:color w:val="000000" w:themeColor="text1"/>
                <w:sz w:val="24"/>
                <w:szCs w:val="24"/>
              </w:rPr>
              <w:t>em</w:t>
            </w:r>
            <w:r w:rsidR="00FF5F1A">
              <w:rPr>
                <w:rFonts w:ascii="Times New Roman" w:hAnsi="Times New Roman" w:cs="Times New Roman"/>
                <w:color w:val="000000" w:themeColor="text1"/>
                <w:sz w:val="24"/>
                <w:szCs w:val="24"/>
              </w:rPr>
              <w:t xml:space="preserve"> un trastiem līdzīgu veidojumu dibināšanu</w:t>
            </w:r>
            <w:r w:rsidR="002A6E6E">
              <w:rPr>
                <w:rFonts w:ascii="Times New Roman" w:hAnsi="Times New Roman" w:cs="Times New Roman"/>
                <w:color w:val="000000" w:themeColor="text1"/>
                <w:sz w:val="24"/>
                <w:szCs w:val="24"/>
              </w:rPr>
              <w:t>,</w:t>
            </w:r>
            <w:r w:rsidR="00B06288">
              <w:rPr>
                <w:rFonts w:ascii="Times New Roman" w:hAnsi="Times New Roman" w:cs="Times New Roman"/>
                <w:color w:val="000000" w:themeColor="text1"/>
                <w:sz w:val="24"/>
                <w:szCs w:val="24"/>
              </w:rPr>
              <w:t xml:space="preserve"> </w:t>
            </w:r>
            <w:r w:rsidR="000B2801">
              <w:rPr>
                <w:rFonts w:ascii="Times New Roman" w:hAnsi="Times New Roman" w:cs="Times New Roman"/>
                <w:color w:val="000000" w:themeColor="text1"/>
                <w:sz w:val="24"/>
                <w:szCs w:val="24"/>
              </w:rPr>
              <w:t xml:space="preserve"> vadību vai darbības nodrošināšanu, kā arī trastam vai trastam līdzīga veidojuma dibināšanu, vadīšanai vai pārvaldīšanai nepieciešamo ieguldījumu veikšanu.</w:t>
            </w:r>
            <w:r w:rsidR="00F22199">
              <w:rPr>
                <w:rFonts w:ascii="Times New Roman" w:hAnsi="Times New Roman" w:cs="Times New Roman"/>
                <w:color w:val="000000" w:themeColor="text1"/>
                <w:sz w:val="24"/>
                <w:szCs w:val="24"/>
              </w:rPr>
              <w:t xml:space="preserve"> Likumprojekts (NILLTFNL 3.pants pirmā daļa</w:t>
            </w:r>
            <w:r w:rsidR="005451AF" w:rsidRPr="00AC71CB">
              <w:rPr>
                <w:rFonts w:ascii="Times New Roman" w:hAnsi="Times New Roman" w:cs="Times New Roman"/>
                <w:color w:val="000000" w:themeColor="text1"/>
                <w:sz w:val="24"/>
                <w:szCs w:val="24"/>
              </w:rPr>
              <w:t xml:space="preserve"> 5.punkts)</w:t>
            </w:r>
            <w:r w:rsidR="00AE0BE0" w:rsidRPr="00AC71CB">
              <w:rPr>
                <w:rFonts w:ascii="Times New Roman" w:hAnsi="Times New Roman" w:cs="Times New Roman"/>
                <w:color w:val="000000" w:themeColor="text1"/>
                <w:sz w:val="24"/>
                <w:szCs w:val="24"/>
              </w:rPr>
              <w:t xml:space="preserve"> tiek </w:t>
            </w:r>
            <w:r w:rsidR="003214EE">
              <w:rPr>
                <w:rFonts w:ascii="Times New Roman" w:hAnsi="Times New Roman" w:cs="Times New Roman"/>
                <w:color w:val="000000" w:themeColor="text1"/>
                <w:sz w:val="24"/>
                <w:szCs w:val="24"/>
              </w:rPr>
              <w:t>pa</w:t>
            </w:r>
            <w:r w:rsidR="00F22199">
              <w:rPr>
                <w:rFonts w:ascii="Times New Roman" w:hAnsi="Times New Roman" w:cs="Times New Roman"/>
                <w:color w:val="000000" w:themeColor="text1"/>
                <w:sz w:val="24"/>
                <w:szCs w:val="24"/>
              </w:rPr>
              <w:t>pildināts</w:t>
            </w:r>
            <w:r w:rsidR="003214EE">
              <w:rPr>
                <w:rFonts w:ascii="Times New Roman" w:hAnsi="Times New Roman" w:cs="Times New Roman"/>
                <w:color w:val="000000" w:themeColor="text1"/>
                <w:sz w:val="24"/>
                <w:szCs w:val="24"/>
              </w:rPr>
              <w:t xml:space="preserve"> ar vēl vienu jaun</w:t>
            </w:r>
            <w:r w:rsidR="00F22199">
              <w:rPr>
                <w:rFonts w:ascii="Times New Roman" w:hAnsi="Times New Roman" w:cs="Times New Roman"/>
                <w:color w:val="000000" w:themeColor="text1"/>
                <w:sz w:val="24"/>
                <w:szCs w:val="24"/>
              </w:rPr>
              <w:t>u likuma subjektu, kas ir trasts</w:t>
            </w:r>
            <w:r w:rsidR="003214EE">
              <w:rPr>
                <w:rFonts w:ascii="Times New Roman" w:hAnsi="Times New Roman" w:cs="Times New Roman"/>
                <w:color w:val="000000" w:themeColor="text1"/>
                <w:sz w:val="24"/>
                <w:szCs w:val="24"/>
              </w:rPr>
              <w:t xml:space="preserve"> vai trastam līdzīga veidojuma </w:t>
            </w:r>
            <w:r w:rsidR="00F22199">
              <w:rPr>
                <w:rFonts w:ascii="Times New Roman" w:hAnsi="Times New Roman" w:cs="Times New Roman"/>
                <w:color w:val="000000" w:themeColor="text1"/>
                <w:sz w:val="24"/>
                <w:szCs w:val="24"/>
              </w:rPr>
              <w:t>d</w:t>
            </w:r>
            <w:r w:rsidR="003214EE">
              <w:rPr>
                <w:rFonts w:ascii="Times New Roman" w:hAnsi="Times New Roman" w:cs="Times New Roman"/>
                <w:color w:val="000000" w:themeColor="text1"/>
                <w:sz w:val="24"/>
                <w:szCs w:val="24"/>
              </w:rPr>
              <w:t>ibināšanas un darbības nodrošināšanas pakalpojuma sniedzēji.</w:t>
            </w:r>
            <w:r w:rsidR="00B153E5">
              <w:rPr>
                <w:rFonts w:ascii="Times New Roman" w:hAnsi="Times New Roman" w:cs="Times New Roman"/>
                <w:color w:val="000000" w:themeColor="text1"/>
                <w:sz w:val="24"/>
                <w:szCs w:val="24"/>
              </w:rPr>
              <w:t xml:space="preserve"> Atbilstoši </w:t>
            </w:r>
            <w:r w:rsidR="00F627CA">
              <w:rPr>
                <w:rFonts w:ascii="Times New Roman" w:hAnsi="Times New Roman" w:cs="Times New Roman"/>
                <w:color w:val="000000" w:themeColor="text1"/>
                <w:sz w:val="24"/>
                <w:szCs w:val="24"/>
              </w:rPr>
              <w:t xml:space="preserve">iepriekš norādītajām likumprojekta izmaiņām uz trastu un </w:t>
            </w:r>
            <w:r w:rsidR="00BC6470">
              <w:rPr>
                <w:rFonts w:ascii="Times New Roman" w:hAnsi="Times New Roman" w:cs="Times New Roman"/>
                <w:color w:val="000000" w:themeColor="text1"/>
                <w:sz w:val="24"/>
                <w:szCs w:val="24"/>
              </w:rPr>
              <w:t xml:space="preserve">trastiem līdzīgu juridisku veidojumu ietveršanu NILLTFNL </w:t>
            </w:r>
            <w:r w:rsidR="00FA70F3">
              <w:rPr>
                <w:rFonts w:ascii="Times New Roman" w:hAnsi="Times New Roman" w:cs="Times New Roman"/>
                <w:color w:val="000000" w:themeColor="text1"/>
                <w:sz w:val="24"/>
                <w:szCs w:val="24"/>
              </w:rPr>
              <w:t>ir izdarāmi attiecīgie grozījumi likuma uzraudzības un kontroles institūciju  tiesību un pienākumu nodaļā</w:t>
            </w:r>
            <w:r w:rsidR="009318C2">
              <w:rPr>
                <w:rFonts w:ascii="Times New Roman" w:hAnsi="Times New Roman" w:cs="Times New Roman"/>
                <w:color w:val="000000" w:themeColor="text1"/>
                <w:sz w:val="24"/>
                <w:szCs w:val="24"/>
              </w:rPr>
              <w:t xml:space="preserve">. Likumprojekts </w:t>
            </w:r>
            <w:r w:rsidR="0006073E">
              <w:rPr>
                <w:rFonts w:ascii="Times New Roman" w:hAnsi="Times New Roman" w:cs="Times New Roman"/>
                <w:color w:val="000000" w:themeColor="text1"/>
                <w:sz w:val="24"/>
                <w:szCs w:val="24"/>
              </w:rPr>
              <w:t>(NILLTFNL 45.pant</w:t>
            </w:r>
            <w:r w:rsidR="006D7935">
              <w:rPr>
                <w:rFonts w:ascii="Times New Roman" w:hAnsi="Times New Roman" w:cs="Times New Roman"/>
                <w:color w:val="000000" w:themeColor="text1"/>
                <w:sz w:val="24"/>
                <w:szCs w:val="24"/>
              </w:rPr>
              <w:t>a</w:t>
            </w:r>
            <w:r w:rsidR="0006073E">
              <w:rPr>
                <w:rFonts w:ascii="Times New Roman" w:hAnsi="Times New Roman" w:cs="Times New Roman"/>
                <w:color w:val="000000" w:themeColor="text1"/>
                <w:sz w:val="24"/>
                <w:szCs w:val="24"/>
              </w:rPr>
              <w:t xml:space="preserve"> otrā</w:t>
            </w:r>
            <w:r w:rsidR="00A12530">
              <w:rPr>
                <w:rFonts w:ascii="Times New Roman" w:hAnsi="Times New Roman" w:cs="Times New Roman"/>
                <w:color w:val="000000" w:themeColor="text1"/>
                <w:sz w:val="24"/>
                <w:szCs w:val="24"/>
              </w:rPr>
              <w:t>s</w:t>
            </w:r>
            <w:r w:rsidR="0006073E">
              <w:rPr>
                <w:rFonts w:ascii="Times New Roman" w:hAnsi="Times New Roman" w:cs="Times New Roman"/>
                <w:color w:val="000000" w:themeColor="text1"/>
                <w:sz w:val="24"/>
                <w:szCs w:val="24"/>
              </w:rPr>
              <w:t xml:space="preserve"> daļa</w:t>
            </w:r>
            <w:r w:rsidR="00A12530">
              <w:rPr>
                <w:rFonts w:ascii="Times New Roman" w:hAnsi="Times New Roman" w:cs="Times New Roman"/>
                <w:color w:val="000000" w:themeColor="text1"/>
                <w:sz w:val="24"/>
                <w:szCs w:val="24"/>
              </w:rPr>
              <w:t>s 2.punkta</w:t>
            </w:r>
            <w:r w:rsidR="0006073E">
              <w:rPr>
                <w:rFonts w:ascii="Times New Roman" w:hAnsi="Times New Roman" w:cs="Times New Roman"/>
                <w:color w:val="000000" w:themeColor="text1"/>
                <w:sz w:val="24"/>
                <w:szCs w:val="24"/>
              </w:rPr>
              <w:t xml:space="preserve"> d) apakšpunkts) un (NILLTFNL 45.pant</w:t>
            </w:r>
            <w:r w:rsidR="006D7935">
              <w:rPr>
                <w:rFonts w:ascii="Times New Roman" w:hAnsi="Times New Roman" w:cs="Times New Roman"/>
                <w:color w:val="000000" w:themeColor="text1"/>
                <w:sz w:val="24"/>
                <w:szCs w:val="24"/>
              </w:rPr>
              <w:t>a</w:t>
            </w:r>
            <w:r w:rsidR="0006073E">
              <w:rPr>
                <w:rFonts w:ascii="Times New Roman" w:hAnsi="Times New Roman" w:cs="Times New Roman"/>
                <w:color w:val="000000" w:themeColor="text1"/>
                <w:sz w:val="24"/>
                <w:szCs w:val="24"/>
              </w:rPr>
              <w:t xml:space="preserve"> otrā daļa 3.punkts) </w:t>
            </w:r>
            <w:r w:rsidR="0006073E">
              <w:rPr>
                <w:rFonts w:ascii="Times New Roman" w:hAnsi="Times New Roman" w:cs="Times New Roman"/>
                <w:color w:val="000000" w:themeColor="text1"/>
                <w:sz w:val="24"/>
                <w:szCs w:val="24"/>
              </w:rPr>
              <w:lastRenderedPageBreak/>
              <w:t xml:space="preserve">paredz VID uzraudzībā nodot </w:t>
            </w:r>
            <w:r w:rsidR="00F4312D">
              <w:rPr>
                <w:rFonts w:ascii="Times New Roman" w:hAnsi="Times New Roman" w:cs="Times New Roman"/>
                <w:color w:val="000000" w:themeColor="text1"/>
                <w:sz w:val="24"/>
                <w:szCs w:val="24"/>
              </w:rPr>
              <w:t>trastu dibinā</w:t>
            </w:r>
            <w:r w:rsidR="00DF37F8">
              <w:rPr>
                <w:rFonts w:ascii="Times New Roman" w:hAnsi="Times New Roman" w:cs="Times New Roman"/>
                <w:color w:val="000000" w:themeColor="text1"/>
                <w:sz w:val="24"/>
                <w:szCs w:val="24"/>
              </w:rPr>
              <w:t>šanu, vadību vai darbības nodrošināšanas subjektus, trastiem līdzīgu veidojumu dibināšanas, vadīšanas vai pārvaldīšanai nepieciešamu ieguldījumu sniedzējus</w:t>
            </w:r>
            <w:r w:rsidR="002A6E6E">
              <w:rPr>
                <w:rFonts w:ascii="Times New Roman" w:hAnsi="Times New Roman" w:cs="Times New Roman"/>
                <w:color w:val="000000" w:themeColor="text1"/>
                <w:sz w:val="24"/>
                <w:szCs w:val="24"/>
              </w:rPr>
              <w:t>,</w:t>
            </w:r>
            <w:r w:rsidR="00DF37F8">
              <w:rPr>
                <w:rFonts w:ascii="Times New Roman" w:hAnsi="Times New Roman" w:cs="Times New Roman"/>
                <w:color w:val="000000" w:themeColor="text1"/>
                <w:sz w:val="24"/>
                <w:szCs w:val="24"/>
              </w:rPr>
              <w:t xml:space="preserve"> kā arī trastu dibināšanas un darbības nodrošināšanas pakalpojuma sniedzējus.</w:t>
            </w:r>
          </w:p>
          <w:p w:rsidR="006367FC" w:rsidRPr="00657A14" w:rsidRDefault="00652DA2" w:rsidP="006367FC">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Kā viens no risku pastiprinošajiem apstākļiem </w:t>
            </w:r>
            <w:r w:rsidR="00F105A6">
              <w:rPr>
                <w:rFonts w:ascii="Times New Roman" w:hAnsi="Times New Roman" w:cs="Times New Roman"/>
                <w:color w:val="000000" w:themeColor="text1"/>
                <w:sz w:val="24"/>
                <w:szCs w:val="24"/>
              </w:rPr>
              <w:t>NILLTFN</w:t>
            </w:r>
            <w:r w:rsidR="008125FF">
              <w:rPr>
                <w:rFonts w:ascii="Times New Roman" w:hAnsi="Times New Roman" w:cs="Times New Roman"/>
                <w:color w:val="000000" w:themeColor="text1"/>
                <w:sz w:val="24"/>
                <w:szCs w:val="24"/>
              </w:rPr>
              <w:t xml:space="preserve"> </w:t>
            </w:r>
            <w:r w:rsidR="007E0C65">
              <w:rPr>
                <w:rFonts w:ascii="Times New Roman" w:hAnsi="Times New Roman" w:cs="Times New Roman"/>
                <w:color w:val="000000" w:themeColor="text1"/>
                <w:sz w:val="24"/>
                <w:szCs w:val="24"/>
              </w:rPr>
              <w:t xml:space="preserve">ir </w:t>
            </w:r>
            <w:r>
              <w:rPr>
                <w:rFonts w:ascii="Times New Roman" w:hAnsi="Times New Roman" w:cs="Times New Roman"/>
                <w:color w:val="000000" w:themeColor="text1"/>
                <w:sz w:val="24"/>
                <w:szCs w:val="24"/>
              </w:rPr>
              <w:t xml:space="preserve">lielas naudas summas maksājuma veikšana </w:t>
            </w:r>
            <w:r w:rsidR="007E0C65">
              <w:rPr>
                <w:rFonts w:ascii="Times New Roman" w:hAnsi="Times New Roman" w:cs="Times New Roman"/>
                <w:color w:val="000000" w:themeColor="text1"/>
                <w:sz w:val="24"/>
                <w:szCs w:val="24"/>
              </w:rPr>
              <w:t xml:space="preserve">vai saņemšana </w:t>
            </w:r>
            <w:r>
              <w:rPr>
                <w:rFonts w:ascii="Times New Roman" w:hAnsi="Times New Roman" w:cs="Times New Roman"/>
                <w:color w:val="000000" w:themeColor="text1"/>
                <w:sz w:val="24"/>
                <w:szCs w:val="24"/>
              </w:rPr>
              <w:t>skaidrā naudā</w:t>
            </w:r>
            <w:r w:rsidR="008125FF">
              <w:rPr>
                <w:rFonts w:ascii="Times New Roman" w:hAnsi="Times New Roman" w:cs="Times New Roman"/>
                <w:color w:val="000000" w:themeColor="text1"/>
                <w:sz w:val="24"/>
                <w:szCs w:val="24"/>
              </w:rPr>
              <w:t xml:space="preserve"> saistībā ar </w:t>
            </w:r>
            <w:r w:rsidR="007E0C65">
              <w:rPr>
                <w:rFonts w:ascii="Times New Roman" w:hAnsi="Times New Roman" w:cs="Times New Roman"/>
                <w:color w:val="000000" w:themeColor="text1"/>
                <w:sz w:val="24"/>
                <w:szCs w:val="24"/>
              </w:rPr>
              <w:t>personām, kuras tirgojas ar precēm. AML IV direkt</w:t>
            </w:r>
            <w:r w:rsidR="002B7B0A">
              <w:rPr>
                <w:rFonts w:ascii="Times New Roman" w:hAnsi="Times New Roman" w:cs="Times New Roman"/>
                <w:color w:val="000000" w:themeColor="text1"/>
                <w:sz w:val="24"/>
                <w:szCs w:val="24"/>
              </w:rPr>
              <w:t>īva paredzējusi robežvērtību 10</w:t>
            </w:r>
            <w:r w:rsidR="00924CDF">
              <w:rPr>
                <w:rFonts w:ascii="Times New Roman" w:hAnsi="Times New Roman" w:cs="Times New Roman"/>
                <w:color w:val="000000" w:themeColor="text1"/>
                <w:sz w:val="24"/>
                <w:szCs w:val="24"/>
              </w:rPr>
              <w:t> </w:t>
            </w:r>
            <w:r w:rsidR="002B7B0A">
              <w:rPr>
                <w:rFonts w:ascii="Times New Roman" w:hAnsi="Times New Roman" w:cs="Times New Roman"/>
                <w:color w:val="000000" w:themeColor="text1"/>
                <w:sz w:val="24"/>
                <w:szCs w:val="24"/>
              </w:rPr>
              <w:t>000</w:t>
            </w:r>
            <w:r w:rsidR="00924CDF" w:rsidRPr="00657A14">
              <w:rPr>
                <w:rFonts w:ascii="Times New Roman" w:hAnsi="Times New Roman" w:cs="Times New Roman"/>
                <w:color w:val="000000" w:themeColor="text1"/>
                <w:sz w:val="24"/>
                <w:szCs w:val="24"/>
              </w:rPr>
              <w:t xml:space="preserve"> </w:t>
            </w:r>
            <w:r w:rsidR="002B7B0A" w:rsidRPr="00657A14">
              <w:rPr>
                <w:rFonts w:ascii="Times New Roman" w:hAnsi="Times New Roman" w:cs="Times New Roman"/>
                <w:color w:val="000000" w:themeColor="text1"/>
                <w:sz w:val="24"/>
                <w:szCs w:val="24"/>
              </w:rPr>
              <w:t>euro</w:t>
            </w:r>
            <w:r w:rsidR="002B7B0A">
              <w:rPr>
                <w:rFonts w:ascii="Times New Roman" w:hAnsi="Times New Roman" w:cs="Times New Roman"/>
                <w:color w:val="000000" w:themeColor="text1"/>
                <w:sz w:val="24"/>
                <w:szCs w:val="24"/>
              </w:rPr>
              <w:t>. Likumprojektā</w:t>
            </w:r>
            <w:r w:rsidR="0097505E" w:rsidRPr="00AC71CB">
              <w:rPr>
                <w:rFonts w:ascii="Times New Roman" w:hAnsi="Times New Roman" w:cs="Times New Roman"/>
                <w:color w:val="000000" w:themeColor="text1"/>
                <w:sz w:val="24"/>
                <w:szCs w:val="24"/>
              </w:rPr>
              <w:t xml:space="preserve"> (NILLTF</w:t>
            </w:r>
            <w:r w:rsidR="00B50290">
              <w:rPr>
                <w:rFonts w:ascii="Times New Roman" w:hAnsi="Times New Roman" w:cs="Times New Roman"/>
                <w:color w:val="000000" w:themeColor="text1"/>
                <w:sz w:val="24"/>
                <w:szCs w:val="24"/>
              </w:rPr>
              <w:t>NL 3.pant</w:t>
            </w:r>
            <w:r w:rsidR="006D7935">
              <w:rPr>
                <w:rFonts w:ascii="Times New Roman" w:hAnsi="Times New Roman" w:cs="Times New Roman"/>
                <w:color w:val="000000" w:themeColor="text1"/>
                <w:sz w:val="24"/>
                <w:szCs w:val="24"/>
              </w:rPr>
              <w:t>a</w:t>
            </w:r>
            <w:r w:rsidR="00B50290">
              <w:rPr>
                <w:rFonts w:ascii="Times New Roman" w:hAnsi="Times New Roman" w:cs="Times New Roman"/>
                <w:color w:val="000000" w:themeColor="text1"/>
                <w:sz w:val="24"/>
                <w:szCs w:val="24"/>
              </w:rPr>
              <w:t xml:space="preserve"> pirmā</w:t>
            </w:r>
            <w:r w:rsidR="006D7935">
              <w:rPr>
                <w:rFonts w:ascii="Times New Roman" w:hAnsi="Times New Roman" w:cs="Times New Roman"/>
                <w:color w:val="000000" w:themeColor="text1"/>
                <w:sz w:val="24"/>
                <w:szCs w:val="24"/>
              </w:rPr>
              <w:t>s</w:t>
            </w:r>
            <w:r w:rsidR="00B50290">
              <w:rPr>
                <w:rFonts w:ascii="Times New Roman" w:hAnsi="Times New Roman" w:cs="Times New Roman"/>
                <w:color w:val="000000" w:themeColor="text1"/>
                <w:sz w:val="24"/>
                <w:szCs w:val="24"/>
              </w:rPr>
              <w:t xml:space="preserve"> daļa</w:t>
            </w:r>
            <w:r w:rsidR="006D7935">
              <w:rPr>
                <w:rFonts w:ascii="Times New Roman" w:hAnsi="Times New Roman" w:cs="Times New Roman"/>
                <w:color w:val="000000" w:themeColor="text1"/>
                <w:sz w:val="24"/>
                <w:szCs w:val="24"/>
              </w:rPr>
              <w:t>s</w:t>
            </w:r>
            <w:r w:rsidR="00B50290">
              <w:rPr>
                <w:rFonts w:ascii="Times New Roman" w:hAnsi="Times New Roman" w:cs="Times New Roman"/>
                <w:color w:val="000000" w:themeColor="text1"/>
                <w:sz w:val="24"/>
                <w:szCs w:val="24"/>
              </w:rPr>
              <w:t xml:space="preserve"> 9.punkts</w:t>
            </w:r>
            <w:r w:rsidR="002B7B0A">
              <w:rPr>
                <w:rFonts w:ascii="Times New Roman" w:hAnsi="Times New Roman" w:cs="Times New Roman"/>
                <w:color w:val="000000" w:themeColor="text1"/>
                <w:sz w:val="24"/>
                <w:szCs w:val="24"/>
              </w:rPr>
              <w:t xml:space="preserve">) tiek mainīta robežvērtība no 15 000 </w:t>
            </w:r>
            <w:r w:rsidR="002B7B0A" w:rsidRPr="00657A14">
              <w:rPr>
                <w:rFonts w:ascii="Times New Roman" w:hAnsi="Times New Roman" w:cs="Times New Roman"/>
                <w:color w:val="000000" w:themeColor="text1"/>
                <w:sz w:val="24"/>
                <w:szCs w:val="24"/>
              </w:rPr>
              <w:t>euro</w:t>
            </w:r>
            <w:r w:rsidR="0097505E" w:rsidRPr="00AC71CB">
              <w:rPr>
                <w:rFonts w:ascii="Times New Roman" w:hAnsi="Times New Roman" w:cs="Times New Roman"/>
                <w:color w:val="000000" w:themeColor="text1"/>
                <w:sz w:val="24"/>
                <w:szCs w:val="24"/>
              </w:rPr>
              <w:t xml:space="preserve"> </w:t>
            </w:r>
            <w:r w:rsidR="002B7B0A">
              <w:rPr>
                <w:rFonts w:ascii="Times New Roman" w:hAnsi="Times New Roman" w:cs="Times New Roman"/>
                <w:color w:val="000000" w:themeColor="text1"/>
                <w:sz w:val="24"/>
                <w:szCs w:val="24"/>
              </w:rPr>
              <w:t>uz</w:t>
            </w:r>
            <w:r w:rsidR="0097505E" w:rsidRPr="00AC71CB">
              <w:rPr>
                <w:rFonts w:ascii="Times New Roman" w:hAnsi="Times New Roman" w:cs="Times New Roman"/>
                <w:color w:val="000000" w:themeColor="text1"/>
                <w:sz w:val="24"/>
                <w:szCs w:val="24"/>
              </w:rPr>
              <w:t xml:space="preserve"> 10 000 </w:t>
            </w:r>
            <w:r w:rsidR="0097505E" w:rsidRPr="00657A14">
              <w:rPr>
                <w:rFonts w:ascii="Times New Roman" w:hAnsi="Times New Roman" w:cs="Times New Roman"/>
                <w:color w:val="000000" w:themeColor="text1"/>
                <w:sz w:val="24"/>
                <w:szCs w:val="24"/>
              </w:rPr>
              <w:t>euro</w:t>
            </w:r>
            <w:r w:rsidR="0097505E" w:rsidRPr="00AC71CB">
              <w:rPr>
                <w:rFonts w:ascii="Times New Roman" w:hAnsi="Times New Roman" w:cs="Times New Roman"/>
                <w:color w:val="000000" w:themeColor="text1"/>
                <w:sz w:val="24"/>
                <w:szCs w:val="24"/>
              </w:rPr>
              <w:t xml:space="preserve"> </w:t>
            </w:r>
            <w:r w:rsidR="00BD1F03" w:rsidRPr="00AC71CB">
              <w:rPr>
                <w:rFonts w:ascii="Times New Roman" w:hAnsi="Times New Roman" w:cs="Times New Roman"/>
                <w:color w:val="000000" w:themeColor="text1"/>
                <w:sz w:val="24"/>
                <w:szCs w:val="24"/>
              </w:rPr>
              <w:t xml:space="preserve">skaidras naudas apritei, tādā veidā </w:t>
            </w:r>
            <w:r w:rsidR="005346E2">
              <w:rPr>
                <w:rFonts w:ascii="Times New Roman" w:hAnsi="Times New Roman" w:cs="Times New Roman"/>
                <w:color w:val="000000" w:themeColor="text1"/>
                <w:sz w:val="24"/>
                <w:szCs w:val="24"/>
              </w:rPr>
              <w:t xml:space="preserve">tiek pārņemtas AML IV direktīvas 2.panta 1.punkta 3) apakšpunkta e) punktā noteiktais, ka personām, kuras tirgojās ar precēm un maksājumus saņem vai veic 10 000 </w:t>
            </w:r>
            <w:r w:rsidR="005346E2" w:rsidRPr="00657A14">
              <w:rPr>
                <w:rFonts w:ascii="Times New Roman" w:hAnsi="Times New Roman" w:cs="Times New Roman"/>
                <w:color w:val="000000" w:themeColor="text1"/>
                <w:sz w:val="24"/>
                <w:szCs w:val="24"/>
              </w:rPr>
              <w:t xml:space="preserve">euro </w:t>
            </w:r>
            <w:r w:rsidR="005346E2">
              <w:rPr>
                <w:rFonts w:ascii="Times New Roman" w:hAnsi="Times New Roman" w:cs="Times New Roman"/>
                <w:color w:val="000000" w:themeColor="text1"/>
                <w:sz w:val="24"/>
                <w:szCs w:val="24"/>
              </w:rPr>
              <w:t xml:space="preserve">vai </w:t>
            </w:r>
            <w:r w:rsidR="002A6E6E">
              <w:rPr>
                <w:rFonts w:ascii="Times New Roman" w:hAnsi="Times New Roman" w:cs="Times New Roman"/>
                <w:color w:val="000000" w:themeColor="text1"/>
                <w:sz w:val="24"/>
                <w:szCs w:val="24"/>
              </w:rPr>
              <w:t xml:space="preserve">lielākā </w:t>
            </w:r>
            <w:r w:rsidR="005346E2">
              <w:rPr>
                <w:rFonts w:ascii="Times New Roman" w:hAnsi="Times New Roman" w:cs="Times New Roman"/>
                <w:color w:val="000000" w:themeColor="text1"/>
                <w:sz w:val="24"/>
                <w:szCs w:val="24"/>
              </w:rPr>
              <w:t>skaidras naudas apmērā vienā vai vairākās operācijās</w:t>
            </w:r>
            <w:r w:rsidR="002A6E6E">
              <w:rPr>
                <w:rFonts w:ascii="Times New Roman" w:hAnsi="Times New Roman" w:cs="Times New Roman"/>
                <w:color w:val="000000" w:themeColor="text1"/>
                <w:sz w:val="24"/>
                <w:szCs w:val="24"/>
              </w:rPr>
              <w:t xml:space="preserve">, ir risku paaugstinoši apstākļi, atbilstoši kuriem ir nepieciešams veikt klientu izpēti. </w:t>
            </w:r>
            <w:r w:rsidR="00C81652">
              <w:rPr>
                <w:rFonts w:ascii="Times New Roman" w:hAnsi="Times New Roman" w:cs="Times New Roman"/>
                <w:color w:val="000000" w:themeColor="text1"/>
                <w:sz w:val="24"/>
                <w:szCs w:val="24"/>
              </w:rPr>
              <w:t xml:space="preserve"> </w:t>
            </w:r>
          </w:p>
          <w:p w:rsidR="005E0BEF" w:rsidRPr="00657A14" w:rsidRDefault="00342F76" w:rsidP="005E0BEF">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(NILLTFNL 6.pant</w:t>
            </w:r>
            <w:r w:rsidR="006D793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trešā daļa)</w:t>
            </w:r>
            <w:r w:rsidRPr="00657A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paredz aizstāt </w:t>
            </w:r>
            <w:r w:rsidR="00FC7D9E">
              <w:rPr>
                <w:rFonts w:ascii="Times New Roman" w:hAnsi="Times New Roman" w:cs="Times New Roman"/>
                <w:color w:val="000000" w:themeColor="text1"/>
                <w:sz w:val="24"/>
                <w:szCs w:val="24"/>
              </w:rPr>
              <w:t xml:space="preserve">atsauci uz </w:t>
            </w:r>
            <w:r>
              <w:rPr>
                <w:rFonts w:ascii="Times New Roman" w:hAnsi="Times New Roman" w:cs="Times New Roman"/>
                <w:color w:val="000000" w:themeColor="text1"/>
                <w:sz w:val="24"/>
                <w:szCs w:val="24"/>
              </w:rPr>
              <w:t>spēkā neesošu likumu – Apdrošināšanas sabiedrību un to uzraudzības likums, ar spēkā esošu likumu – Apdrošināšanas un pārapdrošināšanas likums.</w:t>
            </w:r>
          </w:p>
          <w:p w:rsidR="00123FAF" w:rsidRPr="00657A14" w:rsidRDefault="00EB40C9" w:rsidP="00123FAF">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Likumprojektā</w:t>
            </w:r>
            <w:r w:rsidR="00076427">
              <w:rPr>
                <w:rFonts w:ascii="Times New Roman" w:hAnsi="Times New Roman" w:cs="Times New Roman"/>
                <w:color w:val="000000" w:themeColor="text1"/>
                <w:sz w:val="24"/>
                <w:szCs w:val="24"/>
              </w:rPr>
              <w:t xml:space="preserve"> (NILLTFNL 7.pant</w:t>
            </w:r>
            <w:r w:rsidR="006D7935">
              <w:rPr>
                <w:rFonts w:ascii="Times New Roman" w:hAnsi="Times New Roman" w:cs="Times New Roman"/>
                <w:color w:val="000000" w:themeColor="text1"/>
                <w:sz w:val="24"/>
                <w:szCs w:val="24"/>
              </w:rPr>
              <w:t>a</w:t>
            </w:r>
            <w:r w:rsidR="00076427">
              <w:rPr>
                <w:rFonts w:ascii="Times New Roman" w:hAnsi="Times New Roman" w:cs="Times New Roman"/>
                <w:color w:val="000000" w:themeColor="text1"/>
                <w:sz w:val="24"/>
                <w:szCs w:val="24"/>
              </w:rPr>
              <w:t xml:space="preserve"> pirmā</w:t>
            </w:r>
            <w:r w:rsidR="006D7935">
              <w:rPr>
                <w:rFonts w:ascii="Times New Roman" w:hAnsi="Times New Roman" w:cs="Times New Roman"/>
                <w:color w:val="000000" w:themeColor="text1"/>
                <w:sz w:val="24"/>
                <w:szCs w:val="24"/>
              </w:rPr>
              <w:t>s</w:t>
            </w:r>
            <w:r w:rsidR="00076427">
              <w:rPr>
                <w:rFonts w:ascii="Times New Roman" w:hAnsi="Times New Roman" w:cs="Times New Roman"/>
                <w:color w:val="000000" w:themeColor="text1"/>
                <w:sz w:val="24"/>
                <w:szCs w:val="24"/>
              </w:rPr>
              <w:t xml:space="preserve"> daļa</w:t>
            </w:r>
            <w:r w:rsidR="006D7935">
              <w:rPr>
                <w:rFonts w:ascii="Times New Roman" w:hAnsi="Times New Roman" w:cs="Times New Roman"/>
                <w:color w:val="000000" w:themeColor="text1"/>
                <w:sz w:val="24"/>
                <w:szCs w:val="24"/>
              </w:rPr>
              <w:t>s</w:t>
            </w:r>
            <w:r w:rsidR="00076427">
              <w:rPr>
                <w:rFonts w:ascii="Times New Roman" w:hAnsi="Times New Roman" w:cs="Times New Roman"/>
                <w:color w:val="000000" w:themeColor="text1"/>
                <w:sz w:val="24"/>
                <w:szCs w:val="24"/>
              </w:rPr>
              <w:t xml:space="preserve"> 7.punkts) </w:t>
            </w:r>
            <w:r>
              <w:rPr>
                <w:rFonts w:ascii="Times New Roman" w:hAnsi="Times New Roman" w:cs="Times New Roman"/>
                <w:color w:val="000000" w:themeColor="text1"/>
                <w:sz w:val="24"/>
                <w:szCs w:val="24"/>
              </w:rPr>
              <w:t>tiek paredzēts</w:t>
            </w:r>
            <w:r w:rsidR="006D29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papildus kārtībai, kādā tiek uzglabāti klienta identifikācijas un izpētes gaitā, kā arī klienta veikto darījumu uzraudzības gaitā iegūtie dati un dokumenti, kontroles sistēmā paredzēt kārtību šo dokumentu un datu iznīcināšan</w:t>
            </w:r>
            <w:r w:rsidR="006D29F3">
              <w:rPr>
                <w:rFonts w:ascii="Times New Roman" w:hAnsi="Times New Roman" w:cs="Times New Roman"/>
                <w:color w:val="000000" w:themeColor="text1"/>
                <w:sz w:val="24"/>
                <w:szCs w:val="24"/>
              </w:rPr>
              <w:t>a</w:t>
            </w:r>
            <w:r w:rsidR="00CD52F0">
              <w:rPr>
                <w:rFonts w:ascii="Times New Roman" w:hAnsi="Times New Roman" w:cs="Times New Roman"/>
                <w:color w:val="000000" w:themeColor="text1"/>
                <w:sz w:val="24"/>
                <w:szCs w:val="24"/>
              </w:rPr>
              <w:t>i, balstoties uz to, ka datu un dokument</w:t>
            </w:r>
            <w:r w:rsidR="00B22BF1">
              <w:rPr>
                <w:rFonts w:ascii="Times New Roman" w:hAnsi="Times New Roman" w:cs="Times New Roman"/>
                <w:color w:val="000000" w:themeColor="text1"/>
                <w:sz w:val="24"/>
                <w:szCs w:val="24"/>
              </w:rPr>
              <w:t xml:space="preserve">u glabāšanai nepieciešams noteikt glabāšanas termiņu. Likumprojektā paredzētais termiņš ir noteikts saskaņā ar </w:t>
            </w:r>
            <w:r w:rsidR="00CD52F0">
              <w:rPr>
                <w:rFonts w:ascii="Times New Roman" w:hAnsi="Times New Roman" w:cs="Times New Roman"/>
                <w:color w:val="000000" w:themeColor="text1"/>
                <w:sz w:val="24"/>
                <w:szCs w:val="24"/>
              </w:rPr>
              <w:t xml:space="preserve">AML IV </w:t>
            </w:r>
            <w:r w:rsidR="00B22BF1">
              <w:rPr>
                <w:rFonts w:ascii="Times New Roman" w:hAnsi="Times New Roman" w:cs="Times New Roman"/>
                <w:color w:val="000000" w:themeColor="text1"/>
                <w:sz w:val="24"/>
                <w:szCs w:val="24"/>
              </w:rPr>
              <w:t xml:space="preserve">direktīvā noteikto, </w:t>
            </w:r>
            <w:r w:rsidR="00CD52F0">
              <w:rPr>
                <w:rFonts w:ascii="Times New Roman" w:hAnsi="Times New Roman" w:cs="Times New Roman"/>
                <w:color w:val="000000" w:themeColor="text1"/>
                <w:sz w:val="24"/>
                <w:szCs w:val="24"/>
              </w:rPr>
              <w:t>tie ir 5-10.gadi.</w:t>
            </w:r>
            <w:r w:rsidR="00872815">
              <w:rPr>
                <w:rFonts w:ascii="Times New Roman" w:hAnsi="Times New Roman" w:cs="Times New Roman"/>
                <w:color w:val="000000" w:themeColor="text1"/>
                <w:sz w:val="24"/>
                <w:szCs w:val="24"/>
              </w:rPr>
              <w:t xml:space="preserve"> Likumprojektā (NILTFNL 37.pants) atsaucoties uz iepriekš min</w:t>
            </w:r>
            <w:r w:rsidR="005E0BEF">
              <w:rPr>
                <w:rFonts w:ascii="Times New Roman" w:hAnsi="Times New Roman" w:cs="Times New Roman"/>
                <w:color w:val="000000" w:themeColor="text1"/>
                <w:sz w:val="24"/>
                <w:szCs w:val="24"/>
              </w:rPr>
              <w:t>ēto, paredzēts izteikt</w:t>
            </w:r>
            <w:r w:rsidR="00B22BF1">
              <w:rPr>
                <w:rFonts w:ascii="Times New Roman" w:hAnsi="Times New Roman" w:cs="Times New Roman"/>
                <w:color w:val="000000" w:themeColor="text1"/>
                <w:sz w:val="24"/>
                <w:szCs w:val="24"/>
              </w:rPr>
              <w:t xml:space="preserve"> panta </w:t>
            </w:r>
            <w:r w:rsidR="005E0BEF">
              <w:rPr>
                <w:rFonts w:ascii="Times New Roman" w:hAnsi="Times New Roman" w:cs="Times New Roman"/>
                <w:color w:val="000000" w:themeColor="text1"/>
                <w:sz w:val="24"/>
                <w:szCs w:val="24"/>
              </w:rPr>
              <w:t>nosaukumu</w:t>
            </w:r>
            <w:r w:rsidR="00872815">
              <w:rPr>
                <w:rFonts w:ascii="Times New Roman" w:hAnsi="Times New Roman" w:cs="Times New Roman"/>
                <w:color w:val="000000" w:themeColor="text1"/>
                <w:sz w:val="24"/>
                <w:szCs w:val="24"/>
              </w:rPr>
              <w:t xml:space="preserve"> </w:t>
            </w:r>
            <w:r w:rsidR="00B22BF1">
              <w:rPr>
                <w:rFonts w:ascii="Times New Roman" w:hAnsi="Times New Roman" w:cs="Times New Roman"/>
                <w:color w:val="000000" w:themeColor="text1"/>
                <w:sz w:val="24"/>
                <w:szCs w:val="24"/>
              </w:rPr>
              <w:t>jaunā</w:t>
            </w:r>
            <w:r w:rsidR="00872815">
              <w:rPr>
                <w:rFonts w:ascii="Times New Roman" w:hAnsi="Times New Roman" w:cs="Times New Roman"/>
                <w:color w:val="000000" w:themeColor="text1"/>
                <w:sz w:val="24"/>
                <w:szCs w:val="24"/>
              </w:rPr>
              <w:t xml:space="preserve"> redakcijā </w:t>
            </w:r>
            <w:r w:rsidR="00BF09B4">
              <w:rPr>
                <w:rFonts w:ascii="Times New Roman" w:hAnsi="Times New Roman" w:cs="Times New Roman"/>
                <w:color w:val="000000" w:themeColor="text1"/>
                <w:sz w:val="24"/>
                <w:szCs w:val="24"/>
              </w:rPr>
              <w:t xml:space="preserve">– </w:t>
            </w:r>
            <w:r w:rsidR="00B22BF1">
              <w:rPr>
                <w:rFonts w:ascii="Times New Roman" w:hAnsi="Times New Roman" w:cs="Times New Roman"/>
                <w:color w:val="000000" w:themeColor="text1"/>
                <w:sz w:val="24"/>
                <w:szCs w:val="24"/>
              </w:rPr>
              <w:t>“</w:t>
            </w:r>
            <w:r w:rsidR="00BF09B4">
              <w:rPr>
                <w:rFonts w:ascii="Times New Roman" w:hAnsi="Times New Roman" w:cs="Times New Roman"/>
                <w:color w:val="000000" w:themeColor="text1"/>
                <w:sz w:val="24"/>
                <w:szCs w:val="24"/>
              </w:rPr>
              <w:t>Klienta izpētes dokumentu glabāšana, atjaunošana un iznīcināšana</w:t>
            </w:r>
            <w:r w:rsidR="00B22BF1">
              <w:rPr>
                <w:rFonts w:ascii="Times New Roman" w:hAnsi="Times New Roman" w:cs="Times New Roman"/>
                <w:color w:val="000000" w:themeColor="text1"/>
                <w:sz w:val="24"/>
                <w:szCs w:val="24"/>
              </w:rPr>
              <w:t>”</w:t>
            </w:r>
            <w:r w:rsidR="00BF09B4">
              <w:rPr>
                <w:rFonts w:ascii="Times New Roman" w:hAnsi="Times New Roman" w:cs="Times New Roman"/>
                <w:color w:val="000000" w:themeColor="text1"/>
                <w:sz w:val="24"/>
                <w:szCs w:val="24"/>
              </w:rPr>
              <w:t xml:space="preserve">, </w:t>
            </w:r>
            <w:r w:rsidR="00872815">
              <w:rPr>
                <w:rFonts w:ascii="Times New Roman" w:hAnsi="Times New Roman" w:cs="Times New Roman"/>
                <w:color w:val="000000" w:themeColor="text1"/>
                <w:sz w:val="24"/>
                <w:szCs w:val="24"/>
              </w:rPr>
              <w:t>papildinot nosaukumu ar dokumentu iznīcināšanas funkciju.</w:t>
            </w:r>
          </w:p>
          <w:p w:rsidR="00705994" w:rsidRDefault="006C57B5" w:rsidP="00705994">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AML IV direktīva dalībvalstīm liek</w:t>
            </w:r>
            <w:r w:rsidR="00262F19">
              <w:rPr>
                <w:rFonts w:ascii="Times New Roman" w:hAnsi="Times New Roman" w:cs="Times New Roman"/>
                <w:color w:val="000000" w:themeColor="text1"/>
                <w:sz w:val="24"/>
                <w:szCs w:val="24"/>
              </w:rPr>
              <w:t xml:space="preserve"> apzināties problēmu, kas saistās</w:t>
            </w:r>
            <w:r>
              <w:rPr>
                <w:rFonts w:ascii="Times New Roman" w:hAnsi="Times New Roman" w:cs="Times New Roman"/>
                <w:color w:val="000000" w:themeColor="text1"/>
                <w:sz w:val="24"/>
                <w:szCs w:val="24"/>
              </w:rPr>
              <w:t xml:space="preserve"> ar </w:t>
            </w:r>
            <w:r w:rsidR="008037E2">
              <w:rPr>
                <w:rFonts w:ascii="Times New Roman" w:hAnsi="Times New Roman" w:cs="Times New Roman"/>
                <w:color w:val="000000" w:themeColor="text1"/>
                <w:sz w:val="24"/>
                <w:szCs w:val="24"/>
              </w:rPr>
              <w:t xml:space="preserve">gadījumiem, kad darbinieki, kuri ziņojuši par savām aizdomām attiecībā uz nelikumīgi iegūtu līdzekļu legalizāciju, tiek pakļauti draudiem vai naidīgām darbībām, lai gan AML IV direktīvas mērķis nav iejaukties dalībvalstu tiesvedības procedūrās, </w:t>
            </w:r>
            <w:r w:rsidR="00123FAF">
              <w:rPr>
                <w:rFonts w:ascii="Times New Roman" w:hAnsi="Times New Roman" w:cs="Times New Roman"/>
                <w:color w:val="000000" w:themeColor="text1"/>
                <w:sz w:val="24"/>
                <w:szCs w:val="24"/>
              </w:rPr>
              <w:t>NILLTFN</w:t>
            </w:r>
            <w:r w:rsidR="008037E2">
              <w:rPr>
                <w:rFonts w:ascii="Times New Roman" w:hAnsi="Times New Roman" w:cs="Times New Roman"/>
                <w:color w:val="000000" w:themeColor="text1"/>
                <w:sz w:val="24"/>
                <w:szCs w:val="24"/>
              </w:rPr>
              <w:t xml:space="preserve"> efektīvai sistēmas darbībai</w:t>
            </w:r>
            <w:r w:rsidR="00262F19">
              <w:rPr>
                <w:rFonts w:ascii="Times New Roman" w:hAnsi="Times New Roman" w:cs="Times New Roman"/>
                <w:color w:val="000000" w:themeColor="text1"/>
                <w:sz w:val="24"/>
                <w:szCs w:val="24"/>
              </w:rPr>
              <w:t xml:space="preserve"> </w:t>
            </w:r>
            <w:r w:rsidR="00104D97">
              <w:rPr>
                <w:rFonts w:ascii="Times New Roman" w:hAnsi="Times New Roman" w:cs="Times New Roman"/>
                <w:color w:val="000000" w:themeColor="text1"/>
                <w:sz w:val="24"/>
                <w:szCs w:val="24"/>
              </w:rPr>
              <w:t xml:space="preserve">ir būtiski rast risinājumu šāda veida problēmai. </w:t>
            </w:r>
            <w:r w:rsidR="0065298E">
              <w:rPr>
                <w:rFonts w:ascii="Times New Roman" w:hAnsi="Times New Roman" w:cs="Times New Roman"/>
                <w:color w:val="000000" w:themeColor="text1"/>
                <w:sz w:val="24"/>
                <w:szCs w:val="24"/>
              </w:rPr>
              <w:t xml:space="preserve">Lai aizsargātu </w:t>
            </w:r>
            <w:r w:rsidR="00A34CD2">
              <w:rPr>
                <w:rFonts w:ascii="Times New Roman" w:hAnsi="Times New Roman" w:cs="Times New Roman"/>
                <w:color w:val="000000" w:themeColor="text1"/>
                <w:sz w:val="24"/>
                <w:szCs w:val="24"/>
              </w:rPr>
              <w:t xml:space="preserve">personas – atbildīgā subjekta </w:t>
            </w:r>
            <w:r w:rsidR="00A34CD2">
              <w:rPr>
                <w:rFonts w:ascii="Times New Roman" w:hAnsi="Times New Roman" w:cs="Times New Roman"/>
                <w:color w:val="000000" w:themeColor="text1"/>
                <w:sz w:val="24"/>
                <w:szCs w:val="24"/>
              </w:rPr>
              <w:lastRenderedPageBreak/>
              <w:t>darbiniekus, pārstāvjus, no šāda veida draudiem un naidīgām darbībām, ir jānodrošina pienācīga aizsardzība, jo īpaši uz savu personas datu aizsardzību un uz efektīvu tiesību tiesisko aizsardzību, pārstāvību tiesā. Atbilstoši AML IV direktīvas 61.panta 3.punktam par to, lai atbildīgie subjekti izstrādātu atbilstošas procedūras, kas ļautu darbiniekiem vai personām līdzīgā amatā, ziņot par pārkāpumiem subjekta iekšienē, izmantojot, speciālu, neatkarīgu un anonīmu kanālu ziņu sniegšanai</w:t>
            </w:r>
            <w:r w:rsidR="0055721D">
              <w:rPr>
                <w:rFonts w:ascii="Times New Roman" w:hAnsi="Times New Roman" w:cs="Times New Roman"/>
                <w:color w:val="000000" w:themeColor="text1"/>
                <w:sz w:val="24"/>
                <w:szCs w:val="24"/>
              </w:rPr>
              <w:t>, likumprojekts (NILLTFNL 7.pant</w:t>
            </w:r>
            <w:r w:rsidR="00B22BF1">
              <w:rPr>
                <w:rFonts w:ascii="Times New Roman" w:hAnsi="Times New Roman" w:cs="Times New Roman"/>
                <w:color w:val="000000" w:themeColor="text1"/>
                <w:sz w:val="24"/>
                <w:szCs w:val="24"/>
              </w:rPr>
              <w:t>a</w:t>
            </w:r>
            <w:r w:rsidR="0055721D">
              <w:rPr>
                <w:rFonts w:ascii="Times New Roman" w:hAnsi="Times New Roman" w:cs="Times New Roman"/>
                <w:color w:val="000000" w:themeColor="text1"/>
                <w:sz w:val="24"/>
                <w:szCs w:val="24"/>
              </w:rPr>
              <w:t xml:space="preserve"> pirmā</w:t>
            </w:r>
            <w:r w:rsidR="00B22BF1">
              <w:rPr>
                <w:rFonts w:ascii="Times New Roman" w:hAnsi="Times New Roman" w:cs="Times New Roman"/>
                <w:color w:val="000000" w:themeColor="text1"/>
                <w:sz w:val="24"/>
                <w:szCs w:val="24"/>
              </w:rPr>
              <w:t>s</w:t>
            </w:r>
            <w:r w:rsidR="0055721D">
              <w:rPr>
                <w:rFonts w:ascii="Times New Roman" w:hAnsi="Times New Roman" w:cs="Times New Roman"/>
                <w:color w:val="000000" w:themeColor="text1"/>
                <w:sz w:val="24"/>
                <w:szCs w:val="24"/>
              </w:rPr>
              <w:t xml:space="preserve"> daļa</w:t>
            </w:r>
            <w:r w:rsidR="00B22BF1">
              <w:rPr>
                <w:rFonts w:ascii="Times New Roman" w:hAnsi="Times New Roman" w:cs="Times New Roman"/>
                <w:color w:val="000000" w:themeColor="text1"/>
                <w:sz w:val="24"/>
                <w:szCs w:val="24"/>
              </w:rPr>
              <w:t>s</w:t>
            </w:r>
            <w:r w:rsidR="0055721D">
              <w:rPr>
                <w:rFonts w:ascii="Times New Roman" w:hAnsi="Times New Roman" w:cs="Times New Roman"/>
                <w:color w:val="000000" w:themeColor="text1"/>
                <w:sz w:val="24"/>
                <w:szCs w:val="24"/>
              </w:rPr>
              <w:t xml:space="preserve"> 9.punkts) paredz</w:t>
            </w:r>
            <w:r w:rsidR="00F84DF6">
              <w:rPr>
                <w:rFonts w:ascii="Times New Roman" w:hAnsi="Times New Roman" w:cs="Times New Roman"/>
                <w:color w:val="000000" w:themeColor="text1"/>
                <w:sz w:val="24"/>
                <w:szCs w:val="24"/>
              </w:rPr>
              <w:t xml:space="preserve"> </w:t>
            </w:r>
            <w:r w:rsidR="00B22BF1">
              <w:rPr>
                <w:rFonts w:ascii="Times New Roman" w:hAnsi="Times New Roman" w:cs="Times New Roman"/>
                <w:color w:val="000000" w:themeColor="text1"/>
                <w:sz w:val="24"/>
                <w:szCs w:val="24"/>
              </w:rPr>
              <w:t>prasību</w:t>
            </w:r>
            <w:r w:rsidR="0055721D">
              <w:rPr>
                <w:rFonts w:ascii="Times New Roman" w:hAnsi="Times New Roman" w:cs="Times New Roman"/>
                <w:color w:val="000000" w:themeColor="text1"/>
                <w:sz w:val="24"/>
                <w:szCs w:val="24"/>
              </w:rPr>
              <w:t xml:space="preserve"> likuma subjektiem iekšējās kontroles sistēmas izveidē </w:t>
            </w:r>
            <w:r w:rsidR="006A7AF9">
              <w:rPr>
                <w:rFonts w:ascii="Times New Roman" w:hAnsi="Times New Roman" w:cs="Times New Roman"/>
                <w:color w:val="000000" w:themeColor="text1"/>
                <w:sz w:val="24"/>
                <w:szCs w:val="24"/>
              </w:rPr>
              <w:t xml:space="preserve">paredzēt </w:t>
            </w:r>
            <w:r w:rsidR="006A7AF9" w:rsidRPr="006A7AF9">
              <w:rPr>
                <w:rFonts w:ascii="Times New Roman" w:hAnsi="Times New Roman" w:cs="Times New Roman"/>
                <w:color w:val="000000" w:themeColor="text1"/>
                <w:sz w:val="24"/>
                <w:szCs w:val="24"/>
              </w:rPr>
              <w:t>kārtību, kādā tiek nodrošināta neatkarīga anonīma iekšējā ziņošana par šā likuma prasību pārkāpumiem un šādu ziņojumu izvērtēšana, ja, ņemot vērā likuma subjekta darbinieku skaitu, šāda ziņošana ir iespējama</w:t>
            </w:r>
            <w:r w:rsidR="006A7AF9">
              <w:rPr>
                <w:rFonts w:ascii="Times New Roman" w:hAnsi="Times New Roman" w:cs="Times New Roman"/>
                <w:color w:val="000000" w:themeColor="text1"/>
                <w:sz w:val="24"/>
                <w:szCs w:val="24"/>
              </w:rPr>
              <w:t xml:space="preserve">. </w:t>
            </w:r>
            <w:r w:rsidR="00653E0C" w:rsidRPr="00657A14">
              <w:rPr>
                <w:rFonts w:ascii="Times New Roman" w:hAnsi="Times New Roman" w:cs="Times New Roman"/>
                <w:color w:val="000000" w:themeColor="text1"/>
                <w:sz w:val="24"/>
                <w:szCs w:val="24"/>
              </w:rPr>
              <w:t>Ņemot vērā, ka NILLTFNL subjekti ir arī vairākas mazās kapitālsabiedrības ar pāris darbiniekiem un tādējādi šādās kapitālsabiedrībās praktiski nav iespējams ieviest anonīmu ziņošanu par NILTTFNL pārkāpumiem, līdz ar to normā tika ielikta atruna par ziņošanas iespēju, ņemot vērā darbinieku skaitu.</w:t>
            </w:r>
          </w:p>
          <w:p w:rsidR="00054A7A" w:rsidRPr="006A7AF9" w:rsidRDefault="00054A7A" w:rsidP="00705994">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Atbilstoši FATF 18.rekomendācijas skaidrojošajai piezīmei, par to, ka finanšu iestāžu programmās, kurās paredzētas </w:t>
            </w:r>
            <w:r w:rsidR="00A54E18">
              <w:rPr>
                <w:rFonts w:ascii="Times New Roman" w:hAnsi="Times New Roman" w:cs="Times New Roman"/>
                <w:color w:val="000000" w:themeColor="text1"/>
                <w:sz w:val="24"/>
                <w:szCs w:val="24"/>
              </w:rPr>
              <w:t>NILLTFN, jāparedz neatkarīga revīzijas ( audita) funkcija sistēmas pārbaudīšanai. Likumprojekts (NILLTFNL 7.pants 10.punkts) paredz neatkarīga iekšējā audita funkciju, ņemot vērā likuma subjekta darbinieku skaitu, funkcijas realizācijai.</w:t>
            </w:r>
          </w:p>
          <w:p w:rsidR="009B7ACF" w:rsidRPr="00657A14" w:rsidRDefault="00E1531C" w:rsidP="00705994">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AML IV direktīvas 46.panta 4.punkts nosaka, ka atbildīgie subjekti par AML IV direktīvas ievērošanu normatīvo un administratīvo noteikumu īstenošanā nosaka atbildīgo valdes locekli</w:t>
            </w:r>
            <w:r w:rsidR="00B22B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22BF1">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ārņemot šo prasību likumprojektā (NILLTFNL 10.pants otrā daļa) tiek paredzēts, ka pienākums iecelt valdes locekli ir likuma subjektam – juridiskajai personai, nevis  </w:t>
            </w:r>
            <w:r w:rsidR="00B22BF1">
              <w:rPr>
                <w:rFonts w:ascii="Times New Roman" w:hAnsi="Times New Roman" w:cs="Times New Roman"/>
                <w:color w:val="000000" w:themeColor="text1"/>
                <w:sz w:val="24"/>
                <w:szCs w:val="24"/>
              </w:rPr>
              <w:t xml:space="preserve">tikai </w:t>
            </w:r>
            <w:r>
              <w:rPr>
                <w:rFonts w:ascii="Times New Roman" w:hAnsi="Times New Roman" w:cs="Times New Roman"/>
                <w:color w:val="000000" w:themeColor="text1"/>
                <w:sz w:val="24"/>
                <w:szCs w:val="24"/>
              </w:rPr>
              <w:t>kredītiestādei un finanšu iestādei, izņemot kapitālsabiedrīb</w:t>
            </w:r>
            <w:r w:rsidR="00B22BF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kas nodarbojas ar ārvalstu valūtas skaidras naudas pirkšanu un pārdošanu.</w:t>
            </w:r>
          </w:p>
          <w:p w:rsidR="00705994" w:rsidRPr="00742CA2" w:rsidRDefault="006B1161" w:rsidP="00424423">
            <w:pPr>
              <w:spacing w:after="0" w:line="240" w:lineRule="auto"/>
              <w:jc w:val="both"/>
              <w:rPr>
                <w:rFonts w:ascii="Times New Roman" w:hAnsi="Times New Roman" w:cs="Times New Roman"/>
                <w:color w:val="000000" w:themeColor="text1"/>
                <w:sz w:val="24"/>
                <w:szCs w:val="24"/>
              </w:rPr>
            </w:pPr>
            <w:r w:rsidRPr="00742CA2">
              <w:rPr>
                <w:rFonts w:ascii="Times New Roman" w:hAnsi="Times New Roman" w:cs="Times New Roman"/>
                <w:color w:val="000000" w:themeColor="text1"/>
                <w:sz w:val="24"/>
                <w:szCs w:val="24"/>
              </w:rPr>
              <w:t>K</w:t>
            </w:r>
            <w:r w:rsidR="00705994" w:rsidRPr="00742CA2">
              <w:rPr>
                <w:rFonts w:ascii="Times New Roman" w:hAnsi="Times New Roman" w:cs="Times New Roman"/>
                <w:color w:val="000000" w:themeColor="text1"/>
                <w:sz w:val="24"/>
                <w:szCs w:val="24"/>
              </w:rPr>
              <w:t>lienta izpēte</w:t>
            </w:r>
          </w:p>
          <w:p w:rsidR="00AB364F" w:rsidRPr="00657A14" w:rsidRDefault="00A1646D" w:rsidP="00AB364F">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Noziedzīgi iegūtu līdzekļu legalizācijas risks ir iespēja, ka personas, kas noziedzīgu darbību rezultātā ieguvušas mantu vai finanšu līdzekļus, kuru tālāka izmantošana ir iespējama, piešķirot tiem legālu raksturu, izmantos NILLTFNL subjekta sniegtos pakalpojumus, līdzekļu legālas izcelsmes piešķiršanai vai arī līdzekļu izcelsmes slēpšanai.</w:t>
            </w:r>
            <w:r w:rsidR="00522473">
              <w:rPr>
                <w:rFonts w:ascii="Times New Roman" w:hAnsi="Times New Roman" w:cs="Times New Roman"/>
                <w:color w:val="000000" w:themeColor="text1"/>
                <w:sz w:val="24"/>
                <w:szCs w:val="24"/>
              </w:rPr>
              <w:t xml:space="preserve"> Terorisma finansēšanas risks</w:t>
            </w:r>
            <w:r w:rsidR="009B2192">
              <w:rPr>
                <w:rFonts w:ascii="Times New Roman" w:hAnsi="Times New Roman" w:cs="Times New Roman"/>
                <w:color w:val="000000" w:themeColor="text1"/>
                <w:sz w:val="24"/>
                <w:szCs w:val="24"/>
              </w:rPr>
              <w:t xml:space="preserve"> ir iespēja, ka NILLTFNL subjekta sniegtos pakalpojumus izmantos terora </w:t>
            </w:r>
            <w:r w:rsidR="009B2192">
              <w:rPr>
                <w:rFonts w:ascii="Times New Roman" w:hAnsi="Times New Roman" w:cs="Times New Roman"/>
                <w:color w:val="000000" w:themeColor="text1"/>
                <w:sz w:val="24"/>
                <w:szCs w:val="24"/>
              </w:rPr>
              <w:lastRenderedPageBreak/>
              <w:t>aktu un teroristu finansēšanai un atbalstīšanai. Katram NILLTFNL subjektam nepieciešams veikt individuālu riska izvērtējumu, ņemot vērā sniegto pakalpojumu specifiku un potenciālo klientu loku, kā arī citus apstākļus, kuri var ietekmēt NILLTFN risku.</w:t>
            </w:r>
            <w:r w:rsidR="007D58DF">
              <w:rPr>
                <w:rFonts w:ascii="Times New Roman" w:hAnsi="Times New Roman" w:cs="Times New Roman"/>
                <w:color w:val="000000" w:themeColor="text1"/>
                <w:sz w:val="24"/>
                <w:szCs w:val="24"/>
              </w:rPr>
              <w:t xml:space="preserve"> Likuma subjekts, kuram ir attiecības ar klientu, izveido NILLTFN iekšējās kontroles sistēmu, tas ir pasākumu kopums, kas ietver uz NILLTFNL prasību izpildes nodrošināšanu vērstas darbības, paredzot atbilstošos resursus un veicot darbinieku apmācību, lai novērstu likuma subjekta iesaistīšanos </w:t>
            </w:r>
            <w:r w:rsidR="009D192A">
              <w:rPr>
                <w:rFonts w:ascii="Times New Roman" w:hAnsi="Times New Roman" w:cs="Times New Roman"/>
                <w:color w:val="000000" w:themeColor="text1"/>
                <w:sz w:val="24"/>
                <w:szCs w:val="24"/>
              </w:rPr>
              <w:t xml:space="preserve">noziedzīgi iegūtu līdzekļu legalizācijā un terorisma finansēšanā. </w:t>
            </w:r>
            <w:r w:rsidR="007D58DF">
              <w:rPr>
                <w:rFonts w:ascii="Times New Roman" w:hAnsi="Times New Roman" w:cs="Times New Roman"/>
                <w:color w:val="000000" w:themeColor="text1"/>
                <w:sz w:val="24"/>
                <w:szCs w:val="24"/>
              </w:rPr>
              <w:t>NI</w:t>
            </w:r>
            <w:r w:rsidR="00471CB3">
              <w:rPr>
                <w:rFonts w:ascii="Times New Roman" w:hAnsi="Times New Roman" w:cs="Times New Roman"/>
                <w:color w:val="000000" w:themeColor="text1"/>
                <w:sz w:val="24"/>
                <w:szCs w:val="24"/>
              </w:rPr>
              <w:t>L</w:t>
            </w:r>
            <w:r w:rsidR="007D58DF">
              <w:rPr>
                <w:rFonts w:ascii="Times New Roman" w:hAnsi="Times New Roman" w:cs="Times New Roman"/>
                <w:color w:val="000000" w:themeColor="text1"/>
                <w:sz w:val="24"/>
                <w:szCs w:val="24"/>
              </w:rPr>
              <w:t>LTFN sistēmas darbības kvalitāte ir tieši atkarīga no tās dalībnieku izveidotās iekšējās kontroles sistēmas efektivitātes</w:t>
            </w:r>
            <w:r w:rsidR="00292D34">
              <w:rPr>
                <w:rFonts w:ascii="Times New Roman" w:hAnsi="Times New Roman" w:cs="Times New Roman"/>
                <w:color w:val="000000" w:themeColor="text1"/>
                <w:sz w:val="24"/>
                <w:szCs w:val="24"/>
              </w:rPr>
              <w:t>. Viens no iekšējās kontroles sistēmas elementiem ir kārtība</w:t>
            </w:r>
            <w:r w:rsidR="00471CB3">
              <w:rPr>
                <w:rFonts w:ascii="Times New Roman" w:hAnsi="Times New Roman" w:cs="Times New Roman"/>
                <w:color w:val="000000" w:themeColor="text1"/>
                <w:sz w:val="24"/>
                <w:szCs w:val="24"/>
              </w:rPr>
              <w:t>,</w:t>
            </w:r>
            <w:r w:rsidR="00292D34">
              <w:rPr>
                <w:rFonts w:ascii="Times New Roman" w:hAnsi="Times New Roman" w:cs="Times New Roman"/>
                <w:color w:val="000000" w:themeColor="text1"/>
                <w:sz w:val="24"/>
                <w:szCs w:val="24"/>
              </w:rPr>
              <w:t xml:space="preserve"> kādā tiek identificēts klients un patiesā labuma guvējs, kā arī kārtība</w:t>
            </w:r>
            <w:r w:rsidR="00471CB3">
              <w:rPr>
                <w:rFonts w:ascii="Times New Roman" w:hAnsi="Times New Roman" w:cs="Times New Roman"/>
                <w:color w:val="000000" w:themeColor="text1"/>
                <w:sz w:val="24"/>
                <w:szCs w:val="24"/>
              </w:rPr>
              <w:t xml:space="preserve">, </w:t>
            </w:r>
            <w:r w:rsidR="00292D34">
              <w:rPr>
                <w:rFonts w:ascii="Times New Roman" w:hAnsi="Times New Roman" w:cs="Times New Roman"/>
                <w:color w:val="000000" w:themeColor="text1"/>
                <w:sz w:val="24"/>
                <w:szCs w:val="24"/>
              </w:rPr>
              <w:t xml:space="preserve">kādā tiek veikta klienta izpēte. </w:t>
            </w:r>
          </w:p>
          <w:p w:rsidR="00DC7F59" w:rsidRPr="00657A14" w:rsidRDefault="007C5ACC" w:rsidP="00DC7F5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Pārņemot AML IV direktīvas  struktūr</w:t>
            </w:r>
            <w:r w:rsidR="00F21E1F">
              <w:rPr>
                <w:rFonts w:ascii="Times New Roman" w:hAnsi="Times New Roman" w:cs="Times New Roman"/>
                <w:color w:val="000000" w:themeColor="text1"/>
                <w:sz w:val="24"/>
                <w:szCs w:val="24"/>
              </w:rPr>
              <w:t>u</w:t>
            </w:r>
            <w:r w:rsidR="00471CB3">
              <w:rPr>
                <w:rFonts w:ascii="Times New Roman" w:hAnsi="Times New Roman" w:cs="Times New Roman"/>
                <w:color w:val="000000" w:themeColor="text1"/>
                <w:sz w:val="24"/>
                <w:szCs w:val="24"/>
              </w:rPr>
              <w:t>,</w:t>
            </w:r>
            <w:r w:rsidR="00F21E1F">
              <w:rPr>
                <w:rFonts w:ascii="Times New Roman" w:hAnsi="Times New Roman" w:cs="Times New Roman"/>
                <w:color w:val="000000" w:themeColor="text1"/>
                <w:sz w:val="24"/>
                <w:szCs w:val="24"/>
              </w:rPr>
              <w:t xml:space="preserve"> kā arī FATF 10.rekomendāciju, kas attiec</w:t>
            </w:r>
            <w:r w:rsidR="00471CB3">
              <w:rPr>
                <w:rFonts w:ascii="Times New Roman" w:hAnsi="Times New Roman" w:cs="Times New Roman"/>
                <w:color w:val="000000" w:themeColor="text1"/>
                <w:sz w:val="24"/>
                <w:szCs w:val="24"/>
              </w:rPr>
              <w:t>a</w:t>
            </w:r>
            <w:r w:rsidR="00F21E1F">
              <w:rPr>
                <w:rFonts w:ascii="Times New Roman" w:hAnsi="Times New Roman" w:cs="Times New Roman"/>
                <w:color w:val="000000" w:themeColor="text1"/>
                <w:sz w:val="24"/>
                <w:szCs w:val="24"/>
              </w:rPr>
              <w:t xml:space="preserve">s uz klienta izpēti un nosaka klienta identifikāciju un patiesā labuma identifikāciju kā vienu no īstenojamiem klienta izpētes veikšanas pasākumiem, </w:t>
            </w:r>
            <w:r>
              <w:rPr>
                <w:rFonts w:ascii="Times New Roman" w:hAnsi="Times New Roman" w:cs="Times New Roman"/>
                <w:color w:val="000000" w:themeColor="text1"/>
                <w:sz w:val="24"/>
                <w:szCs w:val="24"/>
              </w:rPr>
              <w:t>likumprojektā paredzēts klienta identifikāciju, patiesā labuma guvēja noskaidrošanu un klienta izpēti paredzēt k</w:t>
            </w:r>
            <w:r w:rsidR="00F21E1F">
              <w:rPr>
                <w:rFonts w:ascii="Times New Roman" w:hAnsi="Times New Roman" w:cs="Times New Roman"/>
                <w:color w:val="000000" w:themeColor="text1"/>
                <w:sz w:val="24"/>
                <w:szCs w:val="24"/>
              </w:rPr>
              <w:t>ā vienotu</w:t>
            </w:r>
            <w:r>
              <w:rPr>
                <w:rFonts w:ascii="Times New Roman" w:hAnsi="Times New Roman" w:cs="Times New Roman"/>
                <w:color w:val="000000" w:themeColor="text1"/>
                <w:sz w:val="24"/>
                <w:szCs w:val="24"/>
              </w:rPr>
              <w:t xml:space="preserve"> pasākumu kopumu – klienta izpēt</w:t>
            </w:r>
            <w:r w:rsidR="00471CB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w:t>
            </w:r>
            <w:r w:rsidR="00A8019E">
              <w:rPr>
                <w:rFonts w:ascii="Times New Roman" w:hAnsi="Times New Roman" w:cs="Times New Roman"/>
                <w:color w:val="000000" w:themeColor="text1"/>
                <w:sz w:val="24"/>
                <w:szCs w:val="24"/>
              </w:rPr>
              <w:t xml:space="preserve"> Līdz ar to likumprojektā (NILLTFNL III nodaļa) tiek  </w:t>
            </w:r>
            <w:r w:rsidR="00DB371A">
              <w:rPr>
                <w:rFonts w:ascii="Times New Roman" w:hAnsi="Times New Roman" w:cs="Times New Roman"/>
                <w:color w:val="000000" w:themeColor="text1"/>
                <w:sz w:val="24"/>
                <w:szCs w:val="24"/>
              </w:rPr>
              <w:t>m</w:t>
            </w:r>
            <w:r w:rsidR="00A8019E">
              <w:rPr>
                <w:rFonts w:ascii="Times New Roman" w:hAnsi="Times New Roman" w:cs="Times New Roman"/>
                <w:color w:val="000000" w:themeColor="text1"/>
                <w:sz w:val="24"/>
                <w:szCs w:val="24"/>
              </w:rPr>
              <w:t>ainīts nodaļas nosaukums no “Klienta identifikācija un izpēte” uz “Klienta izpēte”.</w:t>
            </w:r>
            <w:r w:rsidR="00D51FA9">
              <w:rPr>
                <w:rFonts w:ascii="Times New Roman" w:hAnsi="Times New Roman" w:cs="Times New Roman"/>
                <w:color w:val="000000" w:themeColor="text1"/>
                <w:sz w:val="24"/>
                <w:szCs w:val="24"/>
              </w:rPr>
              <w:t xml:space="preserve"> Likumprojekt</w:t>
            </w:r>
            <w:r w:rsidR="00471CB3">
              <w:rPr>
                <w:rFonts w:ascii="Times New Roman" w:hAnsi="Times New Roman" w:cs="Times New Roman"/>
                <w:color w:val="000000" w:themeColor="text1"/>
                <w:sz w:val="24"/>
                <w:szCs w:val="24"/>
              </w:rPr>
              <w:t>s</w:t>
            </w:r>
            <w:r w:rsidR="00D51FA9">
              <w:rPr>
                <w:rFonts w:ascii="Times New Roman" w:hAnsi="Times New Roman" w:cs="Times New Roman"/>
                <w:color w:val="000000" w:themeColor="text1"/>
                <w:sz w:val="24"/>
                <w:szCs w:val="24"/>
              </w:rPr>
              <w:t xml:space="preserve"> (NILLTFNL 11.pants) nosaka gadījumus, kad likuma subjektiem ir pienākums veikt klienta izpēti. Ievērojot FATF 10.rekomendāciju par to, ka finanšu iestādēm ir jānosaka pienākums pārbaudīt klienta un patiesā labuma guvēja identitāti pirms darījuma attiecību uzsākšanas vai darījuma attiecību laikā, vai pirms darījuma veikšanas vai tā laikā, ja šo darījumu veic gadījuma rakstura klienti, kā arī</w:t>
            </w:r>
            <w:r w:rsidR="00471CB3">
              <w:rPr>
                <w:rFonts w:ascii="Times New Roman" w:hAnsi="Times New Roman" w:cs="Times New Roman"/>
                <w:color w:val="000000" w:themeColor="text1"/>
                <w:sz w:val="24"/>
                <w:szCs w:val="24"/>
              </w:rPr>
              <w:t>,</w:t>
            </w:r>
            <w:r w:rsidR="00D51FA9">
              <w:rPr>
                <w:rFonts w:ascii="Times New Roman" w:hAnsi="Times New Roman" w:cs="Times New Roman"/>
                <w:color w:val="000000" w:themeColor="text1"/>
                <w:sz w:val="24"/>
                <w:szCs w:val="24"/>
              </w:rPr>
              <w:t xml:space="preserve"> pārņemot AML IV direktīvas 11.panta prasības</w:t>
            </w:r>
            <w:r w:rsidR="00471CB3">
              <w:rPr>
                <w:rFonts w:ascii="Times New Roman" w:hAnsi="Times New Roman" w:cs="Times New Roman"/>
                <w:color w:val="000000" w:themeColor="text1"/>
                <w:sz w:val="24"/>
                <w:szCs w:val="24"/>
              </w:rPr>
              <w:t>,</w:t>
            </w:r>
            <w:r w:rsidR="00D51FA9">
              <w:rPr>
                <w:rFonts w:ascii="Times New Roman" w:hAnsi="Times New Roman" w:cs="Times New Roman"/>
                <w:color w:val="000000" w:themeColor="text1"/>
                <w:sz w:val="24"/>
                <w:szCs w:val="24"/>
              </w:rPr>
              <w:t xml:space="preserve"> likumprojekts (NILLTFNL 11.panta pirmā daļa) paredz, ka likuma subjekts veic klienta izpēti pirms darījuma attiecību uzsākšanas</w:t>
            </w:r>
            <w:r w:rsidR="00471CB3">
              <w:rPr>
                <w:rFonts w:ascii="Times New Roman" w:hAnsi="Times New Roman" w:cs="Times New Roman"/>
                <w:color w:val="000000" w:themeColor="text1"/>
                <w:sz w:val="24"/>
                <w:szCs w:val="24"/>
              </w:rPr>
              <w:t>,</w:t>
            </w:r>
            <w:r w:rsidR="00D51FA9">
              <w:rPr>
                <w:rFonts w:ascii="Times New Roman" w:hAnsi="Times New Roman" w:cs="Times New Roman"/>
                <w:color w:val="000000" w:themeColor="text1"/>
                <w:sz w:val="24"/>
                <w:szCs w:val="24"/>
              </w:rPr>
              <w:t xml:space="preserve"> kā arī pirms gadījuma rakstura darījuma.</w:t>
            </w:r>
            <w:r w:rsidR="002023C5">
              <w:rPr>
                <w:rFonts w:ascii="Times New Roman" w:hAnsi="Times New Roman" w:cs="Times New Roman"/>
                <w:color w:val="000000" w:themeColor="text1"/>
                <w:sz w:val="24"/>
                <w:szCs w:val="24"/>
              </w:rPr>
              <w:t xml:space="preserve"> </w:t>
            </w:r>
          </w:p>
          <w:p w:rsidR="00DC7F59" w:rsidRPr="00657A14" w:rsidRDefault="00A33E5D" w:rsidP="00DC7F5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nosaka vairākus gadījumus, kad likuma subjektam ir pienākums veikt klienta izpēti pirms gadījuma rakstura darījuma veikšanas. Likumprojekts (</w:t>
            </w:r>
            <w:r w:rsidR="00471CB3">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NILLTFNL 11.pants pirmā</w:t>
            </w:r>
            <w:r w:rsidR="00471CB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daļa</w:t>
            </w:r>
            <w:r w:rsidR="00471CB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2.punkts a) apakšpunkt</w:t>
            </w:r>
            <w:r w:rsidR="00471CB3">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w:t>
            </w:r>
            <w:r w:rsidR="005E00FB">
              <w:rPr>
                <w:rFonts w:ascii="Times New Roman" w:hAnsi="Times New Roman" w:cs="Times New Roman"/>
                <w:color w:val="000000" w:themeColor="text1"/>
                <w:sz w:val="24"/>
                <w:szCs w:val="24"/>
              </w:rPr>
              <w:t xml:space="preserve"> saskaņā ar FATF 10.rekomendācijas norādīto robežvērtību gadījuma rakstura darījumiem, kas ir 15 000 </w:t>
            </w:r>
            <w:r w:rsidR="005E00FB" w:rsidRPr="00657A14">
              <w:rPr>
                <w:rFonts w:ascii="Times New Roman" w:hAnsi="Times New Roman" w:cs="Times New Roman"/>
                <w:color w:val="000000" w:themeColor="text1"/>
                <w:sz w:val="24"/>
                <w:szCs w:val="24"/>
              </w:rPr>
              <w:t>euro</w:t>
            </w:r>
            <w:r w:rsidR="005E00FB">
              <w:rPr>
                <w:rFonts w:ascii="Times New Roman" w:hAnsi="Times New Roman" w:cs="Times New Roman"/>
                <w:color w:val="000000" w:themeColor="text1"/>
                <w:sz w:val="24"/>
                <w:szCs w:val="24"/>
              </w:rPr>
              <w:t xml:space="preserve"> (finanšu darījumi, kuru apmērs ir lielāks par norādīto robežvērtību, ietver situācijas, kad darījumu veic vienā vai vairākās šķietami saistītās operācijās) un AML IV direktīvas </w:t>
            </w:r>
            <w:r w:rsidR="009A5318">
              <w:rPr>
                <w:rFonts w:ascii="Times New Roman" w:hAnsi="Times New Roman" w:cs="Times New Roman"/>
                <w:color w:val="000000" w:themeColor="text1"/>
                <w:sz w:val="24"/>
                <w:szCs w:val="24"/>
              </w:rPr>
              <w:t>11.panta b</w:t>
            </w:r>
            <w:r w:rsidR="00471CB3">
              <w:rPr>
                <w:rFonts w:ascii="Times New Roman" w:hAnsi="Times New Roman" w:cs="Times New Roman"/>
                <w:color w:val="000000" w:themeColor="text1"/>
                <w:sz w:val="24"/>
                <w:szCs w:val="24"/>
              </w:rPr>
              <w:t>)</w:t>
            </w:r>
            <w:r w:rsidR="009A5318">
              <w:rPr>
                <w:rFonts w:ascii="Times New Roman" w:hAnsi="Times New Roman" w:cs="Times New Roman"/>
                <w:color w:val="000000" w:themeColor="text1"/>
                <w:sz w:val="24"/>
                <w:szCs w:val="24"/>
              </w:rPr>
              <w:t xml:space="preserve"> punkta i) apakšpunkta prasībām</w:t>
            </w:r>
            <w:r w:rsidR="00B53EE2">
              <w:rPr>
                <w:rFonts w:ascii="Times New Roman" w:hAnsi="Times New Roman" w:cs="Times New Roman"/>
                <w:color w:val="000000" w:themeColor="text1"/>
                <w:sz w:val="24"/>
                <w:szCs w:val="24"/>
              </w:rPr>
              <w:t>,</w:t>
            </w:r>
            <w:r w:rsidR="009A5318">
              <w:rPr>
                <w:rFonts w:ascii="Times New Roman" w:hAnsi="Times New Roman" w:cs="Times New Roman"/>
                <w:color w:val="000000" w:themeColor="text1"/>
                <w:sz w:val="24"/>
                <w:szCs w:val="24"/>
              </w:rPr>
              <w:t xml:space="preserve"> </w:t>
            </w:r>
            <w:r w:rsidR="00B53EE2">
              <w:rPr>
                <w:rFonts w:ascii="Times New Roman" w:hAnsi="Times New Roman" w:cs="Times New Roman"/>
                <w:color w:val="000000" w:themeColor="text1"/>
                <w:sz w:val="24"/>
                <w:szCs w:val="24"/>
              </w:rPr>
              <w:t>netiek mainīts</w:t>
            </w:r>
            <w:r w:rsidR="009A5318">
              <w:rPr>
                <w:rFonts w:ascii="Times New Roman" w:hAnsi="Times New Roman" w:cs="Times New Roman"/>
                <w:color w:val="000000" w:themeColor="text1"/>
                <w:sz w:val="24"/>
                <w:szCs w:val="24"/>
              </w:rPr>
              <w:t xml:space="preserve"> redakcionāli </w:t>
            </w:r>
            <w:r w:rsidR="00471CB3">
              <w:rPr>
                <w:rFonts w:ascii="Times New Roman" w:hAnsi="Times New Roman" w:cs="Times New Roman"/>
                <w:color w:val="000000" w:themeColor="text1"/>
                <w:sz w:val="24"/>
                <w:szCs w:val="24"/>
              </w:rPr>
              <w:t xml:space="preserve">, </w:t>
            </w:r>
            <w:r w:rsidR="00B53EE2">
              <w:rPr>
                <w:rFonts w:ascii="Times New Roman" w:hAnsi="Times New Roman" w:cs="Times New Roman"/>
                <w:color w:val="000000" w:themeColor="text1"/>
                <w:sz w:val="24"/>
                <w:szCs w:val="24"/>
              </w:rPr>
              <w:t xml:space="preserve">bet </w:t>
            </w:r>
            <w:r w:rsidR="009A5318">
              <w:rPr>
                <w:rFonts w:ascii="Times New Roman" w:hAnsi="Times New Roman" w:cs="Times New Roman"/>
                <w:color w:val="000000" w:themeColor="text1"/>
                <w:sz w:val="24"/>
                <w:szCs w:val="24"/>
              </w:rPr>
              <w:t>pārnests no NILLTFNL 11.panta otrās daļas 1.punkta.</w:t>
            </w:r>
            <w:r w:rsidR="0052211E">
              <w:rPr>
                <w:rFonts w:ascii="Times New Roman" w:hAnsi="Times New Roman" w:cs="Times New Roman"/>
                <w:color w:val="000000" w:themeColor="text1"/>
                <w:sz w:val="24"/>
                <w:szCs w:val="24"/>
              </w:rPr>
              <w:t xml:space="preserve"> </w:t>
            </w:r>
          </w:p>
          <w:p w:rsidR="00DC7F59" w:rsidRPr="00657A14" w:rsidRDefault="00AA2C68" w:rsidP="00DC7F5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w:t>
            </w:r>
            <w:r w:rsidR="0052211E">
              <w:rPr>
                <w:rFonts w:ascii="Times New Roman" w:hAnsi="Times New Roman" w:cs="Times New Roman"/>
                <w:color w:val="000000" w:themeColor="text1"/>
                <w:sz w:val="24"/>
                <w:szCs w:val="24"/>
              </w:rPr>
              <w:t xml:space="preserve"> (NILLTFNL 11.pant</w:t>
            </w:r>
            <w:r w:rsidR="006D7935">
              <w:rPr>
                <w:rFonts w:ascii="Times New Roman" w:hAnsi="Times New Roman" w:cs="Times New Roman"/>
                <w:color w:val="000000" w:themeColor="text1"/>
                <w:sz w:val="24"/>
                <w:szCs w:val="24"/>
              </w:rPr>
              <w:t>a</w:t>
            </w:r>
            <w:r w:rsidR="0052211E">
              <w:rPr>
                <w:rFonts w:ascii="Times New Roman" w:hAnsi="Times New Roman" w:cs="Times New Roman"/>
                <w:color w:val="000000" w:themeColor="text1"/>
                <w:sz w:val="24"/>
                <w:szCs w:val="24"/>
              </w:rPr>
              <w:t xml:space="preserve"> pirmā</w:t>
            </w:r>
            <w:r w:rsidR="006D7935">
              <w:rPr>
                <w:rFonts w:ascii="Times New Roman" w:hAnsi="Times New Roman" w:cs="Times New Roman"/>
                <w:color w:val="000000" w:themeColor="text1"/>
                <w:sz w:val="24"/>
                <w:szCs w:val="24"/>
              </w:rPr>
              <w:t>s</w:t>
            </w:r>
            <w:r w:rsidR="0052211E">
              <w:rPr>
                <w:rFonts w:ascii="Times New Roman" w:hAnsi="Times New Roman" w:cs="Times New Roman"/>
                <w:color w:val="000000" w:themeColor="text1"/>
                <w:sz w:val="24"/>
                <w:szCs w:val="24"/>
              </w:rPr>
              <w:t xml:space="preserve"> daļa</w:t>
            </w:r>
            <w:r w:rsidR="006D7935">
              <w:rPr>
                <w:rFonts w:ascii="Times New Roman" w:hAnsi="Times New Roman" w:cs="Times New Roman"/>
                <w:color w:val="000000" w:themeColor="text1"/>
                <w:sz w:val="24"/>
                <w:szCs w:val="24"/>
              </w:rPr>
              <w:t>s</w:t>
            </w:r>
            <w:r w:rsidR="0052211E">
              <w:rPr>
                <w:rFonts w:ascii="Times New Roman" w:hAnsi="Times New Roman" w:cs="Times New Roman"/>
                <w:color w:val="000000" w:themeColor="text1"/>
                <w:sz w:val="24"/>
                <w:szCs w:val="24"/>
              </w:rPr>
              <w:t xml:space="preserve"> </w:t>
            </w:r>
            <w:r w:rsidR="00147775">
              <w:rPr>
                <w:rFonts w:ascii="Times New Roman" w:hAnsi="Times New Roman" w:cs="Times New Roman"/>
                <w:color w:val="000000" w:themeColor="text1"/>
                <w:sz w:val="24"/>
                <w:szCs w:val="24"/>
              </w:rPr>
              <w:t>2.punkt</w:t>
            </w:r>
            <w:r w:rsidR="006D7935">
              <w:rPr>
                <w:rFonts w:ascii="Times New Roman" w:hAnsi="Times New Roman" w:cs="Times New Roman"/>
                <w:color w:val="000000" w:themeColor="text1"/>
                <w:sz w:val="24"/>
                <w:szCs w:val="24"/>
              </w:rPr>
              <w:t>a</w:t>
            </w:r>
            <w:r w:rsidR="00147775">
              <w:rPr>
                <w:rFonts w:ascii="Times New Roman" w:hAnsi="Times New Roman" w:cs="Times New Roman"/>
                <w:color w:val="000000" w:themeColor="text1"/>
                <w:sz w:val="24"/>
                <w:szCs w:val="24"/>
              </w:rPr>
              <w:t xml:space="preserve"> b) apakšpunkts</w:t>
            </w:r>
            <w:r w:rsidR="0052211E">
              <w:rPr>
                <w:rFonts w:ascii="Times New Roman" w:hAnsi="Times New Roman" w:cs="Times New Roman"/>
                <w:color w:val="000000" w:themeColor="text1"/>
                <w:sz w:val="24"/>
                <w:szCs w:val="24"/>
              </w:rPr>
              <w:t>)</w:t>
            </w:r>
            <w:r w:rsidR="00110B7E">
              <w:rPr>
                <w:rFonts w:ascii="Times New Roman" w:hAnsi="Times New Roman" w:cs="Times New Roman"/>
                <w:color w:val="000000" w:themeColor="text1"/>
                <w:sz w:val="24"/>
                <w:szCs w:val="24"/>
              </w:rPr>
              <w:t xml:space="preserve"> paredz</w:t>
            </w:r>
            <w:r>
              <w:rPr>
                <w:rFonts w:ascii="Times New Roman" w:hAnsi="Times New Roman" w:cs="Times New Roman"/>
                <w:color w:val="000000" w:themeColor="text1"/>
                <w:sz w:val="24"/>
                <w:szCs w:val="24"/>
              </w:rPr>
              <w:t xml:space="preserve"> </w:t>
            </w:r>
            <w:r w:rsidR="00110B7E">
              <w:rPr>
                <w:rFonts w:ascii="Times New Roman" w:hAnsi="Times New Roman" w:cs="Times New Roman"/>
                <w:color w:val="000000" w:themeColor="text1"/>
                <w:sz w:val="24"/>
                <w:szCs w:val="24"/>
              </w:rPr>
              <w:t xml:space="preserve">otru gadījumu, kad likuma </w:t>
            </w:r>
            <w:r w:rsidR="00110B7E">
              <w:rPr>
                <w:rFonts w:ascii="Times New Roman" w:hAnsi="Times New Roman" w:cs="Times New Roman"/>
                <w:color w:val="000000" w:themeColor="text1"/>
                <w:sz w:val="24"/>
                <w:szCs w:val="24"/>
              </w:rPr>
              <w:lastRenderedPageBreak/>
              <w:t xml:space="preserve">subjektiem ir pienākums veikt klienta izpēti pirms gadījuma rakstura darījuma un tieši, ja tiek veikts līdzekļu pārvedums, kas pārsniedz 1 000 </w:t>
            </w:r>
            <w:r w:rsidR="00110B7E" w:rsidRPr="00657A14">
              <w:rPr>
                <w:rFonts w:ascii="Times New Roman" w:hAnsi="Times New Roman" w:cs="Times New Roman"/>
                <w:color w:val="000000" w:themeColor="text1"/>
                <w:sz w:val="24"/>
                <w:szCs w:val="24"/>
              </w:rPr>
              <w:t>euro</w:t>
            </w:r>
            <w:r w:rsidR="00110B7E">
              <w:rPr>
                <w:rFonts w:ascii="Times New Roman" w:hAnsi="Times New Roman" w:cs="Times New Roman"/>
                <w:color w:val="000000" w:themeColor="text1"/>
                <w:sz w:val="24"/>
                <w:szCs w:val="24"/>
              </w:rPr>
              <w:t xml:space="preserve"> apmēru. Tiek ņemta vērā</w:t>
            </w:r>
            <w:r w:rsidR="00147775">
              <w:rPr>
                <w:rFonts w:ascii="Times New Roman" w:hAnsi="Times New Roman" w:cs="Times New Roman"/>
                <w:color w:val="000000" w:themeColor="text1"/>
                <w:sz w:val="24"/>
                <w:szCs w:val="24"/>
              </w:rPr>
              <w:t xml:space="preserve"> FATF 16.rekomend</w:t>
            </w:r>
            <w:r w:rsidR="00110B7E">
              <w:rPr>
                <w:rFonts w:ascii="Times New Roman" w:hAnsi="Times New Roman" w:cs="Times New Roman"/>
                <w:color w:val="000000" w:themeColor="text1"/>
                <w:sz w:val="24"/>
                <w:szCs w:val="24"/>
              </w:rPr>
              <w:t>ācija</w:t>
            </w:r>
            <w:r w:rsidR="00147775">
              <w:rPr>
                <w:rFonts w:ascii="Times New Roman" w:hAnsi="Times New Roman" w:cs="Times New Roman"/>
                <w:color w:val="000000" w:themeColor="text1"/>
                <w:sz w:val="24"/>
                <w:szCs w:val="24"/>
              </w:rPr>
              <w:t>, kas attiec</w:t>
            </w:r>
            <w:r w:rsidR="00C47518">
              <w:rPr>
                <w:rFonts w:ascii="Times New Roman" w:hAnsi="Times New Roman" w:cs="Times New Roman"/>
                <w:color w:val="000000" w:themeColor="text1"/>
                <w:sz w:val="24"/>
                <w:szCs w:val="24"/>
              </w:rPr>
              <w:t>a</w:t>
            </w:r>
            <w:r w:rsidR="00147775">
              <w:rPr>
                <w:rFonts w:ascii="Times New Roman" w:hAnsi="Times New Roman" w:cs="Times New Roman"/>
                <w:color w:val="000000" w:themeColor="text1"/>
                <w:sz w:val="24"/>
                <w:szCs w:val="24"/>
              </w:rPr>
              <w:t xml:space="preserve">s uz visiem pārrobežu un iekšzemes elektroniskajiem pārskatījumiem, tostarp sērijveida maksājumiem, kā arī seguma maksājumiem, </w:t>
            </w:r>
            <w:r>
              <w:rPr>
                <w:rFonts w:ascii="Times New Roman" w:hAnsi="Times New Roman" w:cs="Times New Roman"/>
                <w:color w:val="000000" w:themeColor="text1"/>
                <w:sz w:val="24"/>
                <w:szCs w:val="24"/>
              </w:rPr>
              <w:t>kur noteikts</w:t>
            </w:r>
            <w:r w:rsidR="00C4751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 attiecīb</w:t>
            </w:r>
            <w:r w:rsidR="00110B7E">
              <w:rPr>
                <w:rFonts w:ascii="Times New Roman" w:hAnsi="Times New Roman" w:cs="Times New Roman"/>
                <w:color w:val="000000" w:themeColor="text1"/>
                <w:sz w:val="24"/>
                <w:szCs w:val="24"/>
              </w:rPr>
              <w:t>ā uz tiem</w:t>
            </w:r>
            <w:r>
              <w:rPr>
                <w:rFonts w:ascii="Times New Roman" w:hAnsi="Times New Roman" w:cs="Times New Roman"/>
                <w:color w:val="000000" w:themeColor="text1"/>
                <w:sz w:val="24"/>
                <w:szCs w:val="24"/>
              </w:rPr>
              <w:t xml:space="preserve">, </w:t>
            </w:r>
            <w:r w:rsidR="00147775">
              <w:rPr>
                <w:rFonts w:ascii="Times New Roman" w:hAnsi="Times New Roman" w:cs="Times New Roman"/>
                <w:color w:val="000000" w:themeColor="text1"/>
                <w:sz w:val="24"/>
                <w:szCs w:val="24"/>
              </w:rPr>
              <w:t xml:space="preserve"> valstis var noteikt </w:t>
            </w:r>
            <w:r w:rsidR="00147775" w:rsidRPr="00657A14">
              <w:rPr>
                <w:rFonts w:ascii="Times New Roman" w:hAnsi="Times New Roman" w:cs="Times New Roman"/>
                <w:color w:val="000000" w:themeColor="text1"/>
                <w:sz w:val="24"/>
                <w:szCs w:val="24"/>
              </w:rPr>
              <w:t xml:space="preserve">de minimis </w:t>
            </w:r>
            <w:r w:rsidR="00147775">
              <w:rPr>
                <w:rFonts w:ascii="Times New Roman" w:hAnsi="Times New Roman" w:cs="Times New Roman"/>
                <w:color w:val="000000" w:themeColor="text1"/>
                <w:sz w:val="24"/>
                <w:szCs w:val="24"/>
              </w:rPr>
              <w:t xml:space="preserve">robežvērtību 1000 </w:t>
            </w:r>
            <w:r w:rsidR="00147775" w:rsidRPr="00657A14">
              <w:rPr>
                <w:rFonts w:ascii="Times New Roman" w:hAnsi="Times New Roman" w:cs="Times New Roman"/>
                <w:color w:val="000000" w:themeColor="text1"/>
                <w:sz w:val="24"/>
                <w:szCs w:val="24"/>
              </w:rPr>
              <w:t>euro</w:t>
            </w:r>
            <w:r w:rsidR="00C37E4F" w:rsidRPr="00657A14">
              <w:rPr>
                <w:rFonts w:ascii="Times New Roman" w:hAnsi="Times New Roman" w:cs="Times New Roman"/>
                <w:color w:val="000000" w:themeColor="text1"/>
                <w:sz w:val="24"/>
                <w:szCs w:val="24"/>
              </w:rPr>
              <w:t xml:space="preserve">, </w:t>
            </w:r>
            <w:r w:rsidR="00C37E4F">
              <w:rPr>
                <w:rFonts w:ascii="Times New Roman" w:hAnsi="Times New Roman" w:cs="Times New Roman"/>
                <w:color w:val="000000" w:themeColor="text1"/>
                <w:sz w:val="24"/>
                <w:szCs w:val="24"/>
              </w:rPr>
              <w:t>kā arī pār</w:t>
            </w:r>
            <w:r w:rsidR="00110B7E">
              <w:rPr>
                <w:rFonts w:ascii="Times New Roman" w:hAnsi="Times New Roman" w:cs="Times New Roman"/>
                <w:color w:val="000000" w:themeColor="text1"/>
                <w:sz w:val="24"/>
                <w:szCs w:val="24"/>
              </w:rPr>
              <w:t>ņemta</w:t>
            </w:r>
            <w:r w:rsidR="00C37E4F">
              <w:rPr>
                <w:rFonts w:ascii="Times New Roman" w:hAnsi="Times New Roman" w:cs="Times New Roman"/>
                <w:color w:val="000000" w:themeColor="text1"/>
                <w:sz w:val="24"/>
                <w:szCs w:val="24"/>
              </w:rPr>
              <w:t xml:space="preserve"> AML IV direktīvas 11.panta b) punkta ii) apakšpunkta pras</w:t>
            </w:r>
            <w:r w:rsidR="00110B7E">
              <w:rPr>
                <w:rFonts w:ascii="Times New Roman" w:hAnsi="Times New Roman" w:cs="Times New Roman"/>
                <w:color w:val="000000" w:themeColor="text1"/>
                <w:sz w:val="24"/>
                <w:szCs w:val="24"/>
              </w:rPr>
              <w:t>ība</w:t>
            </w:r>
            <w:r w:rsidR="00C37E4F">
              <w:rPr>
                <w:rFonts w:ascii="Times New Roman" w:hAnsi="Times New Roman" w:cs="Times New Roman"/>
                <w:color w:val="000000" w:themeColor="text1"/>
                <w:sz w:val="24"/>
                <w:szCs w:val="24"/>
              </w:rPr>
              <w:t>, kurā noteikt</w:t>
            </w:r>
            <w:r>
              <w:rPr>
                <w:rFonts w:ascii="Times New Roman" w:hAnsi="Times New Roman" w:cs="Times New Roman"/>
                <w:color w:val="000000" w:themeColor="text1"/>
                <w:sz w:val="24"/>
                <w:szCs w:val="24"/>
              </w:rPr>
              <w:t>s</w:t>
            </w:r>
            <w:r w:rsidR="00C37E4F">
              <w:rPr>
                <w:rFonts w:ascii="Times New Roman" w:hAnsi="Times New Roman" w:cs="Times New Roman"/>
                <w:color w:val="000000" w:themeColor="text1"/>
                <w:sz w:val="24"/>
                <w:szCs w:val="24"/>
              </w:rPr>
              <w:t xml:space="preserve">, ka klienta izpētes pasākumus piemēro, veicot gadījuma rakstura darījumu, kurš ir līdzekļa pārvedums, kā definēts </w:t>
            </w:r>
            <w:r>
              <w:rPr>
                <w:rFonts w:ascii="Times New Roman" w:hAnsi="Times New Roman" w:cs="Times New Roman"/>
                <w:color w:val="000000" w:themeColor="text1"/>
                <w:sz w:val="24"/>
                <w:szCs w:val="24"/>
              </w:rPr>
              <w:t>Eiropas Parlamenta un Padomes Regulas (ES) 2015/847</w:t>
            </w:r>
            <w:r w:rsidR="00110B7E">
              <w:rPr>
                <w:rFonts w:ascii="Times New Roman" w:hAnsi="Times New Roman" w:cs="Times New Roman"/>
                <w:color w:val="000000" w:themeColor="text1"/>
                <w:sz w:val="24"/>
                <w:szCs w:val="24"/>
              </w:rPr>
              <w:t xml:space="preserve"> 3.pan</w:t>
            </w:r>
            <w:r>
              <w:rPr>
                <w:rFonts w:ascii="Times New Roman" w:hAnsi="Times New Roman" w:cs="Times New Roman"/>
                <w:color w:val="000000" w:themeColor="text1"/>
                <w:sz w:val="24"/>
                <w:szCs w:val="24"/>
              </w:rPr>
              <w:t xml:space="preserve">ta 9) punktā, un pārsniedz 1 000 </w:t>
            </w:r>
            <w:r w:rsidRPr="00657A14">
              <w:rPr>
                <w:rFonts w:ascii="Times New Roman" w:hAnsi="Times New Roman" w:cs="Times New Roman"/>
                <w:color w:val="000000" w:themeColor="text1"/>
                <w:sz w:val="24"/>
                <w:szCs w:val="24"/>
              </w:rPr>
              <w:t>euro.</w:t>
            </w:r>
          </w:p>
          <w:p w:rsidR="00A52E78" w:rsidRPr="00657A14" w:rsidRDefault="00F33A36"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Trešais gadījums, kad ir pienākums veikt klienta izpēti pirms gadījuma rakstura darījuma veikšanas</w:t>
            </w:r>
            <w:r w:rsidR="00C47518"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ir paredzēts NILLTFNL 11.panta pirmās daļas 2.punkta c) apakšpunktā, nosakot, ka tiek veikta klienta izpēte ārvalstu valūtas skaidrās naudas pirkšanas un pārdošanas darījumos ar robežvērtību 1 500 euro. </w:t>
            </w:r>
            <w:r w:rsidR="00A52E78" w:rsidRPr="00657A14">
              <w:rPr>
                <w:rFonts w:ascii="Times New Roman" w:hAnsi="Times New Roman" w:cs="Times New Roman"/>
                <w:color w:val="000000" w:themeColor="text1"/>
                <w:sz w:val="24"/>
                <w:szCs w:val="24"/>
              </w:rPr>
              <w:t>Viens no augstākajiem noziedzīgi iegūtu līdzekļu legalizācijas riskiem piemīt darījumiem skaidrā naudā un tos bieži izmanto noziedzīgi iegūtu līdzekļu legalizācijas shēmās, tādēļ, ka skaidrā naudā veiktie darījumi ir grūtāk izsekojami, salīdzinot ar bezskaidrā naudā veiktajiem darījumiem.</w:t>
            </w:r>
          </w:p>
          <w:p w:rsidR="00A52E78" w:rsidRPr="00657A14" w:rsidRDefault="00A52E78"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Lai samazinātu attiecīgo risku, valstis pieņem normas, kas ierobežo skaidrās naudas līdzekļu apriti. Latvijā skaidras naudas lietošanas ierobežojumi ir noteikti likuma "Par nodokļiem un nodevām" 30. pantā, nosakot slieksni (šobrīd 7200 euro), līdz kādam ir atļauts veikt darījumus skaidrā naudā, kā arī pienākumu deklarēt skaidrā naudā veiktos darījumus, kuru summa pārsniedz zemāku slieksni (šobrīd 1500 euro). Minētās tiesību normas neattiecas uz kredītiestāžu pakalpojumiem, tostarp ārvalstu valūtas skaidrās naudas pirkšanas un pārdošanas pakalpojumiem.</w:t>
            </w:r>
          </w:p>
          <w:p w:rsidR="00A52E78" w:rsidRPr="00657A14" w:rsidRDefault="00A52E78"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Tomēr ārvalstu valūtas skaidrās naudas pirkšanas un pārdošanas darījumi kā skaidrā naudā veikti finanšu darījumi ir saistīti ar vienu no augstākajiem noziedzīgi iegūtu līdzekļu legalizācijas riskiem. Arī Finanšu darba grupa par nelikumīgi iegūtu līdzekļu legalizēšanu FATF</w:t>
            </w:r>
            <w:r w:rsidR="00D81EC9"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 xml:space="preserve">norādījusi, ka skaidrās naudas aprite valsts finanšu sistēmā atvieglo noziedzīgi iegūtu līdzekļu legalizācijas iespējas. Skaidrās naudas anonimitāte un tās aprites ērtums rada priekšnoteikumus šo iespēju izmantošanai noziedzīgos nolūkos. Sevišķi attiecībā uz ārvalstu valūtas skaidrās naudas komersantiem FATF vērsusi uzmanību, ka skaidrā nauda šo jomu padara īpaši pievilcīgu personām, kuras ieinteresētas noziedzīgi iegūtu līdzekļu legalizācijā. </w:t>
            </w:r>
            <w:r w:rsidRPr="00657A14">
              <w:rPr>
                <w:rFonts w:ascii="Times New Roman" w:hAnsi="Times New Roman" w:cs="Times New Roman"/>
                <w:color w:val="000000" w:themeColor="text1"/>
                <w:sz w:val="24"/>
                <w:szCs w:val="24"/>
              </w:rPr>
              <w:lastRenderedPageBreak/>
              <w:t>Skaidrās naudas valūtas maiņa tiek īpaši izmantota naudas legalizācijas pirmajā posmā, kad nepieciešama naudas vienību maiņa, lai slēptu tās izcelsmi un nodrošinātu tās iepludināšanu finanšu sektorā.</w:t>
            </w:r>
          </w:p>
          <w:p w:rsidR="00A52E78" w:rsidRPr="00657A14" w:rsidRDefault="00A52E78"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Latvijā ar ārvalstu valūtu skaidrās naudas pirkšanu un pārdošanu nodarbojas kredītiestādes kā ar vienu no finanšu pakalpojumu veidiem un komercsabiedrības, kuras saņēmušas licenci šāda veida komercdarbībai, kura tām ir pamata darbība.</w:t>
            </w:r>
          </w:p>
          <w:p w:rsidR="00A52E78" w:rsidRPr="00657A14" w:rsidRDefault="00A52E78"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Ārvalstu valūtu pirkšanas un pārdošanas darījumu kopējais apjoms naudas izteiksmē Latvijā saskaņā ar Latvijas Bankas apkopoto statistisko informāciju 2014. gadā bija 833.7 milj. euro un 2015. gadā – 646.1 milj. euro. Lielāko darījumu apjomu veica komercsabiedrības, kuras saņēmušas licenci šāda veida komercdarbībai (2014. gadā 57.3 % un 2015. gadā 54.1 % no kopējā apjoma).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Saskaņā ar 2016. gada februārī veiktās komercsabiedrību, kuras veic ārvalstu valūtas skaidrās naudas pirkšanu un pārdošanu, aptaujas, kurā piedalījās aptuveni 90 % no komercsabiedrībām, rezultātiem izriet, ka 90 % no ārvalstu valūtas skaidras naudas pirkšanas vai pārdošanas darījumiem ir veikti ar neidentificētiem klientiem.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2016. gada jūnijā aptaujājot četras lielākās komercsabiedrības, kuru apgrozījumu veido gandrīz pusi no kopējā šādu komercsabiedrību apgrozījuma, par to darījumiem 2015. gadā, tika iegūta informācija, ka tās veikušas aptuveni 7 tūkstošus darījumu, kuru summa bijusi robežās no 2000 līdz 8000 euro, (no tiem 36 % robežās no 4000 līdz 8000 euro, 64 % – robežās no 2000 līdz 4000 euro).  Vienlaikus summas robežās no 1000 līdz 2000 euro šajās kapitālsabiedrībās tikuši veikti aptuveni 50 tūkstoši darījumu.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Pienākums veikt klienta izpēti, ar kuru nav nodibinātas darījuma attiecības, kredītiestādēm un komercsabiedrībām, kuras veic ārvalstu valūtas skaidrās naudas pirkšanu un pārdošanu, ir obligāts gadījumā, ja darījums atbilst neparasta darījuma pazīmēm vai arī tas darījuma veicēja ieskatā ir aizdomīgs. Par šādiem darījumiem ir pienākums ziņot Noziedzīgi iegūtu līdzekļu legalizācijas novēršanas dienestam (tālāk tekstā – Kontroles dienests).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Darījumi, kuru summa pārsniedz 8000 euro, ir uzskatāmi par neparastiem darījumiem. Komercsabiedrības, kuras veic ārvalstu valūtas skaidrās naudas pirkšanu un pārdošanu, kopumā 2014. gadā </w:t>
            </w:r>
            <w:r w:rsidRPr="00657A14">
              <w:rPr>
                <w:rFonts w:ascii="Times New Roman" w:hAnsi="Times New Roman" w:cs="Times New Roman"/>
                <w:color w:val="000000" w:themeColor="text1"/>
                <w:sz w:val="24"/>
                <w:szCs w:val="24"/>
              </w:rPr>
              <w:lastRenderedPageBreak/>
              <w:t xml:space="preserve">ziņojušas par 1154 un 2015. gadā – par 3299 šādiem darījumiem.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Par aizdomīgiem darījumiem iesniegto ziņojumu skaits ir ievērojami mazāks – 2014. gadā – 109 šādi ziņojumi un 2015. gadā – 314 šādi darījumi.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No minētajiem datiem secināms, ka ārvalstu valūtu skaidrās naudas pirkšanas un pārdošanas jomā veikto darījumu gadījumā klienta izpēte pamatā tiek veikta gadījumos, ja darījums ir neparasts un par to ir pienākums ziņot Noziedzīgi iegūtu līdzekļu legalizācijas novēršanas dienestam, savukārt pārējo darījumu veicēji netiek identificēti, kas rada paaugstinātu noziedzīgi iegūtu līdzekļu legalizācijas risku tieši ārvalstu valūtu skaidrās naudas pirkšanas un pārdošanas jomā. </w:t>
            </w:r>
          </w:p>
          <w:p w:rsidR="00A52E78" w:rsidRPr="00657A14" w:rsidRDefault="00A52E78" w:rsidP="00D81EC9">
            <w:pPr>
              <w:spacing w:before="120" w:after="12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Lai varētu efektīvāk nodrošināt uz risku izvērtējumu balstītu pieeju un zini savu klientu principa ievērošanu un dokumentēšanu, t.sk. veikt darījumu uzraudzību un tādējādi samazināt risku likuma subjektam tikt iesaistītam noziedzīgi iegūtu līdzekļu legalizācijas un terorisma finansēšanas mēģinājumos, ir nepieciešams noteikt likuma subjektam pienākumu veikt klienta izpēti gadījumos, kad tiek veikts ārvalstu valūtas skaidrās naudas pirkšanas vai pārdošanas darījums, kura apmērs vai vairāku acīmredzami saistītu darījumu kopējā summa pārsniedz 1500 euro. Ja pastāvēs zems noziedzīgi iegūtu līdzekļu legalizācijas un terorisma finansēšanas risks, un darījums neatbildīs neparasta darījuma pazīmju sarakstā ietvertajām pazīmēm un tas neradīs aizdomas par noziedzīgi iegūtu līdzekļu legalizāciju un terorisma finansēšanu, vai mēģinājumu veikt šīs darbības, likuma subjektam, būs tiesības veikt vienkāršotu klienta izpēti. Izpētot klientu, kurš veiks iepriekš minēto darījumu, likuma subjekta rīcībā nonāks ziņas par klientu un tā veikto darījumu apjomu, tādējādi būs iespējams veikt šo darījumu uzraudzību, veikt klientu, ar kuriem nav nodibinātas darījuma attiecības, riska vērtēšanu un labāk atklāt aizdomīgus darījumus. Šis 1500 euro slieksnis ir izvēlēts arī ar nolūku būtiski apgrūtināt to personu rīcību, kuri vēlas naudas līdzekļus legalizēt ar ārvalstu valūtas skaidrās naudas pirkšanas un pārdošanas starpniecību. </w:t>
            </w:r>
          </w:p>
          <w:p w:rsidR="00F80D8A" w:rsidRPr="00657A14" w:rsidRDefault="00A52E78" w:rsidP="00A52E78">
            <w:pPr>
              <w:spacing w:after="0" w:line="240" w:lineRule="auto"/>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Turklāt arī Eiropas Padomes Noziedzīgi iegūtu līdzekļu legalizācijas un terorisma finansēšanas novēršanas pasākumu novērtēšanas ekspertu komiteja (Moneyval) 2012. gada 5. jūlija ziņojumā par Latvijas noziedzīgi iegūtu līdzekļu legalizācijas un terorisma finansēšanas novēršanas un apkarošanas sistēmu secināja, ka kapitālsabiedrības, kuras veic ārvalstu valūtas pirkšanas un pārdošanas </w:t>
            </w:r>
            <w:r w:rsidRPr="00657A14">
              <w:rPr>
                <w:rFonts w:ascii="Times New Roman" w:hAnsi="Times New Roman" w:cs="Times New Roman"/>
                <w:color w:val="000000" w:themeColor="text1"/>
                <w:sz w:val="24"/>
                <w:szCs w:val="24"/>
              </w:rPr>
              <w:lastRenderedPageBreak/>
              <w:t>darījumu, neveic klientu veikto darījumu pietiekamu uzraudzību</w:t>
            </w:r>
            <w:r w:rsidR="00DB25DE">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Proti, kapitālsabiedrības veic tikai neparastu un aizdomīgu darījumu un klientu, kas veic šādus darījumus, uzraudzību un neveic citu klientu un viņu veikto darījumu uzraudzību, kuru darījumi veido lielāko daļu no šo kapitālsabiedrību apgrozījuma. Līdz ar to praksē veidojas situācija, ka klientu uzraudzība tiek veikta formāli un kapitālsabiedrības neidentificē un nepārzina savus klientus.</w:t>
            </w:r>
          </w:p>
          <w:p w:rsidR="00A52E78" w:rsidRPr="00657A14" w:rsidRDefault="00A52E78" w:rsidP="005023C3">
            <w:pPr>
              <w:spacing w:before="120" w:after="120"/>
              <w:ind w:right="81"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Izvērtējot administratīvo slogu, ko uzliek šī prasība, mazākais slogs likuma subjektiem būtu, paredzot tikai klientu identifikāciju un personu apliecinošo dokumentu kopiju izgatavošanu (klienta vienkāršotā izpēte). Alternatīva būtu attiecīgi samazināt neparasta darījuma slieksni no 8000 euro līdz 1500 euro, tomēr šāds risinājums netiek piedāvāts, jo ziņošana par lielāku skaitu neparasto darījumu uzliktu būtiski lielāku slogu gan sektoram, gan Kontroles dienestam, apstrādājot šos ziņojumus. </w:t>
            </w:r>
          </w:p>
          <w:p w:rsidR="00A52E78" w:rsidRPr="00657A14" w:rsidRDefault="00A52E78" w:rsidP="00A52E78">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Likums "Par nodokļiem un nodevām" 30. pantā nosaka, ka juridiskas personas deklarē savstarpēji veiktos darījumus, kuru summa pārsniedz 1500 euro. Lai arī minētā panta prasības neattiecas uz kredītiestāžu pakalpojumiem (t.sk. valūtas maiņu), tas būtu atbilstošs limits, kas ir sasaistāms ar citiem normatīvajiem aktiem ar līdzvērtīgu mērķi. Vērtējot arī darījumu skaitu (kapitālsabiedrībās 2015. gadā ir notikuši aptuveni 7 tūkstoši darījumu summā 2000 – 8000 euro, savukārt summā 1000 – 2000 euro ir notikuši aptuveni 50 tūkstoši darījumu), secināms, ka, lai sasniegtu mērķi – zini savu klientu principu ievērošanu, identifikācijas limits būtu nosakāms zem 2000 euro. </w:t>
            </w:r>
          </w:p>
          <w:p w:rsidR="00A52E78" w:rsidRPr="00657A14" w:rsidRDefault="00A52E78" w:rsidP="00D81EC9">
            <w:pPr>
              <w:spacing w:before="120" w:after="120"/>
              <w:ind w:right="81"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Kredītiestāžu prakse ir dažāda, sākot no identifikācijas visiem darījumiem līdz  identifikācijai tikai, sasniedzot MK noteikumos Nr.1071 noteikto neparasta darījuma pazīmi, kas ir zemākais ar likumu noteiktais slieksnis klienta identifikācijai šajā sektorā. Tomēr, lai nodrošinātu vienlīdzīgu pieeju pret visiem komersantiem, kas tiesīgi sniegt valūtas maiņas skaidrā naudā pakalpojumu, ierosinātais likuma grozījums attieksies gan uz komercbankām, gan kapitālsabiedrībām.</w:t>
            </w:r>
          </w:p>
          <w:p w:rsidR="006C79CE" w:rsidRPr="00657A14" w:rsidRDefault="009B0A38" w:rsidP="00D81EC9">
            <w:pPr>
              <w:spacing w:after="0" w:line="240" w:lineRule="auto"/>
              <w:ind w:firstLine="40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Klienta izpētes pienākums tiek notei</w:t>
            </w:r>
            <w:r w:rsidR="009D61D0">
              <w:rPr>
                <w:rFonts w:ascii="Times New Roman" w:hAnsi="Times New Roman" w:cs="Times New Roman"/>
                <w:color w:val="000000" w:themeColor="text1"/>
                <w:sz w:val="24"/>
                <w:szCs w:val="24"/>
              </w:rPr>
              <w:t xml:space="preserve">kts likuma subjektam, kas nodarbojas ar preču tirdzniecību kā arī ar starpniecību vai cita veida pakalpojumu sniegšanu, gadījuma rakstura </w:t>
            </w:r>
            <w:r w:rsidR="00225919">
              <w:rPr>
                <w:rFonts w:ascii="Times New Roman" w:hAnsi="Times New Roman" w:cs="Times New Roman"/>
                <w:color w:val="000000" w:themeColor="text1"/>
                <w:sz w:val="24"/>
                <w:szCs w:val="24"/>
              </w:rPr>
              <w:t xml:space="preserve">darījuma </w:t>
            </w:r>
            <w:r w:rsidR="009D61D0">
              <w:rPr>
                <w:rFonts w:ascii="Times New Roman" w:hAnsi="Times New Roman" w:cs="Times New Roman"/>
                <w:color w:val="000000" w:themeColor="text1"/>
                <w:sz w:val="24"/>
                <w:szCs w:val="24"/>
              </w:rPr>
              <w:t>ietvaros</w:t>
            </w:r>
            <w:r w:rsidR="00225919">
              <w:rPr>
                <w:rFonts w:ascii="Times New Roman" w:hAnsi="Times New Roman" w:cs="Times New Roman"/>
                <w:color w:val="000000" w:themeColor="text1"/>
                <w:sz w:val="24"/>
                <w:szCs w:val="24"/>
              </w:rPr>
              <w:t xml:space="preserve"> nosakot robežvērtību 10 000 </w:t>
            </w:r>
            <w:r w:rsidR="00225919" w:rsidRPr="00657A14">
              <w:rPr>
                <w:rFonts w:ascii="Times New Roman" w:hAnsi="Times New Roman" w:cs="Times New Roman"/>
                <w:color w:val="000000" w:themeColor="text1"/>
                <w:sz w:val="24"/>
                <w:szCs w:val="24"/>
              </w:rPr>
              <w:t xml:space="preserve">euro </w:t>
            </w:r>
            <w:r w:rsidR="00225919">
              <w:rPr>
                <w:rFonts w:ascii="Times New Roman" w:hAnsi="Times New Roman" w:cs="Times New Roman"/>
                <w:color w:val="000000" w:themeColor="text1"/>
                <w:sz w:val="24"/>
                <w:szCs w:val="24"/>
              </w:rPr>
              <w:t>skaidrā naudā likumprojekt</w:t>
            </w:r>
            <w:r w:rsidR="00640497">
              <w:rPr>
                <w:rFonts w:ascii="Times New Roman" w:hAnsi="Times New Roman" w:cs="Times New Roman"/>
                <w:color w:val="000000" w:themeColor="text1"/>
                <w:sz w:val="24"/>
                <w:szCs w:val="24"/>
              </w:rPr>
              <w:t xml:space="preserve">ā attiecībā uz </w:t>
            </w:r>
            <w:r w:rsidR="00225919">
              <w:rPr>
                <w:rFonts w:ascii="Times New Roman" w:hAnsi="Times New Roman" w:cs="Times New Roman"/>
                <w:color w:val="000000" w:themeColor="text1"/>
                <w:sz w:val="24"/>
                <w:szCs w:val="24"/>
              </w:rPr>
              <w:t xml:space="preserve"> NILLTFNL 11.pant</w:t>
            </w:r>
            <w:r w:rsidR="00640497">
              <w:rPr>
                <w:rFonts w:ascii="Times New Roman" w:hAnsi="Times New Roman" w:cs="Times New Roman"/>
                <w:color w:val="000000" w:themeColor="text1"/>
                <w:sz w:val="24"/>
                <w:szCs w:val="24"/>
              </w:rPr>
              <w:t>a</w:t>
            </w:r>
            <w:r w:rsidR="00225919">
              <w:rPr>
                <w:rFonts w:ascii="Times New Roman" w:hAnsi="Times New Roman" w:cs="Times New Roman"/>
                <w:color w:val="000000" w:themeColor="text1"/>
                <w:sz w:val="24"/>
                <w:szCs w:val="24"/>
              </w:rPr>
              <w:t xml:space="preserve"> pirmā</w:t>
            </w:r>
            <w:r w:rsidR="00640497">
              <w:rPr>
                <w:rFonts w:ascii="Times New Roman" w:hAnsi="Times New Roman" w:cs="Times New Roman"/>
                <w:color w:val="000000" w:themeColor="text1"/>
                <w:sz w:val="24"/>
                <w:szCs w:val="24"/>
              </w:rPr>
              <w:t>s</w:t>
            </w:r>
            <w:r w:rsidR="00225919">
              <w:rPr>
                <w:rFonts w:ascii="Times New Roman" w:hAnsi="Times New Roman" w:cs="Times New Roman"/>
                <w:color w:val="000000" w:themeColor="text1"/>
                <w:sz w:val="24"/>
                <w:szCs w:val="24"/>
              </w:rPr>
              <w:t xml:space="preserve"> daļa</w:t>
            </w:r>
            <w:r w:rsidR="00640497">
              <w:rPr>
                <w:rFonts w:ascii="Times New Roman" w:hAnsi="Times New Roman" w:cs="Times New Roman"/>
                <w:color w:val="000000" w:themeColor="text1"/>
                <w:sz w:val="24"/>
                <w:szCs w:val="24"/>
              </w:rPr>
              <w:t>s</w:t>
            </w:r>
            <w:r w:rsidR="00225919">
              <w:rPr>
                <w:rFonts w:ascii="Times New Roman" w:hAnsi="Times New Roman" w:cs="Times New Roman"/>
                <w:color w:val="000000" w:themeColor="text1"/>
                <w:sz w:val="24"/>
                <w:szCs w:val="24"/>
              </w:rPr>
              <w:t xml:space="preserve"> 3.punkt</w:t>
            </w:r>
            <w:r w:rsidR="00640497">
              <w:rPr>
                <w:rFonts w:ascii="Times New Roman" w:hAnsi="Times New Roman" w:cs="Times New Roman"/>
                <w:color w:val="000000" w:themeColor="text1"/>
                <w:sz w:val="24"/>
                <w:szCs w:val="24"/>
              </w:rPr>
              <w:t>u</w:t>
            </w:r>
            <w:r w:rsidR="00225919">
              <w:rPr>
                <w:rFonts w:ascii="Times New Roman" w:hAnsi="Times New Roman" w:cs="Times New Roman"/>
                <w:color w:val="000000" w:themeColor="text1"/>
                <w:sz w:val="24"/>
                <w:szCs w:val="24"/>
              </w:rPr>
              <w:t xml:space="preserve">, tādā veidā tiek paredzēti stingrāki noteikumi, risku mazināšanas pasākumu ietvaros, jo lielu naudas summu maksāšana skaidrā naudā ir ļoti riskanta saistībā ar </w:t>
            </w:r>
            <w:r w:rsidR="002B5DD1">
              <w:rPr>
                <w:rFonts w:ascii="Times New Roman" w:hAnsi="Times New Roman" w:cs="Times New Roman"/>
                <w:color w:val="000000" w:themeColor="text1"/>
                <w:sz w:val="24"/>
                <w:szCs w:val="24"/>
              </w:rPr>
              <w:t xml:space="preserve">noziedzīgi iegūtu līdzekļu </w:t>
            </w:r>
            <w:r w:rsidR="002B5DD1">
              <w:rPr>
                <w:rFonts w:ascii="Times New Roman" w:hAnsi="Times New Roman" w:cs="Times New Roman"/>
                <w:color w:val="000000" w:themeColor="text1"/>
                <w:sz w:val="24"/>
                <w:szCs w:val="24"/>
              </w:rPr>
              <w:lastRenderedPageBreak/>
              <w:t>legaliz</w:t>
            </w:r>
            <w:r w:rsidR="008B1AC8">
              <w:rPr>
                <w:rFonts w:ascii="Times New Roman" w:hAnsi="Times New Roman" w:cs="Times New Roman"/>
                <w:color w:val="000000" w:themeColor="text1"/>
                <w:sz w:val="24"/>
                <w:szCs w:val="24"/>
              </w:rPr>
              <w:t>āciju</w:t>
            </w:r>
            <w:r w:rsidR="002B5DD1">
              <w:rPr>
                <w:rFonts w:ascii="Times New Roman" w:hAnsi="Times New Roman" w:cs="Times New Roman"/>
                <w:color w:val="000000" w:themeColor="text1"/>
                <w:sz w:val="24"/>
                <w:szCs w:val="24"/>
              </w:rPr>
              <w:t xml:space="preserve"> </w:t>
            </w:r>
            <w:r w:rsidR="000F22C9">
              <w:rPr>
                <w:rFonts w:ascii="Times New Roman" w:hAnsi="Times New Roman" w:cs="Times New Roman"/>
                <w:color w:val="000000" w:themeColor="text1"/>
                <w:sz w:val="24"/>
                <w:szCs w:val="24"/>
              </w:rPr>
              <w:t xml:space="preserve">un terorisma </w:t>
            </w:r>
            <w:r w:rsidR="008B1AC8">
              <w:rPr>
                <w:rFonts w:ascii="Times New Roman" w:hAnsi="Times New Roman" w:cs="Times New Roman"/>
                <w:color w:val="000000" w:themeColor="text1"/>
                <w:sz w:val="24"/>
                <w:szCs w:val="24"/>
              </w:rPr>
              <w:t>finansēšanu</w:t>
            </w:r>
            <w:r w:rsidR="00640497">
              <w:rPr>
                <w:rFonts w:ascii="Times New Roman" w:hAnsi="Times New Roman" w:cs="Times New Roman"/>
                <w:color w:val="000000" w:themeColor="text1"/>
                <w:sz w:val="24"/>
                <w:szCs w:val="24"/>
              </w:rPr>
              <w:t>,</w:t>
            </w:r>
            <w:r w:rsidR="008B1AC8">
              <w:rPr>
                <w:rFonts w:ascii="Times New Roman" w:hAnsi="Times New Roman" w:cs="Times New Roman"/>
                <w:color w:val="000000" w:themeColor="text1"/>
                <w:sz w:val="24"/>
                <w:szCs w:val="24"/>
              </w:rPr>
              <w:t xml:space="preserve"> </w:t>
            </w:r>
            <w:r w:rsidR="000F799A">
              <w:rPr>
                <w:rFonts w:ascii="Times New Roman" w:hAnsi="Times New Roman" w:cs="Times New Roman"/>
                <w:color w:val="000000" w:themeColor="text1"/>
                <w:sz w:val="24"/>
                <w:szCs w:val="24"/>
              </w:rPr>
              <w:t>un</w:t>
            </w:r>
            <w:r w:rsidR="00640497">
              <w:rPr>
                <w:rFonts w:ascii="Times New Roman" w:hAnsi="Times New Roman" w:cs="Times New Roman"/>
                <w:color w:val="000000" w:themeColor="text1"/>
                <w:sz w:val="24"/>
                <w:szCs w:val="24"/>
              </w:rPr>
              <w:t>,</w:t>
            </w:r>
            <w:r w:rsidR="000F799A">
              <w:rPr>
                <w:rFonts w:ascii="Times New Roman" w:hAnsi="Times New Roman" w:cs="Times New Roman"/>
                <w:color w:val="000000" w:themeColor="text1"/>
                <w:sz w:val="24"/>
                <w:szCs w:val="24"/>
              </w:rPr>
              <w:t xml:space="preserve"> kā norādīts direktīvas preambulā – direktīva jāattiecina uz personām, kas tirgojas ar precēm, ciktāl tās veic vai saņem maksājumus skaidrā naudā, kuru apmērs ir 10 000 </w:t>
            </w:r>
            <w:r w:rsidR="000F799A" w:rsidRPr="00657A14">
              <w:rPr>
                <w:rFonts w:ascii="Times New Roman" w:hAnsi="Times New Roman" w:cs="Times New Roman"/>
                <w:color w:val="000000" w:themeColor="text1"/>
                <w:sz w:val="24"/>
                <w:szCs w:val="24"/>
              </w:rPr>
              <w:t xml:space="preserve">euro </w:t>
            </w:r>
            <w:r w:rsidR="000F799A">
              <w:rPr>
                <w:rFonts w:ascii="Times New Roman" w:hAnsi="Times New Roman" w:cs="Times New Roman"/>
                <w:color w:val="000000" w:themeColor="text1"/>
                <w:sz w:val="24"/>
                <w:szCs w:val="24"/>
              </w:rPr>
              <w:t xml:space="preserve">vai vairāk. Tiek pārņemtas AML IV direktīvas 11.panta c) punkta prasības – attiecībā uz personām, kas tirgojas ar precēm – veicot gadījuma rakstura darījumus skaidrā naudā, kuru apmērs ir 10 000 </w:t>
            </w:r>
            <w:r w:rsidR="000F799A" w:rsidRPr="00657A14">
              <w:rPr>
                <w:rFonts w:ascii="Times New Roman" w:hAnsi="Times New Roman" w:cs="Times New Roman"/>
                <w:color w:val="000000" w:themeColor="text1"/>
                <w:sz w:val="24"/>
                <w:szCs w:val="24"/>
              </w:rPr>
              <w:t xml:space="preserve">euro </w:t>
            </w:r>
            <w:r w:rsidR="000F799A">
              <w:rPr>
                <w:rFonts w:ascii="Times New Roman" w:hAnsi="Times New Roman" w:cs="Times New Roman"/>
                <w:color w:val="000000" w:themeColor="text1"/>
                <w:sz w:val="24"/>
                <w:szCs w:val="24"/>
              </w:rPr>
              <w:t>vai vairāk, neatkarīgi no tā, vai darījums tiek veikts ar vienu operāciju vai ar vairākām operācijām, tiek veikta klienta izpēte.</w:t>
            </w:r>
          </w:p>
          <w:p w:rsidR="00D81EC9" w:rsidRPr="00657A14" w:rsidRDefault="00D81EC9" w:rsidP="00D81EC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Klienta izpētes pienākums attiecībā uz likuma subjektiem, kas ir izložu un azartspēļu organizētājs, ir paredzēts likumprojektā (NILLTFNL 11.pants pirmā daļa 4.punkts), kas izstrādāts saskaņā ar AML IV direktīvas 11.panta d) punktu, kurā noteikts, ka klienta izpēte jāveic attiecībā uz azartspēļu pakalpojumu sniedzējiem – saistībā ar laimestu  izmaksāšanu, azartspēļu likmēm vai abiem minētajiem – veicot darījumus, kuru apmērs ir 2000 </w:t>
            </w:r>
            <w:r w:rsidRPr="00657A14">
              <w:rPr>
                <w:rFonts w:ascii="Times New Roman" w:hAnsi="Times New Roman" w:cs="Times New Roman"/>
                <w:color w:val="000000" w:themeColor="text1"/>
                <w:sz w:val="24"/>
                <w:szCs w:val="24"/>
              </w:rPr>
              <w:t xml:space="preserve">euro </w:t>
            </w:r>
            <w:r>
              <w:rPr>
                <w:rFonts w:ascii="Times New Roman" w:hAnsi="Times New Roman" w:cs="Times New Roman"/>
                <w:color w:val="000000" w:themeColor="text1"/>
                <w:sz w:val="24"/>
                <w:szCs w:val="24"/>
              </w:rPr>
              <w:t xml:space="preserve">vai vairāk, neatkarīgi no tā vai darījums tiek veikts ar vienu operāciju vai vairākām saistītām operācijām. Direktīvas preambulas 21.punkts norāda, ka azartspēļu nozares pakalpojumu izmantošana rada bažas saistībā ar noziedzīgā darbībā gūtu ieņēmumu legalizāciju. Pienākums paredzēt klienta izpēti katram atsevišķam darījumam, kura apmērs ir 2000 </w:t>
            </w:r>
            <w:r w:rsidRPr="00657A14">
              <w:rPr>
                <w:rFonts w:ascii="Times New Roman" w:hAnsi="Times New Roman" w:cs="Times New Roman"/>
                <w:color w:val="000000" w:themeColor="text1"/>
                <w:sz w:val="24"/>
                <w:szCs w:val="24"/>
              </w:rPr>
              <w:t>euro</w:t>
            </w:r>
            <w:r>
              <w:rPr>
                <w:rFonts w:ascii="Times New Roman" w:hAnsi="Times New Roman" w:cs="Times New Roman"/>
                <w:color w:val="000000" w:themeColor="text1"/>
                <w:sz w:val="24"/>
                <w:szCs w:val="24"/>
              </w:rPr>
              <w:t>, tiek noteikts  tādiem azartspēļu pakalpojumu sniedzējiem, kas rada augstākus riskus. Būtu jānodrošina, lai atbildīgie subjekti piemērotu vienādas robežvērtības laimestiem, azartspēļu likmēm, tostarp azartspēļu žetonu iegādei un apmaiņai vai abiem. Azartspēļu pakalpojumu sniedzējiem, kuriem ir fiziskas telpas, piemēram kazino un  azartspēļu zāles būtu jānodrošina, ka klienta izpēti, ja to veic pie ieejas telpās, var sasaistīt ar darījumu. Preambulas minētais punkts arī pieļauj izņēmumus zema riska gadījumos, taču, balstoties uz riska izvērtējumu, azartspēļu organizēšana kā saimnieciskās darbības veids noteiktos apstākļos likuma subjektam var radīt paaugstinātu NILLTFN risku, līdz ar to attiecībā uz šiem likuma subjektiem netiek piemērots izņēmuma gadījums.</w:t>
            </w:r>
          </w:p>
          <w:p w:rsidR="00D81EC9" w:rsidRPr="00657A14" w:rsidRDefault="00D81EC9" w:rsidP="00D81EC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Saistībā ar likumprojekta (NILLTFNL 11.panta pirmās daļas 4.punkts) normas ieviešanu ir paredzēts izdarīt grozījumus Azartspēļu un izložu likumā. Šobrīd Azartspēļu un izložu likuma 2.panta trešajā daļā noteikts, ka azartspēļu un izložu organizētāja tiesības un pienākumus NILLTFN nosaka NILLTFNL. Savukārt Azartspēļu un izložu likuma 36.panta otrajā daļā paredzēts pienākums azartspēļu organizētājam fiksēt personas identificējošos datus, ja darījuma summa azartspēļu organizēšana vietā ir 1000 </w:t>
            </w:r>
            <w:r w:rsidRPr="00657A14">
              <w:rPr>
                <w:rFonts w:ascii="Times New Roman" w:hAnsi="Times New Roman" w:cs="Times New Roman"/>
                <w:color w:val="000000" w:themeColor="text1"/>
                <w:sz w:val="24"/>
                <w:szCs w:val="24"/>
              </w:rPr>
              <w:t>euro</w:t>
            </w:r>
          </w:p>
          <w:p w:rsidR="00D81EC9" w:rsidRDefault="00D81EC9" w:rsidP="00D81EC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vai lielāka. Pārņemot AML IV direktīvas prasības NILLTFNL radīs normu dublēšanos divos normatīvajos aktos (NILLTFNL un Azartspēļu un izložu likums), kā arī pretrunas attiecībā uz noteikto robežvērtību (Azartspēļu un </w:t>
            </w:r>
            <w:r>
              <w:rPr>
                <w:rFonts w:ascii="Times New Roman" w:hAnsi="Times New Roman" w:cs="Times New Roman"/>
                <w:color w:val="000000" w:themeColor="text1"/>
                <w:sz w:val="24"/>
                <w:szCs w:val="24"/>
              </w:rPr>
              <w:lastRenderedPageBreak/>
              <w:t xml:space="preserve">izložu likuma 36.pantā otrajā daļā paredzēto 1000 </w:t>
            </w:r>
            <w:r w:rsidRPr="00657A14">
              <w:rPr>
                <w:rFonts w:ascii="Times New Roman" w:hAnsi="Times New Roman" w:cs="Times New Roman"/>
                <w:color w:val="000000" w:themeColor="text1"/>
                <w:sz w:val="24"/>
                <w:szCs w:val="24"/>
              </w:rPr>
              <w:t>euro</w:t>
            </w:r>
            <w:r>
              <w:rPr>
                <w:rFonts w:ascii="Times New Roman" w:hAnsi="Times New Roman" w:cs="Times New Roman"/>
                <w:color w:val="000000" w:themeColor="text1"/>
                <w:sz w:val="24"/>
                <w:szCs w:val="24"/>
              </w:rPr>
              <w:t xml:space="preserve"> robežvērtību un likumprojekta (NILLTFNL 11.panta pirmās daļas 4.punkts) paredzēto 2000 </w:t>
            </w:r>
            <w:r w:rsidRPr="00657A14">
              <w:rPr>
                <w:rFonts w:ascii="Times New Roman" w:hAnsi="Times New Roman" w:cs="Times New Roman"/>
                <w:color w:val="000000" w:themeColor="text1"/>
                <w:sz w:val="24"/>
                <w:szCs w:val="24"/>
              </w:rPr>
              <w:t>euro</w:t>
            </w:r>
            <w:r>
              <w:rPr>
                <w:rFonts w:ascii="Times New Roman" w:hAnsi="Times New Roman" w:cs="Times New Roman"/>
                <w:color w:val="000000" w:themeColor="text1"/>
                <w:sz w:val="24"/>
                <w:szCs w:val="24"/>
              </w:rPr>
              <w:t xml:space="preserve"> robežvērtību), līdz ar to likumprojekts “Grozījumi Azartspēļu un izložu likumā” paredz izslēgt 36.panta otro daļu un paredzētie grozījumi stāsies spēkā līdz ar šo likumprojektu. Līdz ar to NILLTFL 11.panta pirmās daļas 4.punkts noteiks, ka azartspēļu un izložu organizētājs vienā apmeklējuma reizē veicot ar klientu jebkādu darījumu vai savstarpēji saistītus darījumus, kuru apmērs ir 2000 </w:t>
            </w:r>
            <w:r w:rsidRPr="00657A14">
              <w:rPr>
                <w:rFonts w:ascii="Times New Roman" w:hAnsi="Times New Roman" w:cs="Times New Roman"/>
                <w:color w:val="000000" w:themeColor="text1"/>
                <w:sz w:val="24"/>
                <w:szCs w:val="24"/>
              </w:rPr>
              <w:t>euro</w:t>
            </w:r>
            <w:r>
              <w:rPr>
                <w:rFonts w:ascii="Times New Roman" w:hAnsi="Times New Roman" w:cs="Times New Roman"/>
                <w:color w:val="000000" w:themeColor="text1"/>
                <w:sz w:val="24"/>
                <w:szCs w:val="24"/>
              </w:rPr>
              <w:t xml:space="preserve"> vai vairāk, veic klienta identifikāciju un izpēti. Veicot darījumus, klienta atkārtotas izpētes pasākumi, tādi kā patiesā labuma guvēja noskaidrošana vai personas identitāte veicama ne biežāk kā vienu reizi gadā.</w:t>
            </w:r>
          </w:p>
          <w:p w:rsidR="00A150EC" w:rsidRDefault="0034650B" w:rsidP="004571A3">
            <w:pPr>
              <w:spacing w:after="0" w:line="240" w:lineRule="auto"/>
              <w:ind w:firstLine="40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Likumprojekta (NILLTFNL 11.pa</w:t>
            </w:r>
            <w:r w:rsidR="00A1253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t</w:t>
            </w:r>
            <w:r w:rsidR="00A1253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pirmās daļas 5.punkts) paredz saglabāt NILLTFNL 11.panta otrās daļas 2.punkta esošo redakciju.</w:t>
            </w:r>
          </w:p>
          <w:p w:rsidR="00A150EC" w:rsidRDefault="00520428" w:rsidP="00A150EC">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Klienta izpētes pienākums attiecas arī uz gadījumiem, kad rodas šaubas par iepriekš iegūtu klienta izpētes datu ticamību.</w:t>
            </w:r>
            <w:r w:rsidR="0034650B">
              <w:rPr>
                <w:rFonts w:ascii="Times New Roman" w:hAnsi="Times New Roman" w:cs="Times New Roman"/>
                <w:color w:val="000000" w:themeColor="text1"/>
                <w:sz w:val="24"/>
                <w:szCs w:val="24"/>
              </w:rPr>
              <w:t xml:space="preserve"> </w:t>
            </w:r>
            <w:r w:rsidR="004E5CD0">
              <w:rPr>
                <w:rFonts w:ascii="Times New Roman" w:hAnsi="Times New Roman" w:cs="Times New Roman"/>
                <w:color w:val="000000" w:themeColor="text1"/>
                <w:sz w:val="24"/>
                <w:szCs w:val="24"/>
              </w:rPr>
              <w:t>FATF 10.rekomendācijas skaidrojošā piezīme, par ticamību iepriekš veiktai identifikācijai un pārbaudei, nosaka, ka izklāstītajos klienta izpētes pasākumos nav paredzēts, ka finanšu iestādēm atkārtoti jāidentificē katrs klients un jāpārbauda tā identitāte ikreiz, kad klients veic darījumu. Iestāde drīkst paļauties uz iepriek</w:t>
            </w:r>
            <w:r w:rsidR="00F838D3">
              <w:rPr>
                <w:rFonts w:ascii="Times New Roman" w:hAnsi="Times New Roman" w:cs="Times New Roman"/>
                <w:color w:val="000000" w:themeColor="text1"/>
                <w:sz w:val="24"/>
                <w:szCs w:val="24"/>
              </w:rPr>
              <w:t>š veiktiem identifikācijas un pārbaudes pasākumiem, ja vien nerodas šaubas par informācijas ticamību.</w:t>
            </w:r>
            <w:r w:rsidR="007F27C0">
              <w:rPr>
                <w:rFonts w:ascii="Times New Roman" w:hAnsi="Times New Roman" w:cs="Times New Roman"/>
                <w:color w:val="000000" w:themeColor="text1"/>
                <w:sz w:val="24"/>
                <w:szCs w:val="24"/>
              </w:rPr>
              <w:t xml:space="preserve"> AML IV direktīvas 11.panta f) punkts nosaka, ja pastāv šaubas par iepriekš iegūtu klienta identifikācijas datu ticamību vai atbilstību</w:t>
            </w:r>
            <w:r w:rsidR="00CE05F7">
              <w:rPr>
                <w:rFonts w:ascii="Times New Roman" w:hAnsi="Times New Roman" w:cs="Times New Roman"/>
                <w:color w:val="000000" w:themeColor="text1"/>
                <w:sz w:val="24"/>
                <w:szCs w:val="24"/>
              </w:rPr>
              <w:t xml:space="preserve">, </w:t>
            </w:r>
            <w:r w:rsidR="007F27C0">
              <w:rPr>
                <w:rFonts w:ascii="Times New Roman" w:hAnsi="Times New Roman" w:cs="Times New Roman"/>
                <w:color w:val="000000" w:themeColor="text1"/>
                <w:sz w:val="24"/>
                <w:szCs w:val="24"/>
              </w:rPr>
              <w:t>atbildīgie subjekti piemēro klienta izpētes pasākumus. Iepriekšminētais tiek paredzēts likumprojektā (NILLTFNL 11.panta pirmā daļa 6.punkts).</w:t>
            </w:r>
          </w:p>
          <w:p w:rsidR="00DA2B05" w:rsidRDefault="00DA2B05" w:rsidP="00A150EC">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Likumprojekta (NILLTFNL </w:t>
            </w:r>
            <w:r w:rsidR="00E65DFF">
              <w:rPr>
                <w:rFonts w:ascii="Times New Roman" w:hAnsi="Times New Roman" w:cs="Times New Roman"/>
                <w:color w:val="000000" w:themeColor="text1"/>
                <w:sz w:val="24"/>
                <w:szCs w:val="24"/>
              </w:rPr>
              <w:t>11.pant</w:t>
            </w:r>
            <w:r w:rsidR="006D7935">
              <w:rPr>
                <w:rFonts w:ascii="Times New Roman" w:hAnsi="Times New Roman" w:cs="Times New Roman"/>
                <w:color w:val="000000" w:themeColor="text1"/>
                <w:sz w:val="24"/>
                <w:szCs w:val="24"/>
              </w:rPr>
              <w:t>a</w:t>
            </w:r>
            <w:r w:rsidR="00E65DFF">
              <w:rPr>
                <w:rFonts w:ascii="Times New Roman" w:hAnsi="Times New Roman" w:cs="Times New Roman"/>
                <w:color w:val="000000" w:themeColor="text1"/>
                <w:sz w:val="24"/>
                <w:szCs w:val="24"/>
              </w:rPr>
              <w:t xml:space="preserve"> otrā daļa</w:t>
            </w:r>
            <w:r>
              <w:rPr>
                <w:rFonts w:ascii="Times New Roman" w:hAnsi="Times New Roman" w:cs="Times New Roman"/>
                <w:color w:val="000000" w:themeColor="text1"/>
                <w:sz w:val="24"/>
                <w:szCs w:val="24"/>
              </w:rPr>
              <w:t>)</w:t>
            </w:r>
            <w:r w:rsidR="00E65DFF">
              <w:rPr>
                <w:rFonts w:ascii="Times New Roman" w:hAnsi="Times New Roman" w:cs="Times New Roman"/>
                <w:color w:val="000000" w:themeColor="text1"/>
                <w:sz w:val="24"/>
                <w:szCs w:val="24"/>
              </w:rPr>
              <w:t xml:space="preserve"> paredz saglabāt NILLTFNL 11.panta trešās daļas redakciju.</w:t>
            </w:r>
          </w:p>
          <w:p w:rsidR="00A150EC" w:rsidRDefault="00B366E9" w:rsidP="0015314F">
            <w:pPr>
              <w:spacing w:after="0" w:line="240" w:lineRule="auto"/>
              <w:ind w:firstLine="40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Risks savā būtībā ir main</w:t>
            </w:r>
            <w:r w:rsidR="00275E04">
              <w:rPr>
                <w:rFonts w:ascii="Times New Roman" w:hAnsi="Times New Roman" w:cs="Times New Roman"/>
                <w:color w:val="000000" w:themeColor="text1"/>
                <w:sz w:val="24"/>
                <w:szCs w:val="24"/>
              </w:rPr>
              <w:t>īgs. Mainīgie rādītāji atsevišķi vai kopā var palielināt vai samazināt iespējamo risku. Riska faktors ietekmē preventīvo</w:t>
            </w:r>
            <w:r w:rsidR="00CE05F7">
              <w:rPr>
                <w:rFonts w:ascii="Times New Roman" w:hAnsi="Times New Roman" w:cs="Times New Roman"/>
                <w:color w:val="000000" w:themeColor="text1"/>
                <w:sz w:val="24"/>
                <w:szCs w:val="24"/>
              </w:rPr>
              <w:t>s</w:t>
            </w:r>
            <w:r w:rsidR="00275E04">
              <w:rPr>
                <w:rFonts w:ascii="Times New Roman" w:hAnsi="Times New Roman" w:cs="Times New Roman"/>
                <w:color w:val="000000" w:themeColor="text1"/>
                <w:sz w:val="24"/>
                <w:szCs w:val="24"/>
              </w:rPr>
              <w:t xml:space="preserve"> pasākumus</w:t>
            </w:r>
            <w:r w:rsidR="00CE05F7">
              <w:rPr>
                <w:rFonts w:ascii="Times New Roman" w:hAnsi="Times New Roman" w:cs="Times New Roman"/>
                <w:color w:val="000000" w:themeColor="text1"/>
                <w:sz w:val="24"/>
                <w:szCs w:val="24"/>
              </w:rPr>
              <w:t>,</w:t>
            </w:r>
            <w:r w:rsidR="00275E04">
              <w:rPr>
                <w:rFonts w:ascii="Times New Roman" w:hAnsi="Times New Roman" w:cs="Times New Roman"/>
                <w:color w:val="000000" w:themeColor="text1"/>
                <w:sz w:val="24"/>
                <w:szCs w:val="24"/>
              </w:rPr>
              <w:t xml:space="preserve"> tai skaitā</w:t>
            </w:r>
            <w:r w:rsidR="00CE05F7">
              <w:rPr>
                <w:rFonts w:ascii="Times New Roman" w:hAnsi="Times New Roman" w:cs="Times New Roman"/>
                <w:color w:val="000000" w:themeColor="text1"/>
                <w:sz w:val="24"/>
                <w:szCs w:val="24"/>
              </w:rPr>
              <w:t>,</w:t>
            </w:r>
            <w:r w:rsidR="00275E04">
              <w:rPr>
                <w:rFonts w:ascii="Times New Roman" w:hAnsi="Times New Roman" w:cs="Times New Roman"/>
                <w:color w:val="000000" w:themeColor="text1"/>
                <w:sz w:val="24"/>
                <w:szCs w:val="24"/>
              </w:rPr>
              <w:t xml:space="preserve"> klienta izpēti</w:t>
            </w:r>
            <w:r w:rsidR="00CE05F7">
              <w:rPr>
                <w:rFonts w:ascii="Times New Roman" w:hAnsi="Times New Roman" w:cs="Times New Roman"/>
                <w:color w:val="000000" w:themeColor="text1"/>
                <w:sz w:val="24"/>
                <w:szCs w:val="24"/>
              </w:rPr>
              <w:t>,</w:t>
            </w:r>
            <w:r w:rsidR="00275E04">
              <w:rPr>
                <w:rFonts w:ascii="Times New Roman" w:hAnsi="Times New Roman" w:cs="Times New Roman"/>
                <w:color w:val="000000" w:themeColor="text1"/>
                <w:sz w:val="24"/>
                <w:szCs w:val="24"/>
              </w:rPr>
              <w:t xml:space="preserve"> un ir apstākļi, kuros var būt atbilstīga vienkāršota klienta izp</w:t>
            </w:r>
            <w:r w:rsidR="00D87EB8">
              <w:rPr>
                <w:rFonts w:ascii="Times New Roman" w:hAnsi="Times New Roman" w:cs="Times New Roman"/>
                <w:color w:val="000000" w:themeColor="text1"/>
                <w:sz w:val="24"/>
                <w:szCs w:val="24"/>
              </w:rPr>
              <w:t>ēte, kur atsevišķie pasākumi</w:t>
            </w:r>
            <w:r w:rsidR="00831CDD">
              <w:rPr>
                <w:rFonts w:ascii="Times New Roman" w:hAnsi="Times New Roman" w:cs="Times New Roman"/>
                <w:color w:val="000000" w:themeColor="text1"/>
                <w:sz w:val="24"/>
                <w:szCs w:val="24"/>
              </w:rPr>
              <w:t>,</w:t>
            </w:r>
            <w:r w:rsidR="00D87EB8">
              <w:rPr>
                <w:rFonts w:ascii="Times New Roman" w:hAnsi="Times New Roman" w:cs="Times New Roman"/>
                <w:color w:val="000000" w:themeColor="text1"/>
                <w:sz w:val="24"/>
                <w:szCs w:val="24"/>
              </w:rPr>
              <w:t xml:space="preserve"> piemēram</w:t>
            </w:r>
            <w:r w:rsidR="00831CDD">
              <w:rPr>
                <w:rFonts w:ascii="Times New Roman" w:hAnsi="Times New Roman" w:cs="Times New Roman"/>
                <w:color w:val="000000" w:themeColor="text1"/>
                <w:sz w:val="24"/>
                <w:szCs w:val="24"/>
              </w:rPr>
              <w:t>,</w:t>
            </w:r>
            <w:r w:rsidR="00D87EB8">
              <w:rPr>
                <w:rFonts w:ascii="Times New Roman" w:hAnsi="Times New Roman" w:cs="Times New Roman"/>
                <w:color w:val="000000" w:themeColor="text1"/>
                <w:sz w:val="24"/>
                <w:szCs w:val="24"/>
              </w:rPr>
              <w:t xml:space="preserve"> kā klienta identifikācijas pārbaude un pārliecināšanās par norādīto patieso labuma guvēju, var tikt veikti darījuma attiecību uzsākšanas brīdī vai tiklīdz apstākļi to paredz, taču ar noteikumu, ka darījums nav pabeigts. AML IV direkt</w:t>
            </w:r>
            <w:r w:rsidR="00DD4F3E">
              <w:rPr>
                <w:rFonts w:ascii="Times New Roman" w:hAnsi="Times New Roman" w:cs="Times New Roman"/>
                <w:color w:val="000000" w:themeColor="text1"/>
                <w:sz w:val="24"/>
                <w:szCs w:val="24"/>
              </w:rPr>
              <w:t xml:space="preserve">īvas 14.panta 2.punkts nosaka, ka ir paredzēta atkāpe no nosacījuma, ka klienta un patiesā labuma guvēja identitātes pārbaude notiek pirms darījuma attiecību nodibināšanas vai pirms darījuma veikšanas. Klienta un patiesā labuma guvēja identitātes pārbaude notiek darījuma attiecību dibināšanas laikā, ja tas nepieciešamas darījumdarbības normālai norisei ar nosacījumu, ka NILLTFNL ir zems. Šādos gadījumos paredzētās procedūras tiek pabeigtas pēc pirmās tikšanās vai </w:t>
            </w:r>
            <w:r w:rsidR="00DD4F3E">
              <w:rPr>
                <w:rFonts w:ascii="Times New Roman" w:hAnsi="Times New Roman" w:cs="Times New Roman"/>
                <w:color w:val="000000" w:themeColor="text1"/>
                <w:sz w:val="24"/>
                <w:szCs w:val="24"/>
              </w:rPr>
              <w:lastRenderedPageBreak/>
              <w:t>praktiski iespējamā laikā. Minētā prasība tiek paredzēta likumprojektā (NILLTFNL 11.pant</w:t>
            </w:r>
            <w:r w:rsidR="006D7935">
              <w:rPr>
                <w:rFonts w:ascii="Times New Roman" w:hAnsi="Times New Roman" w:cs="Times New Roman"/>
                <w:color w:val="000000" w:themeColor="text1"/>
                <w:sz w:val="24"/>
                <w:szCs w:val="24"/>
              </w:rPr>
              <w:t>a</w:t>
            </w:r>
            <w:r w:rsidR="00DD4F3E">
              <w:rPr>
                <w:rFonts w:ascii="Times New Roman" w:hAnsi="Times New Roman" w:cs="Times New Roman"/>
                <w:color w:val="000000" w:themeColor="text1"/>
                <w:sz w:val="24"/>
                <w:szCs w:val="24"/>
              </w:rPr>
              <w:t xml:space="preserve"> trešā daļa).</w:t>
            </w:r>
          </w:p>
          <w:p w:rsidR="00680ED1" w:rsidRDefault="00C3763A" w:rsidP="00680ED1">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w:t>
            </w:r>
            <w:r w:rsidR="007F48C6">
              <w:rPr>
                <w:rFonts w:ascii="Times New Roman" w:hAnsi="Times New Roman" w:cs="Times New Roman"/>
                <w:color w:val="000000" w:themeColor="text1"/>
                <w:sz w:val="24"/>
                <w:szCs w:val="24"/>
              </w:rPr>
              <w:t>(NILLTFNL 11.pants ceturtā daļa)</w:t>
            </w:r>
            <w:r w:rsidR="00DB5006">
              <w:rPr>
                <w:rFonts w:ascii="Times New Roman" w:hAnsi="Times New Roman" w:cs="Times New Roman"/>
                <w:color w:val="000000" w:themeColor="text1"/>
                <w:sz w:val="24"/>
                <w:szCs w:val="24"/>
              </w:rPr>
              <w:t xml:space="preserve"> paredz </w:t>
            </w:r>
            <w:r w:rsidR="007F48C6">
              <w:rPr>
                <w:rFonts w:ascii="Times New Roman" w:hAnsi="Times New Roman" w:cs="Times New Roman"/>
                <w:color w:val="000000" w:themeColor="text1"/>
                <w:sz w:val="24"/>
                <w:szCs w:val="24"/>
              </w:rPr>
              <w:t xml:space="preserve"> </w:t>
            </w:r>
            <w:r w:rsidR="00DB5006">
              <w:rPr>
                <w:rFonts w:ascii="Times New Roman" w:hAnsi="Times New Roman" w:cs="Times New Roman"/>
                <w:color w:val="000000" w:themeColor="text1"/>
                <w:sz w:val="24"/>
                <w:szCs w:val="24"/>
              </w:rPr>
              <w:t>precizēt esošās redakcijas NILLTFNL 11.pant</w:t>
            </w:r>
            <w:r w:rsidR="006D7935">
              <w:rPr>
                <w:rFonts w:ascii="Times New Roman" w:hAnsi="Times New Roman" w:cs="Times New Roman"/>
                <w:color w:val="000000" w:themeColor="text1"/>
                <w:sz w:val="24"/>
                <w:szCs w:val="24"/>
              </w:rPr>
              <w:t>a</w:t>
            </w:r>
            <w:r w:rsidR="00DB5006">
              <w:rPr>
                <w:rFonts w:ascii="Times New Roman" w:hAnsi="Times New Roman" w:cs="Times New Roman"/>
                <w:color w:val="000000" w:themeColor="text1"/>
                <w:sz w:val="24"/>
                <w:szCs w:val="24"/>
              </w:rPr>
              <w:t xml:space="preserve"> piektā</w:t>
            </w:r>
            <w:r w:rsidR="00831CDD">
              <w:rPr>
                <w:rFonts w:ascii="Times New Roman" w:hAnsi="Times New Roman" w:cs="Times New Roman"/>
                <w:color w:val="000000" w:themeColor="text1"/>
                <w:sz w:val="24"/>
                <w:szCs w:val="24"/>
              </w:rPr>
              <w:t>s</w:t>
            </w:r>
            <w:r w:rsidR="00DB5006">
              <w:rPr>
                <w:rFonts w:ascii="Times New Roman" w:hAnsi="Times New Roman" w:cs="Times New Roman"/>
                <w:color w:val="000000" w:themeColor="text1"/>
                <w:sz w:val="24"/>
                <w:szCs w:val="24"/>
              </w:rPr>
              <w:t xml:space="preserve"> daļas </w:t>
            </w:r>
            <w:r w:rsidR="00A150EC" w:rsidRPr="00657A14">
              <w:rPr>
                <w:rFonts w:ascii="Times New Roman" w:hAnsi="Times New Roman" w:cs="Times New Roman"/>
                <w:color w:val="000000" w:themeColor="text1"/>
                <w:sz w:val="24"/>
                <w:szCs w:val="24"/>
              </w:rPr>
              <w:t>n</w:t>
            </w:r>
            <w:r w:rsidR="00DB5006" w:rsidRPr="00657A14">
              <w:rPr>
                <w:rFonts w:ascii="Times New Roman" w:hAnsi="Times New Roman" w:cs="Times New Roman"/>
                <w:color w:val="000000" w:themeColor="text1"/>
                <w:sz w:val="24"/>
                <w:szCs w:val="24"/>
              </w:rPr>
              <w:t>ormu, nosakot</w:t>
            </w:r>
            <w:r w:rsidR="00831CDD" w:rsidRPr="00657A14">
              <w:rPr>
                <w:rFonts w:ascii="Times New Roman" w:hAnsi="Times New Roman" w:cs="Times New Roman"/>
                <w:color w:val="000000" w:themeColor="text1"/>
                <w:sz w:val="24"/>
                <w:szCs w:val="24"/>
              </w:rPr>
              <w:t>,</w:t>
            </w:r>
            <w:r w:rsidR="00DB5006" w:rsidRPr="00657A14">
              <w:rPr>
                <w:rFonts w:ascii="Times New Roman" w:hAnsi="Times New Roman" w:cs="Times New Roman"/>
                <w:color w:val="000000" w:themeColor="text1"/>
                <w:sz w:val="24"/>
                <w:szCs w:val="24"/>
              </w:rPr>
              <w:t xml:space="preserve"> ka ir jābūt pamatotam dokumentētam </w:t>
            </w:r>
            <w:r w:rsidR="00680ED1" w:rsidRPr="00657A14">
              <w:rPr>
                <w:rFonts w:ascii="Times New Roman" w:hAnsi="Times New Roman" w:cs="Times New Roman"/>
                <w:color w:val="000000" w:themeColor="text1"/>
                <w:sz w:val="24"/>
                <w:szCs w:val="24"/>
              </w:rPr>
              <w:t>NILLTFN</w:t>
            </w:r>
            <w:r w:rsidR="00DB5006" w:rsidRPr="00657A14">
              <w:rPr>
                <w:rFonts w:ascii="Times New Roman" w:hAnsi="Times New Roman" w:cs="Times New Roman"/>
                <w:color w:val="000000" w:themeColor="text1"/>
                <w:sz w:val="24"/>
                <w:szCs w:val="24"/>
              </w:rPr>
              <w:t xml:space="preserve"> riska izvērtējumam ar nosacījumu, ka </w:t>
            </w:r>
            <w:r w:rsidR="00831CDD" w:rsidRPr="00657A14">
              <w:rPr>
                <w:rFonts w:ascii="Times New Roman" w:hAnsi="Times New Roman" w:cs="Times New Roman"/>
                <w:color w:val="000000" w:themeColor="text1"/>
                <w:sz w:val="24"/>
                <w:szCs w:val="24"/>
              </w:rPr>
              <w:t xml:space="preserve">riskam </w:t>
            </w:r>
            <w:r w:rsidR="00DB5006" w:rsidRPr="00657A14">
              <w:rPr>
                <w:rFonts w:ascii="Times New Roman" w:hAnsi="Times New Roman" w:cs="Times New Roman"/>
                <w:color w:val="000000" w:themeColor="text1"/>
                <w:sz w:val="24"/>
                <w:szCs w:val="24"/>
              </w:rPr>
              <w:t>ir jābūt zemam, kā arī atbilstoši likumprojekta (NILLTFNL 1.panta 7.punkt</w:t>
            </w:r>
            <w:r w:rsidR="006D7935" w:rsidRPr="00657A14">
              <w:rPr>
                <w:rFonts w:ascii="Times New Roman" w:hAnsi="Times New Roman" w:cs="Times New Roman"/>
                <w:color w:val="000000" w:themeColor="text1"/>
                <w:sz w:val="24"/>
                <w:szCs w:val="24"/>
              </w:rPr>
              <w:t>a</w:t>
            </w:r>
            <w:r w:rsidR="00DB5006" w:rsidRPr="00657A14">
              <w:rPr>
                <w:rFonts w:ascii="Times New Roman" w:hAnsi="Times New Roman" w:cs="Times New Roman"/>
                <w:color w:val="000000" w:themeColor="text1"/>
                <w:sz w:val="24"/>
                <w:szCs w:val="24"/>
              </w:rPr>
              <w:t xml:space="preserve"> a) un b) apakšpunkt</w:t>
            </w:r>
            <w:r w:rsidR="00831CDD" w:rsidRPr="00657A14">
              <w:rPr>
                <w:rFonts w:ascii="Times New Roman" w:hAnsi="Times New Roman" w:cs="Times New Roman"/>
                <w:color w:val="000000" w:themeColor="text1"/>
                <w:sz w:val="24"/>
                <w:szCs w:val="24"/>
              </w:rPr>
              <w:t>i</w:t>
            </w:r>
            <w:r w:rsidR="00DB5006" w:rsidRPr="00657A14">
              <w:rPr>
                <w:rFonts w:ascii="Times New Roman" w:hAnsi="Times New Roman" w:cs="Times New Roman"/>
                <w:color w:val="000000" w:themeColor="text1"/>
                <w:sz w:val="24"/>
                <w:szCs w:val="24"/>
              </w:rPr>
              <w:t>) tiek veikti precizējumi attiecībā uz apdrošināšanas komersanta un apdrošināšanas starpnieka darbību šā likuma ietvaros.</w:t>
            </w:r>
          </w:p>
          <w:p w:rsidR="005F729C" w:rsidRPr="00680ED1" w:rsidRDefault="00E34CEE" w:rsidP="00680ED1">
            <w:pPr>
              <w:spacing w:after="0" w:line="240" w:lineRule="auto"/>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Likuma subjekts noteiktos gadījumos var veikt klienta izpētes pasākumus pirms darījuma attiecību uzsākšanas vai arī darījuma attiecību laikā, </w:t>
            </w:r>
            <w:r w:rsidR="00831CDD" w:rsidRPr="00657A14">
              <w:rPr>
                <w:rFonts w:ascii="Times New Roman" w:hAnsi="Times New Roman" w:cs="Times New Roman"/>
                <w:color w:val="000000" w:themeColor="text1"/>
                <w:sz w:val="24"/>
                <w:szCs w:val="24"/>
              </w:rPr>
              <w:t xml:space="preserve">un </w:t>
            </w:r>
            <w:r w:rsidRPr="00657A14">
              <w:rPr>
                <w:rFonts w:ascii="Times New Roman" w:hAnsi="Times New Roman" w:cs="Times New Roman"/>
                <w:color w:val="000000" w:themeColor="text1"/>
                <w:sz w:val="24"/>
                <w:szCs w:val="24"/>
              </w:rPr>
              <w:t>jāņem vērā būtiskākais faktors, ka jābūt izvērtētam riskam</w:t>
            </w:r>
            <w:r w:rsidR="00831CD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w:t>
            </w:r>
            <w:r w:rsidR="00831CDD" w:rsidRPr="00657A14">
              <w:rPr>
                <w:rFonts w:ascii="Times New Roman" w:hAnsi="Times New Roman" w:cs="Times New Roman"/>
                <w:color w:val="000000" w:themeColor="text1"/>
                <w:sz w:val="24"/>
                <w:szCs w:val="24"/>
              </w:rPr>
              <w:t>T</w:t>
            </w:r>
            <w:r w:rsidRPr="00657A14">
              <w:rPr>
                <w:rFonts w:ascii="Times New Roman" w:hAnsi="Times New Roman" w:cs="Times New Roman"/>
                <w:color w:val="000000" w:themeColor="text1"/>
                <w:sz w:val="24"/>
                <w:szCs w:val="24"/>
              </w:rPr>
              <w:t>aču ir atsevišķi gadījumi</w:t>
            </w:r>
            <w:r w:rsidR="00831CD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kad klienta izpēte var tikt veikta darījumu attiecību dibināšanas laikā vai kad noteiktas klienta izpētes pārbaudes var </w:t>
            </w:r>
            <w:r w:rsidR="00A6429C" w:rsidRPr="00657A14">
              <w:rPr>
                <w:rFonts w:ascii="Times New Roman" w:hAnsi="Times New Roman" w:cs="Times New Roman"/>
                <w:color w:val="000000" w:themeColor="text1"/>
                <w:sz w:val="24"/>
                <w:szCs w:val="24"/>
              </w:rPr>
              <w:t xml:space="preserve">netikt </w:t>
            </w:r>
            <w:r w:rsidRPr="00657A14">
              <w:rPr>
                <w:rFonts w:ascii="Times New Roman" w:hAnsi="Times New Roman" w:cs="Times New Roman"/>
                <w:color w:val="000000" w:themeColor="text1"/>
                <w:sz w:val="24"/>
                <w:szCs w:val="24"/>
              </w:rPr>
              <w:t>neveikt</w:t>
            </w:r>
            <w:r w:rsidR="00A6429C" w:rsidRPr="00657A14">
              <w:rPr>
                <w:rFonts w:ascii="Times New Roman" w:hAnsi="Times New Roman" w:cs="Times New Roman"/>
                <w:color w:val="000000" w:themeColor="text1"/>
                <w:sz w:val="24"/>
                <w:szCs w:val="24"/>
              </w:rPr>
              <w:t>as</w:t>
            </w:r>
            <w:r w:rsidR="00831CD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w:t>
            </w:r>
            <w:r w:rsidR="00831CDD" w:rsidRPr="00657A14">
              <w:rPr>
                <w:rFonts w:ascii="Times New Roman" w:hAnsi="Times New Roman" w:cs="Times New Roman"/>
                <w:color w:val="000000" w:themeColor="text1"/>
                <w:sz w:val="24"/>
                <w:szCs w:val="24"/>
              </w:rPr>
              <w:t>Š</w:t>
            </w:r>
            <w:r w:rsidRPr="00657A14">
              <w:rPr>
                <w:rFonts w:ascii="Times New Roman" w:hAnsi="Times New Roman" w:cs="Times New Roman"/>
                <w:color w:val="000000" w:themeColor="text1"/>
                <w:sz w:val="24"/>
                <w:szCs w:val="24"/>
              </w:rPr>
              <w:t xml:space="preserve">ādi gadījumi atbilstoši AML IV direktīvas </w:t>
            </w:r>
            <w:r w:rsidR="00A75B9C" w:rsidRPr="00657A14">
              <w:rPr>
                <w:rFonts w:ascii="Times New Roman" w:hAnsi="Times New Roman" w:cs="Times New Roman"/>
                <w:color w:val="000000" w:themeColor="text1"/>
                <w:sz w:val="24"/>
                <w:szCs w:val="24"/>
              </w:rPr>
              <w:t xml:space="preserve">14.panta </w:t>
            </w:r>
            <w:r w:rsidRPr="00657A14">
              <w:rPr>
                <w:rFonts w:ascii="Times New Roman" w:hAnsi="Times New Roman" w:cs="Times New Roman"/>
                <w:color w:val="000000" w:themeColor="text1"/>
                <w:sz w:val="24"/>
                <w:szCs w:val="24"/>
              </w:rPr>
              <w:t>2. un 4. punktam ir paredzēti likumprojektā (NILLTFNL 11.pant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piektā</w:t>
            </w:r>
            <w:r w:rsidR="006D7935"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daļa</w:t>
            </w:r>
            <w:r w:rsidR="006D7935"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1. un 2.punkts)</w:t>
            </w:r>
            <w:r w:rsidR="00831CDD" w:rsidRPr="00657A14">
              <w:rPr>
                <w:rFonts w:ascii="Times New Roman" w:hAnsi="Times New Roman" w:cs="Times New Roman"/>
                <w:color w:val="000000" w:themeColor="text1"/>
                <w:sz w:val="24"/>
                <w:szCs w:val="24"/>
              </w:rPr>
              <w:t>:</w:t>
            </w:r>
            <w:r w:rsidR="00A6429C" w:rsidRPr="00657A14">
              <w:rPr>
                <w:rFonts w:ascii="Times New Roman" w:hAnsi="Times New Roman" w:cs="Times New Roman"/>
                <w:color w:val="000000" w:themeColor="text1"/>
                <w:sz w:val="24"/>
                <w:szCs w:val="24"/>
              </w:rPr>
              <w:t xml:space="preserve"> </w:t>
            </w:r>
          </w:p>
          <w:p w:rsidR="001352CC" w:rsidRPr="00657A14" w:rsidRDefault="001352CC" w:rsidP="00424423">
            <w:pPr>
              <w:pStyle w:val="ListParagraph"/>
              <w:widowControl w:val="0"/>
              <w:numPr>
                <w:ilvl w:val="0"/>
                <w:numId w:val="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un patiesā labuma guvēja identitāte</w:t>
            </w:r>
            <w:r w:rsidR="004F5856">
              <w:rPr>
                <w:rFonts w:ascii="Times New Roman" w:hAnsi="Times New Roman" w:cs="Times New Roman"/>
                <w:color w:val="000000" w:themeColor="text1"/>
                <w:sz w:val="24"/>
                <w:szCs w:val="24"/>
              </w:rPr>
              <w:t xml:space="preserve">s </w:t>
            </w:r>
            <w:r w:rsidR="009F042A" w:rsidRPr="00657A14">
              <w:rPr>
                <w:rFonts w:ascii="Times New Roman" w:hAnsi="Times New Roman" w:cs="Times New Roman"/>
                <w:color w:val="000000" w:themeColor="text1"/>
                <w:sz w:val="24"/>
                <w:szCs w:val="24"/>
              </w:rPr>
              <w:t>pārbaude</w:t>
            </w:r>
            <w:r w:rsidR="005B7AAE" w:rsidRPr="00657A14">
              <w:rPr>
                <w:rFonts w:ascii="Times New Roman" w:hAnsi="Times New Roman" w:cs="Times New Roman"/>
                <w:color w:val="000000" w:themeColor="text1"/>
                <w:sz w:val="24"/>
                <w:szCs w:val="24"/>
              </w:rPr>
              <w:t>, var notikt darījuma attiecību dibināšanas laikā</w:t>
            </w:r>
            <w:r w:rsidR="009F042A" w:rsidRPr="00657A14">
              <w:rPr>
                <w:rFonts w:ascii="Times New Roman" w:hAnsi="Times New Roman" w:cs="Times New Roman"/>
                <w:color w:val="000000" w:themeColor="text1"/>
                <w:sz w:val="24"/>
                <w:szCs w:val="24"/>
              </w:rPr>
              <w:t xml:space="preserve"> tikai nepieciešamības gadījumā, ja tiek ietekmēta darījuma norises gaita, pie nosacījuma, ka ir izvērtēts noziedzīgi iegūtu līdzekļu un terorisma finansēšanas risks</w:t>
            </w:r>
            <w:r w:rsidR="00831CDD" w:rsidRPr="00657A14">
              <w:rPr>
                <w:rFonts w:ascii="Times New Roman" w:hAnsi="Times New Roman" w:cs="Times New Roman"/>
                <w:color w:val="000000" w:themeColor="text1"/>
                <w:sz w:val="24"/>
                <w:szCs w:val="24"/>
              </w:rPr>
              <w:t>,</w:t>
            </w:r>
            <w:r w:rsidR="009F042A" w:rsidRPr="00657A14">
              <w:rPr>
                <w:rFonts w:ascii="Times New Roman" w:hAnsi="Times New Roman" w:cs="Times New Roman"/>
                <w:color w:val="000000" w:themeColor="text1"/>
                <w:sz w:val="24"/>
                <w:szCs w:val="24"/>
              </w:rPr>
              <w:t xml:space="preserve"> un tas ir zems, kā arī iepriekšminētās procedūras tiek pabeigtas pirms tikšanās un pēc iespējas ātrāk;</w:t>
            </w:r>
          </w:p>
          <w:p w:rsidR="00D51FA9" w:rsidRDefault="00417ED9" w:rsidP="00424423">
            <w:pPr>
              <w:pStyle w:val="ListParagraph"/>
              <w:widowControl w:val="0"/>
              <w:numPr>
                <w:ilvl w:val="0"/>
                <w:numId w:val="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pirms darījuma attiecību uzsākšanas, kā arī darījumu attiecību laikā, ievērojot uz riska balstītu pieeju, var neveikt klienta izpētes pasākumus notāri, citi neatkarīgi juridisko profesiju pārstāvji, revidenti, ārštata grāmatveži, nodokļu konsultanti ar nosacījumu</w:t>
            </w:r>
            <w:r w:rsidR="00292D8C" w:rsidRPr="00657A14">
              <w:rPr>
                <w:rFonts w:ascii="Times New Roman" w:hAnsi="Times New Roman" w:cs="Times New Roman"/>
                <w:color w:val="000000" w:themeColor="text1"/>
                <w:sz w:val="24"/>
                <w:szCs w:val="24"/>
              </w:rPr>
              <w:t>, kas tas notiek vienīgi tad, kad tiek pārbaudīts sava klienta juridiskais stāvoklis, klients tiek aizstāvēts vai pārstāvēts tiesvedībā</w:t>
            </w:r>
            <w:r w:rsidR="000A0C62" w:rsidRPr="00657A14">
              <w:rPr>
                <w:rFonts w:ascii="Times New Roman" w:hAnsi="Times New Roman" w:cs="Times New Roman"/>
                <w:color w:val="000000" w:themeColor="text1"/>
                <w:sz w:val="24"/>
                <w:szCs w:val="24"/>
              </w:rPr>
              <w:t>, vai attiecībā uz tām, kā arī sniedzot konsultācijas par tiesvedības uzsākšanu vai izvairīšanos</w:t>
            </w:r>
            <w:r w:rsidR="00A75B9C" w:rsidRPr="00657A14">
              <w:rPr>
                <w:rFonts w:ascii="Times New Roman" w:hAnsi="Times New Roman" w:cs="Times New Roman"/>
                <w:color w:val="000000" w:themeColor="text1"/>
                <w:sz w:val="24"/>
                <w:szCs w:val="24"/>
              </w:rPr>
              <w:t xml:space="preserve"> no tās</w:t>
            </w:r>
            <w:r w:rsidR="000A0C62" w:rsidRPr="00657A14">
              <w:rPr>
                <w:rFonts w:ascii="Times New Roman" w:hAnsi="Times New Roman" w:cs="Times New Roman"/>
                <w:color w:val="000000" w:themeColor="text1"/>
                <w:sz w:val="24"/>
                <w:szCs w:val="24"/>
              </w:rPr>
              <w:t>.</w:t>
            </w:r>
          </w:p>
          <w:p w:rsidR="000E6FDA" w:rsidRPr="000E6FDA" w:rsidRDefault="003C2362" w:rsidP="003C2362">
            <w:pPr>
              <w:widowControl w:val="0"/>
              <w:ind w:left="-31"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Atbilstoši FATF 10. rekomendācijas skaidrojošajai piezīmei (klienta izpēte), par to, ja finanšu iestādēm</w:t>
            </w:r>
            <w:r w:rsidR="00194F62">
              <w:rPr>
                <w:rFonts w:ascii="Times New Roman" w:hAnsi="Times New Roman" w:cs="Times New Roman"/>
                <w:color w:val="000000" w:themeColor="text1"/>
                <w:sz w:val="24"/>
                <w:szCs w:val="24"/>
              </w:rPr>
              <w:t xml:space="preserve"> rodas aizdomas par to, ka darījums varētu būt saistīts ar NILLTF, tām, veicot klienta izpētes pasākumus, ir jāņem vērā brīdināšanas riski. Gadījumos, kad klienta izpētes procesā klients vai potenciālais klients tiks brīdināts, iestāde var izvēlēties neveikt pārbaudi ar nosacījumi, ka tai ir jāiesniedz ziņojums par aizdomīgu darījumu. Izpētes procesa pārtraukšana, lai neradītu aizdomas klientam ir </w:t>
            </w:r>
            <w:r w:rsidR="00FA6C0F">
              <w:rPr>
                <w:rFonts w:ascii="Times New Roman" w:hAnsi="Times New Roman" w:cs="Times New Roman"/>
                <w:color w:val="000000" w:themeColor="text1"/>
                <w:sz w:val="24"/>
                <w:szCs w:val="24"/>
              </w:rPr>
              <w:t xml:space="preserve">iestrādātas </w:t>
            </w:r>
            <w:r w:rsidR="00FA6C0F">
              <w:rPr>
                <w:rFonts w:ascii="Times New Roman" w:hAnsi="Times New Roman" w:cs="Times New Roman"/>
                <w:color w:val="000000" w:themeColor="text1"/>
                <w:sz w:val="24"/>
                <w:szCs w:val="24"/>
              </w:rPr>
              <w:lastRenderedPageBreak/>
              <w:t>likumprojekta (NILLTFNL 11.pants septītā daļa).</w:t>
            </w:r>
          </w:p>
          <w:p w:rsidR="00120A8A" w:rsidRPr="00742CA2" w:rsidRDefault="00B66FDA" w:rsidP="00424423">
            <w:pPr>
              <w:widowControl w:val="0"/>
              <w:jc w:val="both"/>
              <w:rPr>
                <w:rFonts w:ascii="Times New Roman" w:hAnsi="Times New Roman" w:cs="Times New Roman"/>
                <w:color w:val="000000" w:themeColor="text1"/>
                <w:sz w:val="24"/>
                <w:szCs w:val="24"/>
              </w:rPr>
            </w:pPr>
            <w:r w:rsidRPr="00742CA2">
              <w:rPr>
                <w:rFonts w:ascii="Times New Roman" w:hAnsi="Times New Roman" w:cs="Times New Roman"/>
                <w:color w:val="000000" w:themeColor="text1"/>
                <w:sz w:val="24"/>
                <w:szCs w:val="24"/>
              </w:rPr>
              <w:t>Pasākumu kopums, kas jāveic klienta izpētes laikā.</w:t>
            </w:r>
          </w:p>
          <w:p w:rsidR="00097815" w:rsidRPr="00657A14" w:rsidRDefault="00B66FDA" w:rsidP="0009781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NILLTFN likuma mērķa nodrošināšanai kā arī normatīvajos aktos noteikto prasību ievērošanai izmanto noteiktu pasākumu kopumu klienta izpētes ietvaros.</w:t>
            </w:r>
            <w:r w:rsidR="003034DC" w:rsidRPr="00657A14">
              <w:rPr>
                <w:rFonts w:ascii="Times New Roman" w:hAnsi="Times New Roman" w:cs="Times New Roman"/>
                <w:color w:val="000000" w:themeColor="text1"/>
                <w:sz w:val="24"/>
                <w:szCs w:val="24"/>
              </w:rPr>
              <w:t xml:space="preserve"> Klienta izpētes galvenā būtība ir iegūt informāciju un pietiekamu dokumentu apjomu, lai jau sākotnējā darījumu attiecību posmā ar klientu</w:t>
            </w:r>
            <w:r w:rsidR="00843271" w:rsidRPr="00657A14">
              <w:rPr>
                <w:rFonts w:ascii="Times New Roman" w:hAnsi="Times New Roman" w:cs="Times New Roman"/>
                <w:color w:val="000000" w:themeColor="text1"/>
                <w:sz w:val="24"/>
                <w:szCs w:val="24"/>
              </w:rPr>
              <w:t>,</w:t>
            </w:r>
            <w:r w:rsidR="003034DC" w:rsidRPr="00657A14">
              <w:rPr>
                <w:rFonts w:ascii="Times New Roman" w:hAnsi="Times New Roman" w:cs="Times New Roman"/>
                <w:color w:val="000000" w:themeColor="text1"/>
                <w:sz w:val="24"/>
                <w:szCs w:val="24"/>
              </w:rPr>
              <w:t xml:space="preserve"> būtu iespēja samazināt risku</w:t>
            </w:r>
            <w:r w:rsidR="00843271" w:rsidRPr="00657A14">
              <w:rPr>
                <w:rFonts w:ascii="Times New Roman" w:hAnsi="Times New Roman" w:cs="Times New Roman"/>
                <w:color w:val="000000" w:themeColor="text1"/>
                <w:sz w:val="24"/>
                <w:szCs w:val="24"/>
              </w:rPr>
              <w:t xml:space="preserve"> likuma subjektam tikt iesaistītam noziedzīgi iegūtu līdzekļu legalizācijā un terorisma finansēšanā.</w:t>
            </w:r>
            <w:r w:rsidR="0087387B" w:rsidRPr="00657A14">
              <w:rPr>
                <w:rFonts w:ascii="Times New Roman" w:hAnsi="Times New Roman" w:cs="Times New Roman"/>
                <w:color w:val="000000" w:themeColor="text1"/>
                <w:sz w:val="24"/>
                <w:szCs w:val="24"/>
              </w:rPr>
              <w:t xml:space="preserve"> </w:t>
            </w:r>
            <w:r w:rsidR="00E754C1" w:rsidRPr="00657A14">
              <w:rPr>
                <w:rFonts w:ascii="Times New Roman" w:hAnsi="Times New Roman" w:cs="Times New Roman"/>
                <w:color w:val="000000" w:themeColor="text1"/>
                <w:sz w:val="24"/>
                <w:szCs w:val="24"/>
              </w:rPr>
              <w:t>Lai izprastu klientu un tā saimniecisko vai personisko darbību pietiekošā apmērā, l</w:t>
            </w:r>
            <w:r w:rsidR="0087387B" w:rsidRPr="00657A14">
              <w:rPr>
                <w:rFonts w:ascii="Times New Roman" w:hAnsi="Times New Roman" w:cs="Times New Roman"/>
                <w:color w:val="000000" w:themeColor="text1"/>
                <w:sz w:val="24"/>
                <w:szCs w:val="24"/>
              </w:rPr>
              <w:t>ai b</w:t>
            </w:r>
            <w:r w:rsidR="00E754C1" w:rsidRPr="00657A14">
              <w:rPr>
                <w:rFonts w:ascii="Times New Roman" w:hAnsi="Times New Roman" w:cs="Times New Roman"/>
                <w:color w:val="000000" w:themeColor="text1"/>
                <w:sz w:val="24"/>
                <w:szCs w:val="24"/>
              </w:rPr>
              <w:t>ūtu novērtēts klientam piemītošais noziedzīgi iegūtu līdzekļu legalizācijas un terorisma finansēšanas, kā arī nodrošināta efektīva un atbilstoša riskam, klienta un veikto darījumu uzraudzība darījuma attiecību laikā, tiek iegūta informācija un dokumenti par klientu pietiekamā apjomā</w:t>
            </w:r>
            <w:r w:rsidR="00A22C54" w:rsidRPr="00657A14">
              <w:rPr>
                <w:rFonts w:ascii="Times New Roman" w:hAnsi="Times New Roman" w:cs="Times New Roman"/>
                <w:color w:val="000000" w:themeColor="text1"/>
                <w:sz w:val="24"/>
                <w:szCs w:val="24"/>
              </w:rPr>
              <w:t xml:space="preserve"> (apjoma atbilstība jāspēj pierādīt)</w:t>
            </w:r>
            <w:r w:rsidR="001451CC" w:rsidRPr="00657A14">
              <w:rPr>
                <w:rFonts w:ascii="Times New Roman" w:hAnsi="Times New Roman" w:cs="Times New Roman"/>
                <w:color w:val="000000" w:themeColor="text1"/>
                <w:sz w:val="24"/>
                <w:szCs w:val="24"/>
              </w:rPr>
              <w:t xml:space="preserve"> – likumprojekts (</w:t>
            </w:r>
            <w:r w:rsidR="00A75B9C" w:rsidRPr="00657A14">
              <w:rPr>
                <w:rFonts w:ascii="Times New Roman" w:hAnsi="Times New Roman" w:cs="Times New Roman"/>
                <w:color w:val="000000" w:themeColor="text1"/>
                <w:sz w:val="24"/>
                <w:szCs w:val="24"/>
              </w:rPr>
              <w:t xml:space="preserve">attiecībā uz </w:t>
            </w:r>
            <w:r w:rsidR="001451CC" w:rsidRPr="00657A14">
              <w:rPr>
                <w:rFonts w:ascii="Times New Roman" w:hAnsi="Times New Roman" w:cs="Times New Roman"/>
                <w:color w:val="000000" w:themeColor="text1"/>
                <w:sz w:val="24"/>
                <w:szCs w:val="24"/>
              </w:rPr>
              <w:t xml:space="preserve">NILLTFNL </w:t>
            </w:r>
            <w:r w:rsidR="00076164" w:rsidRPr="00657A14">
              <w:rPr>
                <w:rFonts w:ascii="Times New Roman" w:hAnsi="Times New Roman" w:cs="Times New Roman"/>
                <w:color w:val="000000" w:themeColor="text1"/>
                <w:sz w:val="24"/>
                <w:szCs w:val="24"/>
              </w:rPr>
              <w:t>11</w:t>
            </w:r>
            <w:r w:rsidR="00A75B9C" w:rsidRPr="00657A14">
              <w:rPr>
                <w:rFonts w:ascii="Times New Roman" w:hAnsi="Times New Roman" w:cs="Times New Roman"/>
                <w:color w:val="000000" w:themeColor="text1"/>
                <w:sz w:val="24"/>
                <w:szCs w:val="24"/>
              </w:rPr>
              <w:t>.</w:t>
            </w:r>
            <w:r w:rsidR="00076164" w:rsidRPr="00657A14">
              <w:rPr>
                <w:rFonts w:ascii="Times New Roman" w:hAnsi="Times New Roman" w:cs="Times New Roman"/>
                <w:color w:val="000000" w:themeColor="text1"/>
                <w:sz w:val="24"/>
                <w:szCs w:val="24"/>
              </w:rPr>
              <w:t>¹pant</w:t>
            </w:r>
            <w:r w:rsidR="00A75B9C" w:rsidRPr="00657A14">
              <w:rPr>
                <w:rFonts w:ascii="Times New Roman" w:hAnsi="Times New Roman" w:cs="Times New Roman"/>
                <w:color w:val="000000" w:themeColor="text1"/>
                <w:sz w:val="24"/>
                <w:szCs w:val="24"/>
              </w:rPr>
              <w:t>a</w:t>
            </w:r>
            <w:r w:rsidR="004F5856">
              <w:rPr>
                <w:rFonts w:ascii="Times New Roman" w:hAnsi="Times New Roman" w:cs="Times New Roman"/>
                <w:color w:val="000000" w:themeColor="text1"/>
                <w:sz w:val="24"/>
                <w:szCs w:val="24"/>
              </w:rPr>
              <w:t xml:space="preserve"> piekto</w:t>
            </w:r>
            <w:r w:rsidR="00076164" w:rsidRPr="00657A14">
              <w:rPr>
                <w:rFonts w:ascii="Times New Roman" w:hAnsi="Times New Roman" w:cs="Times New Roman"/>
                <w:color w:val="000000" w:themeColor="text1"/>
                <w:sz w:val="24"/>
                <w:szCs w:val="24"/>
              </w:rPr>
              <w:t xml:space="preserve"> daļ</w:t>
            </w:r>
            <w:r w:rsidR="00A75B9C" w:rsidRPr="00657A14">
              <w:rPr>
                <w:rFonts w:ascii="Times New Roman" w:hAnsi="Times New Roman" w:cs="Times New Roman"/>
                <w:color w:val="000000" w:themeColor="text1"/>
                <w:sz w:val="24"/>
                <w:szCs w:val="24"/>
              </w:rPr>
              <w:t>u</w:t>
            </w:r>
            <w:r w:rsidR="001451CC" w:rsidRPr="00657A14">
              <w:rPr>
                <w:rFonts w:ascii="Times New Roman" w:hAnsi="Times New Roman" w:cs="Times New Roman"/>
                <w:color w:val="000000" w:themeColor="text1"/>
                <w:sz w:val="24"/>
                <w:szCs w:val="24"/>
              </w:rPr>
              <w:t>)</w:t>
            </w:r>
            <w:r w:rsidR="00076164" w:rsidRPr="00657A14">
              <w:rPr>
                <w:rFonts w:ascii="Times New Roman" w:hAnsi="Times New Roman" w:cs="Times New Roman"/>
                <w:color w:val="000000" w:themeColor="text1"/>
                <w:sz w:val="24"/>
                <w:szCs w:val="24"/>
              </w:rPr>
              <w:t xml:space="preserve"> izstrādāt</w:t>
            </w:r>
            <w:r w:rsidR="00A75B9C" w:rsidRPr="00657A14">
              <w:rPr>
                <w:rFonts w:ascii="Times New Roman" w:hAnsi="Times New Roman" w:cs="Times New Roman"/>
                <w:color w:val="000000" w:themeColor="text1"/>
                <w:sz w:val="24"/>
                <w:szCs w:val="24"/>
              </w:rPr>
              <w:t>s</w:t>
            </w:r>
            <w:r w:rsidR="00076164" w:rsidRPr="00657A14">
              <w:rPr>
                <w:rFonts w:ascii="Times New Roman" w:hAnsi="Times New Roman" w:cs="Times New Roman"/>
                <w:color w:val="000000" w:themeColor="text1"/>
                <w:sz w:val="24"/>
                <w:szCs w:val="24"/>
              </w:rPr>
              <w:t xml:space="preserve"> atbilstoši AML IV direktīvas 13.panta 4.punktam</w:t>
            </w:r>
            <w:r w:rsidR="00E754C1" w:rsidRPr="00657A14">
              <w:rPr>
                <w:rFonts w:ascii="Times New Roman" w:hAnsi="Times New Roman" w:cs="Times New Roman"/>
                <w:color w:val="000000" w:themeColor="text1"/>
                <w:sz w:val="24"/>
                <w:szCs w:val="24"/>
              </w:rPr>
              <w:t>.</w:t>
            </w:r>
            <w:r w:rsidR="0026372E" w:rsidRPr="00657A14">
              <w:rPr>
                <w:rFonts w:ascii="Times New Roman" w:hAnsi="Times New Roman" w:cs="Times New Roman"/>
                <w:color w:val="000000" w:themeColor="text1"/>
                <w:sz w:val="24"/>
                <w:szCs w:val="24"/>
              </w:rPr>
              <w:t xml:space="preserve"> </w:t>
            </w:r>
          </w:p>
          <w:p w:rsidR="00C92F8C" w:rsidRPr="00657A14" w:rsidRDefault="0026372E"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izpētes sākotnējā posmā likuma subjekts</w:t>
            </w:r>
            <w:r w:rsidR="00F1647C" w:rsidRPr="00657A14">
              <w:rPr>
                <w:rFonts w:ascii="Times New Roman" w:hAnsi="Times New Roman" w:cs="Times New Roman"/>
                <w:color w:val="000000" w:themeColor="text1"/>
                <w:sz w:val="24"/>
                <w:szCs w:val="24"/>
              </w:rPr>
              <w:t xml:space="preserve"> veic kl</w:t>
            </w:r>
            <w:r w:rsidR="00086F3A" w:rsidRPr="00657A14">
              <w:rPr>
                <w:rFonts w:ascii="Times New Roman" w:hAnsi="Times New Roman" w:cs="Times New Roman"/>
                <w:color w:val="000000" w:themeColor="text1"/>
                <w:sz w:val="24"/>
                <w:szCs w:val="24"/>
              </w:rPr>
              <w:t>ienta identifikāciju</w:t>
            </w:r>
            <w:r w:rsidR="00AE3112" w:rsidRPr="00657A14">
              <w:rPr>
                <w:rFonts w:ascii="Times New Roman" w:hAnsi="Times New Roman" w:cs="Times New Roman"/>
                <w:color w:val="000000" w:themeColor="text1"/>
                <w:sz w:val="24"/>
                <w:szCs w:val="24"/>
              </w:rPr>
              <w:t xml:space="preserve">, </w:t>
            </w:r>
            <w:r w:rsidR="00F1647C" w:rsidRPr="00657A14">
              <w:rPr>
                <w:rFonts w:ascii="Times New Roman" w:hAnsi="Times New Roman" w:cs="Times New Roman"/>
                <w:color w:val="000000" w:themeColor="text1"/>
                <w:sz w:val="24"/>
                <w:szCs w:val="24"/>
              </w:rPr>
              <w:t>noskaidro patieso labuma guvēju, pārliecinoties par tā atbilstību, iegūst informāciju par darījuma attiecību mērķi un paredzamo būtību – likumprojekts (</w:t>
            </w:r>
            <w:r w:rsidR="00A75B9C" w:rsidRPr="00657A14">
              <w:rPr>
                <w:rFonts w:ascii="Times New Roman" w:hAnsi="Times New Roman" w:cs="Times New Roman"/>
                <w:color w:val="000000" w:themeColor="text1"/>
                <w:sz w:val="24"/>
                <w:szCs w:val="24"/>
              </w:rPr>
              <w:t xml:space="preserve">attiecībā uz </w:t>
            </w:r>
            <w:r w:rsidR="00F1647C" w:rsidRPr="00657A14">
              <w:rPr>
                <w:rFonts w:ascii="Times New Roman" w:hAnsi="Times New Roman" w:cs="Times New Roman"/>
                <w:color w:val="000000" w:themeColor="text1"/>
                <w:sz w:val="24"/>
                <w:szCs w:val="24"/>
              </w:rPr>
              <w:t>NILLTFNL 11</w:t>
            </w:r>
            <w:r w:rsidR="00A75B9C" w:rsidRPr="00657A14">
              <w:rPr>
                <w:rFonts w:ascii="Times New Roman" w:hAnsi="Times New Roman" w:cs="Times New Roman"/>
                <w:color w:val="000000" w:themeColor="text1"/>
                <w:sz w:val="24"/>
                <w:szCs w:val="24"/>
              </w:rPr>
              <w:t>.</w:t>
            </w:r>
            <w:r w:rsidR="00F1647C" w:rsidRPr="00657A14">
              <w:rPr>
                <w:rFonts w:ascii="Times New Roman" w:hAnsi="Times New Roman" w:cs="Times New Roman"/>
                <w:color w:val="000000" w:themeColor="text1"/>
                <w:sz w:val="24"/>
                <w:szCs w:val="24"/>
              </w:rPr>
              <w:t>¹pant</w:t>
            </w:r>
            <w:r w:rsidR="00A75B9C" w:rsidRPr="00657A14">
              <w:rPr>
                <w:rFonts w:ascii="Times New Roman" w:hAnsi="Times New Roman" w:cs="Times New Roman"/>
                <w:color w:val="000000" w:themeColor="text1"/>
                <w:sz w:val="24"/>
                <w:szCs w:val="24"/>
              </w:rPr>
              <w:t>a</w:t>
            </w:r>
            <w:r w:rsidR="00F1647C" w:rsidRPr="00657A14">
              <w:rPr>
                <w:rFonts w:ascii="Times New Roman" w:hAnsi="Times New Roman" w:cs="Times New Roman"/>
                <w:color w:val="000000" w:themeColor="text1"/>
                <w:sz w:val="24"/>
                <w:szCs w:val="24"/>
              </w:rPr>
              <w:t xml:space="preserve"> pirmā</w:t>
            </w:r>
            <w:r w:rsidR="00A75B9C" w:rsidRPr="00657A14">
              <w:rPr>
                <w:rFonts w:ascii="Times New Roman" w:hAnsi="Times New Roman" w:cs="Times New Roman"/>
                <w:color w:val="000000" w:themeColor="text1"/>
                <w:sz w:val="24"/>
                <w:szCs w:val="24"/>
              </w:rPr>
              <w:t>s</w:t>
            </w:r>
            <w:r w:rsidR="00F1647C" w:rsidRPr="00657A14">
              <w:rPr>
                <w:rFonts w:ascii="Times New Roman" w:hAnsi="Times New Roman" w:cs="Times New Roman"/>
                <w:color w:val="000000" w:themeColor="text1"/>
                <w:sz w:val="24"/>
                <w:szCs w:val="24"/>
              </w:rPr>
              <w:t xml:space="preserve"> daļa</w:t>
            </w:r>
            <w:r w:rsidR="00A75B9C" w:rsidRPr="00657A14">
              <w:rPr>
                <w:rFonts w:ascii="Times New Roman" w:hAnsi="Times New Roman" w:cs="Times New Roman"/>
                <w:color w:val="000000" w:themeColor="text1"/>
                <w:sz w:val="24"/>
                <w:szCs w:val="24"/>
              </w:rPr>
              <w:t>s</w:t>
            </w:r>
            <w:r w:rsidR="00F1647C" w:rsidRPr="00657A14">
              <w:rPr>
                <w:rFonts w:ascii="Times New Roman" w:hAnsi="Times New Roman" w:cs="Times New Roman"/>
                <w:color w:val="000000" w:themeColor="text1"/>
                <w:sz w:val="24"/>
                <w:szCs w:val="24"/>
              </w:rPr>
              <w:t xml:space="preserve"> 1., 2., 3. punkt</w:t>
            </w:r>
            <w:r w:rsidR="00A75B9C" w:rsidRPr="00657A14">
              <w:rPr>
                <w:rFonts w:ascii="Times New Roman" w:hAnsi="Times New Roman" w:cs="Times New Roman"/>
                <w:color w:val="000000" w:themeColor="text1"/>
                <w:sz w:val="24"/>
                <w:szCs w:val="24"/>
              </w:rPr>
              <w:t>u</w:t>
            </w:r>
            <w:r w:rsidR="00F1647C" w:rsidRPr="00657A14">
              <w:rPr>
                <w:rFonts w:ascii="Times New Roman" w:hAnsi="Times New Roman" w:cs="Times New Roman"/>
                <w:color w:val="000000" w:themeColor="text1"/>
                <w:sz w:val="24"/>
                <w:szCs w:val="24"/>
              </w:rPr>
              <w:t>)</w:t>
            </w:r>
            <w:r w:rsidR="00C25930" w:rsidRPr="00657A14">
              <w:rPr>
                <w:rFonts w:ascii="Times New Roman" w:hAnsi="Times New Roman" w:cs="Times New Roman"/>
                <w:color w:val="000000" w:themeColor="text1"/>
                <w:sz w:val="24"/>
                <w:szCs w:val="24"/>
              </w:rPr>
              <w:t xml:space="preserve"> izstrādāts atbilstoši AML IV direktīvas 13.panta 1.punkta a), b), c) apakšpunkta</w:t>
            </w:r>
            <w:r w:rsidR="003473D5" w:rsidRPr="00657A14">
              <w:rPr>
                <w:rFonts w:ascii="Times New Roman" w:hAnsi="Times New Roman" w:cs="Times New Roman"/>
                <w:color w:val="000000" w:themeColor="text1"/>
                <w:sz w:val="24"/>
                <w:szCs w:val="24"/>
              </w:rPr>
              <w:t xml:space="preserve"> prasībām</w:t>
            </w:r>
            <w:r w:rsidR="00FA2D30" w:rsidRPr="00657A14">
              <w:rPr>
                <w:rFonts w:ascii="Times New Roman" w:hAnsi="Times New Roman" w:cs="Times New Roman"/>
                <w:color w:val="000000" w:themeColor="text1"/>
                <w:sz w:val="24"/>
                <w:szCs w:val="24"/>
              </w:rPr>
              <w:t xml:space="preserve"> un FATF 10.rekomendācijas a), b), c) punkt</w:t>
            </w:r>
            <w:r w:rsidR="0006631F" w:rsidRPr="00657A14">
              <w:rPr>
                <w:rFonts w:ascii="Times New Roman" w:hAnsi="Times New Roman" w:cs="Times New Roman"/>
                <w:color w:val="000000" w:themeColor="text1"/>
                <w:sz w:val="24"/>
                <w:szCs w:val="24"/>
              </w:rPr>
              <w:t>iem</w:t>
            </w:r>
            <w:r w:rsidR="003473D5" w:rsidRPr="00657A14">
              <w:rPr>
                <w:rFonts w:ascii="Times New Roman" w:hAnsi="Times New Roman" w:cs="Times New Roman"/>
                <w:color w:val="000000" w:themeColor="text1"/>
                <w:sz w:val="24"/>
                <w:szCs w:val="24"/>
              </w:rPr>
              <w:t>.</w:t>
            </w:r>
            <w:r w:rsidR="008B43F2" w:rsidRPr="00657A14">
              <w:rPr>
                <w:rFonts w:ascii="Times New Roman" w:hAnsi="Times New Roman" w:cs="Times New Roman"/>
                <w:color w:val="000000" w:themeColor="text1"/>
                <w:sz w:val="24"/>
                <w:szCs w:val="24"/>
              </w:rPr>
              <w:t xml:space="preserve"> </w:t>
            </w:r>
          </w:p>
          <w:p w:rsidR="00C92F8C" w:rsidRPr="00657A14" w:rsidRDefault="00AE3112"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fiziskās personas identitāte tiek pārbaudīta pēc personas apliecinoša dokumenta, pārliecinoties, ka personu apliecinošais dokuments nav iekļauts nederīgo dokumentu reģistr</w:t>
            </w:r>
            <w:r w:rsidR="00185120" w:rsidRPr="00657A14">
              <w:rPr>
                <w:rFonts w:ascii="Times New Roman" w:hAnsi="Times New Roman" w:cs="Times New Roman"/>
                <w:color w:val="000000" w:themeColor="text1"/>
                <w:sz w:val="24"/>
                <w:szCs w:val="24"/>
              </w:rPr>
              <w:t xml:space="preserve">ā - </w:t>
            </w:r>
            <w:r w:rsidRPr="00657A14">
              <w:rPr>
                <w:rFonts w:ascii="Times New Roman" w:hAnsi="Times New Roman" w:cs="Times New Roman"/>
                <w:color w:val="000000" w:themeColor="text1"/>
                <w:sz w:val="24"/>
                <w:szCs w:val="24"/>
              </w:rPr>
              <w:t>likumprojekts (</w:t>
            </w:r>
            <w:r w:rsidR="0006631F" w:rsidRPr="00657A14">
              <w:rPr>
                <w:rFonts w:ascii="Times New Roman" w:hAnsi="Times New Roman" w:cs="Times New Roman"/>
                <w:color w:val="000000" w:themeColor="text1"/>
                <w:sz w:val="24"/>
                <w:szCs w:val="24"/>
              </w:rPr>
              <w:t xml:space="preserve">attiecībā uz </w:t>
            </w:r>
            <w:r w:rsidRPr="00657A14">
              <w:rPr>
                <w:rFonts w:ascii="Times New Roman" w:hAnsi="Times New Roman" w:cs="Times New Roman"/>
                <w:color w:val="000000" w:themeColor="text1"/>
                <w:sz w:val="24"/>
                <w:szCs w:val="24"/>
              </w:rPr>
              <w:t>NILLTFNL 12.pant</w:t>
            </w:r>
            <w:r w:rsidR="0006631F"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3</w:t>
            </w:r>
            <w:r w:rsidR="0006631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¹daļ</w:t>
            </w:r>
            <w:r w:rsidR="0006631F" w:rsidRPr="00657A14">
              <w:rPr>
                <w:rFonts w:ascii="Times New Roman" w:hAnsi="Times New Roman" w:cs="Times New Roman"/>
                <w:color w:val="000000" w:themeColor="text1"/>
                <w:sz w:val="24"/>
                <w:szCs w:val="24"/>
              </w:rPr>
              <w:t>u</w:t>
            </w:r>
            <w:r w:rsidRPr="00657A14">
              <w:rPr>
                <w:rFonts w:ascii="Times New Roman" w:hAnsi="Times New Roman" w:cs="Times New Roman"/>
                <w:color w:val="000000" w:themeColor="text1"/>
                <w:sz w:val="24"/>
                <w:szCs w:val="24"/>
              </w:rPr>
              <w:t>) izstrādāts</w:t>
            </w:r>
            <w:r w:rsidR="0006631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balstoties uz M</w:t>
            </w:r>
            <w:r w:rsidR="00FD3BB5" w:rsidRPr="00657A14">
              <w:rPr>
                <w:rFonts w:ascii="Times New Roman" w:hAnsi="Times New Roman" w:cs="Times New Roman"/>
                <w:color w:val="000000" w:themeColor="text1"/>
                <w:sz w:val="24"/>
                <w:szCs w:val="24"/>
              </w:rPr>
              <w:t>inistru kabineta</w:t>
            </w:r>
            <w:r w:rsidRPr="00657A14">
              <w:rPr>
                <w:rFonts w:ascii="Times New Roman" w:hAnsi="Times New Roman" w:cs="Times New Roman"/>
                <w:color w:val="000000" w:themeColor="text1"/>
                <w:sz w:val="24"/>
                <w:szCs w:val="24"/>
              </w:rPr>
              <w:t xml:space="preserve"> </w:t>
            </w:r>
            <w:r w:rsidR="0006631F" w:rsidRPr="00657A14">
              <w:rPr>
                <w:rFonts w:ascii="Times New Roman" w:hAnsi="Times New Roman" w:cs="Times New Roman"/>
                <w:color w:val="000000" w:themeColor="text1"/>
                <w:sz w:val="24"/>
                <w:szCs w:val="24"/>
              </w:rPr>
              <w:t>2012.gada 16.oktobra noteikumiem Nr.</w:t>
            </w:r>
            <w:r w:rsidRPr="00657A14">
              <w:rPr>
                <w:rFonts w:ascii="Times New Roman" w:hAnsi="Times New Roman" w:cs="Times New Roman"/>
                <w:color w:val="000000" w:themeColor="text1"/>
                <w:sz w:val="24"/>
                <w:szCs w:val="24"/>
              </w:rPr>
              <w:t>708 “Noteikumi par nederīgo dokumentu reģistru”</w:t>
            </w:r>
            <w:r w:rsidR="0006631F" w:rsidRPr="00657A14">
              <w:rPr>
                <w:rFonts w:ascii="Times New Roman" w:hAnsi="Times New Roman" w:cs="Times New Roman"/>
                <w:color w:val="000000" w:themeColor="text1"/>
                <w:sz w:val="24"/>
                <w:szCs w:val="24"/>
              </w:rPr>
              <w:t> (prot. Nr.58 14.§)</w:t>
            </w:r>
            <w:r w:rsidR="00185120" w:rsidRPr="00657A14">
              <w:rPr>
                <w:rFonts w:ascii="Times New Roman" w:hAnsi="Times New Roman" w:cs="Times New Roman"/>
                <w:color w:val="000000" w:themeColor="text1"/>
                <w:sz w:val="24"/>
                <w:szCs w:val="24"/>
              </w:rPr>
              <w:t>.</w:t>
            </w:r>
            <w:r w:rsidR="004B5E9E" w:rsidRPr="00657A14">
              <w:rPr>
                <w:rFonts w:ascii="Times New Roman" w:hAnsi="Times New Roman" w:cs="Times New Roman"/>
                <w:color w:val="000000" w:themeColor="text1"/>
                <w:sz w:val="24"/>
                <w:szCs w:val="24"/>
              </w:rPr>
              <w:t xml:space="preserve"> Likumprojekts (NILLTFNL 12.pant</w:t>
            </w:r>
            <w:r w:rsidR="0006631F" w:rsidRPr="00657A14">
              <w:rPr>
                <w:rFonts w:ascii="Times New Roman" w:hAnsi="Times New Roman" w:cs="Times New Roman"/>
                <w:color w:val="000000" w:themeColor="text1"/>
                <w:sz w:val="24"/>
                <w:szCs w:val="24"/>
              </w:rPr>
              <w:t>a</w:t>
            </w:r>
            <w:r w:rsidR="004B5E9E" w:rsidRPr="00657A14">
              <w:rPr>
                <w:rFonts w:ascii="Times New Roman" w:hAnsi="Times New Roman" w:cs="Times New Roman"/>
                <w:color w:val="000000" w:themeColor="text1"/>
                <w:sz w:val="24"/>
                <w:szCs w:val="24"/>
              </w:rPr>
              <w:t xml:space="preserve"> piektā daļa) paredz</w:t>
            </w:r>
            <w:r w:rsidR="0006631F" w:rsidRPr="00657A14">
              <w:rPr>
                <w:rFonts w:ascii="Times New Roman" w:hAnsi="Times New Roman" w:cs="Times New Roman"/>
                <w:color w:val="000000" w:themeColor="text1"/>
                <w:sz w:val="24"/>
                <w:szCs w:val="24"/>
              </w:rPr>
              <w:t>,</w:t>
            </w:r>
            <w:r w:rsidR="004B5E9E" w:rsidRPr="00657A14">
              <w:rPr>
                <w:rFonts w:ascii="Times New Roman" w:hAnsi="Times New Roman" w:cs="Times New Roman"/>
                <w:color w:val="000000" w:themeColor="text1"/>
                <w:sz w:val="24"/>
                <w:szCs w:val="24"/>
              </w:rPr>
              <w:t xml:space="preserve"> ievērojot AML IV direktīvas 1.punkta d) apakšpunktā noteikt</w:t>
            </w:r>
            <w:r w:rsidR="0006631F" w:rsidRPr="00657A14">
              <w:rPr>
                <w:rFonts w:ascii="Times New Roman" w:hAnsi="Times New Roman" w:cs="Times New Roman"/>
                <w:color w:val="000000" w:themeColor="text1"/>
                <w:sz w:val="24"/>
                <w:szCs w:val="24"/>
              </w:rPr>
              <w:t>o</w:t>
            </w:r>
            <w:r w:rsidR="004B5E9E" w:rsidRPr="00657A14">
              <w:rPr>
                <w:rFonts w:ascii="Times New Roman" w:hAnsi="Times New Roman" w:cs="Times New Roman"/>
                <w:color w:val="000000" w:themeColor="text1"/>
                <w:sz w:val="24"/>
                <w:szCs w:val="24"/>
              </w:rPr>
              <w:t xml:space="preserve">, klienta subjektam veicot klienta izpēti, identificēt personas, kuras ir tiesīgas pārstāvēt klientu attiecībās ar likuma subjektu, </w:t>
            </w:r>
            <w:r w:rsidR="00C9468E" w:rsidRPr="00657A14">
              <w:rPr>
                <w:rFonts w:ascii="Times New Roman" w:hAnsi="Times New Roman" w:cs="Times New Roman"/>
                <w:color w:val="000000" w:themeColor="text1"/>
                <w:sz w:val="24"/>
                <w:szCs w:val="24"/>
              </w:rPr>
              <w:t>iegūstot dokumentu vai attiecīgā dokumenta kopiju, kas apliecina pārstāvības tiesības.</w:t>
            </w:r>
          </w:p>
          <w:p w:rsidR="00C92F8C" w:rsidRPr="00657A14" w:rsidRDefault="008B43F2"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Darījuma attiecību tālākā posmā pēc to uzsākšanas, likuma subjekta pienākums ir uzraudzīt darījuma attiecības, uzraudzības pasākumi</w:t>
            </w:r>
            <w:r w:rsidR="009A768C" w:rsidRPr="00657A14">
              <w:rPr>
                <w:rFonts w:ascii="Times New Roman" w:hAnsi="Times New Roman" w:cs="Times New Roman"/>
                <w:color w:val="000000" w:themeColor="text1"/>
                <w:sz w:val="24"/>
                <w:szCs w:val="24"/>
              </w:rPr>
              <w:t xml:space="preserve"> ietver sevī arī pārbaudes, kuras</w:t>
            </w:r>
            <w:r w:rsidRPr="00657A14">
              <w:rPr>
                <w:rFonts w:ascii="Times New Roman" w:hAnsi="Times New Roman" w:cs="Times New Roman"/>
                <w:color w:val="000000" w:themeColor="text1"/>
                <w:sz w:val="24"/>
                <w:szCs w:val="24"/>
              </w:rPr>
              <w:t xml:space="preserve"> apstiprina, ka darījuma attiecību </w:t>
            </w:r>
            <w:r w:rsidR="00B22A59" w:rsidRPr="00657A14">
              <w:rPr>
                <w:rFonts w:ascii="Times New Roman" w:hAnsi="Times New Roman" w:cs="Times New Roman"/>
                <w:color w:val="000000" w:themeColor="text1"/>
                <w:sz w:val="24"/>
                <w:szCs w:val="24"/>
              </w:rPr>
              <w:t xml:space="preserve">laikā slēgtie darījumi tiek veikti saskaņā ar likuma subjekta rīcībā esošo informāciju </w:t>
            </w:r>
            <w:r w:rsidR="00B22A59" w:rsidRPr="00657A14">
              <w:rPr>
                <w:rFonts w:ascii="Times New Roman" w:hAnsi="Times New Roman" w:cs="Times New Roman"/>
                <w:color w:val="000000" w:themeColor="text1"/>
                <w:sz w:val="24"/>
                <w:szCs w:val="24"/>
              </w:rPr>
              <w:lastRenderedPageBreak/>
              <w:t>par klientu, tā saimniecisko darbību, riska profilu, līdzekļu izcelsmi –</w:t>
            </w:r>
            <w:r w:rsidR="00095EAE" w:rsidRPr="00657A14">
              <w:rPr>
                <w:rFonts w:ascii="Times New Roman" w:hAnsi="Times New Roman" w:cs="Times New Roman"/>
                <w:color w:val="000000" w:themeColor="text1"/>
                <w:sz w:val="24"/>
                <w:szCs w:val="24"/>
              </w:rPr>
              <w:t xml:space="preserve"> likumprojekts</w:t>
            </w:r>
            <w:r w:rsidR="00B22A59" w:rsidRPr="00657A14">
              <w:rPr>
                <w:rFonts w:ascii="Times New Roman" w:hAnsi="Times New Roman" w:cs="Times New Roman"/>
                <w:color w:val="000000" w:themeColor="text1"/>
                <w:sz w:val="24"/>
                <w:szCs w:val="24"/>
              </w:rPr>
              <w:t xml:space="preserve"> (NILLTFNL </w:t>
            </w:r>
            <w:r w:rsidR="00095EAE" w:rsidRPr="00657A14">
              <w:rPr>
                <w:rFonts w:ascii="Times New Roman" w:hAnsi="Times New Roman" w:cs="Times New Roman"/>
                <w:color w:val="000000" w:themeColor="text1"/>
                <w:sz w:val="24"/>
                <w:szCs w:val="24"/>
              </w:rPr>
              <w:t>11</w:t>
            </w:r>
            <w:r w:rsidR="0006631F" w:rsidRPr="00657A14">
              <w:rPr>
                <w:rFonts w:ascii="Times New Roman" w:hAnsi="Times New Roman" w:cs="Times New Roman"/>
                <w:color w:val="000000" w:themeColor="text1"/>
                <w:sz w:val="24"/>
                <w:szCs w:val="24"/>
              </w:rPr>
              <w:t>.</w:t>
            </w:r>
            <w:r w:rsidR="00095EAE"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095EAE" w:rsidRPr="00657A14">
              <w:rPr>
                <w:rFonts w:ascii="Times New Roman" w:hAnsi="Times New Roman" w:cs="Times New Roman"/>
                <w:color w:val="000000" w:themeColor="text1"/>
                <w:sz w:val="24"/>
                <w:szCs w:val="24"/>
              </w:rPr>
              <w:t xml:space="preserve"> pirmā</w:t>
            </w:r>
            <w:r w:rsidR="006D7935" w:rsidRPr="00657A14">
              <w:rPr>
                <w:rFonts w:ascii="Times New Roman" w:hAnsi="Times New Roman" w:cs="Times New Roman"/>
                <w:color w:val="000000" w:themeColor="text1"/>
                <w:sz w:val="24"/>
                <w:szCs w:val="24"/>
              </w:rPr>
              <w:t>s</w:t>
            </w:r>
            <w:r w:rsidR="00095EAE" w:rsidRPr="00657A14">
              <w:rPr>
                <w:rFonts w:ascii="Times New Roman" w:hAnsi="Times New Roman" w:cs="Times New Roman"/>
                <w:color w:val="000000" w:themeColor="text1"/>
                <w:sz w:val="24"/>
                <w:szCs w:val="24"/>
              </w:rPr>
              <w:t xml:space="preserve"> daļa</w:t>
            </w:r>
            <w:r w:rsidR="006D7935" w:rsidRPr="00657A14">
              <w:rPr>
                <w:rFonts w:ascii="Times New Roman" w:hAnsi="Times New Roman" w:cs="Times New Roman"/>
                <w:color w:val="000000" w:themeColor="text1"/>
                <w:sz w:val="24"/>
                <w:szCs w:val="24"/>
              </w:rPr>
              <w:t>s</w:t>
            </w:r>
            <w:r w:rsidR="00095EAE" w:rsidRPr="00657A14">
              <w:rPr>
                <w:rFonts w:ascii="Times New Roman" w:hAnsi="Times New Roman" w:cs="Times New Roman"/>
                <w:color w:val="000000" w:themeColor="text1"/>
                <w:sz w:val="24"/>
                <w:szCs w:val="24"/>
              </w:rPr>
              <w:t xml:space="preserve"> 4.punkts</w:t>
            </w:r>
            <w:r w:rsidR="00B22A59" w:rsidRPr="00657A14">
              <w:rPr>
                <w:rFonts w:ascii="Times New Roman" w:hAnsi="Times New Roman" w:cs="Times New Roman"/>
                <w:color w:val="000000" w:themeColor="text1"/>
                <w:sz w:val="24"/>
                <w:szCs w:val="24"/>
              </w:rPr>
              <w:t>)</w:t>
            </w:r>
            <w:r w:rsidR="00EB5ADB" w:rsidRPr="00657A14">
              <w:rPr>
                <w:rFonts w:ascii="Times New Roman" w:hAnsi="Times New Roman" w:cs="Times New Roman"/>
                <w:color w:val="000000" w:themeColor="text1"/>
                <w:sz w:val="24"/>
                <w:szCs w:val="24"/>
              </w:rPr>
              <w:t xml:space="preserve"> </w:t>
            </w:r>
            <w:r w:rsidR="004F49E2" w:rsidRPr="00657A14">
              <w:rPr>
                <w:rFonts w:ascii="Times New Roman" w:hAnsi="Times New Roman" w:cs="Times New Roman"/>
                <w:color w:val="000000" w:themeColor="text1"/>
                <w:sz w:val="24"/>
                <w:szCs w:val="24"/>
              </w:rPr>
              <w:t>izstrādāts atbilstoši AML IV direktīvas 13.panta 1.punkta d) apakšpunkta prasībām</w:t>
            </w:r>
            <w:r w:rsidR="0006631F" w:rsidRPr="00657A14">
              <w:rPr>
                <w:rFonts w:ascii="Times New Roman" w:hAnsi="Times New Roman" w:cs="Times New Roman"/>
                <w:color w:val="000000" w:themeColor="text1"/>
                <w:sz w:val="24"/>
                <w:szCs w:val="24"/>
              </w:rPr>
              <w:t>,</w:t>
            </w:r>
            <w:r w:rsidR="009A768C" w:rsidRPr="00657A14">
              <w:rPr>
                <w:rFonts w:ascii="Times New Roman" w:hAnsi="Times New Roman" w:cs="Times New Roman"/>
                <w:color w:val="000000" w:themeColor="text1"/>
                <w:sz w:val="24"/>
                <w:szCs w:val="24"/>
              </w:rPr>
              <w:t xml:space="preserve"> kā arī FATF 10.rekomendācija</w:t>
            </w:r>
            <w:r w:rsidR="0006631F" w:rsidRPr="00657A14">
              <w:rPr>
                <w:rFonts w:ascii="Times New Roman" w:hAnsi="Times New Roman" w:cs="Times New Roman"/>
                <w:color w:val="000000" w:themeColor="text1"/>
                <w:sz w:val="24"/>
                <w:szCs w:val="24"/>
              </w:rPr>
              <w:t>i</w:t>
            </w:r>
            <w:r w:rsidR="009A768C" w:rsidRPr="00657A14">
              <w:rPr>
                <w:rFonts w:ascii="Times New Roman" w:hAnsi="Times New Roman" w:cs="Times New Roman"/>
                <w:color w:val="000000" w:themeColor="text1"/>
                <w:sz w:val="24"/>
                <w:szCs w:val="24"/>
              </w:rPr>
              <w:t xml:space="preserve"> </w:t>
            </w:r>
            <w:r w:rsidR="0006631F" w:rsidRPr="00657A14">
              <w:rPr>
                <w:rFonts w:ascii="Times New Roman" w:hAnsi="Times New Roman" w:cs="Times New Roman"/>
                <w:color w:val="000000" w:themeColor="text1"/>
                <w:sz w:val="24"/>
                <w:szCs w:val="24"/>
              </w:rPr>
              <w:t>“K</w:t>
            </w:r>
            <w:r w:rsidR="009A768C" w:rsidRPr="00657A14">
              <w:rPr>
                <w:rFonts w:ascii="Times New Roman" w:hAnsi="Times New Roman" w:cs="Times New Roman"/>
                <w:color w:val="000000" w:themeColor="text1"/>
                <w:sz w:val="24"/>
                <w:szCs w:val="24"/>
              </w:rPr>
              <w:t>lienta izpēte</w:t>
            </w:r>
            <w:r w:rsidR="0006631F" w:rsidRPr="00657A14">
              <w:rPr>
                <w:rFonts w:ascii="Times New Roman" w:hAnsi="Times New Roman" w:cs="Times New Roman"/>
                <w:color w:val="000000" w:themeColor="text1"/>
                <w:sz w:val="24"/>
                <w:szCs w:val="24"/>
              </w:rPr>
              <w:t>”</w:t>
            </w:r>
            <w:r w:rsidR="009A768C" w:rsidRPr="00657A14">
              <w:rPr>
                <w:rFonts w:ascii="Times New Roman" w:hAnsi="Times New Roman" w:cs="Times New Roman"/>
                <w:color w:val="000000" w:themeColor="text1"/>
                <w:sz w:val="24"/>
                <w:szCs w:val="24"/>
              </w:rPr>
              <w:t xml:space="preserve"> c) un d) punkt</w:t>
            </w:r>
            <w:r w:rsidR="0006631F" w:rsidRPr="00657A14">
              <w:rPr>
                <w:rFonts w:ascii="Times New Roman" w:hAnsi="Times New Roman" w:cs="Times New Roman"/>
                <w:color w:val="000000" w:themeColor="text1"/>
                <w:sz w:val="24"/>
                <w:szCs w:val="24"/>
              </w:rPr>
              <w:t>am</w:t>
            </w:r>
            <w:r w:rsidR="004F49E2" w:rsidRPr="00657A14">
              <w:rPr>
                <w:rFonts w:ascii="Times New Roman" w:hAnsi="Times New Roman" w:cs="Times New Roman"/>
                <w:color w:val="000000" w:themeColor="text1"/>
                <w:sz w:val="24"/>
                <w:szCs w:val="24"/>
              </w:rPr>
              <w:t>.</w:t>
            </w:r>
            <w:r w:rsidR="006A525B" w:rsidRPr="00657A14">
              <w:rPr>
                <w:rFonts w:ascii="Times New Roman" w:hAnsi="Times New Roman" w:cs="Times New Roman"/>
                <w:color w:val="000000" w:themeColor="text1"/>
                <w:sz w:val="24"/>
                <w:szCs w:val="24"/>
              </w:rPr>
              <w:t xml:space="preserve"> </w:t>
            </w:r>
            <w:r w:rsidR="00800764" w:rsidRPr="00657A14">
              <w:rPr>
                <w:rFonts w:ascii="Times New Roman" w:hAnsi="Times New Roman" w:cs="Times New Roman"/>
                <w:color w:val="000000" w:themeColor="text1"/>
                <w:sz w:val="24"/>
                <w:szCs w:val="24"/>
              </w:rPr>
              <w:t xml:space="preserve">Likuma subjekts klienta izpētes </w:t>
            </w:r>
            <w:r w:rsidR="00377932" w:rsidRPr="00657A14">
              <w:rPr>
                <w:rFonts w:ascii="Times New Roman" w:hAnsi="Times New Roman" w:cs="Times New Roman"/>
                <w:color w:val="000000" w:themeColor="text1"/>
                <w:sz w:val="24"/>
                <w:szCs w:val="24"/>
              </w:rPr>
              <w:t>laikā</w:t>
            </w:r>
            <w:r w:rsidR="00E07A5A" w:rsidRPr="00657A14">
              <w:rPr>
                <w:rFonts w:ascii="Times New Roman" w:hAnsi="Times New Roman" w:cs="Times New Roman"/>
                <w:color w:val="000000" w:themeColor="text1"/>
                <w:sz w:val="24"/>
                <w:szCs w:val="24"/>
              </w:rPr>
              <w:t xml:space="preserve"> iegūto informāciju, datus</w:t>
            </w:r>
            <w:r w:rsidR="00AF76A5" w:rsidRPr="00657A14">
              <w:rPr>
                <w:rFonts w:ascii="Times New Roman" w:hAnsi="Times New Roman" w:cs="Times New Roman"/>
                <w:color w:val="000000" w:themeColor="text1"/>
                <w:sz w:val="24"/>
                <w:szCs w:val="24"/>
              </w:rPr>
              <w:t xml:space="preserve"> </w:t>
            </w:r>
            <w:r w:rsidR="00900176" w:rsidRPr="00657A14">
              <w:rPr>
                <w:rFonts w:ascii="Times New Roman" w:hAnsi="Times New Roman" w:cs="Times New Roman"/>
                <w:color w:val="000000" w:themeColor="text1"/>
                <w:sz w:val="24"/>
                <w:szCs w:val="24"/>
              </w:rPr>
              <w:t xml:space="preserve">un </w:t>
            </w:r>
            <w:r w:rsidR="00461F84" w:rsidRPr="00657A14">
              <w:rPr>
                <w:rFonts w:ascii="Times New Roman" w:hAnsi="Times New Roman" w:cs="Times New Roman"/>
                <w:color w:val="000000" w:themeColor="text1"/>
                <w:sz w:val="24"/>
                <w:szCs w:val="24"/>
              </w:rPr>
              <w:t xml:space="preserve">dokumentus uzglabā un regulāri aktualizē – likumprojekts (NILLTFNL </w:t>
            </w:r>
            <w:r w:rsidR="00EB5ADB" w:rsidRPr="00657A14">
              <w:rPr>
                <w:rFonts w:ascii="Times New Roman" w:hAnsi="Times New Roman" w:cs="Times New Roman"/>
                <w:color w:val="000000" w:themeColor="text1"/>
                <w:sz w:val="24"/>
                <w:szCs w:val="24"/>
              </w:rPr>
              <w:t>11</w:t>
            </w:r>
            <w:r w:rsidR="0006631F" w:rsidRPr="00657A14">
              <w:rPr>
                <w:rFonts w:ascii="Times New Roman" w:hAnsi="Times New Roman" w:cs="Times New Roman"/>
                <w:color w:val="000000" w:themeColor="text1"/>
                <w:sz w:val="24"/>
                <w:szCs w:val="24"/>
              </w:rPr>
              <w:t>.</w:t>
            </w:r>
            <w:r w:rsidR="00EB5ADB"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EB5ADB" w:rsidRPr="00657A14">
              <w:rPr>
                <w:rFonts w:ascii="Times New Roman" w:hAnsi="Times New Roman" w:cs="Times New Roman"/>
                <w:color w:val="000000" w:themeColor="text1"/>
                <w:sz w:val="24"/>
                <w:szCs w:val="24"/>
              </w:rPr>
              <w:t xml:space="preserve"> pirmā</w:t>
            </w:r>
            <w:r w:rsidR="006D7935" w:rsidRPr="00657A14">
              <w:rPr>
                <w:rFonts w:ascii="Times New Roman" w:hAnsi="Times New Roman" w:cs="Times New Roman"/>
                <w:color w:val="000000" w:themeColor="text1"/>
                <w:sz w:val="24"/>
                <w:szCs w:val="24"/>
              </w:rPr>
              <w:t>s</w:t>
            </w:r>
            <w:r w:rsidR="00EB5ADB" w:rsidRPr="00657A14">
              <w:rPr>
                <w:rFonts w:ascii="Times New Roman" w:hAnsi="Times New Roman" w:cs="Times New Roman"/>
                <w:color w:val="000000" w:themeColor="text1"/>
                <w:sz w:val="24"/>
                <w:szCs w:val="24"/>
              </w:rPr>
              <w:t xml:space="preserve"> daļa</w:t>
            </w:r>
            <w:r w:rsidR="006D7935" w:rsidRPr="00657A14">
              <w:rPr>
                <w:rFonts w:ascii="Times New Roman" w:hAnsi="Times New Roman" w:cs="Times New Roman"/>
                <w:color w:val="000000" w:themeColor="text1"/>
                <w:sz w:val="24"/>
                <w:szCs w:val="24"/>
              </w:rPr>
              <w:t>s</w:t>
            </w:r>
            <w:r w:rsidR="00461D7F" w:rsidRPr="00657A14">
              <w:rPr>
                <w:rFonts w:ascii="Times New Roman" w:hAnsi="Times New Roman" w:cs="Times New Roman"/>
                <w:color w:val="000000" w:themeColor="text1"/>
                <w:sz w:val="24"/>
                <w:szCs w:val="24"/>
              </w:rPr>
              <w:t xml:space="preserve"> 5</w:t>
            </w:r>
            <w:r w:rsidR="00EB5ADB" w:rsidRPr="00657A14">
              <w:rPr>
                <w:rFonts w:ascii="Times New Roman" w:hAnsi="Times New Roman" w:cs="Times New Roman"/>
                <w:color w:val="000000" w:themeColor="text1"/>
                <w:sz w:val="24"/>
                <w:szCs w:val="24"/>
              </w:rPr>
              <w:t>.punkts</w:t>
            </w:r>
            <w:r w:rsidR="00461F84" w:rsidRPr="00657A14">
              <w:rPr>
                <w:rFonts w:ascii="Times New Roman" w:hAnsi="Times New Roman" w:cs="Times New Roman"/>
                <w:color w:val="000000" w:themeColor="text1"/>
                <w:sz w:val="24"/>
                <w:szCs w:val="24"/>
              </w:rPr>
              <w:t>)</w:t>
            </w:r>
            <w:r w:rsidR="006304D8" w:rsidRPr="00657A14">
              <w:rPr>
                <w:rFonts w:ascii="Times New Roman" w:hAnsi="Times New Roman" w:cs="Times New Roman"/>
                <w:color w:val="000000" w:themeColor="text1"/>
                <w:sz w:val="24"/>
                <w:szCs w:val="24"/>
              </w:rPr>
              <w:t xml:space="preserve">, </w:t>
            </w:r>
            <w:r w:rsidR="0006631F" w:rsidRPr="00657A14">
              <w:rPr>
                <w:rFonts w:ascii="Times New Roman" w:hAnsi="Times New Roman" w:cs="Times New Roman"/>
                <w:color w:val="000000" w:themeColor="text1"/>
                <w:sz w:val="24"/>
                <w:szCs w:val="24"/>
              </w:rPr>
              <w:t xml:space="preserve">to nosaka </w:t>
            </w:r>
            <w:r w:rsidR="006304D8" w:rsidRPr="00657A14">
              <w:rPr>
                <w:rFonts w:ascii="Times New Roman" w:hAnsi="Times New Roman" w:cs="Times New Roman"/>
                <w:color w:val="000000" w:themeColor="text1"/>
                <w:sz w:val="24"/>
                <w:szCs w:val="24"/>
              </w:rPr>
              <w:t>FATF 10.rekomendācija</w:t>
            </w:r>
            <w:r w:rsidR="0006631F" w:rsidRPr="00657A14">
              <w:rPr>
                <w:rFonts w:ascii="Times New Roman" w:hAnsi="Times New Roman" w:cs="Times New Roman"/>
                <w:color w:val="000000" w:themeColor="text1"/>
                <w:sz w:val="24"/>
                <w:szCs w:val="24"/>
              </w:rPr>
              <w:t>s</w:t>
            </w:r>
            <w:r w:rsidR="006304D8" w:rsidRPr="00657A14">
              <w:rPr>
                <w:rFonts w:ascii="Times New Roman" w:hAnsi="Times New Roman" w:cs="Times New Roman"/>
                <w:color w:val="000000" w:themeColor="text1"/>
                <w:sz w:val="24"/>
                <w:szCs w:val="24"/>
              </w:rPr>
              <w:t xml:space="preserve"> </w:t>
            </w:r>
            <w:r w:rsidR="0006631F" w:rsidRPr="00657A14">
              <w:rPr>
                <w:rFonts w:ascii="Times New Roman" w:hAnsi="Times New Roman" w:cs="Times New Roman"/>
                <w:color w:val="000000" w:themeColor="text1"/>
                <w:sz w:val="24"/>
                <w:szCs w:val="24"/>
              </w:rPr>
              <w:t>“K</w:t>
            </w:r>
            <w:r w:rsidR="006304D8" w:rsidRPr="00657A14">
              <w:rPr>
                <w:rFonts w:ascii="Times New Roman" w:hAnsi="Times New Roman" w:cs="Times New Roman"/>
                <w:color w:val="000000" w:themeColor="text1"/>
                <w:sz w:val="24"/>
                <w:szCs w:val="24"/>
              </w:rPr>
              <w:t>lienta izp</w:t>
            </w:r>
            <w:r w:rsidR="00611CAC" w:rsidRPr="00657A14">
              <w:rPr>
                <w:rFonts w:ascii="Times New Roman" w:hAnsi="Times New Roman" w:cs="Times New Roman"/>
                <w:color w:val="000000" w:themeColor="text1"/>
                <w:sz w:val="24"/>
                <w:szCs w:val="24"/>
              </w:rPr>
              <w:t>ēte</w:t>
            </w:r>
            <w:r w:rsidR="0006631F" w:rsidRPr="00657A14">
              <w:rPr>
                <w:rFonts w:ascii="Times New Roman" w:hAnsi="Times New Roman" w:cs="Times New Roman"/>
                <w:color w:val="000000" w:themeColor="text1"/>
                <w:sz w:val="24"/>
                <w:szCs w:val="24"/>
              </w:rPr>
              <w:t>”</w:t>
            </w:r>
            <w:r w:rsidR="00611CAC" w:rsidRPr="00657A14">
              <w:rPr>
                <w:rFonts w:ascii="Times New Roman" w:hAnsi="Times New Roman" w:cs="Times New Roman"/>
                <w:color w:val="000000" w:themeColor="text1"/>
                <w:sz w:val="24"/>
                <w:szCs w:val="24"/>
              </w:rPr>
              <w:t xml:space="preserve"> 11.punkts</w:t>
            </w:r>
            <w:r w:rsidR="0006631F" w:rsidRPr="00657A14">
              <w:rPr>
                <w:rFonts w:ascii="Times New Roman" w:hAnsi="Times New Roman" w:cs="Times New Roman"/>
                <w:color w:val="000000" w:themeColor="text1"/>
                <w:sz w:val="24"/>
                <w:szCs w:val="24"/>
              </w:rPr>
              <w:t>-</w:t>
            </w:r>
            <w:r w:rsidR="00611CAC" w:rsidRPr="00657A14">
              <w:rPr>
                <w:rFonts w:ascii="Times New Roman" w:hAnsi="Times New Roman" w:cs="Times New Roman"/>
                <w:color w:val="000000" w:themeColor="text1"/>
                <w:sz w:val="24"/>
                <w:szCs w:val="24"/>
              </w:rPr>
              <w:t xml:space="preserve"> </w:t>
            </w:r>
            <w:r w:rsidR="0006631F" w:rsidRPr="00657A14">
              <w:rPr>
                <w:rFonts w:ascii="Times New Roman" w:hAnsi="Times New Roman" w:cs="Times New Roman"/>
                <w:color w:val="000000" w:themeColor="text1"/>
                <w:sz w:val="24"/>
                <w:szCs w:val="24"/>
              </w:rPr>
              <w:t>“D</w:t>
            </w:r>
            <w:r w:rsidR="006304D8" w:rsidRPr="00657A14">
              <w:rPr>
                <w:rFonts w:ascii="Times New Roman" w:hAnsi="Times New Roman" w:cs="Times New Roman"/>
                <w:color w:val="000000" w:themeColor="text1"/>
                <w:sz w:val="24"/>
                <w:szCs w:val="24"/>
              </w:rPr>
              <w:t>atu uzglabāšana</w:t>
            </w:r>
            <w:r w:rsidR="0006631F" w:rsidRPr="00657A14">
              <w:rPr>
                <w:rFonts w:ascii="Times New Roman" w:hAnsi="Times New Roman" w:cs="Times New Roman"/>
                <w:color w:val="000000" w:themeColor="text1"/>
                <w:sz w:val="24"/>
                <w:szCs w:val="24"/>
              </w:rPr>
              <w:t>”</w:t>
            </w:r>
            <w:r w:rsidR="00461D7F" w:rsidRPr="00657A14">
              <w:rPr>
                <w:rFonts w:ascii="Times New Roman" w:hAnsi="Times New Roman" w:cs="Times New Roman"/>
                <w:color w:val="000000" w:themeColor="text1"/>
                <w:sz w:val="24"/>
                <w:szCs w:val="24"/>
              </w:rPr>
              <w:t xml:space="preserve">. </w:t>
            </w:r>
            <w:r w:rsidR="000425C2" w:rsidRPr="00657A14">
              <w:rPr>
                <w:rFonts w:ascii="Times New Roman" w:hAnsi="Times New Roman" w:cs="Times New Roman"/>
                <w:color w:val="000000" w:themeColor="text1"/>
                <w:sz w:val="24"/>
                <w:szCs w:val="24"/>
              </w:rPr>
              <w:t xml:space="preserve">Klienta izpētes </w:t>
            </w:r>
            <w:r w:rsidR="00074C3D" w:rsidRPr="00657A14">
              <w:rPr>
                <w:rFonts w:ascii="Times New Roman" w:hAnsi="Times New Roman" w:cs="Times New Roman"/>
                <w:color w:val="000000" w:themeColor="text1"/>
                <w:sz w:val="24"/>
                <w:szCs w:val="24"/>
              </w:rPr>
              <w:t>apjomu un kārtību nosakot</w:t>
            </w:r>
            <w:r w:rsidR="00611CAC" w:rsidRPr="00657A14">
              <w:rPr>
                <w:rFonts w:ascii="Times New Roman" w:hAnsi="Times New Roman" w:cs="Times New Roman"/>
                <w:color w:val="000000" w:themeColor="text1"/>
                <w:sz w:val="24"/>
                <w:szCs w:val="24"/>
              </w:rPr>
              <w:t>, t</w:t>
            </w:r>
            <w:r w:rsidR="00BD6354" w:rsidRPr="00657A14">
              <w:rPr>
                <w:rFonts w:ascii="Times New Roman" w:hAnsi="Times New Roman" w:cs="Times New Roman"/>
                <w:color w:val="000000" w:themeColor="text1"/>
                <w:sz w:val="24"/>
                <w:szCs w:val="24"/>
              </w:rPr>
              <w:t xml:space="preserve">iek ņemti </w:t>
            </w:r>
            <w:r w:rsidR="0006631F" w:rsidRPr="00657A14">
              <w:rPr>
                <w:rFonts w:ascii="Times New Roman" w:hAnsi="Times New Roman" w:cs="Times New Roman"/>
                <w:color w:val="000000" w:themeColor="text1"/>
                <w:sz w:val="24"/>
                <w:szCs w:val="24"/>
              </w:rPr>
              <w:t xml:space="preserve">vērā </w:t>
            </w:r>
            <w:r w:rsidR="00BD6354" w:rsidRPr="00657A14">
              <w:rPr>
                <w:rFonts w:ascii="Times New Roman" w:hAnsi="Times New Roman" w:cs="Times New Roman"/>
                <w:color w:val="000000" w:themeColor="text1"/>
                <w:sz w:val="24"/>
                <w:szCs w:val="24"/>
              </w:rPr>
              <w:t>noziedzīgi iegūtu līdzekļu legalizācijas un terorisma finansēšanas riski</w:t>
            </w:r>
            <w:r w:rsidR="009C4CCE" w:rsidRPr="00657A14">
              <w:rPr>
                <w:rFonts w:ascii="Times New Roman" w:hAnsi="Times New Roman" w:cs="Times New Roman"/>
                <w:color w:val="000000" w:themeColor="text1"/>
                <w:sz w:val="24"/>
                <w:szCs w:val="24"/>
              </w:rPr>
              <w:t>, tos var radīt klienta rezidences valsts, juridiskā forma, darbības veids, izmantotie pakalpojumi un veiktie darījumi</w:t>
            </w:r>
            <w:r w:rsidR="002729D0" w:rsidRPr="00657A14">
              <w:rPr>
                <w:rFonts w:ascii="Times New Roman" w:hAnsi="Times New Roman" w:cs="Times New Roman"/>
                <w:color w:val="000000" w:themeColor="text1"/>
                <w:sz w:val="24"/>
                <w:szCs w:val="24"/>
              </w:rPr>
              <w:t xml:space="preserve"> – likumprojekts (NILLTFNL 11</w:t>
            </w:r>
            <w:r w:rsidR="0006631F" w:rsidRPr="00657A14">
              <w:rPr>
                <w:rFonts w:ascii="Times New Roman" w:hAnsi="Times New Roman" w:cs="Times New Roman"/>
                <w:color w:val="000000" w:themeColor="text1"/>
                <w:sz w:val="24"/>
                <w:szCs w:val="24"/>
              </w:rPr>
              <w:t>.</w:t>
            </w:r>
            <w:r w:rsidR="002729D0"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2729D0" w:rsidRPr="00657A14">
              <w:rPr>
                <w:rFonts w:ascii="Times New Roman" w:hAnsi="Times New Roman" w:cs="Times New Roman"/>
                <w:color w:val="000000" w:themeColor="text1"/>
                <w:sz w:val="24"/>
                <w:szCs w:val="24"/>
              </w:rPr>
              <w:t xml:space="preserve"> otrā daļa) izstrādāts atbilstoši AML IV direktīvas </w:t>
            </w:r>
            <w:r w:rsidR="00516A80" w:rsidRPr="00657A14">
              <w:rPr>
                <w:rFonts w:ascii="Times New Roman" w:hAnsi="Times New Roman" w:cs="Times New Roman"/>
                <w:color w:val="000000" w:themeColor="text1"/>
                <w:sz w:val="24"/>
                <w:szCs w:val="24"/>
              </w:rPr>
              <w:t xml:space="preserve">13.panta 3.punktam un I pielikumam. </w:t>
            </w:r>
            <w:r w:rsidR="00D57638" w:rsidRPr="00657A14">
              <w:rPr>
                <w:rFonts w:ascii="Times New Roman" w:hAnsi="Times New Roman" w:cs="Times New Roman"/>
                <w:color w:val="000000" w:themeColor="text1"/>
                <w:sz w:val="24"/>
                <w:szCs w:val="24"/>
              </w:rPr>
              <w:t>Lai spētu izvērtēt klientam piemītošo noziedzīgi iegūtu līdzekļu legalizācijas un terorisma finansēšanas risku</w:t>
            </w:r>
            <w:r w:rsidR="0006631F" w:rsidRPr="00657A14">
              <w:rPr>
                <w:rFonts w:ascii="Times New Roman" w:hAnsi="Times New Roman" w:cs="Times New Roman"/>
                <w:color w:val="000000" w:themeColor="text1"/>
                <w:sz w:val="24"/>
                <w:szCs w:val="24"/>
              </w:rPr>
              <w:t>,</w:t>
            </w:r>
            <w:r w:rsidR="00D57638" w:rsidRPr="00657A14">
              <w:rPr>
                <w:rFonts w:ascii="Times New Roman" w:hAnsi="Times New Roman" w:cs="Times New Roman"/>
                <w:color w:val="000000" w:themeColor="text1"/>
                <w:sz w:val="24"/>
                <w:szCs w:val="24"/>
              </w:rPr>
              <w:t xml:space="preserve"> tiek iegūta informācija, balstoties uz risku ietekmējošiem rādītājiem – darījuma attiecību mērķis, klienta plānoto </w:t>
            </w:r>
            <w:r w:rsidR="00791E3F" w:rsidRPr="00657A14">
              <w:rPr>
                <w:rFonts w:ascii="Times New Roman" w:hAnsi="Times New Roman" w:cs="Times New Roman"/>
                <w:color w:val="000000" w:themeColor="text1"/>
                <w:sz w:val="24"/>
                <w:szCs w:val="24"/>
              </w:rPr>
              <w:t>un veikto darījumu regularitāte, darījumu attiecību ilgums un darījumu regularitāte</w:t>
            </w:r>
            <w:r w:rsidR="005D5214" w:rsidRPr="00657A14">
              <w:rPr>
                <w:rFonts w:ascii="Times New Roman" w:hAnsi="Times New Roman" w:cs="Times New Roman"/>
                <w:color w:val="000000" w:themeColor="text1"/>
                <w:sz w:val="24"/>
                <w:szCs w:val="24"/>
              </w:rPr>
              <w:t xml:space="preserve"> – likumprojekts (NILLTFNL 11</w:t>
            </w:r>
            <w:r w:rsidR="0006631F" w:rsidRPr="00657A14">
              <w:rPr>
                <w:rFonts w:ascii="Times New Roman" w:hAnsi="Times New Roman" w:cs="Times New Roman"/>
                <w:color w:val="000000" w:themeColor="text1"/>
                <w:sz w:val="24"/>
                <w:szCs w:val="24"/>
              </w:rPr>
              <w:t>.</w:t>
            </w:r>
            <w:r w:rsidR="005D5214" w:rsidRPr="00657A14">
              <w:rPr>
                <w:rFonts w:ascii="Times New Roman" w:hAnsi="Times New Roman" w:cs="Times New Roman"/>
                <w:color w:val="000000" w:themeColor="text1"/>
                <w:sz w:val="24"/>
                <w:szCs w:val="24"/>
              </w:rPr>
              <w:t>¹</w:t>
            </w:r>
            <w:r w:rsidR="0006631F" w:rsidRPr="00657A14">
              <w:rPr>
                <w:rFonts w:ascii="Times New Roman" w:hAnsi="Times New Roman" w:cs="Times New Roman"/>
                <w:color w:val="000000" w:themeColor="text1"/>
                <w:sz w:val="24"/>
                <w:szCs w:val="24"/>
              </w:rPr>
              <w:t>p</w:t>
            </w:r>
            <w:r w:rsidR="005D5214" w:rsidRPr="00657A14">
              <w:rPr>
                <w:rFonts w:ascii="Times New Roman" w:hAnsi="Times New Roman" w:cs="Times New Roman"/>
                <w:color w:val="000000" w:themeColor="text1"/>
                <w:sz w:val="24"/>
                <w:szCs w:val="24"/>
              </w:rPr>
              <w:t>ant</w:t>
            </w:r>
            <w:r w:rsidR="006D7935" w:rsidRPr="00657A14">
              <w:rPr>
                <w:rFonts w:ascii="Times New Roman" w:hAnsi="Times New Roman" w:cs="Times New Roman"/>
                <w:color w:val="000000" w:themeColor="text1"/>
                <w:sz w:val="24"/>
                <w:szCs w:val="24"/>
              </w:rPr>
              <w:t>a</w:t>
            </w:r>
            <w:r w:rsidR="005D5214" w:rsidRPr="00657A14">
              <w:rPr>
                <w:rFonts w:ascii="Times New Roman" w:hAnsi="Times New Roman" w:cs="Times New Roman"/>
                <w:color w:val="000000" w:themeColor="text1"/>
                <w:sz w:val="24"/>
                <w:szCs w:val="24"/>
              </w:rPr>
              <w:t xml:space="preserve"> otrā</w:t>
            </w:r>
            <w:r w:rsidR="0006631F" w:rsidRPr="00657A14">
              <w:rPr>
                <w:rFonts w:ascii="Times New Roman" w:hAnsi="Times New Roman" w:cs="Times New Roman"/>
                <w:color w:val="000000" w:themeColor="text1"/>
                <w:sz w:val="24"/>
                <w:szCs w:val="24"/>
              </w:rPr>
              <w:t>s</w:t>
            </w:r>
            <w:r w:rsidR="005D5214" w:rsidRPr="00657A14">
              <w:rPr>
                <w:rFonts w:ascii="Times New Roman" w:hAnsi="Times New Roman" w:cs="Times New Roman"/>
                <w:color w:val="000000" w:themeColor="text1"/>
                <w:sz w:val="24"/>
                <w:szCs w:val="24"/>
              </w:rPr>
              <w:t xml:space="preserve"> daļa</w:t>
            </w:r>
            <w:r w:rsidR="0006631F" w:rsidRPr="00657A14">
              <w:rPr>
                <w:rFonts w:ascii="Times New Roman" w:hAnsi="Times New Roman" w:cs="Times New Roman"/>
                <w:color w:val="000000" w:themeColor="text1"/>
                <w:sz w:val="24"/>
                <w:szCs w:val="24"/>
              </w:rPr>
              <w:t>s</w:t>
            </w:r>
            <w:r w:rsidR="005D5214" w:rsidRPr="00657A14">
              <w:rPr>
                <w:rFonts w:ascii="Times New Roman" w:hAnsi="Times New Roman" w:cs="Times New Roman"/>
                <w:color w:val="000000" w:themeColor="text1"/>
                <w:sz w:val="24"/>
                <w:szCs w:val="24"/>
              </w:rPr>
              <w:t xml:space="preserve"> 1., 2., 3. punkts) izstrādāts atbilstoši </w:t>
            </w:r>
            <w:r w:rsidR="00B74283" w:rsidRPr="00657A14">
              <w:rPr>
                <w:rFonts w:ascii="Times New Roman" w:hAnsi="Times New Roman" w:cs="Times New Roman"/>
                <w:color w:val="000000" w:themeColor="text1"/>
                <w:sz w:val="24"/>
                <w:szCs w:val="24"/>
              </w:rPr>
              <w:t>AML IV direktīvas I pielikumam.</w:t>
            </w:r>
            <w:r w:rsidR="003F0550" w:rsidRPr="00657A14">
              <w:rPr>
                <w:rFonts w:ascii="Times New Roman" w:hAnsi="Times New Roman" w:cs="Times New Roman"/>
                <w:color w:val="000000" w:themeColor="text1"/>
                <w:sz w:val="24"/>
                <w:szCs w:val="24"/>
              </w:rPr>
              <w:t xml:space="preserve"> Uzsākoties darījuma attiecīb</w:t>
            </w:r>
            <w:r w:rsidR="00504DE2" w:rsidRPr="00657A14">
              <w:rPr>
                <w:rFonts w:ascii="Times New Roman" w:hAnsi="Times New Roman" w:cs="Times New Roman"/>
                <w:color w:val="000000" w:themeColor="text1"/>
                <w:sz w:val="24"/>
                <w:szCs w:val="24"/>
              </w:rPr>
              <w:t>ām</w:t>
            </w:r>
            <w:r w:rsidR="003F0550" w:rsidRPr="00657A14">
              <w:rPr>
                <w:rFonts w:ascii="Times New Roman" w:hAnsi="Times New Roman" w:cs="Times New Roman"/>
                <w:color w:val="000000" w:themeColor="text1"/>
                <w:sz w:val="24"/>
                <w:szCs w:val="24"/>
              </w:rPr>
              <w:t>, likuma subjekta pien</w:t>
            </w:r>
            <w:r w:rsidR="00DA2C2B" w:rsidRPr="00657A14">
              <w:rPr>
                <w:rFonts w:ascii="Times New Roman" w:hAnsi="Times New Roman" w:cs="Times New Roman"/>
                <w:color w:val="000000" w:themeColor="text1"/>
                <w:sz w:val="24"/>
                <w:szCs w:val="24"/>
              </w:rPr>
              <w:t>ākums ir</w:t>
            </w:r>
            <w:r w:rsidR="003F0550" w:rsidRPr="00657A14">
              <w:rPr>
                <w:rFonts w:ascii="Times New Roman" w:hAnsi="Times New Roman" w:cs="Times New Roman"/>
                <w:color w:val="000000" w:themeColor="text1"/>
                <w:sz w:val="24"/>
                <w:szCs w:val="24"/>
              </w:rPr>
              <w:t xml:space="preserve">, balstoties </w:t>
            </w:r>
            <w:r w:rsidR="0006631F" w:rsidRPr="00657A14">
              <w:rPr>
                <w:rFonts w:ascii="Times New Roman" w:hAnsi="Times New Roman" w:cs="Times New Roman"/>
                <w:color w:val="000000" w:themeColor="text1"/>
                <w:sz w:val="24"/>
                <w:szCs w:val="24"/>
              </w:rPr>
              <w:t xml:space="preserve">uz </w:t>
            </w:r>
            <w:r w:rsidR="00711EA3" w:rsidRPr="00657A14">
              <w:rPr>
                <w:rFonts w:ascii="Times New Roman" w:hAnsi="Times New Roman" w:cs="Times New Roman"/>
                <w:color w:val="000000" w:themeColor="text1"/>
                <w:sz w:val="24"/>
                <w:szCs w:val="24"/>
              </w:rPr>
              <w:t>noziedzīgi iegūtu līdzekļu legalizācijas un terorisma finansēšanas un risku novērtējumu, iegūt un dokumentē</w:t>
            </w:r>
            <w:r w:rsidR="0006631F" w:rsidRPr="00657A14">
              <w:rPr>
                <w:rFonts w:ascii="Times New Roman" w:hAnsi="Times New Roman" w:cs="Times New Roman"/>
                <w:color w:val="000000" w:themeColor="text1"/>
                <w:sz w:val="24"/>
                <w:szCs w:val="24"/>
              </w:rPr>
              <w:t>t</w:t>
            </w:r>
            <w:r w:rsidR="00711EA3" w:rsidRPr="00657A14">
              <w:rPr>
                <w:rFonts w:ascii="Times New Roman" w:hAnsi="Times New Roman" w:cs="Times New Roman"/>
                <w:color w:val="000000" w:themeColor="text1"/>
                <w:sz w:val="24"/>
                <w:szCs w:val="24"/>
              </w:rPr>
              <w:t xml:space="preserve"> informāciju par darījuma attiecību mērķi un paredzamo būtību, plānoto pakalpojumu izmantošana, plānoto darījumu skait</w:t>
            </w:r>
            <w:r w:rsidR="0006631F" w:rsidRPr="00657A14">
              <w:rPr>
                <w:rFonts w:ascii="Times New Roman" w:hAnsi="Times New Roman" w:cs="Times New Roman"/>
                <w:color w:val="000000" w:themeColor="text1"/>
                <w:sz w:val="24"/>
                <w:szCs w:val="24"/>
              </w:rPr>
              <w:t>u</w:t>
            </w:r>
            <w:r w:rsidR="00833333" w:rsidRPr="00657A14">
              <w:rPr>
                <w:rFonts w:ascii="Times New Roman" w:hAnsi="Times New Roman" w:cs="Times New Roman"/>
                <w:color w:val="000000" w:themeColor="text1"/>
                <w:sz w:val="24"/>
                <w:szCs w:val="24"/>
              </w:rPr>
              <w:t xml:space="preserve"> un apjom</w:t>
            </w:r>
            <w:r w:rsidR="0006631F" w:rsidRPr="00657A14">
              <w:rPr>
                <w:rFonts w:ascii="Times New Roman" w:hAnsi="Times New Roman" w:cs="Times New Roman"/>
                <w:color w:val="000000" w:themeColor="text1"/>
                <w:sz w:val="24"/>
                <w:szCs w:val="24"/>
              </w:rPr>
              <w:t>u</w:t>
            </w:r>
            <w:r w:rsidR="00504DE2" w:rsidRPr="00657A14">
              <w:rPr>
                <w:rFonts w:ascii="Times New Roman" w:hAnsi="Times New Roman" w:cs="Times New Roman"/>
                <w:color w:val="000000" w:themeColor="text1"/>
                <w:sz w:val="24"/>
                <w:szCs w:val="24"/>
              </w:rPr>
              <w:t>, saimniecisk</w:t>
            </w:r>
            <w:r w:rsidR="0006631F" w:rsidRPr="00657A14">
              <w:rPr>
                <w:rFonts w:ascii="Times New Roman" w:hAnsi="Times New Roman" w:cs="Times New Roman"/>
                <w:color w:val="000000" w:themeColor="text1"/>
                <w:sz w:val="24"/>
                <w:szCs w:val="24"/>
              </w:rPr>
              <w:t>o</w:t>
            </w:r>
            <w:r w:rsidR="00504DE2" w:rsidRPr="00657A14">
              <w:rPr>
                <w:rFonts w:ascii="Times New Roman" w:hAnsi="Times New Roman" w:cs="Times New Roman"/>
                <w:color w:val="000000" w:themeColor="text1"/>
                <w:sz w:val="24"/>
                <w:szCs w:val="24"/>
              </w:rPr>
              <w:t xml:space="preserve"> darbīb</w:t>
            </w:r>
            <w:r w:rsidR="0006631F" w:rsidRPr="00657A14">
              <w:rPr>
                <w:rFonts w:ascii="Times New Roman" w:hAnsi="Times New Roman" w:cs="Times New Roman"/>
                <w:color w:val="000000" w:themeColor="text1"/>
                <w:sz w:val="24"/>
                <w:szCs w:val="24"/>
              </w:rPr>
              <w:t>u</w:t>
            </w:r>
            <w:r w:rsidR="00504DE2" w:rsidRPr="00657A14">
              <w:rPr>
                <w:rFonts w:ascii="Times New Roman" w:hAnsi="Times New Roman" w:cs="Times New Roman"/>
                <w:color w:val="000000" w:themeColor="text1"/>
                <w:sz w:val="24"/>
                <w:szCs w:val="24"/>
              </w:rPr>
              <w:t xml:space="preserve"> vai personisk</w:t>
            </w:r>
            <w:r w:rsidR="0006631F" w:rsidRPr="00657A14">
              <w:rPr>
                <w:rFonts w:ascii="Times New Roman" w:hAnsi="Times New Roman" w:cs="Times New Roman"/>
                <w:color w:val="000000" w:themeColor="text1"/>
                <w:sz w:val="24"/>
                <w:szCs w:val="24"/>
              </w:rPr>
              <w:t>o</w:t>
            </w:r>
            <w:r w:rsidR="00504DE2" w:rsidRPr="00657A14">
              <w:rPr>
                <w:rFonts w:ascii="Times New Roman" w:hAnsi="Times New Roman" w:cs="Times New Roman"/>
                <w:color w:val="000000" w:themeColor="text1"/>
                <w:sz w:val="24"/>
                <w:szCs w:val="24"/>
              </w:rPr>
              <w:t xml:space="preserve"> darbīb</w:t>
            </w:r>
            <w:r w:rsidR="0006631F" w:rsidRPr="00657A14">
              <w:rPr>
                <w:rFonts w:ascii="Times New Roman" w:hAnsi="Times New Roman" w:cs="Times New Roman"/>
                <w:color w:val="000000" w:themeColor="text1"/>
                <w:sz w:val="24"/>
                <w:szCs w:val="24"/>
              </w:rPr>
              <w:t>u</w:t>
            </w:r>
            <w:r w:rsidR="004B36C4" w:rsidRPr="00657A14">
              <w:rPr>
                <w:rFonts w:ascii="Times New Roman" w:hAnsi="Times New Roman" w:cs="Times New Roman"/>
                <w:color w:val="000000" w:themeColor="text1"/>
                <w:sz w:val="24"/>
                <w:szCs w:val="24"/>
              </w:rPr>
              <w:t>, kuras ietvaros klients izmantos attiecīgos pakalpojumus un, ja nepieciešams, līdzekļu izcelsm</w:t>
            </w:r>
            <w:r w:rsidR="0006631F" w:rsidRPr="00657A14">
              <w:rPr>
                <w:rFonts w:ascii="Times New Roman" w:hAnsi="Times New Roman" w:cs="Times New Roman"/>
                <w:color w:val="000000" w:themeColor="text1"/>
                <w:sz w:val="24"/>
                <w:szCs w:val="24"/>
              </w:rPr>
              <w:t>i</w:t>
            </w:r>
            <w:r w:rsidR="004B36C4" w:rsidRPr="00657A14">
              <w:rPr>
                <w:rFonts w:ascii="Times New Roman" w:hAnsi="Times New Roman" w:cs="Times New Roman"/>
                <w:color w:val="000000" w:themeColor="text1"/>
                <w:sz w:val="24"/>
                <w:szCs w:val="24"/>
              </w:rPr>
              <w:t xml:space="preserve"> un materiālo stāvokli raksturojošas labklājības izcelsm</w:t>
            </w:r>
            <w:r w:rsidR="0006631F" w:rsidRPr="00657A14">
              <w:rPr>
                <w:rFonts w:ascii="Times New Roman" w:hAnsi="Times New Roman" w:cs="Times New Roman"/>
                <w:color w:val="000000" w:themeColor="text1"/>
                <w:sz w:val="24"/>
                <w:szCs w:val="24"/>
              </w:rPr>
              <w:t>i</w:t>
            </w:r>
            <w:r w:rsidR="00EB1176" w:rsidRPr="00657A14">
              <w:rPr>
                <w:rFonts w:ascii="Times New Roman" w:hAnsi="Times New Roman" w:cs="Times New Roman"/>
                <w:color w:val="000000" w:themeColor="text1"/>
                <w:sz w:val="24"/>
                <w:szCs w:val="24"/>
              </w:rPr>
              <w:t xml:space="preserve"> – likumprojekts (NILLTFNL 11</w:t>
            </w:r>
            <w:r w:rsidR="0006631F" w:rsidRPr="00657A14">
              <w:rPr>
                <w:rFonts w:ascii="Times New Roman" w:hAnsi="Times New Roman" w:cs="Times New Roman"/>
                <w:color w:val="000000" w:themeColor="text1"/>
                <w:sz w:val="24"/>
                <w:szCs w:val="24"/>
              </w:rPr>
              <w:t>.</w:t>
            </w:r>
            <w:r w:rsidR="00EB1176"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EB1176" w:rsidRPr="00657A14">
              <w:rPr>
                <w:rFonts w:ascii="Times New Roman" w:hAnsi="Times New Roman" w:cs="Times New Roman"/>
                <w:color w:val="000000" w:themeColor="text1"/>
                <w:sz w:val="24"/>
                <w:szCs w:val="24"/>
              </w:rPr>
              <w:t xml:space="preserve"> </w:t>
            </w:r>
            <w:r w:rsidR="003430B6">
              <w:rPr>
                <w:rFonts w:ascii="Times New Roman" w:hAnsi="Times New Roman" w:cs="Times New Roman"/>
                <w:color w:val="000000" w:themeColor="text1"/>
                <w:sz w:val="24"/>
                <w:szCs w:val="24"/>
              </w:rPr>
              <w:t xml:space="preserve">sestā </w:t>
            </w:r>
            <w:r w:rsidR="00EB1176" w:rsidRPr="00657A14">
              <w:rPr>
                <w:rFonts w:ascii="Times New Roman" w:hAnsi="Times New Roman" w:cs="Times New Roman"/>
                <w:color w:val="000000" w:themeColor="text1"/>
                <w:sz w:val="24"/>
                <w:szCs w:val="24"/>
              </w:rPr>
              <w:t xml:space="preserve"> daļa).</w:t>
            </w:r>
          </w:p>
          <w:p w:rsidR="00C92F8C" w:rsidRPr="00657A14" w:rsidRDefault="005A4E99"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izpētes pasākumi tiek piemēroti, ne tikai uzsākot darījuma attiecības, bet arī darījuma attiecību laikā</w:t>
            </w:r>
            <w:r w:rsidR="00EF30D1" w:rsidRPr="00657A14">
              <w:rPr>
                <w:rFonts w:ascii="Times New Roman" w:hAnsi="Times New Roman" w:cs="Times New Roman"/>
                <w:color w:val="000000" w:themeColor="text1"/>
                <w:sz w:val="24"/>
                <w:szCs w:val="24"/>
              </w:rPr>
              <w:t>, balstoties uz riska izvērtējumu balstītu pieeju, arī gadījumos kad mainās būtiski apstākļi saistībā ar klientu – likumprojekts (NILLTFNL 11</w:t>
            </w:r>
            <w:r w:rsidR="0006631F" w:rsidRPr="00657A14">
              <w:rPr>
                <w:rFonts w:ascii="Times New Roman" w:hAnsi="Times New Roman" w:cs="Times New Roman"/>
                <w:color w:val="000000" w:themeColor="text1"/>
                <w:sz w:val="24"/>
                <w:szCs w:val="24"/>
              </w:rPr>
              <w:t>.</w:t>
            </w:r>
            <w:r w:rsidR="00EF30D1"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EF30D1" w:rsidRPr="00657A14">
              <w:rPr>
                <w:rFonts w:ascii="Times New Roman" w:hAnsi="Times New Roman" w:cs="Times New Roman"/>
                <w:color w:val="000000" w:themeColor="text1"/>
                <w:sz w:val="24"/>
                <w:szCs w:val="24"/>
              </w:rPr>
              <w:t xml:space="preserve"> </w:t>
            </w:r>
            <w:r w:rsidR="00F0309C">
              <w:rPr>
                <w:rFonts w:ascii="Times New Roman" w:hAnsi="Times New Roman" w:cs="Times New Roman"/>
                <w:color w:val="000000" w:themeColor="text1"/>
                <w:sz w:val="24"/>
                <w:szCs w:val="24"/>
              </w:rPr>
              <w:t>septītā</w:t>
            </w:r>
            <w:r w:rsidR="00EF30D1" w:rsidRPr="00657A14">
              <w:rPr>
                <w:rFonts w:ascii="Times New Roman" w:hAnsi="Times New Roman" w:cs="Times New Roman"/>
                <w:color w:val="000000" w:themeColor="text1"/>
                <w:sz w:val="24"/>
                <w:szCs w:val="24"/>
              </w:rPr>
              <w:t xml:space="preserve"> daļa)</w:t>
            </w:r>
            <w:r w:rsidR="00D805C7" w:rsidRPr="00657A14">
              <w:rPr>
                <w:rFonts w:ascii="Times New Roman" w:hAnsi="Times New Roman" w:cs="Times New Roman"/>
                <w:color w:val="000000" w:themeColor="text1"/>
                <w:sz w:val="24"/>
                <w:szCs w:val="24"/>
              </w:rPr>
              <w:t xml:space="preserve"> izstrādāts atbilstoši AML IV direktīvas 14.panta 2.punktam.</w:t>
            </w:r>
          </w:p>
          <w:p w:rsidR="00C92F8C" w:rsidRPr="00657A14" w:rsidRDefault="00316BC8"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likuma subjektiem, ciktāl tie sniedz dzīvības apdrošināšanu vai citus ar līdzekļu</w:t>
            </w:r>
            <w:r w:rsidR="0063738E" w:rsidRPr="00657A14">
              <w:rPr>
                <w:rFonts w:ascii="Times New Roman" w:hAnsi="Times New Roman" w:cs="Times New Roman"/>
                <w:color w:val="000000" w:themeColor="text1"/>
                <w:sz w:val="24"/>
                <w:szCs w:val="24"/>
              </w:rPr>
              <w:t xml:space="preserve"> uzkrāšanu</w:t>
            </w:r>
            <w:r w:rsidRPr="00657A14">
              <w:rPr>
                <w:rFonts w:ascii="Times New Roman" w:hAnsi="Times New Roman" w:cs="Times New Roman"/>
                <w:color w:val="000000" w:themeColor="text1"/>
                <w:sz w:val="24"/>
                <w:szCs w:val="24"/>
              </w:rPr>
              <w:t xml:space="preserve"> saistītus apdrošināšanas pakalpojumus, papildus klienta pasākumiem veic tādus klienta pasākumus, kuri attiecas uz apdrošināšanas atlīdzības saņēmēju, kurš ir identificēts vai noteikts. Atlīdzības saņēmēja gadījumā, kad tas ir konkrēta </w:t>
            </w:r>
            <w:r w:rsidRPr="00657A14">
              <w:rPr>
                <w:rFonts w:ascii="Times New Roman" w:hAnsi="Times New Roman" w:cs="Times New Roman"/>
                <w:color w:val="000000" w:themeColor="text1"/>
                <w:sz w:val="24"/>
                <w:szCs w:val="24"/>
              </w:rPr>
              <w:lastRenderedPageBreak/>
              <w:t>fiziskā vai juridiskā persona, tiek noskaidrots fiziskās personas vārds, uzvārds, juridiskās personas nosaukums. Atlīdzības saņēmēju nosaka pēc noteiktām pazīmē, iegūstot informāciju</w:t>
            </w:r>
            <w:r w:rsidR="00C55C42" w:rsidRPr="00657A14">
              <w:rPr>
                <w:rFonts w:ascii="Times New Roman" w:hAnsi="Times New Roman" w:cs="Times New Roman"/>
                <w:color w:val="000000" w:themeColor="text1"/>
                <w:sz w:val="24"/>
                <w:szCs w:val="24"/>
              </w:rPr>
              <w:t xml:space="preserve"> par atlīdzības saņēmēju tādā apjomā, lai spētu noteikt tā identitāti apdrošināšanas atlīdzības veikšanas brīdī.</w:t>
            </w:r>
            <w:r w:rsidR="00CF394A" w:rsidRPr="00657A14">
              <w:rPr>
                <w:rFonts w:ascii="Times New Roman" w:hAnsi="Times New Roman" w:cs="Times New Roman"/>
                <w:color w:val="000000" w:themeColor="text1"/>
                <w:sz w:val="24"/>
                <w:szCs w:val="24"/>
              </w:rPr>
              <w:t xml:space="preserve"> Iepriekšminētās </w:t>
            </w:r>
            <w:r w:rsidR="00AD7905" w:rsidRPr="00657A14">
              <w:rPr>
                <w:rFonts w:ascii="Times New Roman" w:hAnsi="Times New Roman" w:cs="Times New Roman"/>
                <w:color w:val="000000" w:themeColor="text1"/>
                <w:sz w:val="24"/>
                <w:szCs w:val="24"/>
              </w:rPr>
              <w:t xml:space="preserve">darbības veicamas ne vēlāk kā pirms </w:t>
            </w:r>
            <w:r w:rsidR="00DA5D8C" w:rsidRPr="00657A14">
              <w:rPr>
                <w:rFonts w:ascii="Times New Roman" w:hAnsi="Times New Roman" w:cs="Times New Roman"/>
                <w:color w:val="000000" w:themeColor="text1"/>
                <w:sz w:val="24"/>
                <w:szCs w:val="24"/>
              </w:rPr>
              <w:t xml:space="preserve">apdrošināšanas atlīdzības izmaksas veikšanas. Gadījumā, kad </w:t>
            </w:r>
            <w:r w:rsidR="00DB3664" w:rsidRPr="00657A14">
              <w:rPr>
                <w:rFonts w:ascii="Times New Roman" w:hAnsi="Times New Roman" w:cs="Times New Roman"/>
                <w:color w:val="000000" w:themeColor="text1"/>
                <w:sz w:val="24"/>
                <w:szCs w:val="24"/>
              </w:rPr>
              <w:t xml:space="preserve">dzīvības </w:t>
            </w:r>
            <w:r w:rsidR="00DA5D8C" w:rsidRPr="00657A14">
              <w:rPr>
                <w:rFonts w:ascii="Times New Roman" w:hAnsi="Times New Roman" w:cs="Times New Roman"/>
                <w:color w:val="000000" w:themeColor="text1"/>
                <w:sz w:val="24"/>
                <w:szCs w:val="24"/>
              </w:rPr>
              <w:t xml:space="preserve">apdrošināšanas līgums </w:t>
            </w:r>
            <w:r w:rsidR="00DB3664" w:rsidRPr="00657A14">
              <w:rPr>
                <w:rFonts w:ascii="Times New Roman" w:hAnsi="Times New Roman" w:cs="Times New Roman"/>
                <w:color w:val="000000" w:themeColor="text1"/>
                <w:sz w:val="24"/>
                <w:szCs w:val="24"/>
              </w:rPr>
              <w:t xml:space="preserve">ar līdzekļu uzkrāšanu </w:t>
            </w:r>
            <w:r w:rsidR="00DA5D8C" w:rsidRPr="00657A14">
              <w:rPr>
                <w:rFonts w:ascii="Times New Roman" w:hAnsi="Times New Roman" w:cs="Times New Roman"/>
                <w:color w:val="000000" w:themeColor="text1"/>
                <w:sz w:val="24"/>
                <w:szCs w:val="24"/>
              </w:rPr>
              <w:t xml:space="preserve">tiek pārņemts </w:t>
            </w:r>
            <w:r w:rsidR="00DB3664" w:rsidRPr="00657A14">
              <w:rPr>
                <w:rFonts w:ascii="Times New Roman" w:hAnsi="Times New Roman" w:cs="Times New Roman"/>
                <w:color w:val="000000" w:themeColor="text1"/>
                <w:sz w:val="24"/>
                <w:szCs w:val="24"/>
              </w:rPr>
              <w:t xml:space="preserve">cita apdrošināšanas komersanta ziņā, apdrošināšanas </w:t>
            </w:r>
            <w:r w:rsidR="008A47EE" w:rsidRPr="00657A14">
              <w:rPr>
                <w:rFonts w:ascii="Times New Roman" w:hAnsi="Times New Roman" w:cs="Times New Roman"/>
                <w:color w:val="000000" w:themeColor="text1"/>
                <w:sz w:val="24"/>
                <w:szCs w:val="24"/>
              </w:rPr>
              <w:t>atlīdzības saņēmējs tiek identificēts pirms nodošanas veikšanas.</w:t>
            </w:r>
            <w:r w:rsidR="006F560B" w:rsidRPr="00657A14">
              <w:rPr>
                <w:rFonts w:ascii="Times New Roman" w:hAnsi="Times New Roman" w:cs="Times New Roman"/>
                <w:color w:val="000000" w:themeColor="text1"/>
                <w:sz w:val="24"/>
                <w:szCs w:val="24"/>
              </w:rPr>
              <w:t xml:space="preserve"> Iepriekšminētais paredzēts likumprojekt</w:t>
            </w:r>
            <w:r w:rsidR="0063738E" w:rsidRPr="00657A14">
              <w:rPr>
                <w:rFonts w:ascii="Times New Roman" w:hAnsi="Times New Roman" w:cs="Times New Roman"/>
                <w:color w:val="000000" w:themeColor="text1"/>
                <w:sz w:val="24"/>
                <w:szCs w:val="24"/>
              </w:rPr>
              <w:t>ā</w:t>
            </w:r>
            <w:r w:rsidR="006F560B" w:rsidRPr="00657A14">
              <w:rPr>
                <w:rFonts w:ascii="Times New Roman" w:hAnsi="Times New Roman" w:cs="Times New Roman"/>
                <w:color w:val="000000" w:themeColor="text1"/>
                <w:sz w:val="24"/>
                <w:szCs w:val="24"/>
              </w:rPr>
              <w:t xml:space="preserve"> (NILLTFNL 11</w:t>
            </w:r>
            <w:r w:rsidR="00FC3247" w:rsidRPr="00657A14">
              <w:rPr>
                <w:rFonts w:ascii="Times New Roman" w:hAnsi="Times New Roman" w:cs="Times New Roman"/>
                <w:color w:val="000000" w:themeColor="text1"/>
                <w:sz w:val="24"/>
                <w:szCs w:val="24"/>
              </w:rPr>
              <w:t>.</w:t>
            </w:r>
            <w:r w:rsidR="006F560B"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6F560B" w:rsidRPr="00657A14">
              <w:rPr>
                <w:rFonts w:ascii="Times New Roman" w:hAnsi="Times New Roman" w:cs="Times New Roman"/>
                <w:color w:val="000000" w:themeColor="text1"/>
                <w:sz w:val="24"/>
                <w:szCs w:val="24"/>
              </w:rPr>
              <w:t xml:space="preserve"> </w:t>
            </w:r>
            <w:r w:rsidR="00C92B69">
              <w:rPr>
                <w:rFonts w:ascii="Times New Roman" w:hAnsi="Times New Roman" w:cs="Times New Roman"/>
                <w:color w:val="000000" w:themeColor="text1"/>
                <w:sz w:val="24"/>
                <w:szCs w:val="24"/>
              </w:rPr>
              <w:t>astotā</w:t>
            </w:r>
            <w:r w:rsidR="006F560B" w:rsidRPr="00657A14">
              <w:rPr>
                <w:rFonts w:ascii="Times New Roman" w:hAnsi="Times New Roman" w:cs="Times New Roman"/>
                <w:color w:val="000000" w:themeColor="text1"/>
                <w:sz w:val="24"/>
                <w:szCs w:val="24"/>
              </w:rPr>
              <w:t xml:space="preserve"> </w:t>
            </w:r>
            <w:r w:rsidR="006D7935" w:rsidRPr="00657A14">
              <w:rPr>
                <w:rFonts w:ascii="Times New Roman" w:hAnsi="Times New Roman" w:cs="Times New Roman"/>
                <w:color w:val="000000" w:themeColor="text1"/>
                <w:sz w:val="24"/>
                <w:szCs w:val="24"/>
              </w:rPr>
              <w:t xml:space="preserve">un </w:t>
            </w:r>
            <w:r w:rsidR="00C92B69">
              <w:rPr>
                <w:rFonts w:ascii="Times New Roman" w:hAnsi="Times New Roman" w:cs="Times New Roman"/>
                <w:color w:val="000000" w:themeColor="text1"/>
                <w:sz w:val="24"/>
                <w:szCs w:val="24"/>
              </w:rPr>
              <w:t>devītā</w:t>
            </w:r>
            <w:r w:rsidR="006F560B" w:rsidRPr="00657A14">
              <w:rPr>
                <w:rFonts w:ascii="Times New Roman" w:hAnsi="Times New Roman" w:cs="Times New Roman"/>
                <w:color w:val="000000" w:themeColor="text1"/>
                <w:sz w:val="24"/>
                <w:szCs w:val="24"/>
              </w:rPr>
              <w:t xml:space="preserve"> daļa)</w:t>
            </w:r>
            <w:r w:rsidR="0063738E" w:rsidRPr="00657A14">
              <w:rPr>
                <w:rFonts w:ascii="Times New Roman" w:hAnsi="Times New Roman" w:cs="Times New Roman"/>
                <w:color w:val="000000" w:themeColor="text1"/>
                <w:sz w:val="24"/>
                <w:szCs w:val="24"/>
              </w:rPr>
              <w:t>, kas izstrādāts</w:t>
            </w:r>
            <w:r w:rsidR="00B15E4C" w:rsidRPr="00657A14">
              <w:rPr>
                <w:rFonts w:ascii="Times New Roman" w:hAnsi="Times New Roman" w:cs="Times New Roman"/>
                <w:color w:val="000000" w:themeColor="text1"/>
                <w:sz w:val="24"/>
                <w:szCs w:val="24"/>
              </w:rPr>
              <w:t xml:space="preserve"> </w:t>
            </w:r>
            <w:r w:rsidR="00B32D17" w:rsidRPr="00657A14">
              <w:rPr>
                <w:rFonts w:ascii="Times New Roman" w:hAnsi="Times New Roman" w:cs="Times New Roman"/>
                <w:color w:val="000000" w:themeColor="text1"/>
                <w:sz w:val="24"/>
                <w:szCs w:val="24"/>
              </w:rPr>
              <w:t>atbilstoši AML IV direktīvas 13.panta 5.punktam.</w:t>
            </w:r>
          </w:p>
          <w:p w:rsidR="0012088D" w:rsidRPr="00657A14" w:rsidRDefault="0067545C"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Gadījumos, kad trasta vai trastam līdzīga veidojuma, labuma guvējs tiek noteikts pēc īpašām pazīmēm vai kategorijām</w:t>
            </w:r>
            <w:r w:rsidR="0032282F" w:rsidRPr="00657A14">
              <w:rPr>
                <w:rFonts w:ascii="Times New Roman" w:hAnsi="Times New Roman" w:cs="Times New Roman"/>
                <w:color w:val="000000" w:themeColor="text1"/>
                <w:sz w:val="24"/>
                <w:szCs w:val="24"/>
              </w:rPr>
              <w:t>, likuma subjekta pienākums ir iegūt informāciju tādā apjomā par patieso labuma guvēju, lai tā identitāte tiktu noteikta atlīdzības izmaksas laikā vai laikā, kad tas izmantos tam paredzētās tiesības – likumprojekts (NILLTFNL 11</w:t>
            </w:r>
            <w:r w:rsidR="00FC3247" w:rsidRPr="00657A14">
              <w:rPr>
                <w:rFonts w:ascii="Times New Roman" w:hAnsi="Times New Roman" w:cs="Times New Roman"/>
                <w:color w:val="000000" w:themeColor="text1"/>
                <w:sz w:val="24"/>
                <w:szCs w:val="24"/>
              </w:rPr>
              <w:t>.</w:t>
            </w:r>
            <w:r w:rsidR="0032282F" w:rsidRPr="00657A14">
              <w:rPr>
                <w:rFonts w:ascii="Times New Roman" w:hAnsi="Times New Roman" w:cs="Times New Roman"/>
                <w:color w:val="000000" w:themeColor="text1"/>
                <w:sz w:val="24"/>
                <w:szCs w:val="24"/>
              </w:rPr>
              <w:t>¹pant</w:t>
            </w:r>
            <w:r w:rsidR="006D7935" w:rsidRPr="00657A14">
              <w:rPr>
                <w:rFonts w:ascii="Times New Roman" w:hAnsi="Times New Roman" w:cs="Times New Roman"/>
                <w:color w:val="000000" w:themeColor="text1"/>
                <w:sz w:val="24"/>
                <w:szCs w:val="24"/>
              </w:rPr>
              <w:t>a</w:t>
            </w:r>
            <w:r w:rsidR="0032282F" w:rsidRPr="00657A14">
              <w:rPr>
                <w:rFonts w:ascii="Times New Roman" w:hAnsi="Times New Roman" w:cs="Times New Roman"/>
                <w:color w:val="000000" w:themeColor="text1"/>
                <w:sz w:val="24"/>
                <w:szCs w:val="24"/>
              </w:rPr>
              <w:t xml:space="preserve"> </w:t>
            </w:r>
            <w:r w:rsidR="00C51588">
              <w:rPr>
                <w:rFonts w:ascii="Times New Roman" w:hAnsi="Times New Roman" w:cs="Times New Roman"/>
                <w:color w:val="000000" w:themeColor="text1"/>
                <w:sz w:val="24"/>
                <w:szCs w:val="24"/>
              </w:rPr>
              <w:t>desmitā</w:t>
            </w:r>
            <w:r w:rsidR="0032282F" w:rsidRPr="00657A14">
              <w:rPr>
                <w:rFonts w:ascii="Times New Roman" w:hAnsi="Times New Roman" w:cs="Times New Roman"/>
                <w:color w:val="000000" w:themeColor="text1"/>
                <w:sz w:val="24"/>
                <w:szCs w:val="24"/>
              </w:rPr>
              <w:t xml:space="preserve"> daļa) izstrādāt</w:t>
            </w:r>
            <w:r w:rsidR="0063738E" w:rsidRPr="00657A14">
              <w:rPr>
                <w:rFonts w:ascii="Times New Roman" w:hAnsi="Times New Roman" w:cs="Times New Roman"/>
                <w:color w:val="000000" w:themeColor="text1"/>
                <w:sz w:val="24"/>
                <w:szCs w:val="24"/>
              </w:rPr>
              <w:t>s</w:t>
            </w:r>
            <w:r w:rsidR="0032282F" w:rsidRPr="00657A14">
              <w:rPr>
                <w:rFonts w:ascii="Times New Roman" w:hAnsi="Times New Roman" w:cs="Times New Roman"/>
                <w:color w:val="000000" w:themeColor="text1"/>
                <w:sz w:val="24"/>
                <w:szCs w:val="24"/>
              </w:rPr>
              <w:t xml:space="preserve"> atbilstoši AML IV direktīvas </w:t>
            </w:r>
            <w:r w:rsidR="00B94B37" w:rsidRPr="00657A14">
              <w:rPr>
                <w:rFonts w:ascii="Times New Roman" w:hAnsi="Times New Roman" w:cs="Times New Roman"/>
                <w:color w:val="000000" w:themeColor="text1"/>
                <w:sz w:val="24"/>
                <w:szCs w:val="24"/>
              </w:rPr>
              <w:t>13.panta 6.punktam.</w:t>
            </w:r>
          </w:p>
          <w:p w:rsidR="005A04A7" w:rsidRPr="00657A14" w:rsidRDefault="00C92F8C"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Paties</w:t>
            </w:r>
            <w:r w:rsidR="0063738E" w:rsidRPr="00657A14">
              <w:rPr>
                <w:rFonts w:ascii="Times New Roman" w:hAnsi="Times New Roman" w:cs="Times New Roman"/>
                <w:color w:val="000000" w:themeColor="text1"/>
                <w:sz w:val="24"/>
                <w:szCs w:val="24"/>
              </w:rPr>
              <w:t>ais</w:t>
            </w:r>
            <w:r w:rsidRPr="00657A14">
              <w:rPr>
                <w:rFonts w:ascii="Times New Roman" w:hAnsi="Times New Roman" w:cs="Times New Roman"/>
                <w:color w:val="000000" w:themeColor="text1"/>
                <w:sz w:val="24"/>
                <w:szCs w:val="24"/>
              </w:rPr>
              <w:t xml:space="preserve"> labuma guvējs</w:t>
            </w:r>
          </w:p>
          <w:p w:rsidR="00C92F8C" w:rsidRPr="00657A14" w:rsidRDefault="0099237B"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Kā jau sākumā tika minēts</w:t>
            </w:r>
            <w:r w:rsidR="0063738E"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viens no klienta izpētes pasākumu kopumu elementiem ir patiesā labuma guvēja noskaidrošana. Attiecībā uz patieso labuma guvēja likumprojekts paredz sekojošo.</w:t>
            </w:r>
          </w:p>
          <w:p w:rsidR="00C92F8C" w:rsidRPr="00657A14" w:rsidRDefault="005A04A7"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AML IV direktīva paredz plašāku patiesā labuma guvēja definīciju un pienākumus dalībvalstīm saistībā ar patiesā labuma guvēju identifikāciju, tostarp</w:t>
            </w:r>
            <w:r w:rsidR="0063738E"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uzliek pienākumu dalībvalstīm nodrošināt, ka juridiskās personas iegūst un glabā informāciju par to patiesā labuma guvējiem. AML IV direktīva arī paredz, ka informācija par juridisko personu patiesajiem labuma guvējiem ir sniedzama un glabājama centrālā reģistrā (piemēram, komercreģistrā vai citā publiskā reģistrā), kā arī šīs informācijas pieejamības aspektus. AML IV direktīvas Preambulas 12.apsvērums noteic, ka dalībvalstīm ir jānodrošina, lai tiktu aptverts pēc iespējas plašāks juridisko vienību klāsts, kuru patiesos labuma guvējus dalībvalsts identificē. Šobrīd Latvijā patiesā labuma guvēju identificēšanas pienākums atbilstoši Komerclikuma 17</w:t>
            </w:r>
            <w:r w:rsidR="0063738E"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¹pantam ir attiecināts tikai uz komercsabiedrībām (personālsabiedrības un kapitālsabiedrības). </w:t>
            </w:r>
          </w:p>
          <w:p w:rsidR="00C92F8C" w:rsidRDefault="005A04A7" w:rsidP="00C92F8C">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w:t>
            </w:r>
            <w:r w:rsidRPr="00AC71CB">
              <w:rPr>
                <w:rFonts w:ascii="Times New Roman" w:hAnsi="Times New Roman" w:cs="Times New Roman"/>
                <w:color w:val="000000" w:themeColor="text1"/>
                <w:sz w:val="24"/>
                <w:szCs w:val="24"/>
              </w:rPr>
              <w:t xml:space="preserve"> (NILLTFNL 1.panta 5.punkts) </w:t>
            </w:r>
            <w:r>
              <w:rPr>
                <w:rFonts w:ascii="Times New Roman" w:hAnsi="Times New Roman" w:cs="Times New Roman"/>
                <w:color w:val="000000" w:themeColor="text1"/>
                <w:sz w:val="24"/>
                <w:szCs w:val="24"/>
              </w:rPr>
              <w:t>paredz</w:t>
            </w:r>
            <w:r w:rsidRPr="00AC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patiesā labuma guvēja definīcijas paplašināšanu</w:t>
            </w:r>
            <w:r w:rsidRPr="00AC71CB">
              <w:rPr>
                <w:rFonts w:ascii="Times New Roman" w:hAnsi="Times New Roman" w:cs="Times New Roman"/>
                <w:color w:val="000000" w:themeColor="text1"/>
                <w:sz w:val="24"/>
                <w:szCs w:val="24"/>
              </w:rPr>
              <w:t xml:space="preserve"> atbilstoši </w:t>
            </w:r>
            <w:r w:rsidRPr="00AC71CB">
              <w:rPr>
                <w:rFonts w:ascii="Times New Roman" w:hAnsi="Times New Roman" w:cs="Times New Roman"/>
                <w:color w:val="000000" w:themeColor="text1"/>
                <w:sz w:val="24"/>
                <w:szCs w:val="24"/>
              </w:rPr>
              <w:lastRenderedPageBreak/>
              <w:t>starptautiskajiem standartiem</w:t>
            </w:r>
            <w:r w:rsidR="0063738E">
              <w:rPr>
                <w:rFonts w:ascii="Times New Roman" w:hAnsi="Times New Roman" w:cs="Times New Roman"/>
                <w:color w:val="000000" w:themeColor="text1"/>
                <w:sz w:val="24"/>
                <w:szCs w:val="24"/>
              </w:rPr>
              <w:t>,</w:t>
            </w:r>
            <w:r w:rsidRPr="00AC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nosakot, ka identificējami</w:t>
            </w:r>
            <w:r w:rsidRPr="00AC71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visu juridisko personu patiesie labuma guvēji – fiziska persona</w:t>
            </w:r>
            <w:r w:rsidRPr="00AC71CB">
              <w:rPr>
                <w:rFonts w:ascii="Times New Roman" w:hAnsi="Times New Roman" w:cs="Times New Roman"/>
                <w:color w:val="000000" w:themeColor="text1"/>
                <w:sz w:val="24"/>
                <w:szCs w:val="24"/>
              </w:rPr>
              <w:t xml:space="preserve">, kura  īsteno īpašumtiesības vai kontroli pār </w:t>
            </w:r>
            <w:r>
              <w:rPr>
                <w:rFonts w:ascii="Times New Roman" w:hAnsi="Times New Roman" w:cs="Times New Roman"/>
                <w:color w:val="000000" w:themeColor="text1"/>
                <w:sz w:val="24"/>
                <w:szCs w:val="24"/>
              </w:rPr>
              <w:t>to</w:t>
            </w:r>
            <w:r w:rsidRPr="00AC71CB">
              <w:rPr>
                <w:rFonts w:ascii="Times New Roman" w:hAnsi="Times New Roman" w:cs="Times New Roman"/>
                <w:color w:val="000000" w:themeColor="text1"/>
                <w:sz w:val="24"/>
                <w:szCs w:val="24"/>
              </w:rPr>
              <w:t xml:space="preserve">, tādā veidā </w:t>
            </w:r>
            <w:r>
              <w:rPr>
                <w:rFonts w:ascii="Times New Roman" w:hAnsi="Times New Roman" w:cs="Times New Roman"/>
                <w:color w:val="000000" w:themeColor="text1"/>
                <w:sz w:val="24"/>
                <w:szCs w:val="24"/>
              </w:rPr>
              <w:t>nodrošinot</w:t>
            </w:r>
            <w:r w:rsidRPr="00AC71CB">
              <w:rPr>
                <w:rFonts w:ascii="Times New Roman" w:hAnsi="Times New Roman" w:cs="Times New Roman"/>
                <w:color w:val="000000" w:themeColor="text1"/>
                <w:sz w:val="24"/>
                <w:szCs w:val="24"/>
              </w:rPr>
              <w:t xml:space="preserve"> plašāk</w:t>
            </w:r>
            <w:r>
              <w:rPr>
                <w:rFonts w:ascii="Times New Roman" w:hAnsi="Times New Roman" w:cs="Times New Roman"/>
                <w:color w:val="000000" w:themeColor="text1"/>
                <w:sz w:val="24"/>
                <w:szCs w:val="24"/>
              </w:rPr>
              <w:t>u</w:t>
            </w:r>
            <w:r w:rsidRPr="00AC71CB">
              <w:rPr>
                <w:rFonts w:ascii="Times New Roman" w:hAnsi="Times New Roman" w:cs="Times New Roman"/>
                <w:color w:val="000000" w:themeColor="text1"/>
                <w:sz w:val="24"/>
                <w:szCs w:val="24"/>
              </w:rPr>
              <w:t xml:space="preserve"> juridisko personu </w:t>
            </w:r>
            <w:r>
              <w:rPr>
                <w:rFonts w:ascii="Times New Roman" w:hAnsi="Times New Roman" w:cs="Times New Roman"/>
                <w:color w:val="000000" w:themeColor="text1"/>
                <w:sz w:val="24"/>
                <w:szCs w:val="24"/>
              </w:rPr>
              <w:t>loku</w:t>
            </w:r>
            <w:r w:rsidRPr="00AC71CB">
              <w:rPr>
                <w:rFonts w:ascii="Times New Roman" w:hAnsi="Times New Roman" w:cs="Times New Roman"/>
                <w:color w:val="000000" w:themeColor="text1"/>
                <w:sz w:val="24"/>
                <w:szCs w:val="24"/>
              </w:rPr>
              <w:t xml:space="preserve">, kuras ir inkorporētas vai izveidotas ar jebkuru citu mehānismu. Akciju turējums un īpašumtiesību daļas kalpo kā pierādījuma faktors un mazāka procentuālā attiecība var būt kā pazīme, kas liecina par īpašumtiesībām vai kontroli. </w:t>
            </w:r>
          </w:p>
          <w:p w:rsidR="004C4A41" w:rsidRPr="00657A14" w:rsidRDefault="004C4A41" w:rsidP="004C4A41">
            <w:pPr>
              <w:pStyle w:val="CommentText"/>
              <w:ind w:firstLine="403"/>
              <w:jc w:val="both"/>
              <w:rPr>
                <w:rFonts w:ascii="Times New Roman" w:hAnsi="Times New Roman" w:cs="Times New Roman"/>
                <w:color w:val="000000" w:themeColor="text1"/>
                <w:sz w:val="24"/>
                <w:szCs w:val="24"/>
              </w:rPr>
            </w:pPr>
            <w:r w:rsidRPr="004C4A41">
              <w:rPr>
                <w:rFonts w:ascii="Times New Roman" w:hAnsi="Times New Roman" w:cs="Times New Roman"/>
                <w:color w:val="000000" w:themeColor="text1"/>
                <w:sz w:val="24"/>
                <w:szCs w:val="24"/>
              </w:rPr>
              <w:t xml:space="preserve">Likumprojekts (NILLTFNL 18.pants otrā daļa), paredz informācijas daudzumu, kuru likuma subjekts noskaidro par patieso labuma guvēju. </w:t>
            </w:r>
            <w:r w:rsidRPr="00657A14">
              <w:rPr>
                <w:rFonts w:ascii="Times New Roman" w:hAnsi="Times New Roman" w:cs="Times New Roman"/>
                <w:color w:val="000000" w:themeColor="text1"/>
                <w:sz w:val="24"/>
                <w:szCs w:val="24"/>
              </w:rPr>
              <w:t xml:space="preserve">Informācija par rezidenta dzimšanas datumu, mēnesi un gadu ir nepieciešama tādēļ, ka gadījumā, ja persona izvēlas mainīt personas kodu, šie dati kopā ar personas vārdu un uzvārdu kļūst par vienīgo iespēju identificēt konkrēto subjektu. Lai izvērtētu klientam piemītošo NILLTFN risku ir būtiski noskaidrot arī personas valsts piederību un pastāvīgo dzīves vietu, proti, vai persona ir saistīta ar valsti, kurā ir augsts terorisma līmenis vai noziedzības līmenis (piemēram, augsts korupcijas līmenis), kura rezultātā persona varētu iegūt nelegālus līdzekļus, kas varētu tikt izmantoti noziedzīgi iegūtu līdzekļu legalizācijai. Nepieciešamību klienta izpētē vērtēt valsts risku nosaka gan EBA (European Banking Authority) izstrādātie standarti, gan FKTK </w:t>
            </w:r>
            <w:r w:rsidR="00560950">
              <w:rPr>
                <w:rFonts w:ascii="Times New Roman" w:hAnsi="Times New Roman" w:cs="Times New Roman"/>
                <w:color w:val="000000" w:themeColor="text1"/>
                <w:sz w:val="24"/>
                <w:szCs w:val="24"/>
              </w:rPr>
              <w:t xml:space="preserve">2015.gada 23.decembra </w:t>
            </w:r>
            <w:r w:rsidRPr="00657A14">
              <w:rPr>
                <w:rFonts w:ascii="Times New Roman" w:hAnsi="Times New Roman" w:cs="Times New Roman"/>
                <w:color w:val="000000" w:themeColor="text1"/>
                <w:sz w:val="24"/>
                <w:szCs w:val="24"/>
              </w:rPr>
              <w:t xml:space="preserve">noteikumu 234 </w:t>
            </w:r>
            <w:r w:rsidR="00560950" w:rsidRPr="00560950">
              <w:rPr>
                <w:rFonts w:ascii="Times New Roman" w:hAnsi="Times New Roman" w:cs="Times New Roman"/>
                <w:color w:val="000000" w:themeColor="text1"/>
                <w:sz w:val="24"/>
                <w:szCs w:val="24"/>
              </w:rPr>
              <w:t>"Klientu padziļinātās izpētes normatīvie noteikumi kredītiestādēm un licencētām maksājumu un elektroniskās naudas iestādēm" </w:t>
            </w:r>
            <w:r w:rsidRPr="00657A14">
              <w:rPr>
                <w:rFonts w:ascii="Times New Roman" w:hAnsi="Times New Roman" w:cs="Times New Roman"/>
                <w:color w:val="000000" w:themeColor="text1"/>
                <w:sz w:val="24"/>
                <w:szCs w:val="24"/>
              </w:rPr>
              <w:t>prasības.</w:t>
            </w:r>
          </w:p>
          <w:p w:rsidR="00834B02" w:rsidRPr="00CD0827" w:rsidRDefault="005A04A7" w:rsidP="00CD0827">
            <w:pPr>
              <w:widowControl w:val="0"/>
              <w:ind w:firstLine="394"/>
              <w:jc w:val="both"/>
              <w:rPr>
                <w:rFonts w:ascii="Times New Roman" w:hAnsi="Times New Roman" w:cs="Times New Roman"/>
                <w:color w:val="000000" w:themeColor="text1"/>
                <w:sz w:val="24"/>
                <w:szCs w:val="24"/>
              </w:rPr>
            </w:pPr>
            <w:r w:rsidRPr="00CD0827">
              <w:rPr>
                <w:rFonts w:ascii="Times New Roman" w:hAnsi="Times New Roman" w:cs="Times New Roman"/>
                <w:color w:val="000000" w:themeColor="text1"/>
                <w:sz w:val="24"/>
                <w:szCs w:val="24"/>
              </w:rPr>
              <w:t>Likumprojekts (NILLTFNL 18</w:t>
            </w:r>
            <w:r w:rsidR="0063738E" w:rsidRPr="00CD0827">
              <w:rPr>
                <w:rFonts w:ascii="Times New Roman" w:hAnsi="Times New Roman" w:cs="Times New Roman"/>
                <w:color w:val="000000" w:themeColor="text1"/>
                <w:sz w:val="24"/>
                <w:szCs w:val="24"/>
              </w:rPr>
              <w:t>.</w:t>
            </w:r>
            <w:r w:rsidRPr="00CD0827">
              <w:rPr>
                <w:rFonts w:ascii="Times New Roman" w:hAnsi="Times New Roman" w:cs="Times New Roman"/>
                <w:color w:val="000000" w:themeColor="text1"/>
                <w:sz w:val="24"/>
                <w:szCs w:val="24"/>
              </w:rPr>
              <w:t>²</w:t>
            </w:r>
            <w:r w:rsidR="00DF2E94">
              <w:rPr>
                <w:rFonts w:ascii="Times New Roman" w:hAnsi="Times New Roman" w:cs="Times New Roman"/>
                <w:color w:val="000000" w:themeColor="text1"/>
                <w:sz w:val="24"/>
                <w:szCs w:val="24"/>
              </w:rPr>
              <w:t xml:space="preserve"> </w:t>
            </w:r>
            <w:r w:rsidRPr="00CD0827">
              <w:rPr>
                <w:rFonts w:ascii="Times New Roman" w:hAnsi="Times New Roman" w:cs="Times New Roman"/>
                <w:color w:val="000000" w:themeColor="text1"/>
                <w:sz w:val="24"/>
                <w:szCs w:val="24"/>
              </w:rPr>
              <w:t>pants) paredz ka patiesā labuma guvēj</w:t>
            </w:r>
            <w:r w:rsidR="0063738E" w:rsidRPr="00CD0827">
              <w:rPr>
                <w:rFonts w:ascii="Times New Roman" w:hAnsi="Times New Roman" w:cs="Times New Roman"/>
                <w:color w:val="000000" w:themeColor="text1"/>
                <w:sz w:val="24"/>
                <w:szCs w:val="24"/>
              </w:rPr>
              <w:t>a</w:t>
            </w:r>
            <w:r w:rsidRPr="00CD0827">
              <w:rPr>
                <w:rFonts w:ascii="Times New Roman" w:hAnsi="Times New Roman" w:cs="Times New Roman"/>
                <w:color w:val="000000" w:themeColor="text1"/>
                <w:sz w:val="24"/>
                <w:szCs w:val="24"/>
              </w:rPr>
              <w:t xml:space="preserve"> atklāšanas pienākums tiks attiecināts uz visām juridiskām personām, tostarp</w:t>
            </w:r>
            <w:r w:rsidR="00861B0C" w:rsidRPr="00CD0827">
              <w:rPr>
                <w:rFonts w:ascii="Times New Roman" w:hAnsi="Times New Roman" w:cs="Times New Roman"/>
                <w:color w:val="000000" w:themeColor="text1"/>
                <w:sz w:val="24"/>
                <w:szCs w:val="24"/>
              </w:rPr>
              <w:t>,</w:t>
            </w:r>
            <w:r w:rsidRPr="00CD0827">
              <w:rPr>
                <w:rFonts w:ascii="Times New Roman" w:hAnsi="Times New Roman" w:cs="Times New Roman"/>
                <w:color w:val="000000" w:themeColor="text1"/>
                <w:sz w:val="24"/>
                <w:szCs w:val="24"/>
              </w:rPr>
              <w:t xml:space="preserve"> personālsabiedrībām, kapitālsabiedrībām, kooperatīvajām sabiedrībām, biedrībām, nodibinājumiem, politi</w:t>
            </w:r>
            <w:r w:rsidR="00834B02" w:rsidRPr="00CD0827">
              <w:rPr>
                <w:rFonts w:ascii="Times New Roman" w:hAnsi="Times New Roman" w:cs="Times New Roman"/>
                <w:color w:val="000000" w:themeColor="text1"/>
                <w:sz w:val="24"/>
                <w:szCs w:val="24"/>
              </w:rPr>
              <w:t>skajām partijām, arodbiedrībām</w:t>
            </w:r>
            <w:r w:rsidRPr="00CD0827">
              <w:rPr>
                <w:rFonts w:ascii="Times New Roman" w:hAnsi="Times New Roman" w:cs="Times New Roman"/>
                <w:color w:val="000000" w:themeColor="text1"/>
                <w:sz w:val="24"/>
                <w:szCs w:val="24"/>
              </w:rPr>
              <w:t>, individuālajiem uzņēmumiem, zemnieku (zvejnieku) saimniecībām, Eiropas ekonomisko interešu grupām.</w:t>
            </w:r>
            <w:r w:rsidR="00B74524" w:rsidRPr="00CD0827">
              <w:rPr>
                <w:rFonts w:ascii="Times New Roman" w:hAnsi="Times New Roman" w:cs="Times New Roman"/>
                <w:color w:val="000000" w:themeColor="text1"/>
                <w:sz w:val="24"/>
                <w:szCs w:val="24"/>
              </w:rPr>
              <w:t xml:space="preserve"> </w:t>
            </w:r>
          </w:p>
          <w:p w:rsidR="00CD0827" w:rsidRPr="00CD0827" w:rsidRDefault="00834B02" w:rsidP="00CD0827">
            <w:pPr>
              <w:ind w:firstLine="403"/>
              <w:jc w:val="both"/>
              <w:rPr>
                <w:rFonts w:ascii="Times New Roman" w:hAnsi="Times New Roman" w:cs="Times New Roman"/>
                <w:color w:val="000000" w:themeColor="text1"/>
                <w:sz w:val="24"/>
                <w:szCs w:val="24"/>
              </w:rPr>
            </w:pPr>
            <w:r w:rsidRPr="00CD0827">
              <w:rPr>
                <w:rFonts w:ascii="Times New Roman" w:hAnsi="Times New Roman" w:cs="Times New Roman"/>
                <w:color w:val="000000" w:themeColor="text1"/>
                <w:sz w:val="24"/>
                <w:szCs w:val="24"/>
              </w:rPr>
              <w:t xml:space="preserve">Attiecībā uz Latvijas Republikā reģistrētām reliģiskām organizācijām par patieso labuma guvēju tiek </w:t>
            </w:r>
            <w:r w:rsidR="005A3D11">
              <w:rPr>
                <w:rFonts w:ascii="Times New Roman" w:hAnsi="Times New Roman" w:cs="Times New Roman"/>
                <w:color w:val="000000" w:themeColor="text1"/>
                <w:sz w:val="24"/>
                <w:szCs w:val="24"/>
              </w:rPr>
              <w:t>norādīti vadības institūcijas locekļi</w:t>
            </w:r>
            <w:r w:rsidRPr="00CD0827">
              <w:rPr>
                <w:rFonts w:ascii="Times New Roman" w:hAnsi="Times New Roman" w:cs="Times New Roman"/>
                <w:color w:val="000000" w:themeColor="text1"/>
                <w:sz w:val="24"/>
                <w:szCs w:val="24"/>
              </w:rPr>
              <w:t>, kur</w:t>
            </w:r>
            <w:r w:rsidR="005A3D11">
              <w:rPr>
                <w:rFonts w:ascii="Times New Roman" w:hAnsi="Times New Roman" w:cs="Times New Roman"/>
                <w:color w:val="000000" w:themeColor="text1"/>
                <w:sz w:val="24"/>
                <w:szCs w:val="24"/>
              </w:rPr>
              <w:t>i</w:t>
            </w:r>
            <w:r w:rsidRPr="00CD0827">
              <w:rPr>
                <w:rFonts w:ascii="Times New Roman" w:hAnsi="Times New Roman" w:cs="Times New Roman"/>
                <w:color w:val="000000" w:themeColor="text1"/>
                <w:sz w:val="24"/>
                <w:szCs w:val="24"/>
              </w:rPr>
              <w:t xml:space="preserve"> ir tiesī</w:t>
            </w:r>
            <w:r w:rsidR="005A3D11">
              <w:rPr>
                <w:rFonts w:ascii="Times New Roman" w:hAnsi="Times New Roman" w:cs="Times New Roman"/>
                <w:color w:val="000000" w:themeColor="text1"/>
                <w:sz w:val="24"/>
                <w:szCs w:val="24"/>
              </w:rPr>
              <w:t>gi</w:t>
            </w:r>
            <w:r w:rsidRPr="00CD0827">
              <w:rPr>
                <w:rFonts w:ascii="Times New Roman" w:hAnsi="Times New Roman" w:cs="Times New Roman"/>
                <w:color w:val="000000" w:themeColor="text1"/>
                <w:sz w:val="24"/>
                <w:szCs w:val="24"/>
              </w:rPr>
              <w:t xml:space="preserve"> </w:t>
            </w:r>
            <w:r w:rsidR="005A3D11">
              <w:rPr>
                <w:rFonts w:ascii="Times New Roman" w:hAnsi="Times New Roman" w:cs="Times New Roman"/>
                <w:color w:val="000000" w:themeColor="text1"/>
                <w:sz w:val="24"/>
                <w:szCs w:val="24"/>
              </w:rPr>
              <w:t>pārstāvēt</w:t>
            </w:r>
            <w:r w:rsidRPr="00CD0827">
              <w:rPr>
                <w:rFonts w:ascii="Times New Roman" w:hAnsi="Times New Roman" w:cs="Times New Roman"/>
                <w:color w:val="000000" w:themeColor="text1"/>
                <w:sz w:val="24"/>
                <w:szCs w:val="24"/>
              </w:rPr>
              <w:t xml:space="preserve"> r</w:t>
            </w:r>
            <w:r w:rsidR="005A3D11">
              <w:rPr>
                <w:rFonts w:ascii="Times New Roman" w:hAnsi="Times New Roman" w:cs="Times New Roman"/>
                <w:color w:val="000000" w:themeColor="text1"/>
                <w:sz w:val="24"/>
                <w:szCs w:val="24"/>
              </w:rPr>
              <w:t>eliģiskās organizācijas</w:t>
            </w:r>
            <w:r w:rsidRPr="00CD0827">
              <w:rPr>
                <w:rFonts w:ascii="Times New Roman" w:hAnsi="Times New Roman" w:cs="Times New Roman"/>
                <w:color w:val="000000" w:themeColor="text1"/>
                <w:sz w:val="24"/>
                <w:szCs w:val="24"/>
              </w:rPr>
              <w:t xml:space="preserve">. </w:t>
            </w:r>
            <w:r w:rsidR="00CD0827" w:rsidRPr="00CD0827">
              <w:rPr>
                <w:rFonts w:ascii="Times New Roman" w:hAnsi="Times New Roman" w:cs="Times New Roman"/>
                <w:color w:val="000000" w:themeColor="text1"/>
                <w:sz w:val="24"/>
                <w:szCs w:val="24"/>
              </w:rPr>
              <w:t xml:space="preserve">Latvijas Republikas Satversmes 99. pants un Reliģisko organizāciju likuma noteikumi reglamentē, ka valsts ir atdalīta no baznīcas, tāpēc, īstenojot valsts un reliģisko organizāciju attiecību atdalītības principu, tiek aizsargāta reliģisko organizāciju autonomija, t. sk. normatīvie akti nevar uzlikt par pienākumu reliģiskajām organizācijām pildīt tādas darbības, kas robežotos ar iejaukšanos reliģiskās organizācijas iekšējās lietās. Atbilstoši Fizisko personu datu aizsardzības likuma 2. panta </w:t>
            </w:r>
            <w:r w:rsidR="00CD0827" w:rsidRPr="00CD0827">
              <w:rPr>
                <w:rFonts w:ascii="Times New Roman" w:hAnsi="Times New Roman" w:cs="Times New Roman"/>
                <w:color w:val="000000" w:themeColor="text1"/>
                <w:sz w:val="24"/>
                <w:szCs w:val="24"/>
              </w:rPr>
              <w:lastRenderedPageBreak/>
              <w:t>8.punktam dati, kas norāda uz personas reliģisko pārliecību, ir sensitīvie dati un to apstrāde ir atļauta tikai likumā noteiktos gadījumos. Tāpēc informācija par reliģisko organizācijas dibinātājiem, kā arī citām tajā ietilpstošajām personām ir uzskatāma par ierobežotas pieejamības informāciju, tai skaitā tie ir sensitīvie dati.</w:t>
            </w:r>
            <w:r w:rsidR="00CD0827">
              <w:rPr>
                <w:rFonts w:ascii="Times New Roman" w:hAnsi="Times New Roman" w:cs="Times New Roman"/>
                <w:color w:val="000000" w:themeColor="text1"/>
                <w:sz w:val="24"/>
                <w:szCs w:val="24"/>
              </w:rPr>
              <w:t xml:space="preserve"> </w:t>
            </w:r>
            <w:r w:rsidR="00CD0827" w:rsidRPr="00CD0827">
              <w:rPr>
                <w:rFonts w:ascii="Times New Roman" w:hAnsi="Times New Roman" w:cs="Times New Roman"/>
                <w:color w:val="000000" w:themeColor="text1"/>
                <w:sz w:val="24"/>
                <w:szCs w:val="24"/>
              </w:rPr>
              <w:t>Pirmo desmit gadu laikā pēc dibināšanas reliģiskajai organizācijai katru gadu jāpārreģistrējas Uzņēmumu reģistrā. Pārreģistrācijas procesā reliģiskās organizācijas darbību izvērtē arī Tieslietu ministrija, Drošības policija un Pašvaldības policija. Proti, reliģiskās organizācijas, jo īpaši jaunizveidotās, jau šobrīd tiek pastiprināti kontrolētas.</w:t>
            </w:r>
            <w:r w:rsidR="00CD0827">
              <w:rPr>
                <w:rFonts w:ascii="Times New Roman" w:hAnsi="Times New Roman" w:cs="Times New Roman"/>
                <w:color w:val="000000" w:themeColor="text1"/>
                <w:sz w:val="24"/>
                <w:szCs w:val="24"/>
              </w:rPr>
              <w:t xml:space="preserve"> </w:t>
            </w:r>
            <w:r w:rsidR="00CD0827" w:rsidRPr="00CD0827">
              <w:rPr>
                <w:rFonts w:ascii="Times New Roman" w:hAnsi="Times New Roman" w:cs="Times New Roman"/>
                <w:color w:val="000000" w:themeColor="text1"/>
                <w:sz w:val="24"/>
                <w:szCs w:val="24"/>
              </w:rPr>
              <w:t>Draudžu skaits ir pārāk mazs, lai Direktīvas prasības būtu samērīgas ar no šo prasību piemērošanas izrietošo reliģijas brīvības un sensitīvo datu aizskārumu. Proti, 2015. gadā reliģisko organizāciju un to iestāžu reģistrā bija reģistrētas 1125 reliģiskas organizācijas (draudzes), no kurām musulmaņu konfesiju draudzes bija 16 un šo draudžu locekļu skaits bija 337.</w:t>
            </w:r>
            <w:r w:rsidR="00CD0827">
              <w:rPr>
                <w:rFonts w:ascii="Times New Roman" w:hAnsi="Times New Roman" w:cs="Times New Roman"/>
                <w:color w:val="000000" w:themeColor="text1"/>
                <w:sz w:val="24"/>
                <w:szCs w:val="24"/>
              </w:rPr>
              <w:t xml:space="preserve"> </w:t>
            </w:r>
            <w:r w:rsidR="00CD0827" w:rsidRPr="00CD0827">
              <w:rPr>
                <w:rFonts w:ascii="Times New Roman" w:hAnsi="Times New Roman" w:cs="Times New Roman"/>
                <w:color w:val="000000" w:themeColor="text1"/>
                <w:sz w:val="24"/>
                <w:szCs w:val="24"/>
              </w:rPr>
              <w:t>Arī citas dalībvalstis izvērtē, vai Direktīvas prasības attiecināt arī uz reliģiskajām organizācijām, piemēram, Zviedrija informēja, ka Direktīvas prasības nacionāli netiks attiecinātas uz reliģiskajām organizācijām konstitucionālu apsvērumu dēļ.</w:t>
            </w:r>
          </w:p>
          <w:p w:rsidR="00C92F8C" w:rsidRPr="00657A14" w:rsidRDefault="005A04A7" w:rsidP="00CD0827">
            <w:pPr>
              <w:widowControl w:val="0"/>
              <w:ind w:firstLine="403"/>
              <w:jc w:val="both"/>
              <w:rPr>
                <w:rFonts w:ascii="Times New Roman" w:hAnsi="Times New Roman" w:cs="Times New Roman"/>
                <w:color w:val="000000" w:themeColor="text1"/>
                <w:sz w:val="24"/>
                <w:szCs w:val="24"/>
              </w:rPr>
            </w:pPr>
            <w:r w:rsidRPr="00CD0827">
              <w:rPr>
                <w:rFonts w:ascii="Times New Roman" w:hAnsi="Times New Roman" w:cs="Times New Roman"/>
                <w:color w:val="000000" w:themeColor="text1"/>
                <w:sz w:val="24"/>
                <w:szCs w:val="24"/>
              </w:rPr>
              <w:t>Likumprojekta (NILLTFNL 18</w:t>
            </w:r>
            <w:r w:rsidR="00861B0C" w:rsidRPr="00CD0827">
              <w:rPr>
                <w:rFonts w:ascii="Times New Roman" w:hAnsi="Times New Roman" w:cs="Times New Roman"/>
                <w:color w:val="000000" w:themeColor="text1"/>
                <w:sz w:val="24"/>
                <w:szCs w:val="24"/>
              </w:rPr>
              <w:t>.</w:t>
            </w:r>
            <w:r w:rsidRPr="00CD0827">
              <w:rPr>
                <w:rFonts w:ascii="Times New Roman" w:hAnsi="Times New Roman" w:cs="Times New Roman"/>
                <w:color w:val="000000" w:themeColor="text1"/>
                <w:sz w:val="24"/>
                <w:szCs w:val="24"/>
              </w:rPr>
              <w:t xml:space="preserve">¹pants) paredz pienākumu visām juridiskajām personām apkopot iesniegto informāciju vai pēc savas iniciatīvas </w:t>
            </w:r>
            <w:r w:rsidRPr="00657A14">
              <w:rPr>
                <w:rFonts w:ascii="Times New Roman" w:hAnsi="Times New Roman" w:cs="Times New Roman"/>
                <w:color w:val="000000" w:themeColor="text1"/>
                <w:sz w:val="24"/>
                <w:szCs w:val="24"/>
              </w:rPr>
              <w:t>noskaidrot, kā arī glabāt un iesniegt Uzņēmumu reģistram informāciju par tās paties</w:t>
            </w:r>
            <w:r w:rsidR="00861B0C" w:rsidRPr="00657A14">
              <w:rPr>
                <w:rFonts w:ascii="Times New Roman" w:hAnsi="Times New Roman" w:cs="Times New Roman"/>
                <w:color w:val="000000" w:themeColor="text1"/>
                <w:sz w:val="24"/>
                <w:szCs w:val="24"/>
              </w:rPr>
              <w:t>ajiem</w:t>
            </w:r>
            <w:r w:rsidRPr="00657A14">
              <w:rPr>
                <w:rFonts w:ascii="Times New Roman" w:hAnsi="Times New Roman" w:cs="Times New Roman"/>
                <w:color w:val="000000" w:themeColor="text1"/>
                <w:sz w:val="24"/>
                <w:szCs w:val="24"/>
              </w:rPr>
              <w:t xml:space="preserve"> labuma guvējiem. Tomēr jāņem vērā</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ka ne </w:t>
            </w:r>
            <w:r w:rsidR="006B0175" w:rsidRPr="00657A14">
              <w:rPr>
                <w:rFonts w:ascii="Times New Roman" w:hAnsi="Times New Roman" w:cs="Times New Roman"/>
                <w:color w:val="000000" w:themeColor="text1"/>
                <w:sz w:val="24"/>
                <w:szCs w:val="24"/>
              </w:rPr>
              <w:t xml:space="preserve">visos gadījumos </w:t>
            </w:r>
            <w:r w:rsidRPr="00657A14">
              <w:rPr>
                <w:rFonts w:ascii="Times New Roman" w:hAnsi="Times New Roman" w:cs="Times New Roman"/>
                <w:color w:val="000000" w:themeColor="text1"/>
                <w:sz w:val="24"/>
                <w:szCs w:val="24"/>
              </w:rPr>
              <w:t>juridiskajām personām ir paties</w:t>
            </w:r>
            <w:r w:rsidR="00861B0C" w:rsidRPr="00657A14">
              <w:rPr>
                <w:rFonts w:ascii="Times New Roman" w:hAnsi="Times New Roman" w:cs="Times New Roman"/>
                <w:color w:val="000000" w:themeColor="text1"/>
                <w:sz w:val="24"/>
                <w:szCs w:val="24"/>
              </w:rPr>
              <w:t>ais</w:t>
            </w:r>
            <w:r w:rsidRPr="00657A14">
              <w:rPr>
                <w:rFonts w:ascii="Times New Roman" w:hAnsi="Times New Roman" w:cs="Times New Roman"/>
                <w:color w:val="000000" w:themeColor="text1"/>
                <w:sz w:val="24"/>
                <w:szCs w:val="24"/>
              </w:rPr>
              <w:t xml:space="preserve"> labuma guvējs atbilstoši likumprojektā noteiktajam. Piemēram, ja biedrības biedri īsteno savas tiesības tikai kā biedrības biedri atbilstoši Biedrību un nodibinājumu likumā noteiktajām tiesībām un pienākumiem, tad šāds biedrs nav uzskatāms par paties</w:t>
            </w:r>
            <w:r w:rsidR="00861B0C" w:rsidRPr="00657A14">
              <w:rPr>
                <w:rFonts w:ascii="Times New Roman" w:hAnsi="Times New Roman" w:cs="Times New Roman"/>
                <w:color w:val="000000" w:themeColor="text1"/>
                <w:sz w:val="24"/>
                <w:szCs w:val="24"/>
              </w:rPr>
              <w:t>o</w:t>
            </w:r>
            <w:r w:rsidRPr="00657A14">
              <w:rPr>
                <w:rFonts w:ascii="Times New Roman" w:hAnsi="Times New Roman" w:cs="Times New Roman"/>
                <w:color w:val="000000" w:themeColor="text1"/>
                <w:sz w:val="24"/>
                <w:szCs w:val="24"/>
              </w:rPr>
              <w:t xml:space="preserve"> labuma guvēju. Šādos gadījumos likuma subjekts par juridiskās personas paties</w:t>
            </w:r>
            <w:r w:rsidR="00861B0C" w:rsidRPr="00657A14">
              <w:rPr>
                <w:rFonts w:ascii="Times New Roman" w:hAnsi="Times New Roman" w:cs="Times New Roman"/>
                <w:color w:val="000000" w:themeColor="text1"/>
                <w:sz w:val="24"/>
                <w:szCs w:val="24"/>
              </w:rPr>
              <w:t>o</w:t>
            </w:r>
            <w:r w:rsidRPr="00657A14">
              <w:rPr>
                <w:rFonts w:ascii="Times New Roman" w:hAnsi="Times New Roman" w:cs="Times New Roman"/>
                <w:color w:val="000000" w:themeColor="text1"/>
                <w:sz w:val="24"/>
                <w:szCs w:val="24"/>
              </w:rPr>
              <w:t xml:space="preserve"> labuma guvēju var uzskatīt personu, kura ieņem augstākās vadības amatu šajā juridiskajā personā. Līdz ar to tādām juridiskajām personām kā biedrības, politiskās partijas faktiski</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visticamāk</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nebūs iespējams noteikt paties</w:t>
            </w:r>
            <w:r w:rsidR="00861B0C" w:rsidRPr="00657A14">
              <w:rPr>
                <w:rFonts w:ascii="Times New Roman" w:hAnsi="Times New Roman" w:cs="Times New Roman"/>
                <w:color w:val="000000" w:themeColor="text1"/>
                <w:sz w:val="24"/>
                <w:szCs w:val="24"/>
              </w:rPr>
              <w:t>o</w:t>
            </w:r>
            <w:r w:rsidRPr="00657A14">
              <w:rPr>
                <w:rFonts w:ascii="Times New Roman" w:hAnsi="Times New Roman" w:cs="Times New Roman"/>
                <w:color w:val="000000" w:themeColor="text1"/>
                <w:sz w:val="24"/>
                <w:szCs w:val="24"/>
              </w:rPr>
              <w:t xml:space="preserve"> labuma guvēju un tādējādi tām arī nebūs pienākums iesniegt informāciju par paties</w:t>
            </w:r>
            <w:r w:rsidR="00861B0C" w:rsidRPr="00657A14">
              <w:rPr>
                <w:rFonts w:ascii="Times New Roman" w:hAnsi="Times New Roman" w:cs="Times New Roman"/>
                <w:color w:val="000000" w:themeColor="text1"/>
                <w:sz w:val="24"/>
                <w:szCs w:val="24"/>
              </w:rPr>
              <w:t>o</w:t>
            </w:r>
            <w:r w:rsidRPr="00657A14">
              <w:rPr>
                <w:rFonts w:ascii="Times New Roman" w:hAnsi="Times New Roman" w:cs="Times New Roman"/>
                <w:color w:val="000000" w:themeColor="text1"/>
                <w:sz w:val="24"/>
                <w:szCs w:val="24"/>
              </w:rPr>
              <w:t xml:space="preserve"> labuma guvēju Uzņēmumu reģistram.</w:t>
            </w:r>
          </w:p>
          <w:p w:rsidR="004C4BAC" w:rsidRPr="00657A14" w:rsidRDefault="004C4BAC" w:rsidP="004C4BAC">
            <w:pPr>
              <w:pStyle w:val="CommentText"/>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w:t>
            </w:r>
            <w:r w:rsidR="00390278">
              <w:rPr>
                <w:rFonts w:ascii="Times New Roman" w:hAnsi="Times New Roman" w:cs="Times New Roman"/>
                <w:color w:val="000000" w:themeColor="text1"/>
                <w:sz w:val="24"/>
                <w:szCs w:val="24"/>
              </w:rPr>
              <w:t>projekta (NILLTFNL 18.¹ pants devītā</w:t>
            </w:r>
            <w:r w:rsidRPr="00657A14">
              <w:rPr>
                <w:rFonts w:ascii="Times New Roman" w:hAnsi="Times New Roman" w:cs="Times New Roman"/>
                <w:color w:val="000000" w:themeColor="text1"/>
                <w:sz w:val="24"/>
                <w:szCs w:val="24"/>
              </w:rPr>
              <w:t xml:space="preserve"> daļa) Nav pamata ierobežot pašas juridiskās personas tiesības saņemt informāciju, kas iesniegta Latvijas Republikas Uzņēmumu reģistrā par tās patiesajiem labuma guvējiem. Jāņem vērā, ka mainoties juridiskās personas pārvaldes institūcijai, jaunajai institūcijai pieejamā informācija var būt nepietiekama. Juridiskās personas attiecībā uz informācijas iegūšanu par </w:t>
            </w:r>
            <w:r w:rsidRPr="00657A14">
              <w:rPr>
                <w:rFonts w:ascii="Times New Roman" w:hAnsi="Times New Roman" w:cs="Times New Roman"/>
                <w:color w:val="000000" w:themeColor="text1"/>
                <w:sz w:val="24"/>
                <w:szCs w:val="24"/>
              </w:rPr>
              <w:lastRenderedPageBreak/>
              <w:t xml:space="preserve">saviem patiesajiem labuma guvējiem būtu atzīstamas par </w:t>
            </w:r>
            <w:r w:rsidR="005C5D97">
              <w:rPr>
                <w:rFonts w:ascii="Times New Roman" w:hAnsi="Times New Roman" w:cs="Times New Roman"/>
                <w:color w:val="000000" w:themeColor="text1"/>
                <w:sz w:val="24"/>
                <w:szCs w:val="24"/>
              </w:rPr>
              <w:t>AML IV ditektīvas</w:t>
            </w:r>
            <w:r w:rsidRPr="00657A14">
              <w:rPr>
                <w:rFonts w:ascii="Times New Roman" w:hAnsi="Times New Roman" w:cs="Times New Roman"/>
                <w:color w:val="000000" w:themeColor="text1"/>
                <w:sz w:val="24"/>
                <w:szCs w:val="24"/>
              </w:rPr>
              <w:t xml:space="preserve"> 30.panta piektā </w:t>
            </w:r>
            <w:r w:rsidR="005C5D97">
              <w:rPr>
                <w:rFonts w:ascii="Times New Roman" w:hAnsi="Times New Roman" w:cs="Times New Roman"/>
                <w:color w:val="000000" w:themeColor="text1"/>
                <w:sz w:val="24"/>
                <w:szCs w:val="24"/>
              </w:rPr>
              <w:t>punkta</w:t>
            </w:r>
            <w:r w:rsidRPr="00657A14">
              <w:rPr>
                <w:rFonts w:ascii="Times New Roman" w:hAnsi="Times New Roman" w:cs="Times New Roman"/>
                <w:color w:val="000000" w:themeColor="text1"/>
                <w:sz w:val="24"/>
                <w:szCs w:val="24"/>
              </w:rPr>
              <w:t xml:space="preserve"> c) apakšpunktā minētajām personām, kurām ir leģitīmas intereses saņemt informāciju </w:t>
            </w:r>
            <w:r w:rsidR="005C5D97">
              <w:rPr>
                <w:rFonts w:ascii="Times New Roman" w:hAnsi="Times New Roman" w:cs="Times New Roman"/>
                <w:color w:val="000000" w:themeColor="text1"/>
                <w:sz w:val="24"/>
                <w:szCs w:val="24"/>
              </w:rPr>
              <w:t>par patiesajiem labuma guvējiem, tai skaitā li</w:t>
            </w:r>
            <w:r w:rsidR="00057462">
              <w:rPr>
                <w:rFonts w:ascii="Times New Roman" w:hAnsi="Times New Roman" w:cs="Times New Roman"/>
                <w:color w:val="000000" w:themeColor="text1"/>
                <w:sz w:val="24"/>
                <w:szCs w:val="24"/>
              </w:rPr>
              <w:t>kumprojektā</w:t>
            </w:r>
            <w:r w:rsidR="005C5D97">
              <w:rPr>
                <w:rFonts w:ascii="Times New Roman" w:hAnsi="Times New Roman" w:cs="Times New Roman"/>
                <w:color w:val="000000" w:themeColor="text1"/>
                <w:sz w:val="24"/>
                <w:szCs w:val="24"/>
              </w:rPr>
              <w:t xml:space="preserve"> tiek paredzētas tiesības arī jebkurai fiziskai vai juridiskajai personai ar likumīgām interes</w:t>
            </w:r>
            <w:r w:rsidR="00057462">
              <w:rPr>
                <w:rFonts w:ascii="Times New Roman" w:hAnsi="Times New Roman" w:cs="Times New Roman"/>
                <w:color w:val="000000" w:themeColor="text1"/>
                <w:sz w:val="24"/>
                <w:szCs w:val="24"/>
              </w:rPr>
              <w:t>ēm saņemt patiesā labuma guvēja informāciju.</w:t>
            </w:r>
          </w:p>
          <w:p w:rsidR="00BC2917" w:rsidRPr="00657A14" w:rsidRDefault="009B796C" w:rsidP="00A32793">
            <w:pPr>
              <w:pStyle w:val="CommentText"/>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w:t>
            </w:r>
            <w:r w:rsidR="00BC2917" w:rsidRPr="00657A14">
              <w:rPr>
                <w:rFonts w:ascii="Times New Roman" w:hAnsi="Times New Roman" w:cs="Times New Roman"/>
                <w:color w:val="000000" w:themeColor="text1"/>
                <w:sz w:val="24"/>
                <w:szCs w:val="24"/>
              </w:rPr>
              <w:t>ikumprojekta (NILLTFNL 18.¹ pants ceturtā daļa)</w:t>
            </w:r>
            <w:r w:rsidR="004C4BAC" w:rsidRPr="00657A14">
              <w:rPr>
                <w:rFonts w:ascii="Times New Roman" w:hAnsi="Times New Roman" w:cs="Times New Roman"/>
                <w:color w:val="000000" w:themeColor="text1"/>
                <w:sz w:val="24"/>
                <w:szCs w:val="24"/>
              </w:rPr>
              <w:t xml:space="preserve"> - i</w:t>
            </w:r>
            <w:r w:rsidR="00BC2917" w:rsidRPr="00657A14">
              <w:rPr>
                <w:rFonts w:ascii="Times New Roman" w:hAnsi="Times New Roman" w:cs="Times New Roman"/>
                <w:color w:val="000000" w:themeColor="text1"/>
                <w:sz w:val="24"/>
                <w:szCs w:val="24"/>
              </w:rPr>
              <w:t>nformācijas par patieso labuma guvēju noskaidrošanai būtiska ne vien patieso labuma guvēju identificējošā informācija, bet arī informācija par veidu, kā tiek īstenota kontrole pār juridisko personu. Ņemot vērā, ka kontrole pār juridisko personu var tikt īstenota tieši vai netieši, netiešas piederības vai kontroles gadījumā, piemēram, patiesā labuma guvējam uzticot citai fiziskajai personai rīkoties tās vārdā būtiska ir arī attiecīgās personas, kura rīkojas patiesā labuma guvēja vārdā noskaidrošana. Minētais ir nozīmīgi arī, lai izsekotu patiesā labuma guvēja maiņai, gadījumos, kad fiziskās personas, kuras rīkojušās citas personas – patiesā labuma guvēja, labā vairs neatbilst likuma 1.panta 5.apakšpunkta “a” apakšpunktam, piemēram, sabiedrības ar ierobežotu atbildību dalībnieks savas daļas atsavina.</w:t>
            </w:r>
          </w:p>
          <w:p w:rsidR="00C92F8C" w:rsidRPr="00657A14" w:rsidRDefault="005A04A7"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FATF 25.rekomendācija nosaka, ka valstīm īpaši jānodrošina, ka ir pieejama tāda informācija par trastiem, tostarp</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informācija par trasta dibinātājiem, pilnvarotajiem un paties</w:t>
            </w:r>
            <w:r w:rsidR="00861B0C" w:rsidRPr="00657A14">
              <w:rPr>
                <w:rFonts w:ascii="Times New Roman" w:hAnsi="Times New Roman" w:cs="Times New Roman"/>
                <w:color w:val="000000" w:themeColor="text1"/>
                <w:sz w:val="24"/>
                <w:szCs w:val="24"/>
              </w:rPr>
              <w:t>ajiem</w:t>
            </w:r>
            <w:r w:rsidRPr="00657A14">
              <w:rPr>
                <w:rFonts w:ascii="Times New Roman" w:hAnsi="Times New Roman" w:cs="Times New Roman"/>
                <w:color w:val="000000" w:themeColor="text1"/>
                <w:sz w:val="24"/>
                <w:szCs w:val="24"/>
              </w:rPr>
              <w:t xml:space="preserve"> labuma guvējiem, kuru kompetentās iestādes var laikus iegūt. Vienlaikus</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tā kā trasti Latvijas Republikas tiesību sistēmā nav atzīti un netiek reģistrēti</w:t>
            </w:r>
            <w:r w:rsidR="00861B0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NILLTFNL likuma subjektiem informācija par trastu patiesajiem labuma guvējiem jānoskaidro NILLTFNL noteiktajos gadījumos, taču informācija par tiem Uzņēmumu reģistra vestajos reģistros nav reģistrējama.</w:t>
            </w:r>
          </w:p>
          <w:p w:rsidR="00BC2917" w:rsidRPr="00657A14" w:rsidRDefault="005A04A7" w:rsidP="004C4A41">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Vienlaikus, lai juridiskajām personām mazinātu administratīvo slogu, likumprojekts (NILLTFNL 18</w:t>
            </w:r>
            <w:r w:rsidR="00C2441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²pants) paredz gadījumus, kad nav nepieciešams iesniegt informāciju Uzņēmumu reģistram. Piemēram, jau šobrīd informācija par sabiedrību ar ierobežotu atbildību dalībniekiem, personālsabiedrības biedriem vai nodibinājuma dibinātājiem tiek iesniegta Uzņēmumu reģistram un ir publiski pieejama. Līdz ar to šādos gadījumos juridiskajai personai nav pienākuma atkārtoti sniegt šo informāciju Uzņēmumu reģistram, ja veids, kā īstenota kontrole pār juridisko personu, izriet attiecīgi tikai no sabiedrības ar ierobežotu atbildību dalībnieka, personālsabiedrības biedra vai nodibinājuma dibinātāja statusa vai citas, normatīvajos aktos jau noteiktas, Uzņēmumu reģistra vestajos reģistros ierakstāmas vai </w:t>
            </w:r>
            <w:r w:rsidRPr="00657A14">
              <w:rPr>
                <w:rFonts w:ascii="Times New Roman" w:hAnsi="Times New Roman" w:cs="Times New Roman"/>
                <w:color w:val="000000" w:themeColor="text1"/>
                <w:sz w:val="24"/>
                <w:szCs w:val="24"/>
              </w:rPr>
              <w:lastRenderedPageBreak/>
              <w:t>iesniedzamas informācijas. Vienlaikus, piemēram, informācija par akcionāriem, neatkarīgi no to turējumā esošā akciju procentuālā apmēra, netiek iesniegta Uzņēmumu reģistrā, tāpēc akciju sabiedrībām būs pienākums iesniegt informāciju par tiem akcionāriem, kuru turējumā ir vairāk nekā 25% akciju.</w:t>
            </w:r>
          </w:p>
          <w:p w:rsidR="00C92F8C" w:rsidRPr="00657A14" w:rsidRDefault="005A04A7"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Latvijas nacionālais regulējums (Komerclikuma 17</w:t>
            </w:r>
            <w:r w:rsidR="00C2441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¹panta desmitā daļa) paredz, ka ar Uzņēmumu reģistrā iesniegto informāciju par patiesajiem labuma guvējiem ir tiesības iepazīties ļoti šauram kompetento iestāžu lokam. Atbilstoši AML IV direktīvas prasībām tiek būtiski paplašināts to personu loks, kas ir tiesīgs iepazīties ar Uzņēmumu reģistrā iesniegto informāciju par patiesajiem labuma guvējiem. Vienlaikus jānorāda, ka AML IV direktīva neparedz padarīt informāciju par vispārpieejamu. Proti, no AML IV direktīvas 30. un 31.panta izriet subjekti, kuriem ir tiesības saņemt informāciju no publiskā reģistra un saņemtās informācijas apjoms (kādi personu dati), savukārt AML IV direktīvas 40.pants noteic personas datu apstrādes mērķi informācijas, t.sk. personas datu apstrādei, proti, lai kompetentās iestādes varētu novērst, atklāt un izmeklēt iespējamus noziedzīgi iegūtu līdzekļu legalizēšanas vai terorisma finansēšanas gadījumus. Ņemot vērā AML IV direktīvā paredzētos ar personas datu apstrādi saistītus noteikumus, secināms, ka informācija par patiesajiem labuma guvējiem nevar būt vispārpieejama. Lai sekmīgi ieviestu AML IV direktīvu, netiek paplašināts AML IV direktīvā noteiktais subjektu lok</w:t>
            </w:r>
            <w:r w:rsidR="00C2441D"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bet nacionāli NILLTFNL ietvaros likumprojekts paredz, ka tiesības saņemt Uzņēmumu reģistra apkopoto informāciju par patiesajiem labuma guvējiem būs visiem NILLTFNL subjektiem. </w:t>
            </w:r>
            <w:r>
              <w:rPr>
                <w:rFonts w:ascii="Times New Roman" w:hAnsi="Times New Roman" w:cs="Times New Roman"/>
                <w:color w:val="000000" w:themeColor="text1"/>
                <w:sz w:val="24"/>
                <w:szCs w:val="24"/>
              </w:rPr>
              <w:t>NILLTFNL 41.panta otrās daļas 1. punkts tiek izslēgts, savukārt likumprojekts (NILLTFNL 41.panta 2</w:t>
            </w:r>
            <w:r w:rsidR="008441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¹</w:t>
            </w:r>
            <w:r w:rsidR="007E5B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daļa) paredz, ka likuma prasību izpildei nepieciešamā informācija būs pieejama no Uzņēmumu reģistra visiem likuma subjektiem, tiešsaistes formā par maksu. </w:t>
            </w:r>
          </w:p>
          <w:p w:rsidR="00C92F8C" w:rsidRPr="00657A14" w:rsidRDefault="005A04A7" w:rsidP="00C92F8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Likumprojekts ietver nepieciešamo regulējumu, kas nepieciešams Direktīvas prasību ieviešanai. Lai novērstu pašreizēja regulējuma dublēšanos </w:t>
            </w:r>
            <w:r w:rsidR="007E5BAE" w:rsidRPr="00657A14">
              <w:rPr>
                <w:rFonts w:ascii="Times New Roman" w:hAnsi="Times New Roman" w:cs="Times New Roman"/>
                <w:color w:val="000000" w:themeColor="text1"/>
                <w:sz w:val="24"/>
                <w:szCs w:val="24"/>
              </w:rPr>
              <w:t xml:space="preserve">ar </w:t>
            </w:r>
            <w:r w:rsidRPr="00657A14">
              <w:rPr>
                <w:rFonts w:ascii="Times New Roman" w:hAnsi="Times New Roman" w:cs="Times New Roman"/>
                <w:color w:val="000000" w:themeColor="text1"/>
                <w:sz w:val="24"/>
                <w:szCs w:val="24"/>
              </w:rPr>
              <w:t>likumprojektā ietverto regulējumu, ir nepieciešams izslēgt Komerclikuma 17</w:t>
            </w:r>
            <w:r w:rsidR="007E5BAE"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¹pantu</w:t>
            </w:r>
            <w:r w:rsidR="00EB55D9" w:rsidRPr="00657A14">
              <w:rPr>
                <w:rFonts w:ascii="Times New Roman" w:hAnsi="Times New Roman" w:cs="Times New Roman"/>
                <w:color w:val="000000" w:themeColor="text1"/>
                <w:sz w:val="24"/>
                <w:szCs w:val="24"/>
              </w:rPr>
              <w:t xml:space="preserve"> (likumprojekta pārejas noteikumu 17.punkts).</w:t>
            </w:r>
          </w:p>
          <w:p w:rsidR="00C92F8C" w:rsidRPr="00657A14" w:rsidRDefault="005A04A7" w:rsidP="00C92F8C">
            <w:pPr>
              <w:widowControl w:val="0"/>
              <w:ind w:firstLine="394"/>
              <w:jc w:val="both"/>
              <w:rPr>
                <w:rFonts w:ascii="Times New Roman" w:hAnsi="Times New Roman" w:cs="Times New Roman"/>
                <w:color w:val="000000" w:themeColor="text1"/>
                <w:sz w:val="24"/>
                <w:szCs w:val="24"/>
              </w:rPr>
            </w:pPr>
            <w:r w:rsidRPr="00AC71CB">
              <w:rPr>
                <w:rFonts w:ascii="Times New Roman" w:hAnsi="Times New Roman" w:cs="Times New Roman"/>
                <w:color w:val="000000" w:themeColor="text1"/>
                <w:sz w:val="24"/>
                <w:szCs w:val="24"/>
              </w:rPr>
              <w:t>2017.gada novembrī, Latvij</w:t>
            </w:r>
            <w:r>
              <w:rPr>
                <w:rFonts w:ascii="Times New Roman" w:hAnsi="Times New Roman" w:cs="Times New Roman"/>
                <w:color w:val="000000" w:themeColor="text1"/>
                <w:sz w:val="24"/>
                <w:szCs w:val="24"/>
              </w:rPr>
              <w:t>ā</w:t>
            </w:r>
            <w:r w:rsidRPr="00AC71CB">
              <w:rPr>
                <w:rFonts w:ascii="Times New Roman" w:hAnsi="Times New Roman" w:cs="Times New Roman"/>
                <w:color w:val="000000" w:themeColor="text1"/>
                <w:sz w:val="24"/>
                <w:szCs w:val="24"/>
              </w:rPr>
              <w:t xml:space="preserve"> uz divām nedēļām ieradīsies Eiropas Padomes Moneyval eksperti, lai veiktu valsts noziedzīgi iegūtu līdzekļu legalizācijas un terorisma finansēšanas novēršanas un apkarošanas sistēmas 5.kārtas novērtēšanu. Novērtēšanas ietvaros</w:t>
            </w:r>
            <w:r w:rsidR="007E5BAE">
              <w:rPr>
                <w:rFonts w:ascii="Times New Roman" w:hAnsi="Times New Roman" w:cs="Times New Roman"/>
                <w:color w:val="000000" w:themeColor="text1"/>
                <w:sz w:val="24"/>
                <w:szCs w:val="24"/>
              </w:rPr>
              <w:t>,</w:t>
            </w:r>
            <w:r w:rsidRPr="00AC71CB">
              <w:rPr>
                <w:rFonts w:ascii="Times New Roman" w:hAnsi="Times New Roman" w:cs="Times New Roman"/>
                <w:color w:val="000000" w:themeColor="text1"/>
                <w:sz w:val="24"/>
                <w:szCs w:val="24"/>
              </w:rPr>
              <w:t xml:space="preserve"> cita</w:t>
            </w:r>
            <w:r>
              <w:rPr>
                <w:rFonts w:ascii="Times New Roman" w:hAnsi="Times New Roman" w:cs="Times New Roman"/>
                <w:color w:val="000000" w:themeColor="text1"/>
                <w:sz w:val="24"/>
                <w:szCs w:val="24"/>
              </w:rPr>
              <w:t xml:space="preserve"> </w:t>
            </w:r>
            <w:r w:rsidRPr="00AC71CB">
              <w:rPr>
                <w:rFonts w:ascii="Times New Roman" w:hAnsi="Times New Roman" w:cs="Times New Roman"/>
                <w:color w:val="000000" w:themeColor="text1"/>
                <w:sz w:val="24"/>
                <w:szCs w:val="24"/>
              </w:rPr>
              <w:t>starp</w:t>
            </w:r>
            <w:r w:rsidR="007E5BAE">
              <w:rPr>
                <w:rFonts w:ascii="Times New Roman" w:hAnsi="Times New Roman" w:cs="Times New Roman"/>
                <w:color w:val="000000" w:themeColor="text1"/>
                <w:sz w:val="24"/>
                <w:szCs w:val="24"/>
              </w:rPr>
              <w:t>,</w:t>
            </w:r>
            <w:r w:rsidRPr="00AC71CB">
              <w:rPr>
                <w:rFonts w:ascii="Times New Roman" w:hAnsi="Times New Roman" w:cs="Times New Roman"/>
                <w:color w:val="000000" w:themeColor="text1"/>
                <w:sz w:val="24"/>
                <w:szCs w:val="24"/>
              </w:rPr>
              <w:t xml:space="preserve"> tiks vērtēta </w:t>
            </w:r>
            <w:r w:rsidRPr="00AC71CB">
              <w:rPr>
                <w:rFonts w:ascii="Times New Roman" w:hAnsi="Times New Roman" w:cs="Times New Roman"/>
                <w:color w:val="000000" w:themeColor="text1"/>
                <w:sz w:val="24"/>
                <w:szCs w:val="24"/>
              </w:rPr>
              <w:lastRenderedPageBreak/>
              <w:t>atbilstība 24.rekomendācijai, kas attiecas uz informācijas par juridiskajām personām un to paties</w:t>
            </w:r>
            <w:r w:rsidR="007E5BAE">
              <w:rPr>
                <w:rFonts w:ascii="Times New Roman" w:hAnsi="Times New Roman" w:cs="Times New Roman"/>
                <w:color w:val="000000" w:themeColor="text1"/>
                <w:sz w:val="24"/>
                <w:szCs w:val="24"/>
              </w:rPr>
              <w:t>ajiem</w:t>
            </w:r>
            <w:r w:rsidRPr="00AC71CB">
              <w:rPr>
                <w:rFonts w:ascii="Times New Roman" w:hAnsi="Times New Roman" w:cs="Times New Roman"/>
                <w:color w:val="000000" w:themeColor="text1"/>
                <w:sz w:val="24"/>
                <w:szCs w:val="24"/>
              </w:rPr>
              <w:t xml:space="preserve"> labuma guvējiem pieejamību. Turklāt tiks vērtēta tieši atbilstības rekomendācijas prasībām efektivitāte, ne tikai formālā ieviešana </w:t>
            </w:r>
            <w:r w:rsidR="007E5BAE">
              <w:rPr>
                <w:rFonts w:ascii="Times New Roman" w:hAnsi="Times New Roman" w:cs="Times New Roman"/>
                <w:color w:val="000000" w:themeColor="text1"/>
                <w:sz w:val="24"/>
                <w:szCs w:val="24"/>
              </w:rPr>
              <w:t>normatīvajos aktos</w:t>
            </w:r>
            <w:r w:rsidRPr="00AC71CB">
              <w:rPr>
                <w:rFonts w:ascii="Times New Roman" w:hAnsi="Times New Roman" w:cs="Times New Roman"/>
                <w:color w:val="000000" w:themeColor="text1"/>
                <w:sz w:val="24"/>
                <w:szCs w:val="24"/>
              </w:rPr>
              <w:t>. Jāņem vērā, ka, vērtējot efektivitāti, Eiropas Padomes Moneyval eksperti vērtē to vismaz sešu mēnešu termiņā. Ievērojot minēto, Uzņēmumu reģistram, saņemot nepieciešamo finansējumu, jāspēj nodrošināt vismaz informācijas reģistrēšana Uzņēmumu reģistra vestajos reģistros par paties</w:t>
            </w:r>
            <w:r w:rsidR="007E5BAE">
              <w:rPr>
                <w:rFonts w:ascii="Times New Roman" w:hAnsi="Times New Roman" w:cs="Times New Roman"/>
                <w:color w:val="000000" w:themeColor="text1"/>
                <w:sz w:val="24"/>
                <w:szCs w:val="24"/>
              </w:rPr>
              <w:t>ajiem</w:t>
            </w:r>
            <w:r w:rsidRPr="00AC71CB">
              <w:rPr>
                <w:rFonts w:ascii="Times New Roman" w:hAnsi="Times New Roman" w:cs="Times New Roman"/>
                <w:color w:val="000000" w:themeColor="text1"/>
                <w:sz w:val="24"/>
                <w:szCs w:val="24"/>
              </w:rPr>
              <w:t xml:space="preserve"> labuma guvējiem līdz 2017.gada 1.jūlijam.</w:t>
            </w:r>
            <w:r w:rsidR="00C92F8C" w:rsidRPr="00657A14">
              <w:rPr>
                <w:rFonts w:ascii="Times New Roman" w:hAnsi="Times New Roman" w:cs="Times New Roman"/>
                <w:color w:val="000000" w:themeColor="text1"/>
                <w:sz w:val="24"/>
                <w:szCs w:val="24"/>
              </w:rPr>
              <w:t xml:space="preserve"> </w:t>
            </w:r>
          </w:p>
          <w:p w:rsidR="00D307D6" w:rsidRDefault="005A04A7" w:rsidP="00546D77">
            <w:pPr>
              <w:widowControl w:val="0"/>
              <w:ind w:firstLine="394"/>
              <w:jc w:val="both"/>
              <w:rPr>
                <w:rFonts w:ascii="Times New Roman" w:hAnsi="Times New Roman" w:cs="Times New Roman"/>
                <w:color w:val="000000" w:themeColor="text1"/>
                <w:sz w:val="24"/>
                <w:szCs w:val="24"/>
              </w:rPr>
            </w:pPr>
            <w:r w:rsidRPr="00F27F8E">
              <w:rPr>
                <w:rFonts w:ascii="Times New Roman" w:hAnsi="Times New Roman" w:cs="Times New Roman"/>
                <w:color w:val="000000" w:themeColor="text1"/>
                <w:sz w:val="24"/>
                <w:szCs w:val="24"/>
              </w:rPr>
              <w:t>Savukārt, informācijas par paties</w:t>
            </w:r>
            <w:r w:rsidR="007E5BAE" w:rsidRPr="00F27F8E">
              <w:rPr>
                <w:rFonts w:ascii="Times New Roman" w:hAnsi="Times New Roman" w:cs="Times New Roman"/>
                <w:color w:val="000000" w:themeColor="text1"/>
                <w:sz w:val="24"/>
                <w:szCs w:val="24"/>
              </w:rPr>
              <w:t>ajiem</w:t>
            </w:r>
            <w:r w:rsidRPr="00F27F8E">
              <w:rPr>
                <w:rFonts w:ascii="Times New Roman" w:hAnsi="Times New Roman" w:cs="Times New Roman"/>
                <w:color w:val="000000" w:themeColor="text1"/>
                <w:sz w:val="24"/>
                <w:szCs w:val="24"/>
              </w:rPr>
              <w:t xml:space="preserve"> labuma guvējiem pilnvērtīgai, efektīvai, savlaicīgai izsniegšanai, veicama konceptuāla Uzņēmumu reģistra informācijas izsniegšanas sistēmas modeļa maiņa. Uzņēmumu reģistram </w:t>
            </w:r>
            <w:r w:rsidR="00AB43BB" w:rsidRPr="00F27F8E">
              <w:rPr>
                <w:rFonts w:ascii="Times New Roman" w:hAnsi="Times New Roman" w:cs="Times New Roman"/>
                <w:color w:val="000000" w:themeColor="text1"/>
                <w:sz w:val="24"/>
                <w:szCs w:val="24"/>
              </w:rPr>
              <w:t xml:space="preserve">papildus </w:t>
            </w:r>
            <w:r w:rsidRPr="00F27F8E">
              <w:rPr>
                <w:rFonts w:ascii="Times New Roman" w:hAnsi="Times New Roman" w:cs="Times New Roman"/>
                <w:color w:val="000000" w:themeColor="text1"/>
                <w:sz w:val="24"/>
                <w:szCs w:val="24"/>
              </w:rPr>
              <w:t>nepieciešamais finansējums ar paties</w:t>
            </w:r>
            <w:r w:rsidR="007E5BAE" w:rsidRPr="00F27F8E">
              <w:rPr>
                <w:rFonts w:ascii="Times New Roman" w:hAnsi="Times New Roman" w:cs="Times New Roman"/>
                <w:color w:val="000000" w:themeColor="text1"/>
                <w:sz w:val="24"/>
                <w:szCs w:val="24"/>
              </w:rPr>
              <w:t>o</w:t>
            </w:r>
            <w:r w:rsidRPr="00F27F8E">
              <w:rPr>
                <w:rFonts w:ascii="Times New Roman" w:hAnsi="Times New Roman" w:cs="Times New Roman"/>
                <w:color w:val="000000" w:themeColor="text1"/>
                <w:sz w:val="24"/>
                <w:szCs w:val="24"/>
              </w:rPr>
              <w:t xml:space="preserve"> labuma guvēju informācijas nodrošināšanu saistīto prasību nodrošināšanai </w:t>
            </w:r>
            <w:r w:rsidR="007E5BAE" w:rsidRPr="00F27F8E">
              <w:rPr>
                <w:rFonts w:ascii="Times New Roman" w:hAnsi="Times New Roman" w:cs="Times New Roman"/>
                <w:color w:val="000000" w:themeColor="text1"/>
                <w:sz w:val="24"/>
                <w:szCs w:val="24"/>
              </w:rPr>
              <w:t xml:space="preserve">indikatīvi </w:t>
            </w:r>
            <w:r w:rsidRPr="00F27F8E">
              <w:rPr>
                <w:rFonts w:ascii="Times New Roman" w:hAnsi="Times New Roman" w:cs="Times New Roman"/>
                <w:color w:val="000000" w:themeColor="text1"/>
                <w:sz w:val="24"/>
                <w:szCs w:val="24"/>
              </w:rPr>
              <w:t xml:space="preserve">ir </w:t>
            </w:r>
            <w:r w:rsidR="007E5BAE" w:rsidRPr="00F27F8E">
              <w:rPr>
                <w:rFonts w:ascii="Times New Roman" w:hAnsi="Times New Roman" w:cs="Times New Roman"/>
                <w:color w:val="000000" w:themeColor="text1"/>
                <w:sz w:val="24"/>
                <w:szCs w:val="24"/>
              </w:rPr>
              <w:t xml:space="preserve">noteikts </w:t>
            </w:r>
            <w:r w:rsidR="00AB43BB" w:rsidRPr="00F27F8E">
              <w:rPr>
                <w:rFonts w:ascii="Times New Roman" w:hAnsi="Times New Roman" w:cs="Times New Roman"/>
                <w:color w:val="000000" w:themeColor="text1"/>
                <w:sz w:val="24"/>
                <w:szCs w:val="24"/>
              </w:rPr>
              <w:t>583 514</w:t>
            </w:r>
            <w:r w:rsidRPr="00F27F8E">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euro</w:t>
            </w:r>
            <w:r w:rsidRPr="00F27F8E">
              <w:rPr>
                <w:rFonts w:ascii="Times New Roman" w:hAnsi="Times New Roman" w:cs="Times New Roman"/>
                <w:color w:val="000000" w:themeColor="text1"/>
                <w:sz w:val="24"/>
                <w:szCs w:val="24"/>
              </w:rPr>
              <w:t xml:space="preserve">. </w:t>
            </w:r>
          </w:p>
          <w:p w:rsidR="00546D77" w:rsidRPr="00657A14" w:rsidRDefault="00546D77" w:rsidP="00D1018B">
            <w:pPr>
              <w:snapToGrid w:val="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2017. gadam papildus nepieciešamos izdevumus 372 277 euro apmērā atbilstoši Ministru kabineta 2017.gada 28.martā (sēdes protokols Nr.16 46.§) lemtajam </w:t>
            </w:r>
            <w:r w:rsidR="00AB43BB" w:rsidRPr="00657A14">
              <w:rPr>
                <w:rFonts w:ascii="Times New Roman" w:hAnsi="Times New Roman" w:cs="Times New Roman"/>
                <w:color w:val="000000" w:themeColor="text1"/>
                <w:sz w:val="24"/>
                <w:szCs w:val="24"/>
              </w:rPr>
              <w:t xml:space="preserve">un Finanšu ministrijas 2017.gada 6.aprīļa rīkojumam Nr.152  </w:t>
            </w:r>
            <w:r w:rsidRPr="00657A14">
              <w:rPr>
                <w:rFonts w:ascii="Times New Roman" w:hAnsi="Times New Roman" w:cs="Times New Roman"/>
                <w:color w:val="000000" w:themeColor="text1"/>
                <w:sz w:val="24"/>
                <w:szCs w:val="24"/>
              </w:rPr>
              <w:t>sedz no valsts budžeta programmas 02.00.00 "Līdzekļi neparedzētiem gadījumiem".</w:t>
            </w:r>
          </w:p>
          <w:p w:rsidR="00546D77" w:rsidRPr="00657A14" w:rsidRDefault="00546D77" w:rsidP="00D1018B">
            <w:pPr>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Jautājums par papildus nepieciešamo finansējumu 2018. gadam 211 237 euro apmērā atbilstoši 2017.gada 28.martā (sēdes protokols Nr.16 46.§) lemtajam, tiks risināts likumprojekta "Par valsts budžetu 2018. gadam" un likumprojekta "Par vidēja termiņa budžeta ietvaru 2018., 2019. un 2020. gadam" izstrādāšanas laikā.</w:t>
            </w:r>
          </w:p>
          <w:p w:rsidR="005A04A7" w:rsidRPr="00657A14" w:rsidRDefault="005A04A7" w:rsidP="00825FEE">
            <w:pPr>
              <w:widowControl w:val="0"/>
              <w:ind w:firstLine="403"/>
              <w:jc w:val="both"/>
              <w:rPr>
                <w:rFonts w:ascii="Times New Roman" w:hAnsi="Times New Roman" w:cs="Times New Roman"/>
                <w:color w:val="000000" w:themeColor="text1"/>
                <w:sz w:val="24"/>
                <w:szCs w:val="24"/>
              </w:rPr>
            </w:pPr>
            <w:r w:rsidRPr="00637F14">
              <w:rPr>
                <w:rFonts w:ascii="Times New Roman" w:hAnsi="Times New Roman" w:cs="Times New Roman"/>
                <w:color w:val="000000" w:themeColor="text1"/>
                <w:sz w:val="24"/>
                <w:szCs w:val="24"/>
              </w:rPr>
              <w:t>AML IV direktīvas un tās grozījumu priekšlikums 2016/0208(COD)</w:t>
            </w:r>
            <w:r w:rsidR="007E5BAE">
              <w:rPr>
                <w:rFonts w:ascii="Times New Roman" w:hAnsi="Times New Roman" w:cs="Times New Roman"/>
                <w:color w:val="000000" w:themeColor="text1"/>
                <w:sz w:val="24"/>
                <w:szCs w:val="24"/>
              </w:rPr>
              <w:t xml:space="preserve"> </w:t>
            </w:r>
            <w:r w:rsidRPr="00637F14">
              <w:rPr>
                <w:rFonts w:ascii="Times New Roman" w:hAnsi="Times New Roman" w:cs="Times New Roman"/>
                <w:color w:val="000000" w:themeColor="text1"/>
                <w:sz w:val="24"/>
                <w:szCs w:val="24"/>
              </w:rPr>
              <w:t xml:space="preserve">paredz, ka dalībvalstīm, tajā skaitā Latvijai, ir jāizveido automatizētus, centralizētus mehānismus-centrālos reģistrus vai centrālās elektroniskās datu ieguves sistēmas, kas ļauj savlaicīgi identificēt jebkuras fiziskas vai juridiskas personas, kuras ir atvērušas vai kuras kontrolē kontus. Informācijai, kas tiek turēta šajos reģistros, ir jābūt tieši pieejamai finanšu izlūkošanas vienībai (Latvijā – Noziedzīgi iegūtu līdzekļu legalizācijas novēršanas dienestam) un kompetentajām iestādēm AML IV direktīvā noteikto pienākumu izpildei. Tāpat jānodrošina savlaicīga šīs informācijas sniegšana finanšu izlūkošanas vienību starpā. Prasību izpildei ir paredzēts izveidot Kontu reģistru. </w:t>
            </w:r>
            <w:r>
              <w:rPr>
                <w:rFonts w:ascii="Times New Roman" w:hAnsi="Times New Roman" w:cs="Times New Roman"/>
                <w:color w:val="000000" w:themeColor="text1"/>
                <w:sz w:val="24"/>
                <w:szCs w:val="24"/>
              </w:rPr>
              <w:t xml:space="preserve">Papildus paredzētajai informācijai par fiziskām un juridiskām personām, kuras ir atvērušas vai kontrolē kontus </w:t>
            </w:r>
            <w:r>
              <w:rPr>
                <w:rFonts w:ascii="Times New Roman" w:hAnsi="Times New Roman" w:cs="Times New Roman"/>
                <w:color w:val="000000" w:themeColor="text1"/>
                <w:sz w:val="24"/>
                <w:szCs w:val="24"/>
              </w:rPr>
              <w:lastRenderedPageBreak/>
              <w:t xml:space="preserve">tiks turēta informācija par patiesajiem labuma guvējiem, kas iegūta uz klienta izpēti balstītu pieeju no kredītiestādēm, maksājumu pakalpojuma iestādēm, krājaizdevu sabiedrībām. Patiesā labuma guvēju informācija būs pieejama tiesību aizsardzības institūcijām un uzraudzības iestādēm to funkciju izpildei. </w:t>
            </w:r>
            <w:r w:rsidRPr="00637F14">
              <w:rPr>
                <w:rFonts w:ascii="Times New Roman" w:hAnsi="Times New Roman" w:cs="Times New Roman"/>
                <w:color w:val="000000" w:themeColor="text1"/>
                <w:sz w:val="24"/>
                <w:szCs w:val="24"/>
              </w:rPr>
              <w:t xml:space="preserve">Kontu reģistra informācijas lietotāji ir paredzēti ne tikai Noziedzīgi iegūtu līdzekļu legalizācijas novēršanas dienests, bet arī Latvijas Republikas Ģenerālprokuratūra, Valsts ieņēmumu dienests, Finanšu un kapitāla tirgus komisija, Latvijas Banka, Korupcijas novēršanas un apkarošanas birojs, Valsts policija, zvērināti tiesu izpildītāji, zvērināti notāri, bāriņtiesas, tiesas, citi operatīvās darbības subjekti un izmeklēšanas iestādes. Papildus vienots centralizēts kontu reģistrs  nodrošinās efektīvu informācijas sniegšanas mehānismu valsts pārvaldes uzdevumu izpildei, nodrošinot valsts institūcijām iespējas saņemt informāciju sekmīgai valsts pārvaldes īstenošanai, reģistra lietotājiem paredzot iespēju izmantot sistēmas elektroniskai datu apmaiņai ar </w:t>
            </w:r>
            <w:r w:rsidR="00D307D6">
              <w:rPr>
                <w:rFonts w:ascii="Times New Roman" w:hAnsi="Times New Roman" w:cs="Times New Roman"/>
                <w:color w:val="000000" w:themeColor="text1"/>
                <w:sz w:val="24"/>
                <w:szCs w:val="24"/>
              </w:rPr>
              <w:t>V</w:t>
            </w:r>
            <w:r w:rsidR="007E5BAE">
              <w:rPr>
                <w:rFonts w:ascii="Times New Roman" w:hAnsi="Times New Roman" w:cs="Times New Roman"/>
                <w:color w:val="000000" w:themeColor="text1"/>
                <w:sz w:val="24"/>
                <w:szCs w:val="24"/>
              </w:rPr>
              <w:t>alsts ieņēmumu dienestu (turpmāk- VID)</w:t>
            </w:r>
            <w:r w:rsidRPr="00637F14">
              <w:rPr>
                <w:rFonts w:ascii="Times New Roman" w:hAnsi="Times New Roman" w:cs="Times New Roman"/>
                <w:color w:val="000000" w:themeColor="text1"/>
                <w:sz w:val="24"/>
                <w:szCs w:val="24"/>
              </w:rPr>
              <w:t xml:space="preserve"> kā kontu reģistra pārzini.</w:t>
            </w:r>
          </w:p>
          <w:p w:rsidR="00C12D79" w:rsidRDefault="005A04A7" w:rsidP="00896E59">
            <w:pPr>
              <w:ind w:firstLine="403"/>
              <w:jc w:val="both"/>
              <w:rPr>
                <w:rFonts w:ascii="Times New Roman" w:hAnsi="Times New Roman" w:cs="Times New Roman"/>
                <w:color w:val="000000" w:themeColor="text1"/>
                <w:sz w:val="24"/>
                <w:szCs w:val="24"/>
              </w:rPr>
            </w:pPr>
            <w:r w:rsidRPr="00637F14">
              <w:rPr>
                <w:rFonts w:ascii="Times New Roman" w:hAnsi="Times New Roman" w:cs="Times New Roman"/>
                <w:color w:val="000000" w:themeColor="text1"/>
                <w:sz w:val="24"/>
                <w:szCs w:val="24"/>
              </w:rPr>
              <w:t xml:space="preserve">Par kontu reģistra lietotājiem var būt šādas institūcijas-Noziedzīgi iegūtu līdzekļu legalizācijas novēršanas dienests, Latvijas Republikas Ģenerālprokuratūra, </w:t>
            </w:r>
            <w:r w:rsidR="00C12D79">
              <w:rPr>
                <w:rFonts w:ascii="Times New Roman" w:hAnsi="Times New Roman" w:cs="Times New Roman"/>
                <w:color w:val="000000" w:themeColor="text1"/>
                <w:sz w:val="24"/>
                <w:szCs w:val="24"/>
              </w:rPr>
              <w:t>VID</w:t>
            </w:r>
            <w:r w:rsidRPr="00637F14">
              <w:rPr>
                <w:rFonts w:ascii="Times New Roman" w:hAnsi="Times New Roman" w:cs="Times New Roman"/>
                <w:color w:val="000000" w:themeColor="text1"/>
                <w:sz w:val="24"/>
                <w:szCs w:val="24"/>
              </w:rPr>
              <w:t>, tiesas, Korupcijas novēršanas un apkarošanas birojs, zvērināti tiesu izpildītāji, zvērināti notāri, bāriņtiesas, operatīvās darbības subjekti un izmeklēšanas iestādes, Latvijas Banka.</w:t>
            </w:r>
            <w:r>
              <w:rPr>
                <w:rFonts w:ascii="Times New Roman" w:hAnsi="Times New Roman" w:cs="Times New Roman"/>
                <w:color w:val="000000" w:themeColor="text1"/>
                <w:sz w:val="24"/>
                <w:szCs w:val="24"/>
              </w:rPr>
              <w:t xml:space="preserve"> </w:t>
            </w:r>
          </w:p>
          <w:p w:rsidR="00B41DD3" w:rsidRPr="00C12D79" w:rsidRDefault="00314B90" w:rsidP="00C12D79">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Pēc tam, kad ir noteikts klientam piemītošais noziedzīgi iegūtu līdzekļu legalizācijas un terorisma finansēšanas riska līmenis, likuma subjekts var noteikt veicamos pasākumus riska samazināšanai un novēršanai, kā arī veicamās klienta izpētes apjomu – vienkāršota klienta izpēte vai padziļināta klienta izpēte.</w:t>
            </w:r>
          </w:p>
          <w:p w:rsidR="00C12D79" w:rsidRPr="00657A14" w:rsidRDefault="003955D0"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Vienkāršota klienta izpēte</w:t>
            </w:r>
          </w:p>
          <w:p w:rsidR="00024596" w:rsidRPr="00657A14" w:rsidRDefault="002C706E"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vien</w:t>
            </w:r>
            <w:r w:rsidR="00FC2195" w:rsidRPr="00657A14">
              <w:rPr>
                <w:rFonts w:ascii="Times New Roman" w:hAnsi="Times New Roman" w:cs="Times New Roman"/>
                <w:color w:val="000000" w:themeColor="text1"/>
                <w:sz w:val="24"/>
                <w:szCs w:val="24"/>
              </w:rPr>
              <w:t>kāršotu izpēti likuma subjekts ir tiesīgs veikt tikai gadījumos, ja klientam piemīt zems NILLTFN risks. Tomēr arī tad, ja klientam veic vienkāršoto klienta izpēti, nodrošina pastāvīgu darījumu uzraudzību, lai pārliecinātos, vai darījumi nav uzskatāmi par neparastiem vai aizdomīgiem. Vienkāršoto izpētes pasākumu piemērošanu</w:t>
            </w:r>
            <w:r w:rsidR="00BB589E" w:rsidRPr="00657A14">
              <w:rPr>
                <w:rFonts w:ascii="Times New Roman" w:hAnsi="Times New Roman" w:cs="Times New Roman"/>
                <w:color w:val="000000" w:themeColor="text1"/>
                <w:sz w:val="24"/>
                <w:szCs w:val="24"/>
              </w:rPr>
              <w:t xml:space="preserve"> pamato (paredzēts likumprojektā (NILLTFNL 26.pant</w:t>
            </w:r>
            <w:r w:rsidR="008441D7" w:rsidRPr="00657A14">
              <w:rPr>
                <w:rFonts w:ascii="Times New Roman" w:hAnsi="Times New Roman" w:cs="Times New Roman"/>
                <w:color w:val="000000" w:themeColor="text1"/>
                <w:sz w:val="24"/>
                <w:szCs w:val="24"/>
              </w:rPr>
              <w:t xml:space="preserve">a </w:t>
            </w:r>
            <w:r w:rsidR="00825FEE">
              <w:rPr>
                <w:rFonts w:ascii="Times New Roman" w:hAnsi="Times New Roman" w:cs="Times New Roman"/>
                <w:color w:val="000000" w:themeColor="text1"/>
                <w:sz w:val="24"/>
                <w:szCs w:val="24"/>
              </w:rPr>
              <w:t>divpadsmitā</w:t>
            </w:r>
            <w:r w:rsidR="00BB589E" w:rsidRPr="00657A14">
              <w:rPr>
                <w:rFonts w:ascii="Times New Roman" w:hAnsi="Times New Roman" w:cs="Times New Roman"/>
                <w:color w:val="000000" w:themeColor="text1"/>
                <w:sz w:val="24"/>
                <w:szCs w:val="24"/>
              </w:rPr>
              <w:t xml:space="preserve"> daļa). </w:t>
            </w:r>
            <w:r w:rsidR="001E07BB" w:rsidRPr="00657A14">
              <w:rPr>
                <w:rFonts w:ascii="Times New Roman" w:hAnsi="Times New Roman" w:cs="Times New Roman"/>
                <w:color w:val="000000" w:themeColor="text1"/>
                <w:sz w:val="24"/>
                <w:szCs w:val="24"/>
              </w:rPr>
              <w:t>Zema NILLTFN riska ietvaros padziļinātā klienta izpēte nav veicama.</w:t>
            </w:r>
          </w:p>
          <w:p w:rsidR="00C00CA3" w:rsidRPr="00657A14" w:rsidRDefault="004D192A"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NILLTFNL 26.pants paredz nosacījumus vienkāršotai klienta izpētei. </w:t>
            </w:r>
            <w:r w:rsidR="00DF16C5" w:rsidRPr="00657A14">
              <w:rPr>
                <w:rFonts w:ascii="Times New Roman" w:hAnsi="Times New Roman" w:cs="Times New Roman"/>
                <w:color w:val="000000" w:themeColor="text1"/>
                <w:sz w:val="24"/>
                <w:szCs w:val="24"/>
              </w:rPr>
              <w:t xml:space="preserve">Uzticamību klientam un līdz ar to </w:t>
            </w:r>
            <w:r w:rsidR="00EF1123" w:rsidRPr="00657A14">
              <w:rPr>
                <w:rFonts w:ascii="Times New Roman" w:hAnsi="Times New Roman" w:cs="Times New Roman"/>
                <w:color w:val="000000" w:themeColor="text1"/>
                <w:sz w:val="24"/>
                <w:szCs w:val="24"/>
              </w:rPr>
              <w:lastRenderedPageBreak/>
              <w:t xml:space="preserve">vienkāršoto klienta izpētes </w:t>
            </w:r>
            <w:r w:rsidR="00FC2195" w:rsidRPr="00657A14">
              <w:rPr>
                <w:rFonts w:ascii="Times New Roman" w:hAnsi="Times New Roman" w:cs="Times New Roman"/>
                <w:color w:val="000000" w:themeColor="text1"/>
                <w:sz w:val="24"/>
                <w:szCs w:val="24"/>
              </w:rPr>
              <w:t xml:space="preserve"> </w:t>
            </w:r>
            <w:r w:rsidR="00EF1123" w:rsidRPr="00657A14">
              <w:rPr>
                <w:rFonts w:ascii="Times New Roman" w:hAnsi="Times New Roman" w:cs="Times New Roman"/>
                <w:color w:val="000000" w:themeColor="text1"/>
                <w:sz w:val="24"/>
                <w:szCs w:val="24"/>
              </w:rPr>
              <w:t>pasākumu kopumu piemēro gadījumos, kad klients ir</w:t>
            </w:r>
            <w:r w:rsidR="007E5BAE" w:rsidRPr="00657A14">
              <w:rPr>
                <w:rFonts w:ascii="Times New Roman" w:hAnsi="Times New Roman" w:cs="Times New Roman"/>
                <w:color w:val="000000" w:themeColor="text1"/>
                <w:sz w:val="24"/>
                <w:szCs w:val="24"/>
              </w:rPr>
              <w:t>:</w:t>
            </w:r>
          </w:p>
          <w:p w:rsidR="00EF1123" w:rsidRPr="00657A14" w:rsidRDefault="00EF1123" w:rsidP="00424423">
            <w:pPr>
              <w:pStyle w:val="ListParagraph"/>
              <w:widowControl w:val="0"/>
              <w:numPr>
                <w:ilvl w:val="0"/>
                <w:numId w:val="16"/>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Latvijas Republika</w:t>
            </w:r>
            <w:r w:rsidR="00B731F1"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atvasināta publiska persona,</w:t>
            </w:r>
          </w:p>
          <w:p w:rsidR="00EF1123" w:rsidRPr="00657A14" w:rsidRDefault="00EF1123" w:rsidP="00424423">
            <w:pPr>
              <w:pStyle w:val="ListParagraph"/>
              <w:widowControl w:val="0"/>
              <w:numPr>
                <w:ilvl w:val="0"/>
                <w:numId w:val="16"/>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Latvijas Republikas iestāde vai pastiprinātās pārvaldes iestāde,</w:t>
            </w:r>
          </w:p>
          <w:p w:rsidR="00EF1123" w:rsidRPr="00657A14" w:rsidRDefault="00EF1123" w:rsidP="00424423">
            <w:pPr>
              <w:pStyle w:val="ListParagraph"/>
              <w:widowControl w:val="0"/>
              <w:numPr>
                <w:ilvl w:val="0"/>
                <w:numId w:val="16"/>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Valsts un pašvaldības kontrolēta kapitālsabiedrība,</w:t>
            </w:r>
          </w:p>
          <w:p w:rsidR="00EF1123" w:rsidRPr="00657A14" w:rsidRDefault="007E5BAE"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w:t>
            </w:r>
            <w:r w:rsidR="00EF1123" w:rsidRPr="00657A14">
              <w:rPr>
                <w:rFonts w:ascii="Times New Roman" w:hAnsi="Times New Roman" w:cs="Times New Roman"/>
                <w:color w:val="000000" w:themeColor="text1"/>
                <w:sz w:val="24"/>
                <w:szCs w:val="24"/>
              </w:rPr>
              <w:t xml:space="preserve">r nosacījumu, ka </w:t>
            </w:r>
            <w:r w:rsidRPr="00657A14">
              <w:rPr>
                <w:rFonts w:ascii="Times New Roman" w:hAnsi="Times New Roman" w:cs="Times New Roman"/>
                <w:color w:val="000000" w:themeColor="text1"/>
                <w:sz w:val="24"/>
                <w:szCs w:val="24"/>
              </w:rPr>
              <w:t xml:space="preserve">to darbību </w:t>
            </w:r>
            <w:r w:rsidR="00EF1123" w:rsidRPr="00657A14">
              <w:rPr>
                <w:rFonts w:ascii="Times New Roman" w:hAnsi="Times New Roman" w:cs="Times New Roman"/>
                <w:color w:val="000000" w:themeColor="text1"/>
                <w:sz w:val="24"/>
                <w:szCs w:val="24"/>
              </w:rPr>
              <w:t xml:space="preserve">raksturo zems NILLTFN risks. </w:t>
            </w:r>
          </w:p>
          <w:p w:rsidR="00EF1123" w:rsidRPr="00657A14" w:rsidRDefault="00EF1123"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Komersants, kura akcijas ir iekļautas regulētā tirgū vienā vai vairākās </w:t>
            </w:r>
            <w:r w:rsidR="007E5BAE" w:rsidRPr="00657A14">
              <w:rPr>
                <w:rFonts w:ascii="Times New Roman" w:hAnsi="Times New Roman" w:cs="Times New Roman"/>
                <w:color w:val="000000" w:themeColor="text1"/>
                <w:sz w:val="24"/>
                <w:szCs w:val="24"/>
              </w:rPr>
              <w:t xml:space="preserve">Eiropas Savienības </w:t>
            </w:r>
            <w:r w:rsidRPr="00657A14">
              <w:rPr>
                <w:rFonts w:ascii="Times New Roman" w:hAnsi="Times New Roman" w:cs="Times New Roman"/>
                <w:color w:val="000000" w:themeColor="text1"/>
                <w:sz w:val="24"/>
                <w:szCs w:val="24"/>
              </w:rPr>
              <w:t>dalībvalstīs.</w:t>
            </w:r>
          </w:p>
          <w:p w:rsidR="00024596" w:rsidRPr="00657A14" w:rsidRDefault="00EF1123"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Šāda klientu iekļaušana vienkāršotās izpētes gadījumos ir pašsaprotama, jo</w:t>
            </w:r>
            <w:r w:rsidR="007E5BAE"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ja klients ir Latvijas Republikas atvasināta </w:t>
            </w:r>
            <w:r w:rsidR="00B731F1" w:rsidRPr="00657A14">
              <w:rPr>
                <w:rFonts w:ascii="Times New Roman" w:hAnsi="Times New Roman" w:cs="Times New Roman"/>
                <w:color w:val="000000" w:themeColor="text1"/>
                <w:sz w:val="24"/>
                <w:szCs w:val="24"/>
              </w:rPr>
              <w:t xml:space="preserve">publiska </w:t>
            </w:r>
            <w:r w:rsidRPr="00657A14">
              <w:rPr>
                <w:rFonts w:ascii="Times New Roman" w:hAnsi="Times New Roman" w:cs="Times New Roman"/>
                <w:color w:val="000000" w:themeColor="text1"/>
                <w:sz w:val="24"/>
                <w:szCs w:val="24"/>
              </w:rPr>
              <w:t>persona, iestāde vai pastiprinātas pārvaldes iestāde, valsts un pašvaldības kontrolēta kapitālsabiedrība</w:t>
            </w:r>
            <w:r w:rsidR="00B731F1"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tās interesēs ir </w:t>
            </w:r>
            <w:r w:rsidR="00F84533" w:rsidRPr="00657A14">
              <w:rPr>
                <w:rFonts w:ascii="Times New Roman" w:hAnsi="Times New Roman" w:cs="Times New Roman"/>
                <w:color w:val="000000" w:themeColor="text1"/>
                <w:sz w:val="24"/>
                <w:szCs w:val="24"/>
              </w:rPr>
              <w:t>kalpošana sabiedrības mērķiem</w:t>
            </w:r>
            <w:r w:rsidR="00B731F1" w:rsidRPr="00657A14">
              <w:rPr>
                <w:rFonts w:ascii="Times New Roman" w:hAnsi="Times New Roman" w:cs="Times New Roman"/>
                <w:color w:val="000000" w:themeColor="text1"/>
                <w:sz w:val="24"/>
                <w:szCs w:val="24"/>
              </w:rPr>
              <w:t>,</w:t>
            </w:r>
            <w:r w:rsidR="00F84533" w:rsidRPr="00657A14">
              <w:rPr>
                <w:rFonts w:ascii="Times New Roman" w:hAnsi="Times New Roman" w:cs="Times New Roman"/>
                <w:color w:val="000000" w:themeColor="text1"/>
                <w:sz w:val="24"/>
                <w:szCs w:val="24"/>
              </w:rPr>
              <w:t xml:space="preserve"> un Latvijas Republikai</w:t>
            </w:r>
            <w:r w:rsidR="002C23F4" w:rsidRPr="00657A14">
              <w:rPr>
                <w:rFonts w:ascii="Times New Roman" w:hAnsi="Times New Roman" w:cs="Times New Roman"/>
                <w:color w:val="000000" w:themeColor="text1"/>
                <w:sz w:val="24"/>
                <w:szCs w:val="24"/>
              </w:rPr>
              <w:t xml:space="preserve"> novēršot prettiesisku rīcību vai apdraudējumu. Attiecībā uz komersantiem, kuru akcijas iekļautas regulētā tirgū vienā vai vairākās </w:t>
            </w:r>
            <w:r w:rsidR="00B731F1" w:rsidRPr="00657A14">
              <w:rPr>
                <w:rFonts w:ascii="Times New Roman" w:hAnsi="Times New Roman" w:cs="Times New Roman"/>
                <w:color w:val="000000" w:themeColor="text1"/>
                <w:sz w:val="24"/>
                <w:szCs w:val="24"/>
              </w:rPr>
              <w:t xml:space="preserve">Eiropas Savienības </w:t>
            </w:r>
            <w:r w:rsidR="002C23F4" w:rsidRPr="00657A14">
              <w:rPr>
                <w:rFonts w:ascii="Times New Roman" w:hAnsi="Times New Roman" w:cs="Times New Roman"/>
                <w:color w:val="000000" w:themeColor="text1"/>
                <w:sz w:val="24"/>
                <w:szCs w:val="24"/>
              </w:rPr>
              <w:t>dalībvalstīs</w:t>
            </w:r>
            <w:r w:rsidR="00B731F1" w:rsidRPr="00657A14">
              <w:rPr>
                <w:rFonts w:ascii="Times New Roman" w:hAnsi="Times New Roman" w:cs="Times New Roman"/>
                <w:color w:val="000000" w:themeColor="text1"/>
                <w:sz w:val="24"/>
                <w:szCs w:val="24"/>
              </w:rPr>
              <w:t>,</w:t>
            </w:r>
            <w:r w:rsidR="002C23F4" w:rsidRPr="00657A14">
              <w:rPr>
                <w:rFonts w:ascii="Times New Roman" w:hAnsi="Times New Roman" w:cs="Times New Roman"/>
                <w:color w:val="000000" w:themeColor="text1"/>
                <w:sz w:val="24"/>
                <w:szCs w:val="24"/>
              </w:rPr>
              <w:t xml:space="preserve"> vienkāršota klienta izpēte paredzēta, jo komersanta darbība jau tiks pastiprināti kontrolēta un pārbaudīta</w:t>
            </w:r>
            <w:r w:rsidR="00B731F1" w:rsidRPr="00657A14">
              <w:rPr>
                <w:rFonts w:ascii="Times New Roman" w:hAnsi="Times New Roman" w:cs="Times New Roman"/>
                <w:color w:val="000000" w:themeColor="text1"/>
                <w:sz w:val="24"/>
                <w:szCs w:val="24"/>
              </w:rPr>
              <w:t xml:space="preserve">, kas noteikts arī </w:t>
            </w:r>
            <w:r w:rsidR="00576BC8" w:rsidRPr="00657A14">
              <w:rPr>
                <w:rFonts w:ascii="Times New Roman" w:hAnsi="Times New Roman" w:cs="Times New Roman"/>
                <w:color w:val="000000" w:themeColor="text1"/>
                <w:sz w:val="24"/>
                <w:szCs w:val="24"/>
              </w:rPr>
              <w:t>FATF 10. rekomendācijas skaidrojošā piezīm</w:t>
            </w:r>
            <w:r w:rsidR="00B731F1" w:rsidRPr="00657A14">
              <w:rPr>
                <w:rFonts w:ascii="Times New Roman" w:hAnsi="Times New Roman" w:cs="Times New Roman"/>
                <w:color w:val="000000" w:themeColor="text1"/>
                <w:sz w:val="24"/>
                <w:szCs w:val="24"/>
              </w:rPr>
              <w:t>ē</w:t>
            </w:r>
            <w:r w:rsidR="00576BC8" w:rsidRPr="00657A14">
              <w:rPr>
                <w:rFonts w:ascii="Times New Roman" w:hAnsi="Times New Roman" w:cs="Times New Roman"/>
                <w:color w:val="000000" w:themeColor="text1"/>
                <w:sz w:val="24"/>
                <w:szCs w:val="24"/>
              </w:rPr>
              <w:t xml:space="preserve"> (klienta izpēte), </w:t>
            </w:r>
            <w:r w:rsidR="00B731F1" w:rsidRPr="00657A14">
              <w:rPr>
                <w:rFonts w:ascii="Times New Roman" w:hAnsi="Times New Roman" w:cs="Times New Roman"/>
                <w:color w:val="000000" w:themeColor="text1"/>
                <w:sz w:val="24"/>
                <w:szCs w:val="24"/>
              </w:rPr>
              <w:t>”M</w:t>
            </w:r>
            <w:r w:rsidR="00576BC8" w:rsidRPr="00657A14">
              <w:rPr>
                <w:rFonts w:ascii="Times New Roman" w:hAnsi="Times New Roman" w:cs="Times New Roman"/>
                <w:color w:val="000000" w:themeColor="text1"/>
                <w:sz w:val="24"/>
                <w:szCs w:val="24"/>
              </w:rPr>
              <w:t>azāks risks</w:t>
            </w:r>
            <w:r w:rsidR="00B731F1" w:rsidRPr="00657A14">
              <w:rPr>
                <w:rFonts w:ascii="Times New Roman" w:hAnsi="Times New Roman" w:cs="Times New Roman"/>
                <w:color w:val="000000" w:themeColor="text1"/>
                <w:sz w:val="24"/>
                <w:szCs w:val="24"/>
              </w:rPr>
              <w:t>”</w:t>
            </w:r>
            <w:r w:rsidR="00576BC8" w:rsidRPr="00657A14">
              <w:rPr>
                <w:rFonts w:ascii="Times New Roman" w:hAnsi="Times New Roman" w:cs="Times New Roman"/>
                <w:color w:val="000000" w:themeColor="text1"/>
                <w:sz w:val="24"/>
                <w:szCs w:val="24"/>
              </w:rPr>
              <w:t>.</w:t>
            </w:r>
          </w:p>
          <w:p w:rsidR="006E1DA0" w:rsidRPr="00657A14" w:rsidRDefault="006E1DA0"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Vienkāršoto klienta izpēti piemēro gadījumos, kad tiek vērtēti pakalpojumi, kurus veic attiecīgais subjekts. </w:t>
            </w:r>
            <w:r w:rsidR="00504CCC" w:rsidRPr="00657A14">
              <w:rPr>
                <w:rFonts w:ascii="Times New Roman" w:hAnsi="Times New Roman" w:cs="Times New Roman"/>
                <w:color w:val="000000" w:themeColor="text1"/>
                <w:sz w:val="24"/>
                <w:szCs w:val="24"/>
              </w:rPr>
              <w:t>Ja pakalpojumi atbilst attiecīgajām pazīmēm, kā:</w:t>
            </w:r>
          </w:p>
          <w:p w:rsidR="00504CCC" w:rsidRPr="00657A14" w:rsidRDefault="00726AC9"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w:t>
            </w:r>
            <w:r w:rsidR="00504CCC" w:rsidRPr="00657A14">
              <w:rPr>
                <w:rFonts w:ascii="Times New Roman" w:hAnsi="Times New Roman" w:cs="Times New Roman"/>
                <w:color w:val="000000" w:themeColor="text1"/>
                <w:sz w:val="24"/>
                <w:szCs w:val="24"/>
              </w:rPr>
              <w:t>arījuma pamatā ir rakstveida līgums</w:t>
            </w:r>
            <w:r w:rsidR="00FB4A76" w:rsidRPr="00657A14">
              <w:rPr>
                <w:rFonts w:ascii="Times New Roman" w:hAnsi="Times New Roman" w:cs="Times New Roman"/>
                <w:color w:val="000000" w:themeColor="text1"/>
                <w:sz w:val="24"/>
                <w:szCs w:val="24"/>
              </w:rPr>
              <w:t>,</w:t>
            </w:r>
          </w:p>
          <w:p w:rsidR="00FB4A76" w:rsidRPr="00657A14" w:rsidRDefault="00726AC9"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w:t>
            </w:r>
            <w:r w:rsidR="00FB4A76" w:rsidRPr="00657A14">
              <w:rPr>
                <w:rFonts w:ascii="Times New Roman" w:hAnsi="Times New Roman" w:cs="Times New Roman"/>
                <w:color w:val="000000" w:themeColor="text1"/>
                <w:sz w:val="24"/>
                <w:szCs w:val="24"/>
              </w:rPr>
              <w:t>arījuma izmantošanai tiek izmantots bankas konts reģistrētajā dalībvalstī,</w:t>
            </w:r>
          </w:p>
          <w:p w:rsidR="00FB4A76" w:rsidRPr="00657A14" w:rsidRDefault="00726AC9"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w:t>
            </w:r>
            <w:r w:rsidR="00FB4A76" w:rsidRPr="00657A14">
              <w:rPr>
                <w:rFonts w:ascii="Times New Roman" w:hAnsi="Times New Roman" w:cs="Times New Roman"/>
                <w:color w:val="000000" w:themeColor="text1"/>
                <w:sz w:val="24"/>
                <w:szCs w:val="24"/>
              </w:rPr>
              <w:t>arījums nav atzīstams kā neparast</w:t>
            </w:r>
            <w:r w:rsidR="00B731F1" w:rsidRPr="00657A14">
              <w:rPr>
                <w:rFonts w:ascii="Times New Roman" w:hAnsi="Times New Roman" w:cs="Times New Roman"/>
                <w:color w:val="000000" w:themeColor="text1"/>
                <w:sz w:val="24"/>
                <w:szCs w:val="24"/>
              </w:rPr>
              <w:t>s</w:t>
            </w:r>
            <w:r w:rsidR="00FB4A76" w:rsidRPr="00657A14">
              <w:rPr>
                <w:rFonts w:ascii="Times New Roman" w:hAnsi="Times New Roman" w:cs="Times New Roman"/>
                <w:color w:val="000000" w:themeColor="text1"/>
                <w:sz w:val="24"/>
                <w:szCs w:val="24"/>
              </w:rPr>
              <w:t xml:space="preserve"> darījums,</w:t>
            </w:r>
          </w:p>
          <w:p w:rsidR="00FB4A76" w:rsidRPr="00657A14" w:rsidRDefault="00726AC9"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w:t>
            </w:r>
            <w:r w:rsidR="00FB4A76" w:rsidRPr="00657A14">
              <w:rPr>
                <w:rFonts w:ascii="Times New Roman" w:hAnsi="Times New Roman" w:cs="Times New Roman"/>
                <w:color w:val="000000" w:themeColor="text1"/>
                <w:sz w:val="24"/>
                <w:szCs w:val="24"/>
              </w:rPr>
              <w:t>arījums nav aizdomīgs un par to nav pieejama informācija, kas liecina par NILLTF, vai mēģinājumu veikt šīs darbības</w:t>
            </w:r>
            <w:r w:rsidR="00861987" w:rsidRPr="00657A14">
              <w:rPr>
                <w:rFonts w:ascii="Times New Roman" w:hAnsi="Times New Roman" w:cs="Times New Roman"/>
                <w:color w:val="000000" w:themeColor="text1"/>
                <w:sz w:val="24"/>
                <w:szCs w:val="24"/>
              </w:rPr>
              <w:t>,</w:t>
            </w:r>
          </w:p>
          <w:p w:rsidR="00E87E31" w:rsidRPr="00657A14" w:rsidRDefault="00E87E31"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darījuma kopējā summa nav lielāka par 15 000 euro  vai ar ārvalstu valūtas kursu darījuma veikšanas dienas sākumā nav lielāka par 15 000 euro  (</w:t>
            </w:r>
            <w:r w:rsidR="0032773B" w:rsidRPr="00657A14">
              <w:rPr>
                <w:rFonts w:ascii="Times New Roman" w:hAnsi="Times New Roman" w:cs="Times New Roman"/>
                <w:color w:val="000000" w:themeColor="text1"/>
                <w:sz w:val="24"/>
                <w:szCs w:val="24"/>
              </w:rPr>
              <w:t>FATF 10.rekomendācijas robežvērtība</w:t>
            </w:r>
            <w:r w:rsidRPr="00657A14">
              <w:rPr>
                <w:rFonts w:ascii="Times New Roman" w:hAnsi="Times New Roman" w:cs="Times New Roman"/>
                <w:color w:val="000000" w:themeColor="text1"/>
                <w:sz w:val="24"/>
                <w:szCs w:val="24"/>
              </w:rPr>
              <w:t>)</w:t>
            </w:r>
            <w:r w:rsidR="0032773B" w:rsidRPr="00657A14">
              <w:rPr>
                <w:rFonts w:ascii="Times New Roman" w:hAnsi="Times New Roman" w:cs="Times New Roman"/>
                <w:color w:val="000000" w:themeColor="text1"/>
                <w:sz w:val="24"/>
                <w:szCs w:val="24"/>
              </w:rPr>
              <w:t>,</w:t>
            </w:r>
          </w:p>
          <w:p w:rsidR="004B4063" w:rsidRPr="00657A14" w:rsidRDefault="004B4063"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darījuma veikšanas rezultātā ienākumu izmantošana nav iespējama trešo personu labā, izņemot nāves, invaliditātes, uztura došanas pienākumu kā arī citos līdzīgos gadījumos,</w:t>
            </w:r>
          </w:p>
          <w:p w:rsidR="004B4063" w:rsidRPr="00657A14" w:rsidRDefault="004B4063" w:rsidP="00424423">
            <w:pPr>
              <w:pStyle w:val="ListParagraph"/>
              <w:widowControl w:val="0"/>
              <w:numPr>
                <w:ilvl w:val="0"/>
                <w:numId w:val="1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darījumu veikšanas laikā nav iespējama līdzekļu pārv</w:t>
            </w:r>
            <w:r w:rsidR="00B731F1" w:rsidRPr="00657A14">
              <w:rPr>
                <w:rFonts w:ascii="Times New Roman" w:hAnsi="Times New Roman" w:cs="Times New Roman"/>
                <w:color w:val="000000" w:themeColor="text1"/>
                <w:sz w:val="24"/>
                <w:szCs w:val="24"/>
              </w:rPr>
              <w:t>ēr</w:t>
            </w:r>
            <w:r w:rsidRPr="00657A14">
              <w:rPr>
                <w:rFonts w:ascii="Times New Roman" w:hAnsi="Times New Roman" w:cs="Times New Roman"/>
                <w:color w:val="000000" w:themeColor="text1"/>
                <w:sz w:val="24"/>
                <w:szCs w:val="24"/>
              </w:rPr>
              <w:t>šana</w:t>
            </w:r>
            <w:r w:rsidR="00DE6F1E" w:rsidRPr="00657A14">
              <w:rPr>
                <w:rFonts w:ascii="Times New Roman" w:hAnsi="Times New Roman" w:cs="Times New Roman"/>
                <w:color w:val="000000" w:themeColor="text1"/>
                <w:sz w:val="24"/>
                <w:szCs w:val="24"/>
              </w:rPr>
              <w:t xml:space="preserve"> finanšu instrumentos vai apdrošināšanas, vai cita veida prasījumos</w:t>
            </w:r>
            <w:r w:rsidR="009D1500" w:rsidRPr="00657A14">
              <w:rPr>
                <w:rFonts w:ascii="Times New Roman" w:hAnsi="Times New Roman" w:cs="Times New Roman"/>
                <w:color w:val="000000" w:themeColor="text1"/>
                <w:sz w:val="24"/>
                <w:szCs w:val="24"/>
              </w:rPr>
              <w:t xml:space="preserve">, vai ja šāda līdzekļu pārvēršana ir iespējama un tiek ievēroti tādi </w:t>
            </w:r>
            <w:r w:rsidR="009D1500" w:rsidRPr="00657A14">
              <w:rPr>
                <w:rFonts w:ascii="Times New Roman" w:hAnsi="Times New Roman" w:cs="Times New Roman"/>
                <w:color w:val="000000" w:themeColor="text1"/>
                <w:sz w:val="24"/>
                <w:szCs w:val="24"/>
              </w:rPr>
              <w:lastRenderedPageBreak/>
              <w:t xml:space="preserve">nosacījumi kā </w:t>
            </w:r>
            <w:r w:rsidR="00714C0E" w:rsidRPr="00657A14">
              <w:rPr>
                <w:rFonts w:ascii="Times New Roman" w:hAnsi="Times New Roman" w:cs="Times New Roman"/>
                <w:color w:val="000000" w:themeColor="text1"/>
                <w:sz w:val="24"/>
                <w:szCs w:val="24"/>
              </w:rPr>
              <w:t>ienākumu no darījuma realizācija tikai ilgtermiņā (ne agrāk kā pieci gadi), darījuma priekšmets nevar būt nodrošinājums, darījuma spēkā esamības laikā netiek veikti pirmstermiņa maksājumi, prasījuma cesija un darījuma pirmstermiņa izbeigšana.</w:t>
            </w:r>
          </w:p>
          <w:p w:rsidR="00024596" w:rsidRPr="00657A14" w:rsidRDefault="007D7CDE"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Ievērojot FATF 10.rekomendācijas skaidrojošās piezīmes (klienta izpēte) H punkt</w:t>
            </w:r>
            <w:r w:rsidR="00B731F1" w:rsidRPr="00657A14">
              <w:rPr>
                <w:rFonts w:ascii="Times New Roman" w:hAnsi="Times New Roman" w:cs="Times New Roman"/>
                <w:color w:val="000000" w:themeColor="text1"/>
                <w:sz w:val="24"/>
                <w:szCs w:val="24"/>
              </w:rPr>
              <w:t>u</w:t>
            </w:r>
            <w:r w:rsidRPr="00657A14">
              <w:rPr>
                <w:rFonts w:ascii="Times New Roman" w:hAnsi="Times New Roman" w:cs="Times New Roman"/>
                <w:color w:val="000000" w:themeColor="text1"/>
                <w:sz w:val="24"/>
                <w:szCs w:val="24"/>
              </w:rPr>
              <w:t xml:space="preserve">, </w:t>
            </w:r>
            <w:r w:rsidR="00B731F1" w:rsidRPr="00657A14">
              <w:rPr>
                <w:rFonts w:ascii="Times New Roman" w:hAnsi="Times New Roman" w:cs="Times New Roman"/>
                <w:color w:val="000000" w:themeColor="text1"/>
                <w:sz w:val="24"/>
                <w:szCs w:val="24"/>
              </w:rPr>
              <w:t>“M</w:t>
            </w:r>
            <w:r w:rsidRPr="00657A14">
              <w:rPr>
                <w:rFonts w:ascii="Times New Roman" w:hAnsi="Times New Roman" w:cs="Times New Roman"/>
                <w:color w:val="000000" w:themeColor="text1"/>
                <w:sz w:val="24"/>
                <w:szCs w:val="24"/>
              </w:rPr>
              <w:t>azāks risks</w:t>
            </w:r>
            <w:r w:rsidR="00B731F1"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likumprojekts (NILLTFNL </w:t>
            </w:r>
            <w:r w:rsidR="00A527B3" w:rsidRPr="00657A14">
              <w:rPr>
                <w:rFonts w:ascii="Times New Roman" w:hAnsi="Times New Roman" w:cs="Times New Roman"/>
                <w:color w:val="000000" w:themeColor="text1"/>
                <w:sz w:val="24"/>
                <w:szCs w:val="24"/>
              </w:rPr>
              <w:t>26.pant</w:t>
            </w:r>
            <w:r w:rsidR="006D7935" w:rsidRPr="00657A14">
              <w:rPr>
                <w:rFonts w:ascii="Times New Roman" w:hAnsi="Times New Roman" w:cs="Times New Roman"/>
                <w:color w:val="000000" w:themeColor="text1"/>
                <w:sz w:val="24"/>
                <w:szCs w:val="24"/>
              </w:rPr>
              <w:t>a</w:t>
            </w:r>
            <w:r w:rsidR="00A527B3" w:rsidRPr="00657A14">
              <w:rPr>
                <w:rFonts w:ascii="Times New Roman" w:hAnsi="Times New Roman" w:cs="Times New Roman"/>
                <w:color w:val="000000" w:themeColor="text1"/>
                <w:sz w:val="24"/>
                <w:szCs w:val="24"/>
              </w:rPr>
              <w:t xml:space="preserve"> ceturtā daļa</w:t>
            </w:r>
            <w:r w:rsidRPr="00657A14">
              <w:rPr>
                <w:rFonts w:ascii="Times New Roman" w:hAnsi="Times New Roman" w:cs="Times New Roman"/>
                <w:color w:val="000000" w:themeColor="text1"/>
                <w:sz w:val="24"/>
                <w:szCs w:val="24"/>
              </w:rPr>
              <w:t>)</w:t>
            </w:r>
            <w:r w:rsidR="00A527B3" w:rsidRPr="00657A14">
              <w:rPr>
                <w:rFonts w:ascii="Times New Roman" w:hAnsi="Times New Roman" w:cs="Times New Roman"/>
                <w:color w:val="000000" w:themeColor="text1"/>
                <w:sz w:val="24"/>
                <w:szCs w:val="24"/>
              </w:rPr>
              <w:t xml:space="preserve"> paredz vienkāršoto klienta izp</w:t>
            </w:r>
            <w:r w:rsidR="00442985" w:rsidRPr="00657A14">
              <w:rPr>
                <w:rFonts w:ascii="Times New Roman" w:hAnsi="Times New Roman" w:cs="Times New Roman"/>
                <w:color w:val="000000" w:themeColor="text1"/>
                <w:sz w:val="24"/>
                <w:szCs w:val="24"/>
              </w:rPr>
              <w:t xml:space="preserve">ēti </w:t>
            </w:r>
            <w:r w:rsidR="00A527B3" w:rsidRPr="00657A14">
              <w:rPr>
                <w:rFonts w:ascii="Times New Roman" w:hAnsi="Times New Roman" w:cs="Times New Roman"/>
                <w:color w:val="000000" w:themeColor="text1"/>
                <w:sz w:val="24"/>
                <w:szCs w:val="24"/>
              </w:rPr>
              <w:t>apdrošinā</w:t>
            </w:r>
            <w:r w:rsidR="00442985" w:rsidRPr="00657A14">
              <w:rPr>
                <w:rFonts w:ascii="Times New Roman" w:hAnsi="Times New Roman" w:cs="Times New Roman"/>
                <w:color w:val="000000" w:themeColor="text1"/>
                <w:sz w:val="24"/>
                <w:szCs w:val="24"/>
              </w:rPr>
              <w:t>šanas komersantiem</w:t>
            </w:r>
            <w:r w:rsidR="00A527B3" w:rsidRPr="00657A14">
              <w:rPr>
                <w:rFonts w:ascii="Times New Roman" w:hAnsi="Times New Roman" w:cs="Times New Roman"/>
                <w:color w:val="000000" w:themeColor="text1"/>
                <w:sz w:val="24"/>
                <w:szCs w:val="24"/>
              </w:rPr>
              <w:t>, cikt</w:t>
            </w:r>
            <w:r w:rsidR="00442985" w:rsidRPr="00657A14">
              <w:rPr>
                <w:rFonts w:ascii="Times New Roman" w:hAnsi="Times New Roman" w:cs="Times New Roman"/>
                <w:color w:val="000000" w:themeColor="text1"/>
                <w:sz w:val="24"/>
                <w:szCs w:val="24"/>
              </w:rPr>
              <w:t>āl tie</w:t>
            </w:r>
            <w:r w:rsidR="00A527B3" w:rsidRPr="00657A14">
              <w:rPr>
                <w:rFonts w:ascii="Times New Roman" w:hAnsi="Times New Roman" w:cs="Times New Roman"/>
                <w:color w:val="000000" w:themeColor="text1"/>
                <w:sz w:val="24"/>
                <w:szCs w:val="24"/>
              </w:rPr>
              <w:t xml:space="preserve"> veic dzīvības vai citas ar līdzekļu uzkrāšanu saistītās apdrošināšanas darbības</w:t>
            </w:r>
            <w:r w:rsidR="008E32A4" w:rsidRPr="00657A14">
              <w:rPr>
                <w:rFonts w:ascii="Times New Roman" w:hAnsi="Times New Roman" w:cs="Times New Roman"/>
                <w:color w:val="000000" w:themeColor="text1"/>
                <w:sz w:val="24"/>
                <w:szCs w:val="24"/>
              </w:rPr>
              <w:t>, kā arī apdrošinā</w:t>
            </w:r>
            <w:r w:rsidR="00442985" w:rsidRPr="00657A14">
              <w:rPr>
                <w:rFonts w:ascii="Times New Roman" w:hAnsi="Times New Roman" w:cs="Times New Roman"/>
                <w:color w:val="000000" w:themeColor="text1"/>
                <w:sz w:val="24"/>
                <w:szCs w:val="24"/>
              </w:rPr>
              <w:t>šanas starpniekiem  attiecīb</w:t>
            </w:r>
            <w:r w:rsidR="00B731F1" w:rsidRPr="00657A14">
              <w:rPr>
                <w:rFonts w:ascii="Times New Roman" w:hAnsi="Times New Roman" w:cs="Times New Roman"/>
                <w:color w:val="000000" w:themeColor="text1"/>
                <w:sz w:val="24"/>
                <w:szCs w:val="24"/>
              </w:rPr>
              <w:t>ā</w:t>
            </w:r>
            <w:r w:rsidR="00442985" w:rsidRPr="00657A14">
              <w:rPr>
                <w:rFonts w:ascii="Times New Roman" w:hAnsi="Times New Roman" w:cs="Times New Roman"/>
                <w:color w:val="000000" w:themeColor="text1"/>
                <w:sz w:val="24"/>
                <w:szCs w:val="24"/>
              </w:rPr>
              <w:t xml:space="preserve"> uz gadījumiem, kad tiek slēgti dzīvības apdrošināšanas līgumi ar ikgadējo prēmiju ne lielāku par 1000 euro, vai</w:t>
            </w:r>
            <w:r w:rsidR="00B731F1" w:rsidRPr="00657A14">
              <w:rPr>
                <w:rFonts w:ascii="Times New Roman" w:hAnsi="Times New Roman" w:cs="Times New Roman"/>
                <w:color w:val="000000" w:themeColor="text1"/>
                <w:sz w:val="24"/>
                <w:szCs w:val="24"/>
              </w:rPr>
              <w:t>,</w:t>
            </w:r>
            <w:r w:rsidR="00442985" w:rsidRPr="00657A14">
              <w:rPr>
                <w:rFonts w:ascii="Times New Roman" w:hAnsi="Times New Roman" w:cs="Times New Roman"/>
                <w:color w:val="000000" w:themeColor="text1"/>
                <w:sz w:val="24"/>
                <w:szCs w:val="24"/>
              </w:rPr>
              <w:t xml:space="preserve"> ja vienreizējā prēmija nav lielāka par 2500 euro (abu gadījumu robežvērtības ir attiecināmas arī uz ārvalstu valūtu</w:t>
            </w:r>
            <w:r w:rsidR="00E4284D" w:rsidRPr="00657A14">
              <w:rPr>
                <w:rFonts w:ascii="Times New Roman" w:hAnsi="Times New Roman" w:cs="Times New Roman"/>
                <w:color w:val="000000" w:themeColor="text1"/>
                <w:sz w:val="24"/>
                <w:szCs w:val="24"/>
              </w:rPr>
              <w:t xml:space="preserve"> konvertāciju euro</w:t>
            </w:r>
            <w:r w:rsidR="0049532D" w:rsidRPr="00657A14">
              <w:rPr>
                <w:rFonts w:ascii="Times New Roman" w:hAnsi="Times New Roman" w:cs="Times New Roman"/>
                <w:color w:val="000000" w:themeColor="text1"/>
                <w:sz w:val="24"/>
                <w:szCs w:val="24"/>
              </w:rPr>
              <w:t xml:space="preserve"> valūtā</w:t>
            </w:r>
            <w:r w:rsidR="00442985" w:rsidRPr="00657A14">
              <w:rPr>
                <w:rFonts w:ascii="Times New Roman" w:hAnsi="Times New Roman" w:cs="Times New Roman"/>
                <w:color w:val="000000" w:themeColor="text1"/>
                <w:sz w:val="24"/>
                <w:szCs w:val="24"/>
              </w:rPr>
              <w:t>)</w:t>
            </w:r>
            <w:r w:rsidR="0049532D" w:rsidRPr="00657A14">
              <w:rPr>
                <w:rFonts w:ascii="Times New Roman" w:hAnsi="Times New Roman" w:cs="Times New Roman"/>
                <w:color w:val="000000" w:themeColor="text1"/>
                <w:sz w:val="24"/>
                <w:szCs w:val="24"/>
              </w:rPr>
              <w:t xml:space="preserve">, gadījumi, kad </w:t>
            </w:r>
            <w:r w:rsidR="00B731F1" w:rsidRPr="00657A14">
              <w:rPr>
                <w:rFonts w:ascii="Times New Roman" w:hAnsi="Times New Roman" w:cs="Times New Roman"/>
                <w:color w:val="000000" w:themeColor="text1"/>
                <w:sz w:val="24"/>
                <w:szCs w:val="24"/>
              </w:rPr>
              <w:t xml:space="preserve">ir noslēgti </w:t>
            </w:r>
            <w:r w:rsidR="0049532D" w:rsidRPr="00657A14">
              <w:rPr>
                <w:rFonts w:ascii="Times New Roman" w:hAnsi="Times New Roman" w:cs="Times New Roman"/>
                <w:color w:val="000000" w:themeColor="text1"/>
                <w:sz w:val="24"/>
                <w:szCs w:val="24"/>
              </w:rPr>
              <w:t>apdrošināšanas līgumi pensiju shēmu ietvaros, bez priekšlaicīgas izmaksas iekļaušanas nosacījumiem.</w:t>
            </w:r>
            <w:r w:rsidR="008B1DEE" w:rsidRPr="00657A14">
              <w:rPr>
                <w:rFonts w:ascii="Times New Roman" w:hAnsi="Times New Roman" w:cs="Times New Roman"/>
                <w:color w:val="000000" w:themeColor="text1"/>
                <w:sz w:val="24"/>
                <w:szCs w:val="24"/>
              </w:rPr>
              <w:t xml:space="preserve"> </w:t>
            </w:r>
          </w:p>
          <w:p w:rsidR="00024596" w:rsidRPr="00657A14" w:rsidRDefault="008B1DEE"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26.pant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piektā daļa) paredz gadījumu, kad privātie pensiju fondi</w:t>
            </w:r>
            <w:r w:rsidR="00B731F1"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savukārt</w:t>
            </w:r>
            <w:r w:rsidR="00B731F1"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ir tiesīgi izmantot vienkāršoto klienta izpēti attiecībā uz iemaksām pensiju plānos, ar nosacījumu, ja </w:t>
            </w:r>
            <w:r w:rsidR="00B92AFE" w:rsidRPr="00657A14">
              <w:rPr>
                <w:rFonts w:ascii="Times New Roman" w:hAnsi="Times New Roman" w:cs="Times New Roman"/>
                <w:color w:val="000000" w:themeColor="text1"/>
                <w:sz w:val="24"/>
                <w:szCs w:val="24"/>
              </w:rPr>
              <w:t>minētās izmaksas nevar izmantot kā nodrošinājumu, nevar cedēt, kā arī pastāv atvieglojum</w:t>
            </w:r>
            <w:r w:rsidR="00B731F1" w:rsidRPr="00657A14">
              <w:rPr>
                <w:rFonts w:ascii="Times New Roman" w:hAnsi="Times New Roman" w:cs="Times New Roman"/>
                <w:color w:val="000000" w:themeColor="text1"/>
                <w:sz w:val="24"/>
                <w:szCs w:val="24"/>
              </w:rPr>
              <w:t>i</w:t>
            </w:r>
            <w:r w:rsidR="00B92AFE" w:rsidRPr="00657A14">
              <w:rPr>
                <w:rFonts w:ascii="Times New Roman" w:hAnsi="Times New Roman" w:cs="Times New Roman"/>
                <w:color w:val="000000" w:themeColor="text1"/>
                <w:sz w:val="24"/>
                <w:szCs w:val="24"/>
              </w:rPr>
              <w:t xml:space="preserve"> uz tām iemaksām, kuras veidojas kā daļa no darba samaksas.</w:t>
            </w:r>
          </w:p>
          <w:p w:rsidR="00024596" w:rsidRPr="00657A14" w:rsidRDefault="00DD46F9"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Ievērojot AML IV direktīvas 12.panta </w:t>
            </w:r>
            <w:r w:rsidR="00C92526" w:rsidRPr="00657A14">
              <w:rPr>
                <w:rFonts w:ascii="Times New Roman" w:hAnsi="Times New Roman" w:cs="Times New Roman"/>
                <w:color w:val="000000" w:themeColor="text1"/>
                <w:sz w:val="24"/>
                <w:szCs w:val="24"/>
              </w:rPr>
              <w:t>a)-e</w:t>
            </w:r>
            <w:r w:rsidR="006A6A5F" w:rsidRPr="00657A14">
              <w:rPr>
                <w:rFonts w:ascii="Times New Roman" w:hAnsi="Times New Roman" w:cs="Times New Roman"/>
                <w:color w:val="000000" w:themeColor="text1"/>
                <w:sz w:val="24"/>
                <w:szCs w:val="24"/>
              </w:rPr>
              <w:t xml:space="preserve">) </w:t>
            </w:r>
            <w:r w:rsidR="006D7935" w:rsidRPr="00657A14">
              <w:rPr>
                <w:rFonts w:ascii="Times New Roman" w:hAnsi="Times New Roman" w:cs="Times New Roman"/>
                <w:color w:val="000000" w:themeColor="text1"/>
                <w:sz w:val="24"/>
                <w:szCs w:val="24"/>
              </w:rPr>
              <w:t xml:space="preserve">punktā </w:t>
            </w:r>
            <w:r w:rsidR="006A6A5F" w:rsidRPr="00657A14">
              <w:rPr>
                <w:rFonts w:ascii="Times New Roman" w:hAnsi="Times New Roman" w:cs="Times New Roman"/>
                <w:color w:val="000000" w:themeColor="text1"/>
                <w:sz w:val="24"/>
                <w:szCs w:val="24"/>
              </w:rPr>
              <w:t>noteikto</w:t>
            </w:r>
            <w:r w:rsidR="00B731F1" w:rsidRPr="00657A14">
              <w:rPr>
                <w:rFonts w:ascii="Times New Roman" w:hAnsi="Times New Roman" w:cs="Times New Roman"/>
                <w:color w:val="000000" w:themeColor="text1"/>
                <w:sz w:val="24"/>
                <w:szCs w:val="24"/>
              </w:rPr>
              <w:t>,</w:t>
            </w:r>
            <w:r w:rsidR="006A6A5F" w:rsidRPr="00657A14">
              <w:rPr>
                <w:rFonts w:ascii="Times New Roman" w:hAnsi="Times New Roman" w:cs="Times New Roman"/>
                <w:color w:val="000000" w:themeColor="text1"/>
                <w:sz w:val="24"/>
                <w:szCs w:val="24"/>
              </w:rPr>
              <w:t xml:space="preserve"> kā arī piem</w:t>
            </w:r>
            <w:r w:rsidR="007C6DAE" w:rsidRPr="00657A14">
              <w:rPr>
                <w:rFonts w:ascii="Times New Roman" w:hAnsi="Times New Roman" w:cs="Times New Roman"/>
                <w:color w:val="000000" w:themeColor="text1"/>
                <w:sz w:val="24"/>
                <w:szCs w:val="24"/>
              </w:rPr>
              <w:t xml:space="preserve">ērojot AML IV direktīvas priekšlikumu 2016/0208 (COD) robežvērtību 150, </w:t>
            </w:r>
            <w:r w:rsidR="006A6A5F" w:rsidRPr="00657A14">
              <w:rPr>
                <w:rFonts w:ascii="Times New Roman" w:hAnsi="Times New Roman" w:cs="Times New Roman"/>
                <w:color w:val="000000" w:themeColor="text1"/>
                <w:sz w:val="24"/>
                <w:szCs w:val="24"/>
              </w:rPr>
              <w:t>likumprojekts (NILLTFNL 26.pant</w:t>
            </w:r>
            <w:r w:rsidR="006D7935" w:rsidRPr="00657A14">
              <w:rPr>
                <w:rFonts w:ascii="Times New Roman" w:hAnsi="Times New Roman" w:cs="Times New Roman"/>
                <w:color w:val="000000" w:themeColor="text1"/>
                <w:sz w:val="24"/>
                <w:szCs w:val="24"/>
              </w:rPr>
              <w:t>a</w:t>
            </w:r>
            <w:r w:rsidR="006A6A5F" w:rsidRPr="00657A14">
              <w:rPr>
                <w:rFonts w:ascii="Times New Roman" w:hAnsi="Times New Roman" w:cs="Times New Roman"/>
                <w:color w:val="000000" w:themeColor="text1"/>
                <w:sz w:val="24"/>
                <w:szCs w:val="24"/>
              </w:rPr>
              <w:t xml:space="preserve"> </w:t>
            </w:r>
            <w:r w:rsidR="008441D7" w:rsidRPr="00657A14">
              <w:rPr>
                <w:rFonts w:ascii="Times New Roman" w:hAnsi="Times New Roman" w:cs="Times New Roman"/>
                <w:color w:val="000000" w:themeColor="text1"/>
                <w:sz w:val="24"/>
                <w:szCs w:val="24"/>
              </w:rPr>
              <w:t xml:space="preserve">sestā </w:t>
            </w:r>
            <w:r w:rsidR="007C6DAE" w:rsidRPr="00657A14">
              <w:rPr>
                <w:rFonts w:ascii="Times New Roman" w:hAnsi="Times New Roman" w:cs="Times New Roman"/>
                <w:color w:val="000000" w:themeColor="text1"/>
                <w:sz w:val="24"/>
                <w:szCs w:val="24"/>
              </w:rPr>
              <w:t>daļa</w:t>
            </w:r>
            <w:r w:rsidR="006A6A5F" w:rsidRPr="00657A14">
              <w:rPr>
                <w:rFonts w:ascii="Times New Roman" w:hAnsi="Times New Roman" w:cs="Times New Roman"/>
                <w:color w:val="000000" w:themeColor="text1"/>
                <w:sz w:val="24"/>
                <w:szCs w:val="24"/>
              </w:rPr>
              <w:t>)</w:t>
            </w:r>
            <w:r w:rsidR="007C6DAE" w:rsidRPr="00657A14">
              <w:rPr>
                <w:rFonts w:ascii="Times New Roman" w:hAnsi="Times New Roman" w:cs="Times New Roman"/>
                <w:color w:val="000000" w:themeColor="text1"/>
                <w:sz w:val="24"/>
                <w:szCs w:val="24"/>
              </w:rPr>
              <w:t xml:space="preserve"> paredz elektroniskās naudas emitentiem veikt vienkāršoto klienta izpēti, gadījumos, kad minētajā dalībvalstī var izmantot neuzpildāmu vai arī </w:t>
            </w:r>
            <w:r w:rsidR="00C92526" w:rsidRPr="00657A14">
              <w:rPr>
                <w:rFonts w:ascii="Times New Roman" w:hAnsi="Times New Roman" w:cs="Times New Roman"/>
                <w:color w:val="000000" w:themeColor="text1"/>
                <w:sz w:val="24"/>
                <w:szCs w:val="24"/>
              </w:rPr>
              <w:t>ar mēneša maksimālo limitu 150 euro maksājuma instrumentu, gadījumos, kad elektroniski uzkrājamā naudas summa nepārsniedz 150 euro, maksājuma instrumentu nevar finansēt ar anonīmu elektronisko naudu un likumprojekts (NILLTFNL 26.pant</w:t>
            </w:r>
            <w:r w:rsidR="006D7935" w:rsidRPr="00657A14">
              <w:rPr>
                <w:rFonts w:ascii="Times New Roman" w:hAnsi="Times New Roman" w:cs="Times New Roman"/>
                <w:color w:val="000000" w:themeColor="text1"/>
                <w:sz w:val="24"/>
                <w:szCs w:val="24"/>
              </w:rPr>
              <w:t>a</w:t>
            </w:r>
            <w:r w:rsidR="00C92526" w:rsidRPr="00657A14">
              <w:rPr>
                <w:rFonts w:ascii="Times New Roman" w:hAnsi="Times New Roman" w:cs="Times New Roman"/>
                <w:color w:val="000000" w:themeColor="text1"/>
                <w:sz w:val="24"/>
                <w:szCs w:val="24"/>
              </w:rPr>
              <w:t xml:space="preserve"> septītā daļa) paredz  vienkāršoto klienta izpēti gadījumā, kad emitents veic darījuma attiec</w:t>
            </w:r>
            <w:r w:rsidR="0026695C" w:rsidRPr="00657A14">
              <w:rPr>
                <w:rFonts w:ascii="Times New Roman" w:hAnsi="Times New Roman" w:cs="Times New Roman"/>
                <w:color w:val="000000" w:themeColor="text1"/>
                <w:sz w:val="24"/>
                <w:szCs w:val="24"/>
              </w:rPr>
              <w:t>ību pietiekamu pārraudzību, lai varētu atklāt neparastus vai aizdomīgus darījumus.</w:t>
            </w:r>
          </w:p>
          <w:p w:rsidR="00024596" w:rsidRPr="00657A14" w:rsidRDefault="0026695C"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Vienkāršoto klienta izpēti var attiecināt uz NILLTFN riska izvērtējumu balstītiem pazeminošiem faktoriem</w:t>
            </w:r>
            <w:r w:rsidR="00B731F1" w:rsidRPr="00657A14">
              <w:rPr>
                <w:rFonts w:ascii="Times New Roman" w:hAnsi="Times New Roman" w:cs="Times New Roman"/>
                <w:color w:val="000000" w:themeColor="text1"/>
                <w:sz w:val="24"/>
                <w:szCs w:val="24"/>
              </w:rPr>
              <w:t xml:space="preserve">, un </w:t>
            </w:r>
            <w:r w:rsidRPr="00657A14">
              <w:rPr>
                <w:rFonts w:ascii="Times New Roman" w:hAnsi="Times New Roman" w:cs="Times New Roman"/>
                <w:color w:val="000000" w:themeColor="text1"/>
                <w:sz w:val="24"/>
                <w:szCs w:val="24"/>
              </w:rPr>
              <w:t xml:space="preserve"> </w:t>
            </w:r>
            <w:r w:rsidR="002B2DE1" w:rsidRPr="00657A14">
              <w:rPr>
                <w:rFonts w:ascii="Times New Roman" w:hAnsi="Times New Roman" w:cs="Times New Roman"/>
                <w:color w:val="000000" w:themeColor="text1"/>
                <w:sz w:val="24"/>
                <w:szCs w:val="24"/>
              </w:rPr>
              <w:t>t</w:t>
            </w:r>
            <w:r w:rsidR="00B731F1" w:rsidRPr="00657A14">
              <w:rPr>
                <w:rFonts w:ascii="Times New Roman" w:hAnsi="Times New Roman" w:cs="Times New Roman"/>
                <w:color w:val="000000" w:themeColor="text1"/>
                <w:sz w:val="24"/>
                <w:szCs w:val="24"/>
              </w:rPr>
              <w:t>as</w:t>
            </w:r>
            <w:r w:rsidR="002B2DE1" w:rsidRPr="00657A14">
              <w:rPr>
                <w:rFonts w:ascii="Times New Roman" w:hAnsi="Times New Roman" w:cs="Times New Roman"/>
                <w:color w:val="000000" w:themeColor="text1"/>
                <w:sz w:val="24"/>
                <w:szCs w:val="24"/>
              </w:rPr>
              <w:t xml:space="preserve"> no</w:t>
            </w:r>
            <w:r w:rsidR="00B731F1" w:rsidRPr="00657A14">
              <w:rPr>
                <w:rFonts w:ascii="Times New Roman" w:hAnsi="Times New Roman" w:cs="Times New Roman"/>
                <w:color w:val="000000" w:themeColor="text1"/>
                <w:sz w:val="24"/>
                <w:szCs w:val="24"/>
              </w:rPr>
              <w:t>teikts</w:t>
            </w:r>
            <w:r w:rsidR="002B2DE1" w:rsidRPr="00657A14">
              <w:rPr>
                <w:rFonts w:ascii="Times New Roman" w:hAnsi="Times New Roman" w:cs="Times New Roman"/>
                <w:color w:val="000000" w:themeColor="text1"/>
                <w:sz w:val="24"/>
                <w:szCs w:val="24"/>
              </w:rPr>
              <w:t xml:space="preserve"> FATF 10.rekomendācijas skaidrojošā</w:t>
            </w:r>
            <w:r w:rsidR="00B731F1" w:rsidRPr="00657A14">
              <w:rPr>
                <w:rFonts w:ascii="Times New Roman" w:hAnsi="Times New Roman" w:cs="Times New Roman"/>
                <w:color w:val="000000" w:themeColor="text1"/>
                <w:sz w:val="24"/>
                <w:szCs w:val="24"/>
              </w:rPr>
              <w:t>s</w:t>
            </w:r>
            <w:r w:rsidR="002328B3" w:rsidRPr="00657A14">
              <w:rPr>
                <w:rFonts w:ascii="Times New Roman" w:hAnsi="Times New Roman" w:cs="Times New Roman"/>
                <w:color w:val="000000" w:themeColor="text1"/>
                <w:sz w:val="24"/>
                <w:szCs w:val="24"/>
              </w:rPr>
              <w:t xml:space="preserve"> </w:t>
            </w:r>
            <w:r w:rsidR="002B2DE1" w:rsidRPr="00657A14">
              <w:rPr>
                <w:rFonts w:ascii="Times New Roman" w:hAnsi="Times New Roman" w:cs="Times New Roman"/>
                <w:color w:val="000000" w:themeColor="text1"/>
                <w:sz w:val="24"/>
                <w:szCs w:val="24"/>
              </w:rPr>
              <w:t>piezīme</w:t>
            </w:r>
            <w:r w:rsidR="00B731F1" w:rsidRPr="00657A14">
              <w:rPr>
                <w:rFonts w:ascii="Times New Roman" w:hAnsi="Times New Roman" w:cs="Times New Roman"/>
                <w:color w:val="000000" w:themeColor="text1"/>
                <w:sz w:val="24"/>
                <w:szCs w:val="24"/>
              </w:rPr>
              <w:t>s</w:t>
            </w:r>
            <w:r w:rsidR="002B2DE1" w:rsidRPr="00657A14">
              <w:rPr>
                <w:rFonts w:ascii="Times New Roman" w:hAnsi="Times New Roman" w:cs="Times New Roman"/>
                <w:color w:val="000000" w:themeColor="text1"/>
                <w:sz w:val="24"/>
                <w:szCs w:val="24"/>
              </w:rPr>
              <w:t xml:space="preserve"> (klienta izpēte) H punkt</w:t>
            </w:r>
            <w:r w:rsidR="00B731F1" w:rsidRPr="00657A14">
              <w:rPr>
                <w:rFonts w:ascii="Times New Roman" w:hAnsi="Times New Roman" w:cs="Times New Roman"/>
                <w:color w:val="000000" w:themeColor="text1"/>
                <w:sz w:val="24"/>
                <w:szCs w:val="24"/>
              </w:rPr>
              <w:t>ā</w:t>
            </w:r>
            <w:r w:rsidR="002B2DE1" w:rsidRPr="00657A14">
              <w:rPr>
                <w:rFonts w:ascii="Times New Roman" w:hAnsi="Times New Roman" w:cs="Times New Roman"/>
                <w:color w:val="000000" w:themeColor="text1"/>
                <w:sz w:val="24"/>
                <w:szCs w:val="24"/>
              </w:rPr>
              <w:t xml:space="preserve"> </w:t>
            </w:r>
            <w:r w:rsidR="00B731F1" w:rsidRPr="00657A14">
              <w:rPr>
                <w:rFonts w:ascii="Times New Roman" w:hAnsi="Times New Roman" w:cs="Times New Roman"/>
                <w:color w:val="000000" w:themeColor="text1"/>
                <w:sz w:val="24"/>
                <w:szCs w:val="24"/>
              </w:rPr>
              <w:t>“M</w:t>
            </w:r>
            <w:r w:rsidR="002B2DE1" w:rsidRPr="00657A14">
              <w:rPr>
                <w:rFonts w:ascii="Times New Roman" w:hAnsi="Times New Roman" w:cs="Times New Roman"/>
                <w:color w:val="000000" w:themeColor="text1"/>
                <w:sz w:val="24"/>
                <w:szCs w:val="24"/>
              </w:rPr>
              <w:t>azāks risks</w:t>
            </w:r>
            <w:r w:rsidR="00B731F1" w:rsidRPr="00657A14">
              <w:rPr>
                <w:rFonts w:ascii="Times New Roman" w:hAnsi="Times New Roman" w:cs="Times New Roman"/>
                <w:color w:val="000000" w:themeColor="text1"/>
                <w:sz w:val="24"/>
                <w:szCs w:val="24"/>
              </w:rPr>
              <w:t>”</w:t>
            </w:r>
            <w:r w:rsidR="002B2DE1" w:rsidRPr="00657A14">
              <w:rPr>
                <w:rFonts w:ascii="Times New Roman" w:hAnsi="Times New Roman" w:cs="Times New Roman"/>
                <w:color w:val="000000" w:themeColor="text1"/>
                <w:sz w:val="24"/>
                <w:szCs w:val="24"/>
              </w:rPr>
              <w:t xml:space="preserve"> c) apakšpunkt</w:t>
            </w:r>
            <w:r w:rsidR="00B731F1" w:rsidRPr="00657A14">
              <w:rPr>
                <w:rFonts w:ascii="Times New Roman" w:hAnsi="Times New Roman" w:cs="Times New Roman"/>
                <w:color w:val="000000" w:themeColor="text1"/>
                <w:sz w:val="24"/>
                <w:szCs w:val="24"/>
              </w:rPr>
              <w:t xml:space="preserve">ā- </w:t>
            </w:r>
            <w:r w:rsidR="005A1466" w:rsidRPr="00657A14">
              <w:rPr>
                <w:rFonts w:ascii="Times New Roman" w:hAnsi="Times New Roman" w:cs="Times New Roman"/>
                <w:color w:val="000000" w:themeColor="text1"/>
                <w:sz w:val="24"/>
                <w:szCs w:val="24"/>
              </w:rPr>
              <w:t xml:space="preserve"> </w:t>
            </w:r>
            <w:r w:rsidR="00B731F1" w:rsidRPr="00657A14">
              <w:rPr>
                <w:rFonts w:ascii="Times New Roman" w:hAnsi="Times New Roman" w:cs="Times New Roman"/>
                <w:color w:val="000000" w:themeColor="text1"/>
                <w:sz w:val="24"/>
                <w:szCs w:val="24"/>
              </w:rPr>
              <w:t>“A</w:t>
            </w:r>
            <w:r w:rsidR="005A1466" w:rsidRPr="00657A14">
              <w:rPr>
                <w:rFonts w:ascii="Times New Roman" w:hAnsi="Times New Roman" w:cs="Times New Roman"/>
                <w:color w:val="000000" w:themeColor="text1"/>
                <w:sz w:val="24"/>
                <w:szCs w:val="24"/>
              </w:rPr>
              <w:t>r valsti saistītie riska faktori</w:t>
            </w:r>
            <w:r w:rsidR="00B731F1" w:rsidRPr="00657A14">
              <w:rPr>
                <w:rFonts w:ascii="Times New Roman" w:hAnsi="Times New Roman" w:cs="Times New Roman"/>
                <w:color w:val="000000" w:themeColor="text1"/>
                <w:sz w:val="24"/>
                <w:szCs w:val="24"/>
              </w:rPr>
              <w:t>”</w:t>
            </w:r>
            <w:r w:rsidR="005A1466" w:rsidRPr="00657A14">
              <w:rPr>
                <w:rFonts w:ascii="Times New Roman" w:hAnsi="Times New Roman" w:cs="Times New Roman"/>
                <w:color w:val="000000" w:themeColor="text1"/>
                <w:sz w:val="24"/>
                <w:szCs w:val="24"/>
              </w:rPr>
              <w:t xml:space="preserve">. Ar valsti saistītie riska </w:t>
            </w:r>
            <w:r w:rsidR="005A1466" w:rsidRPr="00657A14">
              <w:rPr>
                <w:rFonts w:ascii="Times New Roman" w:hAnsi="Times New Roman" w:cs="Times New Roman"/>
                <w:color w:val="000000" w:themeColor="text1"/>
                <w:sz w:val="24"/>
                <w:szCs w:val="24"/>
              </w:rPr>
              <w:lastRenderedPageBreak/>
              <w:t>faktori ir iekļauti likumprojektā (NILLTFNL 26.pant</w:t>
            </w:r>
            <w:r w:rsidR="006D7935" w:rsidRPr="00657A14">
              <w:rPr>
                <w:rFonts w:ascii="Times New Roman" w:hAnsi="Times New Roman" w:cs="Times New Roman"/>
                <w:color w:val="000000" w:themeColor="text1"/>
                <w:sz w:val="24"/>
                <w:szCs w:val="24"/>
              </w:rPr>
              <w:t>a</w:t>
            </w:r>
            <w:r w:rsidR="005A1466" w:rsidRPr="00657A14">
              <w:rPr>
                <w:rFonts w:ascii="Times New Roman" w:hAnsi="Times New Roman" w:cs="Times New Roman"/>
                <w:color w:val="000000" w:themeColor="text1"/>
                <w:sz w:val="24"/>
                <w:szCs w:val="24"/>
              </w:rPr>
              <w:t xml:space="preserve"> astotā daļa)</w:t>
            </w:r>
            <w:r w:rsidR="00B731F1" w:rsidRPr="00657A14">
              <w:rPr>
                <w:rFonts w:ascii="Times New Roman" w:hAnsi="Times New Roman" w:cs="Times New Roman"/>
                <w:color w:val="000000" w:themeColor="text1"/>
                <w:sz w:val="24"/>
                <w:szCs w:val="24"/>
              </w:rPr>
              <w:t>,</w:t>
            </w:r>
            <w:r w:rsidR="005A1466" w:rsidRPr="00657A14">
              <w:rPr>
                <w:rFonts w:ascii="Times New Roman" w:hAnsi="Times New Roman" w:cs="Times New Roman"/>
                <w:color w:val="000000" w:themeColor="text1"/>
                <w:sz w:val="24"/>
                <w:szCs w:val="24"/>
              </w:rPr>
              <w:t xml:space="preserve"> paredzot vienkāršoto izpēti gadījumos, kad </w:t>
            </w:r>
            <w:r w:rsidR="00DA524F" w:rsidRPr="00657A14">
              <w:rPr>
                <w:rFonts w:ascii="Times New Roman" w:hAnsi="Times New Roman" w:cs="Times New Roman"/>
                <w:color w:val="000000" w:themeColor="text1"/>
                <w:sz w:val="24"/>
                <w:szCs w:val="24"/>
              </w:rPr>
              <w:t>valstī darbojas efektīva NILLTFN sistēma, ir atbilstošas starptautiskajiem standartiem paredzētās prasības NILLTFN jomā un šīs prasības tiek faktiski īstenotas, valstī ir zems korupcijas risks, valstī ir zems tādu noziedzīgu nodarījumu līmenis, kuru rezultātā var tikt iegūti noziedzīgi līdzekļi, klients</w:t>
            </w:r>
            <w:r w:rsidR="00DE6C7E" w:rsidRPr="00657A14">
              <w:rPr>
                <w:rFonts w:ascii="Times New Roman" w:hAnsi="Times New Roman" w:cs="Times New Roman"/>
                <w:color w:val="000000" w:themeColor="text1"/>
                <w:sz w:val="24"/>
                <w:szCs w:val="24"/>
              </w:rPr>
              <w:t>,</w:t>
            </w:r>
            <w:r w:rsidR="00DA524F" w:rsidRPr="00657A14">
              <w:rPr>
                <w:rFonts w:ascii="Times New Roman" w:hAnsi="Times New Roman" w:cs="Times New Roman"/>
                <w:color w:val="000000" w:themeColor="text1"/>
                <w:sz w:val="24"/>
                <w:szCs w:val="24"/>
              </w:rPr>
              <w:t xml:space="preserve"> </w:t>
            </w:r>
            <w:r w:rsidR="0038372B" w:rsidRPr="00657A14">
              <w:rPr>
                <w:rFonts w:ascii="Times New Roman" w:hAnsi="Times New Roman" w:cs="Times New Roman"/>
                <w:color w:val="000000" w:themeColor="text1"/>
                <w:sz w:val="24"/>
                <w:szCs w:val="24"/>
              </w:rPr>
              <w:t>kas ir fiziskā persona</w:t>
            </w:r>
            <w:r w:rsidR="00DE6C7E" w:rsidRPr="00657A14">
              <w:rPr>
                <w:rFonts w:ascii="Times New Roman" w:hAnsi="Times New Roman" w:cs="Times New Roman"/>
                <w:color w:val="000000" w:themeColor="text1"/>
                <w:sz w:val="24"/>
                <w:szCs w:val="24"/>
              </w:rPr>
              <w:t>,</w:t>
            </w:r>
            <w:r w:rsidR="0038372B" w:rsidRPr="00657A14">
              <w:rPr>
                <w:rFonts w:ascii="Times New Roman" w:hAnsi="Times New Roman" w:cs="Times New Roman"/>
                <w:color w:val="000000" w:themeColor="text1"/>
                <w:sz w:val="24"/>
                <w:szCs w:val="24"/>
              </w:rPr>
              <w:t xml:space="preserve"> izmanto tikai pamatkontu</w:t>
            </w:r>
            <w:r w:rsidR="00DE6C7E" w:rsidRPr="00657A14">
              <w:rPr>
                <w:rFonts w:ascii="Times New Roman" w:hAnsi="Times New Roman" w:cs="Times New Roman"/>
                <w:color w:val="000000" w:themeColor="text1"/>
                <w:sz w:val="24"/>
                <w:szCs w:val="24"/>
              </w:rPr>
              <w:t xml:space="preserve"> Maksājumu pakalpojumu un elektroniskās naudas likuma izpratnē</w:t>
            </w:r>
            <w:r w:rsidR="0038372B" w:rsidRPr="00657A14">
              <w:rPr>
                <w:rFonts w:ascii="Times New Roman" w:hAnsi="Times New Roman" w:cs="Times New Roman"/>
                <w:color w:val="000000" w:themeColor="text1"/>
                <w:sz w:val="24"/>
                <w:szCs w:val="24"/>
              </w:rPr>
              <w:t>.</w:t>
            </w:r>
          </w:p>
          <w:p w:rsidR="00024596" w:rsidRPr="00657A14" w:rsidRDefault="00B91844"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26.pant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devītā daļa) paredz FKTK pilnvaras noteikt </w:t>
            </w:r>
            <w:r w:rsidR="00DE6C7E" w:rsidRPr="00657A14">
              <w:rPr>
                <w:rFonts w:ascii="Times New Roman" w:hAnsi="Times New Roman" w:cs="Times New Roman"/>
                <w:color w:val="000000" w:themeColor="text1"/>
                <w:sz w:val="24"/>
                <w:szCs w:val="24"/>
              </w:rPr>
              <w:t xml:space="preserve">tās </w:t>
            </w:r>
            <w:r w:rsidRPr="00657A14">
              <w:rPr>
                <w:rFonts w:ascii="Times New Roman" w:hAnsi="Times New Roman" w:cs="Times New Roman"/>
                <w:color w:val="000000" w:themeColor="text1"/>
                <w:sz w:val="24"/>
                <w:szCs w:val="24"/>
              </w:rPr>
              <w:t>uzrau</w:t>
            </w:r>
            <w:r w:rsidR="00DE6C7E" w:rsidRPr="00657A14">
              <w:rPr>
                <w:rFonts w:ascii="Times New Roman" w:hAnsi="Times New Roman" w:cs="Times New Roman"/>
                <w:color w:val="000000" w:themeColor="text1"/>
                <w:sz w:val="24"/>
                <w:szCs w:val="24"/>
              </w:rPr>
              <w:t>dzībā esošajām</w:t>
            </w:r>
            <w:r w:rsidRPr="00657A14">
              <w:rPr>
                <w:rFonts w:ascii="Times New Roman" w:hAnsi="Times New Roman" w:cs="Times New Roman"/>
                <w:color w:val="000000" w:themeColor="text1"/>
                <w:sz w:val="24"/>
                <w:szCs w:val="24"/>
              </w:rPr>
              <w:t xml:space="preserve"> kredītiestādēm un finanšu iestādēm papildus pazeminošos faktorus un papildus prasības vienkāršotajai klienta izpētei.</w:t>
            </w:r>
          </w:p>
          <w:p w:rsidR="00EF1123" w:rsidRPr="00657A14" w:rsidRDefault="00BB589E" w:rsidP="00024596">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Vienkāršotā klienta izpēte netiek piemērota gadījumos, kad</w:t>
            </w:r>
            <w:r w:rsidR="0052404C" w:rsidRPr="00657A14">
              <w:rPr>
                <w:rFonts w:ascii="Times New Roman" w:hAnsi="Times New Roman" w:cs="Times New Roman"/>
                <w:color w:val="000000" w:themeColor="text1"/>
                <w:sz w:val="24"/>
                <w:szCs w:val="24"/>
              </w:rPr>
              <w:t xml:space="preserve"> </w:t>
            </w:r>
            <w:r w:rsidR="000472B5" w:rsidRPr="00657A14">
              <w:rPr>
                <w:rFonts w:ascii="Times New Roman" w:hAnsi="Times New Roman" w:cs="Times New Roman"/>
                <w:color w:val="000000" w:themeColor="text1"/>
                <w:sz w:val="24"/>
                <w:szCs w:val="24"/>
              </w:rPr>
              <w:t>likuma subjekts</w:t>
            </w:r>
            <w:r w:rsidR="00DE6C7E" w:rsidRPr="00657A14">
              <w:rPr>
                <w:rFonts w:ascii="Times New Roman" w:hAnsi="Times New Roman" w:cs="Times New Roman"/>
                <w:color w:val="000000" w:themeColor="text1"/>
                <w:sz w:val="24"/>
                <w:szCs w:val="24"/>
              </w:rPr>
              <w:t>,</w:t>
            </w:r>
            <w:r w:rsidR="000472B5" w:rsidRPr="00657A14">
              <w:rPr>
                <w:rFonts w:ascii="Times New Roman" w:hAnsi="Times New Roman" w:cs="Times New Roman"/>
                <w:color w:val="000000" w:themeColor="text1"/>
                <w:sz w:val="24"/>
                <w:szCs w:val="24"/>
              </w:rPr>
              <w:t xml:space="preserve"> balstoties uz riska novērtējumu</w:t>
            </w:r>
            <w:r w:rsidR="006637FC" w:rsidRPr="00657A14">
              <w:rPr>
                <w:rFonts w:ascii="Times New Roman" w:hAnsi="Times New Roman" w:cs="Times New Roman"/>
                <w:color w:val="000000" w:themeColor="text1"/>
                <w:sz w:val="24"/>
                <w:szCs w:val="24"/>
              </w:rPr>
              <w:t>, konstatē vai tā rīcībā ir informācija par NILLTFN, vai mēģinājumu veikt šīs darbības, vai paaugstinātu šādu risku</w:t>
            </w:r>
            <w:r w:rsidR="00DE6C7E" w:rsidRPr="00657A14">
              <w:rPr>
                <w:rFonts w:ascii="Times New Roman" w:hAnsi="Times New Roman" w:cs="Times New Roman"/>
                <w:color w:val="000000" w:themeColor="text1"/>
                <w:sz w:val="24"/>
                <w:szCs w:val="24"/>
              </w:rPr>
              <w:t xml:space="preserve">, </w:t>
            </w:r>
            <w:r w:rsidR="006637FC" w:rsidRPr="00657A14">
              <w:rPr>
                <w:rFonts w:ascii="Times New Roman" w:hAnsi="Times New Roman" w:cs="Times New Roman"/>
                <w:color w:val="000000" w:themeColor="text1"/>
                <w:sz w:val="24"/>
                <w:szCs w:val="24"/>
              </w:rPr>
              <w:t>vai</w:t>
            </w:r>
            <w:r w:rsidR="00DE6C7E" w:rsidRPr="00657A14">
              <w:rPr>
                <w:rFonts w:ascii="Times New Roman" w:hAnsi="Times New Roman" w:cs="Times New Roman"/>
                <w:color w:val="000000" w:themeColor="text1"/>
                <w:sz w:val="24"/>
                <w:szCs w:val="24"/>
              </w:rPr>
              <w:t>,</w:t>
            </w:r>
            <w:r w:rsidR="006637FC" w:rsidRPr="00657A14">
              <w:rPr>
                <w:rFonts w:ascii="Times New Roman" w:hAnsi="Times New Roman" w:cs="Times New Roman"/>
                <w:color w:val="000000" w:themeColor="text1"/>
                <w:sz w:val="24"/>
                <w:szCs w:val="24"/>
              </w:rPr>
              <w:t xml:space="preserve"> ja pastāv kāds no paaugstinātiem riska faktoriem – </w:t>
            </w:r>
            <w:r w:rsidR="00DE6C7E" w:rsidRPr="00657A14">
              <w:rPr>
                <w:rFonts w:ascii="Times New Roman" w:hAnsi="Times New Roman" w:cs="Times New Roman"/>
                <w:color w:val="000000" w:themeColor="text1"/>
                <w:sz w:val="24"/>
                <w:szCs w:val="24"/>
              </w:rPr>
              <w:t xml:space="preserve">(ietverts </w:t>
            </w:r>
            <w:r w:rsidR="006637FC" w:rsidRPr="00657A14">
              <w:rPr>
                <w:rFonts w:ascii="Times New Roman" w:hAnsi="Times New Roman" w:cs="Times New Roman"/>
                <w:color w:val="000000" w:themeColor="text1"/>
                <w:sz w:val="24"/>
                <w:szCs w:val="24"/>
              </w:rPr>
              <w:t>likumprojekt</w:t>
            </w:r>
            <w:r w:rsidR="00DE6C7E" w:rsidRPr="00657A14">
              <w:rPr>
                <w:rFonts w:ascii="Times New Roman" w:hAnsi="Times New Roman" w:cs="Times New Roman"/>
                <w:color w:val="000000" w:themeColor="text1"/>
                <w:sz w:val="24"/>
                <w:szCs w:val="24"/>
              </w:rPr>
              <w:t>ā</w:t>
            </w:r>
            <w:r w:rsidR="006637FC" w:rsidRPr="00657A14">
              <w:rPr>
                <w:rFonts w:ascii="Times New Roman" w:hAnsi="Times New Roman" w:cs="Times New Roman"/>
                <w:color w:val="000000" w:themeColor="text1"/>
                <w:sz w:val="24"/>
                <w:szCs w:val="24"/>
              </w:rPr>
              <w:t xml:space="preserve"> </w:t>
            </w:r>
            <w:r w:rsidR="00DE6C7E" w:rsidRPr="00657A14">
              <w:rPr>
                <w:rFonts w:ascii="Times New Roman" w:hAnsi="Times New Roman" w:cs="Times New Roman"/>
                <w:color w:val="000000" w:themeColor="text1"/>
                <w:sz w:val="24"/>
                <w:szCs w:val="24"/>
              </w:rPr>
              <w:t xml:space="preserve">attiecībā uz </w:t>
            </w:r>
            <w:r w:rsidR="006637FC" w:rsidRPr="00657A14">
              <w:rPr>
                <w:rFonts w:ascii="Times New Roman" w:hAnsi="Times New Roman" w:cs="Times New Roman"/>
                <w:color w:val="000000" w:themeColor="text1"/>
                <w:sz w:val="24"/>
                <w:szCs w:val="24"/>
              </w:rPr>
              <w:t>NILLTFN 26.pant</w:t>
            </w:r>
            <w:r w:rsidR="00DE6C7E" w:rsidRPr="00657A14">
              <w:rPr>
                <w:rFonts w:ascii="Times New Roman" w:hAnsi="Times New Roman" w:cs="Times New Roman"/>
                <w:color w:val="000000" w:themeColor="text1"/>
                <w:sz w:val="24"/>
                <w:szCs w:val="24"/>
              </w:rPr>
              <w:t>a</w:t>
            </w:r>
            <w:r w:rsidR="006637FC" w:rsidRPr="00657A14">
              <w:rPr>
                <w:rFonts w:ascii="Times New Roman" w:hAnsi="Times New Roman" w:cs="Times New Roman"/>
                <w:color w:val="000000" w:themeColor="text1"/>
                <w:sz w:val="24"/>
                <w:szCs w:val="24"/>
              </w:rPr>
              <w:t xml:space="preserve"> desmit</w:t>
            </w:r>
            <w:r w:rsidR="00DE6C7E" w:rsidRPr="00657A14">
              <w:rPr>
                <w:rFonts w:ascii="Times New Roman" w:hAnsi="Times New Roman" w:cs="Times New Roman"/>
                <w:color w:val="000000" w:themeColor="text1"/>
                <w:sz w:val="24"/>
                <w:szCs w:val="24"/>
              </w:rPr>
              <w:t>o</w:t>
            </w:r>
            <w:r w:rsidR="006637FC" w:rsidRPr="00657A14">
              <w:rPr>
                <w:rFonts w:ascii="Times New Roman" w:hAnsi="Times New Roman" w:cs="Times New Roman"/>
                <w:color w:val="000000" w:themeColor="text1"/>
                <w:sz w:val="24"/>
                <w:szCs w:val="24"/>
              </w:rPr>
              <w:t xml:space="preserve"> daļ</w:t>
            </w:r>
            <w:r w:rsidR="00DE6C7E" w:rsidRPr="00657A14">
              <w:rPr>
                <w:rFonts w:ascii="Times New Roman" w:hAnsi="Times New Roman" w:cs="Times New Roman"/>
                <w:color w:val="000000" w:themeColor="text1"/>
                <w:sz w:val="24"/>
                <w:szCs w:val="24"/>
              </w:rPr>
              <w:t>u</w:t>
            </w:r>
            <w:r w:rsidR="006637FC" w:rsidRPr="00657A14">
              <w:rPr>
                <w:rFonts w:ascii="Times New Roman" w:hAnsi="Times New Roman" w:cs="Times New Roman"/>
                <w:color w:val="000000" w:themeColor="text1"/>
                <w:sz w:val="24"/>
                <w:szCs w:val="24"/>
              </w:rPr>
              <w:t>), uz fiziskām personām vai uz juridiskām vienībām gadījumos, kad tās veic saimniecisko darbību augsta riska trešajās valstīs</w:t>
            </w:r>
            <w:r w:rsidR="00DE6C7E" w:rsidRPr="00657A14">
              <w:rPr>
                <w:rFonts w:ascii="Times New Roman" w:hAnsi="Times New Roman" w:cs="Times New Roman"/>
                <w:color w:val="000000" w:themeColor="text1"/>
                <w:sz w:val="24"/>
                <w:szCs w:val="24"/>
              </w:rPr>
              <w:t xml:space="preserve">, ko nosaka </w:t>
            </w:r>
            <w:r w:rsidR="006637FC" w:rsidRPr="00657A14">
              <w:rPr>
                <w:rFonts w:ascii="Times New Roman" w:hAnsi="Times New Roman" w:cs="Times New Roman"/>
                <w:color w:val="000000" w:themeColor="text1"/>
                <w:sz w:val="24"/>
                <w:szCs w:val="24"/>
              </w:rPr>
              <w:t>likumprojekt</w:t>
            </w:r>
            <w:r w:rsidR="00DE6C7E" w:rsidRPr="00657A14">
              <w:rPr>
                <w:rFonts w:ascii="Times New Roman" w:hAnsi="Times New Roman" w:cs="Times New Roman"/>
                <w:color w:val="000000" w:themeColor="text1"/>
                <w:sz w:val="24"/>
                <w:szCs w:val="24"/>
              </w:rPr>
              <w:t>ā</w:t>
            </w:r>
            <w:r w:rsidR="006637FC" w:rsidRPr="00657A14">
              <w:rPr>
                <w:rFonts w:ascii="Times New Roman" w:hAnsi="Times New Roman" w:cs="Times New Roman"/>
                <w:color w:val="000000" w:themeColor="text1"/>
                <w:sz w:val="24"/>
                <w:szCs w:val="24"/>
              </w:rPr>
              <w:t xml:space="preserve"> </w:t>
            </w:r>
            <w:r w:rsidR="00DE6C7E" w:rsidRPr="00657A14">
              <w:rPr>
                <w:rFonts w:ascii="Times New Roman" w:hAnsi="Times New Roman" w:cs="Times New Roman"/>
                <w:color w:val="000000" w:themeColor="text1"/>
                <w:sz w:val="24"/>
                <w:szCs w:val="24"/>
              </w:rPr>
              <w:t xml:space="preserve">ietvertā </w:t>
            </w:r>
            <w:r w:rsidR="006637FC" w:rsidRPr="00657A14">
              <w:rPr>
                <w:rFonts w:ascii="Times New Roman" w:hAnsi="Times New Roman" w:cs="Times New Roman"/>
                <w:color w:val="000000" w:themeColor="text1"/>
                <w:sz w:val="24"/>
                <w:szCs w:val="24"/>
              </w:rPr>
              <w:t>NILLTFNL 26.pant</w:t>
            </w:r>
            <w:r w:rsidR="00DE6C7E" w:rsidRPr="00657A14">
              <w:rPr>
                <w:rFonts w:ascii="Times New Roman" w:hAnsi="Times New Roman" w:cs="Times New Roman"/>
                <w:color w:val="000000" w:themeColor="text1"/>
                <w:sz w:val="24"/>
                <w:szCs w:val="24"/>
              </w:rPr>
              <w:t>a</w:t>
            </w:r>
            <w:r w:rsidR="006637FC" w:rsidRPr="00657A14">
              <w:rPr>
                <w:rFonts w:ascii="Times New Roman" w:hAnsi="Times New Roman" w:cs="Times New Roman"/>
                <w:color w:val="000000" w:themeColor="text1"/>
                <w:sz w:val="24"/>
                <w:szCs w:val="24"/>
              </w:rPr>
              <w:t xml:space="preserve"> vienpadsmitā daļa.</w:t>
            </w:r>
            <w:r w:rsidRPr="00657A14">
              <w:rPr>
                <w:rFonts w:ascii="Times New Roman" w:hAnsi="Times New Roman" w:cs="Times New Roman"/>
                <w:color w:val="000000" w:themeColor="text1"/>
                <w:sz w:val="24"/>
                <w:szCs w:val="24"/>
              </w:rPr>
              <w:t xml:space="preserve"> </w:t>
            </w:r>
          </w:p>
          <w:p w:rsidR="00922D45" w:rsidRPr="00657A14" w:rsidRDefault="002579F9"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padziļināta izpēte</w:t>
            </w:r>
          </w:p>
          <w:p w:rsidR="003D37BB" w:rsidRPr="00657A14" w:rsidRDefault="009B3C9A" w:rsidP="003D37BB">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Gadījumos, kad </w:t>
            </w:r>
            <w:r w:rsidR="00555991" w:rsidRPr="00657A14">
              <w:rPr>
                <w:rFonts w:ascii="Times New Roman" w:hAnsi="Times New Roman" w:cs="Times New Roman"/>
                <w:color w:val="000000" w:themeColor="text1"/>
                <w:sz w:val="24"/>
                <w:szCs w:val="24"/>
              </w:rPr>
              <w:t xml:space="preserve">noziedzīgi iegūtu līdzekļu legalizācijas un terorisma finansēšanas </w:t>
            </w:r>
            <w:r w:rsidR="002E03D5" w:rsidRPr="00657A14">
              <w:rPr>
                <w:rFonts w:ascii="Times New Roman" w:hAnsi="Times New Roman" w:cs="Times New Roman"/>
                <w:color w:val="000000" w:themeColor="text1"/>
                <w:sz w:val="24"/>
                <w:szCs w:val="24"/>
              </w:rPr>
              <w:t>risks ir paaugstināts, tiek nodrošināta klienta padziļinātas izpētes veikšan</w:t>
            </w:r>
            <w:r w:rsidR="00DE6C7E" w:rsidRPr="00657A14">
              <w:rPr>
                <w:rFonts w:ascii="Times New Roman" w:hAnsi="Times New Roman" w:cs="Times New Roman"/>
                <w:color w:val="000000" w:themeColor="text1"/>
                <w:sz w:val="24"/>
                <w:szCs w:val="24"/>
              </w:rPr>
              <w:t>a</w:t>
            </w:r>
            <w:r w:rsidR="002E03D5" w:rsidRPr="00657A14">
              <w:rPr>
                <w:rFonts w:ascii="Times New Roman" w:hAnsi="Times New Roman" w:cs="Times New Roman"/>
                <w:color w:val="000000" w:themeColor="text1"/>
                <w:sz w:val="24"/>
                <w:szCs w:val="24"/>
              </w:rPr>
              <w:t>. Klienta padziļināta izpēte ir uz risku novērtējumu balstītas darbības, kuras veic papildus klienta izpētei, lai</w:t>
            </w:r>
            <w:r w:rsidR="008D5456" w:rsidRPr="00657A14">
              <w:rPr>
                <w:rFonts w:ascii="Times New Roman" w:hAnsi="Times New Roman" w:cs="Times New Roman"/>
                <w:color w:val="000000" w:themeColor="text1"/>
                <w:sz w:val="24"/>
                <w:szCs w:val="24"/>
              </w:rPr>
              <w:t xml:space="preserve"> papildus jau esošaj</w:t>
            </w:r>
            <w:r w:rsidR="00DE6C7E" w:rsidRPr="00657A14">
              <w:rPr>
                <w:rFonts w:ascii="Times New Roman" w:hAnsi="Times New Roman" w:cs="Times New Roman"/>
                <w:color w:val="000000" w:themeColor="text1"/>
                <w:sz w:val="24"/>
                <w:szCs w:val="24"/>
              </w:rPr>
              <w:t>a</w:t>
            </w:r>
            <w:r w:rsidR="008D5456" w:rsidRPr="00657A14">
              <w:rPr>
                <w:rFonts w:ascii="Times New Roman" w:hAnsi="Times New Roman" w:cs="Times New Roman"/>
                <w:color w:val="000000" w:themeColor="text1"/>
                <w:sz w:val="24"/>
                <w:szCs w:val="24"/>
              </w:rPr>
              <w:t>m nosacījumam – nodrošinātu klienta veikto darījumu pastiprinātu uzraudzību</w:t>
            </w:r>
            <w:r w:rsidR="00742CA2">
              <w:rPr>
                <w:rFonts w:ascii="Times New Roman" w:hAnsi="Times New Roman" w:cs="Times New Roman"/>
                <w:color w:val="000000" w:themeColor="text1"/>
                <w:sz w:val="24"/>
                <w:szCs w:val="24"/>
              </w:rPr>
              <w:t xml:space="preserve">. </w:t>
            </w:r>
            <w:r w:rsidR="00DA452C" w:rsidRPr="00657A14">
              <w:rPr>
                <w:rFonts w:ascii="Times New Roman" w:hAnsi="Times New Roman" w:cs="Times New Roman"/>
                <w:color w:val="000000" w:themeColor="text1"/>
                <w:sz w:val="24"/>
                <w:szCs w:val="24"/>
              </w:rPr>
              <w:t xml:space="preserve">Likuma subjekts veic klienta padziļinātu izpēti </w:t>
            </w:r>
            <w:r w:rsidR="003D37BB" w:rsidRPr="00657A14">
              <w:rPr>
                <w:rFonts w:ascii="Times New Roman" w:hAnsi="Times New Roman" w:cs="Times New Roman"/>
                <w:color w:val="000000" w:themeColor="text1"/>
                <w:sz w:val="24"/>
                <w:szCs w:val="24"/>
              </w:rPr>
              <w:t>šādos gadījumos:</w:t>
            </w:r>
          </w:p>
          <w:p w:rsidR="003D37BB" w:rsidRPr="00657A14" w:rsidRDefault="00DA452C" w:rsidP="000D1145">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identifikācijas procedūrā klāt neesoša klienta</w:t>
            </w:r>
            <w:r w:rsidR="003D37BB" w:rsidRPr="00657A14">
              <w:rPr>
                <w:rFonts w:ascii="Times New Roman" w:hAnsi="Times New Roman" w:cs="Times New Roman"/>
                <w:color w:val="000000" w:themeColor="text1"/>
                <w:sz w:val="24"/>
                <w:szCs w:val="24"/>
              </w:rPr>
              <w:t xml:space="preserve"> gadījumā;</w:t>
            </w:r>
          </w:p>
          <w:p w:rsidR="003D37BB" w:rsidRPr="00657A14" w:rsidRDefault="00DA452C" w:rsidP="000D1145">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uzsākot darījuma attiecības</w:t>
            </w:r>
            <w:r w:rsidR="003B472C" w:rsidRPr="00657A14">
              <w:rPr>
                <w:rFonts w:ascii="Times New Roman" w:hAnsi="Times New Roman" w:cs="Times New Roman"/>
                <w:color w:val="000000" w:themeColor="text1"/>
                <w:sz w:val="24"/>
                <w:szCs w:val="24"/>
              </w:rPr>
              <w:t xml:space="preserve"> vai uzsākot un uzturot darījuma attiecības ar politiski nozīmīgu personu, tā ģimenes locekli vai ar to cieši saistītu personu</w:t>
            </w:r>
            <w:r w:rsidR="003D37BB" w:rsidRPr="00657A14">
              <w:rPr>
                <w:rFonts w:ascii="Times New Roman" w:hAnsi="Times New Roman" w:cs="Times New Roman"/>
                <w:color w:val="000000" w:themeColor="text1"/>
                <w:sz w:val="24"/>
                <w:szCs w:val="24"/>
              </w:rPr>
              <w:t>;</w:t>
            </w:r>
          </w:p>
          <w:p w:rsidR="003D37BB" w:rsidRDefault="003B472C" w:rsidP="000D1145">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gadījumā, kurš ir paredzēts </w:t>
            </w:r>
            <w:r w:rsidR="003D37BB" w:rsidRPr="00657A14">
              <w:rPr>
                <w:rFonts w:ascii="Times New Roman" w:hAnsi="Times New Roman" w:cs="Times New Roman"/>
                <w:color w:val="000000" w:themeColor="text1"/>
                <w:sz w:val="24"/>
                <w:szCs w:val="24"/>
              </w:rPr>
              <w:t xml:space="preserve">atbilstoši </w:t>
            </w:r>
            <w:r w:rsidRPr="00657A14">
              <w:rPr>
                <w:rFonts w:ascii="Times New Roman" w:hAnsi="Times New Roman" w:cs="Times New Roman"/>
                <w:color w:val="000000" w:themeColor="text1"/>
                <w:sz w:val="24"/>
                <w:szCs w:val="24"/>
              </w:rPr>
              <w:t xml:space="preserve">AML IV direktīvas 19.pantam, uzsākot kredītiestāžu </w:t>
            </w:r>
            <w:r w:rsidR="003D37BB" w:rsidRPr="00657A14">
              <w:rPr>
                <w:rFonts w:ascii="Times New Roman" w:hAnsi="Times New Roman" w:cs="Times New Roman"/>
                <w:color w:val="000000" w:themeColor="text1"/>
                <w:sz w:val="24"/>
                <w:szCs w:val="24"/>
              </w:rPr>
              <w:t>korespondentattiecības ar ārvalstu kredītiestādi vai finanšu iestādi (respondentu)</w:t>
            </w:r>
            <w:r w:rsidR="008407FC">
              <w:rPr>
                <w:rFonts w:ascii="Times New Roman" w:hAnsi="Times New Roman" w:cs="Times New Roman"/>
                <w:color w:val="000000" w:themeColor="text1"/>
                <w:sz w:val="24"/>
                <w:szCs w:val="24"/>
              </w:rPr>
              <w:t>.</w:t>
            </w:r>
          </w:p>
          <w:p w:rsidR="008407FC" w:rsidRPr="00657A14" w:rsidRDefault="008407FC" w:rsidP="008407FC">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Prasības noteiktas likumprojektā attiecībā uz NILLTFNL </w:t>
            </w:r>
            <w:r w:rsidRPr="00657A14">
              <w:rPr>
                <w:rFonts w:ascii="Times New Roman" w:hAnsi="Times New Roman" w:cs="Times New Roman"/>
                <w:color w:val="000000" w:themeColor="text1"/>
                <w:sz w:val="24"/>
                <w:szCs w:val="24"/>
              </w:rPr>
              <w:lastRenderedPageBreak/>
              <w:t>22.panta otrās daļas 3.punktu.</w:t>
            </w:r>
          </w:p>
          <w:p w:rsidR="00742CA2" w:rsidRPr="00742CA2" w:rsidRDefault="00742CA2" w:rsidP="008407FC">
            <w:pPr>
              <w:widowControl w:val="0"/>
              <w:ind w:firstLine="403"/>
              <w:jc w:val="both"/>
              <w:rPr>
                <w:rFonts w:ascii="Times New Roman" w:hAnsi="Times New Roman" w:cs="Times New Roman"/>
                <w:color w:val="000000" w:themeColor="text1"/>
                <w:sz w:val="24"/>
                <w:szCs w:val="24"/>
              </w:rPr>
            </w:pPr>
            <w:r w:rsidRPr="00742CA2">
              <w:rPr>
                <w:rFonts w:ascii="Times New Roman" w:hAnsi="Times New Roman" w:cs="Times New Roman"/>
                <w:color w:val="000000" w:themeColor="text1"/>
                <w:sz w:val="24"/>
                <w:szCs w:val="24"/>
              </w:rPr>
              <w:t xml:space="preserve">Likumprojekta (NILLTFNL 22.panta otrā daļa) tiek papildināta ar nosacījumiem, kuru izpildes gadījumā likuma subjekts var neveikt klienta, kas nav personīgi piedalījies identifikācijas procedūrā, padziļinātu izpēti. Šis grozījums ir likuma subjektam labvēlīgāks, salīdzinot ar pašreizējo </w:t>
            </w:r>
            <w:r>
              <w:rPr>
                <w:rFonts w:ascii="Times New Roman" w:hAnsi="Times New Roman" w:cs="Times New Roman"/>
                <w:color w:val="000000" w:themeColor="text1"/>
                <w:sz w:val="24"/>
                <w:szCs w:val="24"/>
              </w:rPr>
              <w:t>NILLTFNL</w:t>
            </w:r>
            <w:r w:rsidRPr="00742CA2">
              <w:rPr>
                <w:rFonts w:ascii="Times New Roman" w:hAnsi="Times New Roman" w:cs="Times New Roman"/>
                <w:color w:val="000000" w:themeColor="text1"/>
                <w:sz w:val="24"/>
                <w:szCs w:val="24"/>
              </w:rPr>
              <w:t xml:space="preserve"> 22.panta otrās daļas redakciju. Minētie nosacījumi ir atbilstošu NILLTF risku mazinošo pasākumu nodrošināšana un tādu tehnoloģisko risinājumu izmantošana klienta identifikācijai, kas ietver vismaz videoidentifikāciju </w:t>
            </w:r>
            <w:r w:rsidR="004432E6">
              <w:rPr>
                <w:rFonts w:ascii="Times New Roman" w:hAnsi="Times New Roman" w:cs="Times New Roman"/>
                <w:color w:val="000000" w:themeColor="text1"/>
                <w:sz w:val="24"/>
                <w:szCs w:val="24"/>
              </w:rPr>
              <w:t>vai</w:t>
            </w:r>
            <w:r w:rsidRPr="00742CA2">
              <w:rPr>
                <w:rFonts w:ascii="Times New Roman" w:hAnsi="Times New Roman" w:cs="Times New Roman"/>
                <w:color w:val="000000" w:themeColor="text1"/>
                <w:sz w:val="24"/>
                <w:szCs w:val="24"/>
              </w:rPr>
              <w:t xml:space="preserve"> drošu elektronisko parakstu</w:t>
            </w:r>
            <w:r w:rsidR="004432E6">
              <w:rPr>
                <w:rFonts w:ascii="Times New Roman" w:hAnsi="Times New Roman" w:cs="Times New Roman"/>
                <w:color w:val="000000" w:themeColor="text1"/>
                <w:sz w:val="24"/>
                <w:szCs w:val="24"/>
              </w:rPr>
              <w:t>, vai citus tehnoloģiskos risinājumus Ministru kabineta noteiktajā apjomā un kārtībā</w:t>
            </w:r>
            <w:r w:rsidRPr="00742CA2">
              <w:rPr>
                <w:rFonts w:ascii="Times New Roman" w:hAnsi="Times New Roman" w:cs="Times New Roman"/>
                <w:color w:val="000000" w:themeColor="text1"/>
                <w:sz w:val="24"/>
                <w:szCs w:val="24"/>
              </w:rPr>
              <w:t>. Tehnoloģiskie risinājumi, kas ir noteikti likumā, ir izvēlēti, apzinot citu ES dalībvalstu, konkrēti, Igaunijas praksi, klientu neklātie</w:t>
            </w:r>
            <w:r>
              <w:rPr>
                <w:rFonts w:ascii="Times New Roman" w:hAnsi="Times New Roman" w:cs="Times New Roman"/>
                <w:color w:val="000000" w:themeColor="text1"/>
                <w:sz w:val="24"/>
                <w:szCs w:val="24"/>
              </w:rPr>
              <w:t>nes identifikācijas jomā. Likumprojekta (NILTFNL</w:t>
            </w:r>
            <w:r w:rsidRPr="00742CA2">
              <w:rPr>
                <w:rFonts w:ascii="Times New Roman" w:hAnsi="Times New Roman" w:cs="Times New Roman"/>
                <w:color w:val="000000" w:themeColor="text1"/>
                <w:sz w:val="24"/>
                <w:szCs w:val="24"/>
              </w:rPr>
              <w:t xml:space="preserve"> 22.panta otrajā daļā</w:t>
            </w:r>
            <w:r>
              <w:rPr>
                <w:rFonts w:ascii="Times New Roman" w:hAnsi="Times New Roman" w:cs="Times New Roman"/>
                <w:color w:val="000000" w:themeColor="text1"/>
                <w:sz w:val="24"/>
                <w:szCs w:val="24"/>
              </w:rPr>
              <w:t>)</w:t>
            </w:r>
            <w:r w:rsidRPr="00742CA2">
              <w:rPr>
                <w:rFonts w:ascii="Times New Roman" w:hAnsi="Times New Roman" w:cs="Times New Roman"/>
                <w:color w:val="000000" w:themeColor="text1"/>
                <w:sz w:val="24"/>
                <w:szCs w:val="24"/>
              </w:rPr>
              <w:t xml:space="preserve"> ir ietverts deleģējums Ministru kabinetam noteikt klienta, kas nav personīgi piedalījies identifikācijas procedūrā, identifikācijas pasākumu, izmantojot tehnoloģiskos risinā</w:t>
            </w:r>
            <w:r w:rsidR="00B766DE">
              <w:rPr>
                <w:rFonts w:ascii="Times New Roman" w:hAnsi="Times New Roman" w:cs="Times New Roman"/>
                <w:color w:val="000000" w:themeColor="text1"/>
                <w:sz w:val="24"/>
                <w:szCs w:val="24"/>
              </w:rPr>
              <w:t>jumus, apjomu un kārtību. Likumprojekta (NILLTFNL</w:t>
            </w:r>
            <w:r w:rsidRPr="00742CA2">
              <w:rPr>
                <w:rFonts w:ascii="Times New Roman" w:hAnsi="Times New Roman" w:cs="Times New Roman"/>
                <w:color w:val="000000" w:themeColor="text1"/>
                <w:sz w:val="24"/>
                <w:szCs w:val="24"/>
              </w:rPr>
              <w:t xml:space="preserve"> 22.panta trešajā daļā</w:t>
            </w:r>
            <w:r w:rsidR="00B766DE">
              <w:rPr>
                <w:rFonts w:ascii="Times New Roman" w:hAnsi="Times New Roman" w:cs="Times New Roman"/>
                <w:color w:val="000000" w:themeColor="text1"/>
                <w:sz w:val="24"/>
                <w:szCs w:val="24"/>
              </w:rPr>
              <w:t>)</w:t>
            </w:r>
            <w:r w:rsidRPr="00742CA2">
              <w:rPr>
                <w:rFonts w:ascii="Times New Roman" w:hAnsi="Times New Roman" w:cs="Times New Roman"/>
                <w:color w:val="000000" w:themeColor="text1"/>
                <w:sz w:val="24"/>
                <w:szCs w:val="24"/>
              </w:rPr>
              <w:t xml:space="preserve"> tiek ietverts deleģējums FKTK  kredītiestādēm un finanšu iestādēm, kuru darbību tā uzrauga saskaņā ar normatīvajiem aktiem noteikt papildus prasības klienta, kas nav personīgi piedalījies identifikācijas procedūrā, identifikācijas, izmantojot tehnoloģiskos risinājumus, apjomam un kārtībai. Līdz ar to FKTK gadījumos, kad pastāv paaugstināts NILLTF risks, var noteikt papildus prasības.</w:t>
            </w:r>
          </w:p>
          <w:p w:rsidR="00280032" w:rsidRPr="00657A14" w:rsidRDefault="00A710A7"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Nosakot p</w:t>
            </w:r>
            <w:r w:rsidR="00280032" w:rsidRPr="00657A14">
              <w:rPr>
                <w:rFonts w:ascii="Times New Roman" w:hAnsi="Times New Roman" w:cs="Times New Roman"/>
                <w:color w:val="000000" w:themeColor="text1"/>
                <w:sz w:val="24"/>
                <w:szCs w:val="24"/>
              </w:rPr>
              <w:t>adziļinātā</w:t>
            </w:r>
            <w:r w:rsidRPr="00657A14">
              <w:rPr>
                <w:rFonts w:ascii="Times New Roman" w:hAnsi="Times New Roman" w:cs="Times New Roman"/>
                <w:color w:val="000000" w:themeColor="text1"/>
                <w:sz w:val="24"/>
                <w:szCs w:val="24"/>
              </w:rPr>
              <w:t>s</w:t>
            </w:r>
            <w:r w:rsidR="00280032" w:rsidRPr="00657A14">
              <w:rPr>
                <w:rFonts w:ascii="Times New Roman" w:hAnsi="Times New Roman" w:cs="Times New Roman"/>
                <w:color w:val="000000" w:themeColor="text1"/>
                <w:sz w:val="24"/>
                <w:szCs w:val="24"/>
              </w:rPr>
              <w:t xml:space="preserve"> izpēte</w:t>
            </w:r>
            <w:r w:rsidRPr="00657A14">
              <w:rPr>
                <w:rFonts w:ascii="Times New Roman" w:hAnsi="Times New Roman" w:cs="Times New Roman"/>
                <w:color w:val="000000" w:themeColor="text1"/>
                <w:sz w:val="24"/>
                <w:szCs w:val="24"/>
              </w:rPr>
              <w:t xml:space="preserve">s nepieciešamību, apjomu un regularitāti, kā arī veicot pašu padziļināto izpēti, likuma subjektam jāņem vērā </w:t>
            </w:r>
            <w:r w:rsidR="000421C4" w:rsidRPr="00657A14">
              <w:rPr>
                <w:rFonts w:ascii="Times New Roman" w:hAnsi="Times New Roman" w:cs="Times New Roman"/>
                <w:color w:val="000000" w:themeColor="text1"/>
                <w:sz w:val="24"/>
                <w:szCs w:val="24"/>
              </w:rPr>
              <w:t>vismaz šādi risku paaugstinošie faktori, kuri noteikti AML IV direktīvas III pielikumā</w:t>
            </w:r>
            <w:r w:rsidR="00C33FCC" w:rsidRPr="00657A14">
              <w:rPr>
                <w:rFonts w:ascii="Times New Roman" w:hAnsi="Times New Roman" w:cs="Times New Roman"/>
                <w:color w:val="000000" w:themeColor="text1"/>
                <w:sz w:val="24"/>
                <w:szCs w:val="24"/>
              </w:rPr>
              <w:t xml:space="preserve"> un tie ir:</w:t>
            </w:r>
          </w:p>
          <w:p w:rsidR="00C33FCC" w:rsidRPr="00657A14" w:rsidRDefault="00501C83"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darījuma attiecības, kuras notiek neparastos apstākļos; </w:t>
            </w:r>
          </w:p>
          <w:p w:rsidR="00501C83" w:rsidRPr="00657A14" w:rsidRDefault="00501C83"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w:t>
            </w:r>
            <w:r w:rsidR="003D37BB"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vai teritorij</w:t>
            </w:r>
            <w:r w:rsidR="003D37BB"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kurā pastāv augsts </w:t>
            </w:r>
            <w:r w:rsidR="001A4420" w:rsidRPr="00657A14">
              <w:rPr>
                <w:rFonts w:ascii="Times New Roman" w:hAnsi="Times New Roman" w:cs="Times New Roman"/>
                <w:color w:val="000000" w:themeColor="text1"/>
                <w:sz w:val="24"/>
                <w:szCs w:val="24"/>
              </w:rPr>
              <w:t>korupcijas risks</w:t>
            </w:r>
            <w:r w:rsidR="006848C6" w:rsidRPr="00657A14">
              <w:rPr>
                <w:rFonts w:ascii="Times New Roman" w:hAnsi="Times New Roman" w:cs="Times New Roman"/>
                <w:color w:val="000000" w:themeColor="text1"/>
                <w:sz w:val="24"/>
                <w:szCs w:val="24"/>
              </w:rPr>
              <w:t>;</w:t>
            </w:r>
          </w:p>
          <w:p w:rsidR="006848C6" w:rsidRPr="00657A14" w:rsidRDefault="006848C6"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w:t>
            </w:r>
            <w:r w:rsidR="003D37BB"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vai teritorij</w:t>
            </w:r>
            <w:r w:rsidR="003D37BB"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kurā ir augsts tādu noziedzīgu nodarījumu līmenis, kuru rezultātā var tikt iegūtu noziedzīgi līdzekļi;</w:t>
            </w:r>
          </w:p>
          <w:p w:rsidR="006848C6" w:rsidRPr="00657A14" w:rsidRDefault="005F76D4"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w:t>
            </w:r>
            <w:r w:rsidR="003D37BB"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un teritorij</w:t>
            </w:r>
            <w:r w:rsidR="003D37BB"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pret kuru Apvienoto Nāciju Organizācija, Amerikas</w:t>
            </w:r>
            <w:r w:rsidR="004320B2" w:rsidRPr="00657A14">
              <w:rPr>
                <w:rFonts w:ascii="Times New Roman" w:hAnsi="Times New Roman" w:cs="Times New Roman"/>
                <w:color w:val="000000" w:themeColor="text1"/>
                <w:sz w:val="24"/>
                <w:szCs w:val="24"/>
              </w:rPr>
              <w:t xml:space="preserve"> Savienotās Valsts vai Eiropas Savienība ir noteikusi finanšu vai civiltiesiskus ierobežojumus</w:t>
            </w:r>
            <w:r w:rsidR="00AC3330" w:rsidRPr="00657A14">
              <w:rPr>
                <w:rFonts w:ascii="Times New Roman" w:hAnsi="Times New Roman" w:cs="Times New Roman"/>
                <w:color w:val="000000" w:themeColor="text1"/>
                <w:sz w:val="24"/>
                <w:szCs w:val="24"/>
              </w:rPr>
              <w:t>;</w:t>
            </w:r>
          </w:p>
          <w:p w:rsidR="00AC3330" w:rsidRPr="00657A14" w:rsidRDefault="00AC3330"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w:t>
            </w:r>
            <w:r w:rsidR="00AB4926"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vai teritorij</w:t>
            </w:r>
            <w:r w:rsidR="00AB4926"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kas sniedz finansējumu vai </w:t>
            </w:r>
            <w:r w:rsidRPr="00657A14">
              <w:rPr>
                <w:rFonts w:ascii="Times New Roman" w:hAnsi="Times New Roman" w:cs="Times New Roman"/>
                <w:color w:val="000000" w:themeColor="text1"/>
                <w:sz w:val="24"/>
                <w:szCs w:val="24"/>
              </w:rPr>
              <w:lastRenderedPageBreak/>
              <w:t>atbalstu teroristu darbībām</w:t>
            </w:r>
            <w:r w:rsidR="00AB4926" w:rsidRPr="00657A14">
              <w:rPr>
                <w:rFonts w:ascii="Times New Roman" w:hAnsi="Times New Roman" w:cs="Times New Roman"/>
                <w:color w:val="000000" w:themeColor="text1"/>
                <w:sz w:val="24"/>
                <w:szCs w:val="24"/>
              </w:rPr>
              <w:t>,</w:t>
            </w:r>
            <w:r w:rsidR="00FA09F5" w:rsidRPr="00657A14">
              <w:rPr>
                <w:rFonts w:ascii="Times New Roman" w:hAnsi="Times New Roman" w:cs="Times New Roman"/>
                <w:color w:val="000000" w:themeColor="text1"/>
                <w:sz w:val="24"/>
                <w:szCs w:val="24"/>
              </w:rPr>
              <w:t xml:space="preserve"> vai kuras teritorijā darbojas sarakstos iekļautas teroristu organizācijas;</w:t>
            </w:r>
          </w:p>
          <w:p w:rsidR="00FA09F5" w:rsidRPr="00657A14" w:rsidRDefault="00FA09F5"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klients ir juridisks veidojums, kas ir privāto aktīvu pārvaldīšanas</w:t>
            </w:r>
            <w:r w:rsidR="004741D8"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sabiedrība</w:t>
            </w:r>
            <w:r w:rsidR="004741D8" w:rsidRPr="00657A14">
              <w:rPr>
                <w:rFonts w:ascii="Times New Roman" w:hAnsi="Times New Roman" w:cs="Times New Roman"/>
                <w:color w:val="000000" w:themeColor="text1"/>
                <w:sz w:val="24"/>
                <w:szCs w:val="24"/>
              </w:rPr>
              <w:t>;</w:t>
            </w:r>
          </w:p>
          <w:p w:rsidR="004741D8" w:rsidRPr="00657A14" w:rsidRDefault="004741D8"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klients ir juridiskā persona, kas emitē vai ir tiesīga emitēt uzrādītāja akcijas (kapitāla vērtspapīrus) vai kurai ir nominālakcionāri;</w:t>
            </w:r>
          </w:p>
          <w:p w:rsidR="004741D8" w:rsidRPr="00657A14" w:rsidRDefault="001B5A5B"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tiek izmantoti liela apmēra skaidras naudas darījumi;</w:t>
            </w:r>
          </w:p>
          <w:p w:rsidR="00AB4926" w:rsidRPr="00657A14" w:rsidRDefault="001B5A5B" w:rsidP="00AB4926">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klienta īpašnieku vai dalībnieku struktūra ir klienta saimnieciskajai darbībai neraksturīga vai sarež</w:t>
            </w:r>
            <w:r w:rsidR="0092289F" w:rsidRPr="00657A14">
              <w:rPr>
                <w:rFonts w:ascii="Times New Roman" w:hAnsi="Times New Roman" w:cs="Times New Roman"/>
                <w:color w:val="000000" w:themeColor="text1"/>
                <w:sz w:val="24"/>
                <w:szCs w:val="24"/>
              </w:rPr>
              <w:t>ģīta;</w:t>
            </w:r>
          </w:p>
          <w:p w:rsidR="001B5A5B" w:rsidRPr="00657A14" w:rsidRDefault="0092289F" w:rsidP="00AB4926">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 tiek izmantoti privātbaņķiera pakalpojumi;</w:t>
            </w:r>
          </w:p>
          <w:p w:rsidR="0092289F" w:rsidRPr="00657A14" w:rsidRDefault="0092289F"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tiek izmantoti produkti, pakalpojumi vai piegādes kanāli, kas veicina anonimitāti</w:t>
            </w:r>
            <w:r w:rsidR="000156D3" w:rsidRPr="00657A14">
              <w:rPr>
                <w:rFonts w:ascii="Times New Roman" w:hAnsi="Times New Roman" w:cs="Times New Roman"/>
                <w:color w:val="000000" w:themeColor="text1"/>
                <w:sz w:val="24"/>
                <w:szCs w:val="24"/>
              </w:rPr>
              <w:t>;</w:t>
            </w:r>
          </w:p>
          <w:p w:rsidR="000156D3" w:rsidRPr="00657A14" w:rsidRDefault="00A66E10"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maksājums tiek saņemts no nezināmas vai nesaistītas trešās personas;</w:t>
            </w:r>
          </w:p>
          <w:p w:rsidR="00A66E10" w:rsidRPr="00657A14" w:rsidRDefault="00A66E10" w:rsidP="00424423">
            <w:pPr>
              <w:pStyle w:val="ListParagraph"/>
              <w:widowControl w:val="0"/>
              <w:numPr>
                <w:ilvl w:val="0"/>
                <w:numId w:val="7"/>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tiek izmantoti jauni produkti, pakalpojumi vai piegādes kanāli, vai jaunas tehnoloģijas</w:t>
            </w:r>
            <w:r w:rsidR="00AB4926" w:rsidRPr="00657A14">
              <w:rPr>
                <w:rFonts w:ascii="Times New Roman" w:hAnsi="Times New Roman" w:cs="Times New Roman"/>
                <w:color w:val="000000" w:themeColor="text1"/>
                <w:sz w:val="24"/>
                <w:szCs w:val="24"/>
              </w:rPr>
              <w:t>.</w:t>
            </w:r>
          </w:p>
          <w:p w:rsidR="00A66E10" w:rsidRPr="00657A14" w:rsidRDefault="00AB4926"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w:t>
            </w:r>
            <w:r w:rsidR="00A66E10" w:rsidRPr="00657A14">
              <w:rPr>
                <w:rFonts w:ascii="Times New Roman" w:hAnsi="Times New Roman" w:cs="Times New Roman"/>
                <w:color w:val="000000" w:themeColor="text1"/>
                <w:sz w:val="24"/>
                <w:szCs w:val="24"/>
              </w:rPr>
              <w:t xml:space="preserve">apildus </w:t>
            </w:r>
            <w:r w:rsidR="00761206" w:rsidRPr="00657A14">
              <w:rPr>
                <w:rFonts w:ascii="Times New Roman" w:hAnsi="Times New Roman" w:cs="Times New Roman"/>
                <w:color w:val="000000" w:themeColor="text1"/>
                <w:sz w:val="24"/>
                <w:szCs w:val="24"/>
              </w:rPr>
              <w:t>likumprojekts paredz arī tādus riskus, kā</w:t>
            </w:r>
            <w:r w:rsidRPr="00657A14">
              <w:rPr>
                <w:rFonts w:ascii="Times New Roman" w:hAnsi="Times New Roman" w:cs="Times New Roman"/>
                <w:color w:val="000000" w:themeColor="text1"/>
                <w:sz w:val="24"/>
                <w:szCs w:val="24"/>
              </w:rPr>
              <w:t>:</w:t>
            </w:r>
            <w:r w:rsidR="00761206" w:rsidRPr="00657A14">
              <w:rPr>
                <w:rFonts w:ascii="Times New Roman" w:hAnsi="Times New Roman" w:cs="Times New Roman"/>
                <w:color w:val="000000" w:themeColor="text1"/>
                <w:sz w:val="24"/>
                <w:szCs w:val="24"/>
              </w:rPr>
              <w:t xml:space="preserve"> </w:t>
            </w:r>
          </w:p>
          <w:p w:rsidR="00761206" w:rsidRPr="00657A14" w:rsidRDefault="00761206" w:rsidP="00424423">
            <w:pPr>
              <w:pStyle w:val="ListParagraph"/>
              <w:widowControl w:val="0"/>
              <w:numPr>
                <w:ilvl w:val="0"/>
                <w:numId w:val="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klients vai tā patiesais labuma guvējs ir saistīts ar paaugstināta riska jurisdikciju, gadījumā</w:t>
            </w:r>
            <w:r w:rsidR="0069593D"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kad valsti vai teritoriju</w:t>
            </w:r>
            <w:r w:rsidR="00751167" w:rsidRPr="00657A14">
              <w:rPr>
                <w:rFonts w:ascii="Times New Roman" w:hAnsi="Times New Roman" w:cs="Times New Roman"/>
                <w:color w:val="000000" w:themeColor="text1"/>
                <w:sz w:val="24"/>
                <w:szCs w:val="24"/>
              </w:rPr>
              <w:t>, kurā nav efektīvas noziedzīgi iegūtu līdzekļu legalizācijas un terorisma finansēšanas</w:t>
            </w:r>
            <w:r w:rsidR="000740A9" w:rsidRPr="00657A14">
              <w:rPr>
                <w:rFonts w:ascii="Times New Roman" w:hAnsi="Times New Roman" w:cs="Times New Roman"/>
                <w:color w:val="000000" w:themeColor="text1"/>
                <w:sz w:val="24"/>
                <w:szCs w:val="24"/>
              </w:rPr>
              <w:t xml:space="preserve"> sistēmas, tai skaitā, kura ar Eiropas Komisijas lēmumu ir atzīta par valsti, kuras noziedzīgi iegūtu līdzekļu un terorisma finansēšanas novēršanas režīmos ir stratēģiskas nepilnības, kas rada būtiskus draudus Eiropas Savienības finanšu sistēmai;</w:t>
            </w:r>
          </w:p>
          <w:p w:rsidR="000740A9" w:rsidRPr="00657A14" w:rsidRDefault="00E3167F" w:rsidP="00424423">
            <w:pPr>
              <w:pStyle w:val="ListParagraph"/>
              <w:widowControl w:val="0"/>
              <w:numPr>
                <w:ilvl w:val="0"/>
                <w:numId w:val="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valst</w:t>
            </w:r>
            <w:r w:rsidR="0069593D"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vai teritorij</w:t>
            </w:r>
            <w:r w:rsidR="0069593D"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kura ir atteikusies sadarboties a</w:t>
            </w:r>
            <w:r w:rsidR="00EC2BC5" w:rsidRPr="00657A14">
              <w:rPr>
                <w:rFonts w:ascii="Times New Roman" w:hAnsi="Times New Roman" w:cs="Times New Roman"/>
                <w:color w:val="000000" w:themeColor="text1"/>
                <w:sz w:val="24"/>
                <w:szCs w:val="24"/>
              </w:rPr>
              <w:t>r starptautiska</w:t>
            </w:r>
            <w:r w:rsidRPr="00657A14">
              <w:rPr>
                <w:rFonts w:ascii="Times New Roman" w:hAnsi="Times New Roman" w:cs="Times New Roman"/>
                <w:color w:val="000000" w:themeColor="text1"/>
                <w:sz w:val="24"/>
                <w:szCs w:val="24"/>
              </w:rPr>
              <w:t xml:space="preserve">jām organizācijām noziedzīgi </w:t>
            </w:r>
            <w:r w:rsidR="001249C6" w:rsidRPr="00657A14">
              <w:rPr>
                <w:rFonts w:ascii="Times New Roman" w:hAnsi="Times New Roman" w:cs="Times New Roman"/>
                <w:color w:val="000000" w:themeColor="text1"/>
                <w:sz w:val="24"/>
                <w:szCs w:val="24"/>
              </w:rPr>
              <w:t>iegūtu līdzekļu legalizācijas un terorisma finansēšanas novēršanas jomā</w:t>
            </w:r>
            <w:r w:rsidR="005405C9" w:rsidRPr="00657A14">
              <w:rPr>
                <w:rFonts w:ascii="Times New Roman" w:hAnsi="Times New Roman" w:cs="Times New Roman"/>
                <w:color w:val="000000" w:themeColor="text1"/>
                <w:sz w:val="24"/>
                <w:szCs w:val="24"/>
              </w:rPr>
              <w:t>;</w:t>
            </w:r>
          </w:p>
          <w:p w:rsidR="00922D45" w:rsidRPr="00657A14" w:rsidRDefault="005405C9" w:rsidP="00424423">
            <w:pPr>
              <w:pStyle w:val="ListParagraph"/>
              <w:widowControl w:val="0"/>
              <w:numPr>
                <w:ilvl w:val="0"/>
                <w:numId w:val="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tiek izmantoti pakalpojumi, produkti un piegādes kanāli, kas ierobežo klienta identifikācijas vai personiskās saimnieciskās darbības pārzināšanas iespējas.</w:t>
            </w:r>
          </w:p>
          <w:p w:rsidR="00922D45" w:rsidRPr="00657A14" w:rsidRDefault="00A06998"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Atsevišķi padziļināto klienta izpēti kredītiestādēm un finanšu iestādēm var noteikt FKTK, šobrīd NILLTFNL paredz, ka tā veicama FKTK noteiktajām klienta kategorijām un likumprojekts (NILLTFNL 22.pant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ceturtā daļa) paredz FKTK pilnvaras noteikt veikt klienta padziļināto izpēti</w:t>
            </w:r>
            <w:r w:rsidR="004663EB" w:rsidRPr="00657A14">
              <w:rPr>
                <w:rFonts w:ascii="Times New Roman" w:hAnsi="Times New Roman" w:cs="Times New Roman"/>
                <w:color w:val="000000" w:themeColor="text1"/>
                <w:sz w:val="24"/>
                <w:szCs w:val="24"/>
              </w:rPr>
              <w:t xml:space="preserve"> gadījumos, kad ir paaugstinātie riska faktori.</w:t>
            </w:r>
            <w:r w:rsidR="005D16B1" w:rsidRPr="00657A14">
              <w:rPr>
                <w:rFonts w:ascii="Times New Roman" w:hAnsi="Times New Roman" w:cs="Times New Roman"/>
                <w:color w:val="000000" w:themeColor="text1"/>
                <w:sz w:val="24"/>
                <w:szCs w:val="24"/>
              </w:rPr>
              <w:t xml:space="preserve"> Minimālais apjoms klienta padziļinātajai izpētei paaugstinātā riska faktora ietekmē FKTK pilnvaru ietvaros noteikts uzraugāmajām kredītiestādēm un finanšu iestādēm, tiek noteiktas arī papildus prasības klientu padziļinātajai </w:t>
            </w:r>
            <w:r w:rsidR="005D16B1" w:rsidRPr="00657A14">
              <w:rPr>
                <w:rFonts w:ascii="Times New Roman" w:hAnsi="Times New Roman" w:cs="Times New Roman"/>
                <w:color w:val="000000" w:themeColor="text1"/>
                <w:sz w:val="24"/>
                <w:szCs w:val="24"/>
              </w:rPr>
              <w:lastRenderedPageBreak/>
              <w:t>izpētei un noziedzīgi iegūtu līdzekļu legalizācijas un riska pārvaldībai</w:t>
            </w:r>
            <w:r w:rsidR="00E84A5A" w:rsidRPr="00657A14">
              <w:rPr>
                <w:rFonts w:ascii="Times New Roman" w:hAnsi="Times New Roman" w:cs="Times New Roman"/>
                <w:color w:val="000000" w:themeColor="text1"/>
                <w:sz w:val="24"/>
                <w:szCs w:val="24"/>
              </w:rPr>
              <w:t xml:space="preserve">, iepriekšminētais paredzēts likumprojektā (NILLTFNL </w:t>
            </w:r>
            <w:r w:rsidR="00DC486A" w:rsidRPr="00657A14">
              <w:rPr>
                <w:rFonts w:ascii="Times New Roman" w:hAnsi="Times New Roman" w:cs="Times New Roman"/>
                <w:color w:val="000000" w:themeColor="text1"/>
                <w:sz w:val="24"/>
                <w:szCs w:val="24"/>
              </w:rPr>
              <w:t>22.pant</w:t>
            </w:r>
            <w:r w:rsidR="006D7935" w:rsidRPr="00657A14">
              <w:rPr>
                <w:rFonts w:ascii="Times New Roman" w:hAnsi="Times New Roman" w:cs="Times New Roman"/>
                <w:color w:val="000000" w:themeColor="text1"/>
                <w:sz w:val="24"/>
                <w:szCs w:val="24"/>
              </w:rPr>
              <w:t>a</w:t>
            </w:r>
            <w:r w:rsidR="00DC486A" w:rsidRPr="00657A14">
              <w:rPr>
                <w:rFonts w:ascii="Times New Roman" w:hAnsi="Times New Roman" w:cs="Times New Roman"/>
                <w:color w:val="000000" w:themeColor="text1"/>
                <w:sz w:val="24"/>
                <w:szCs w:val="24"/>
              </w:rPr>
              <w:t xml:space="preserve"> piektā daļa</w:t>
            </w:r>
            <w:r w:rsidR="00E84A5A" w:rsidRPr="00657A14">
              <w:rPr>
                <w:rFonts w:ascii="Times New Roman" w:hAnsi="Times New Roman" w:cs="Times New Roman"/>
                <w:color w:val="000000" w:themeColor="text1"/>
                <w:sz w:val="24"/>
                <w:szCs w:val="24"/>
              </w:rPr>
              <w:t>)</w:t>
            </w:r>
            <w:r w:rsidR="00DC486A" w:rsidRPr="00657A14">
              <w:rPr>
                <w:rFonts w:ascii="Times New Roman" w:hAnsi="Times New Roman" w:cs="Times New Roman"/>
                <w:color w:val="000000" w:themeColor="text1"/>
                <w:sz w:val="24"/>
                <w:szCs w:val="24"/>
              </w:rPr>
              <w:t>.</w:t>
            </w:r>
          </w:p>
          <w:p w:rsidR="00E9542D" w:rsidRDefault="008D0DD5" w:rsidP="00AF7A69">
            <w:pPr>
              <w:pStyle w:val="CommentText"/>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Ir gadījumi, kad klienta izpētē persona var personiski nepiedalīties klienta identifikācijas procedūrās</w:t>
            </w:r>
            <w:r w:rsidR="00A9782B"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w:t>
            </w:r>
            <w:r w:rsidR="00A9782B" w:rsidRPr="00657A14">
              <w:rPr>
                <w:rFonts w:ascii="Times New Roman" w:hAnsi="Times New Roman" w:cs="Times New Roman"/>
                <w:color w:val="000000" w:themeColor="text1"/>
                <w:sz w:val="24"/>
                <w:szCs w:val="24"/>
              </w:rPr>
              <w:t>P</w:t>
            </w:r>
            <w:r w:rsidRPr="00657A14">
              <w:rPr>
                <w:rFonts w:ascii="Times New Roman" w:hAnsi="Times New Roman" w:cs="Times New Roman"/>
                <w:color w:val="000000" w:themeColor="text1"/>
                <w:sz w:val="24"/>
                <w:szCs w:val="24"/>
              </w:rPr>
              <w:t xml:space="preserve">atreiz tos nosaka NILLTFNL 23.pants. </w:t>
            </w:r>
            <w:r w:rsidR="00674FD5" w:rsidRPr="00657A14">
              <w:rPr>
                <w:rFonts w:ascii="Times New Roman" w:hAnsi="Times New Roman" w:cs="Times New Roman"/>
                <w:color w:val="000000" w:themeColor="text1"/>
                <w:sz w:val="24"/>
                <w:szCs w:val="24"/>
              </w:rPr>
              <w:t>Ar likumprojektu tiek mainīta 23.panta struktūra</w:t>
            </w:r>
            <w:r w:rsidR="00A9782B" w:rsidRPr="00657A14">
              <w:rPr>
                <w:rFonts w:ascii="Times New Roman" w:hAnsi="Times New Roman" w:cs="Times New Roman"/>
                <w:color w:val="000000" w:themeColor="text1"/>
                <w:sz w:val="24"/>
                <w:szCs w:val="24"/>
              </w:rPr>
              <w:t>,</w:t>
            </w:r>
            <w:r w:rsidR="00674FD5" w:rsidRPr="00657A14">
              <w:rPr>
                <w:rFonts w:ascii="Times New Roman" w:hAnsi="Times New Roman" w:cs="Times New Roman"/>
                <w:color w:val="000000" w:themeColor="text1"/>
                <w:sz w:val="24"/>
                <w:szCs w:val="24"/>
              </w:rPr>
              <w:t xml:space="preserve"> un klāt jau esošajiem nosacījumiem </w:t>
            </w:r>
            <w:r w:rsidR="00A9782B" w:rsidRPr="00657A14">
              <w:rPr>
                <w:rFonts w:ascii="Times New Roman" w:hAnsi="Times New Roman" w:cs="Times New Roman"/>
                <w:color w:val="000000" w:themeColor="text1"/>
                <w:sz w:val="24"/>
                <w:szCs w:val="24"/>
              </w:rPr>
              <w:t>(</w:t>
            </w:r>
            <w:r w:rsidR="00674FD5" w:rsidRPr="00657A14">
              <w:rPr>
                <w:rFonts w:ascii="Times New Roman" w:hAnsi="Times New Roman" w:cs="Times New Roman"/>
                <w:color w:val="000000" w:themeColor="text1"/>
                <w:sz w:val="24"/>
                <w:szCs w:val="24"/>
              </w:rPr>
              <w:t>li</w:t>
            </w:r>
            <w:r w:rsidRPr="00657A14">
              <w:rPr>
                <w:rFonts w:ascii="Times New Roman" w:hAnsi="Times New Roman" w:cs="Times New Roman"/>
                <w:color w:val="000000" w:themeColor="text1"/>
                <w:sz w:val="24"/>
                <w:szCs w:val="24"/>
              </w:rPr>
              <w:t>kumprojekts</w:t>
            </w:r>
            <w:r w:rsidR="00674FD5" w:rsidRPr="00657A14">
              <w:rPr>
                <w:rFonts w:ascii="Times New Roman" w:hAnsi="Times New Roman" w:cs="Times New Roman"/>
                <w:color w:val="000000" w:themeColor="text1"/>
                <w:sz w:val="24"/>
                <w:szCs w:val="24"/>
              </w:rPr>
              <w:t xml:space="preserve"> </w:t>
            </w:r>
            <w:r w:rsidR="00A9782B" w:rsidRPr="00657A14">
              <w:rPr>
                <w:rFonts w:ascii="Times New Roman" w:hAnsi="Times New Roman" w:cs="Times New Roman"/>
                <w:color w:val="000000" w:themeColor="text1"/>
                <w:sz w:val="24"/>
                <w:szCs w:val="24"/>
              </w:rPr>
              <w:t xml:space="preserve">attiecībā uz </w:t>
            </w:r>
            <w:r w:rsidR="00674FD5" w:rsidRPr="00657A14">
              <w:rPr>
                <w:rFonts w:ascii="Times New Roman" w:hAnsi="Times New Roman" w:cs="Times New Roman"/>
                <w:color w:val="000000" w:themeColor="text1"/>
                <w:sz w:val="24"/>
                <w:szCs w:val="24"/>
              </w:rPr>
              <w:t>NILLTFNL 13.pant</w:t>
            </w:r>
            <w:r w:rsidR="00A9782B" w:rsidRPr="00657A14">
              <w:rPr>
                <w:rFonts w:ascii="Times New Roman" w:hAnsi="Times New Roman" w:cs="Times New Roman"/>
                <w:color w:val="000000" w:themeColor="text1"/>
                <w:sz w:val="24"/>
                <w:szCs w:val="24"/>
              </w:rPr>
              <w:t>a</w:t>
            </w:r>
            <w:r w:rsidR="00674FD5" w:rsidRPr="00657A14">
              <w:rPr>
                <w:rFonts w:ascii="Times New Roman" w:hAnsi="Times New Roman" w:cs="Times New Roman"/>
                <w:color w:val="000000" w:themeColor="text1"/>
                <w:sz w:val="24"/>
                <w:szCs w:val="24"/>
              </w:rPr>
              <w:t xml:space="preserve"> pirm</w:t>
            </w:r>
            <w:r w:rsidR="00A9782B" w:rsidRPr="00657A14">
              <w:rPr>
                <w:rFonts w:ascii="Times New Roman" w:hAnsi="Times New Roman" w:cs="Times New Roman"/>
                <w:color w:val="000000" w:themeColor="text1"/>
                <w:sz w:val="24"/>
                <w:szCs w:val="24"/>
              </w:rPr>
              <w:t>o</w:t>
            </w:r>
            <w:r w:rsidR="00674FD5" w:rsidRPr="00657A14">
              <w:rPr>
                <w:rFonts w:ascii="Times New Roman" w:hAnsi="Times New Roman" w:cs="Times New Roman"/>
                <w:color w:val="000000" w:themeColor="text1"/>
                <w:sz w:val="24"/>
                <w:szCs w:val="24"/>
              </w:rPr>
              <w:t xml:space="preserve"> daļ</w:t>
            </w:r>
            <w:r w:rsidR="00A9782B" w:rsidRPr="00657A14">
              <w:rPr>
                <w:rFonts w:ascii="Times New Roman" w:hAnsi="Times New Roman" w:cs="Times New Roman"/>
                <w:color w:val="000000" w:themeColor="text1"/>
                <w:sz w:val="24"/>
                <w:szCs w:val="24"/>
              </w:rPr>
              <w:t>u</w:t>
            </w:r>
            <w:r w:rsidR="00674FD5" w:rsidRPr="00657A14">
              <w:rPr>
                <w:rFonts w:ascii="Times New Roman" w:hAnsi="Times New Roman" w:cs="Times New Roman"/>
                <w:color w:val="000000" w:themeColor="text1"/>
                <w:sz w:val="24"/>
                <w:szCs w:val="24"/>
              </w:rPr>
              <w:t xml:space="preserve">) paredz </w:t>
            </w:r>
            <w:r w:rsidR="00B457D1" w:rsidRPr="00657A14">
              <w:rPr>
                <w:rFonts w:ascii="Times New Roman" w:hAnsi="Times New Roman" w:cs="Times New Roman"/>
                <w:color w:val="000000" w:themeColor="text1"/>
                <w:sz w:val="24"/>
                <w:szCs w:val="24"/>
              </w:rPr>
              <w:t>to, ka</w:t>
            </w:r>
            <w:r w:rsidR="00674FD5" w:rsidRPr="00657A14">
              <w:rPr>
                <w:rFonts w:ascii="Times New Roman" w:hAnsi="Times New Roman" w:cs="Times New Roman"/>
                <w:color w:val="000000" w:themeColor="text1"/>
                <w:sz w:val="24"/>
                <w:szCs w:val="24"/>
              </w:rPr>
              <w:t xml:space="preserve">, </w:t>
            </w:r>
            <w:r w:rsidR="00A9782B" w:rsidRPr="00657A14">
              <w:rPr>
                <w:rFonts w:ascii="Times New Roman" w:hAnsi="Times New Roman" w:cs="Times New Roman"/>
                <w:color w:val="000000" w:themeColor="text1"/>
                <w:sz w:val="24"/>
                <w:szCs w:val="24"/>
              </w:rPr>
              <w:t xml:space="preserve">gadījumos, 1) </w:t>
            </w:r>
            <w:r w:rsidR="00674FD5" w:rsidRPr="00657A14">
              <w:rPr>
                <w:rFonts w:ascii="Times New Roman" w:hAnsi="Times New Roman" w:cs="Times New Roman"/>
                <w:color w:val="000000" w:themeColor="text1"/>
                <w:sz w:val="24"/>
                <w:szCs w:val="24"/>
              </w:rPr>
              <w:t>kad klient</w:t>
            </w:r>
            <w:r w:rsidR="00A9782B" w:rsidRPr="00657A14">
              <w:rPr>
                <w:rFonts w:ascii="Times New Roman" w:hAnsi="Times New Roman" w:cs="Times New Roman"/>
                <w:color w:val="000000" w:themeColor="text1"/>
                <w:sz w:val="24"/>
                <w:szCs w:val="24"/>
              </w:rPr>
              <w:t>s</w:t>
            </w:r>
            <w:r w:rsidR="00674FD5" w:rsidRPr="00657A14">
              <w:rPr>
                <w:rFonts w:ascii="Times New Roman" w:hAnsi="Times New Roman" w:cs="Times New Roman"/>
                <w:color w:val="000000" w:themeColor="text1"/>
                <w:sz w:val="24"/>
                <w:szCs w:val="24"/>
              </w:rPr>
              <w:t xml:space="preserve"> personisk</w:t>
            </w:r>
            <w:r w:rsidR="00A9782B" w:rsidRPr="00657A14">
              <w:rPr>
                <w:rFonts w:ascii="Times New Roman" w:hAnsi="Times New Roman" w:cs="Times New Roman"/>
                <w:color w:val="000000" w:themeColor="text1"/>
                <w:sz w:val="24"/>
                <w:szCs w:val="24"/>
              </w:rPr>
              <w:t>i</w:t>
            </w:r>
            <w:r w:rsidR="00674FD5" w:rsidRPr="00657A14">
              <w:rPr>
                <w:rFonts w:ascii="Times New Roman" w:hAnsi="Times New Roman" w:cs="Times New Roman"/>
                <w:color w:val="000000" w:themeColor="text1"/>
                <w:sz w:val="24"/>
                <w:szCs w:val="24"/>
              </w:rPr>
              <w:t xml:space="preserve"> nepiedalās identifikācijas procedūrās klātienē</w:t>
            </w:r>
            <w:r w:rsidR="00A9782B" w:rsidRPr="00657A14">
              <w:rPr>
                <w:rFonts w:ascii="Times New Roman" w:hAnsi="Times New Roman" w:cs="Times New Roman"/>
                <w:color w:val="000000" w:themeColor="text1"/>
                <w:sz w:val="24"/>
                <w:szCs w:val="24"/>
              </w:rPr>
              <w:t>;</w:t>
            </w:r>
            <w:r w:rsidR="00674FD5" w:rsidRPr="00657A14">
              <w:rPr>
                <w:rFonts w:ascii="Times New Roman" w:hAnsi="Times New Roman" w:cs="Times New Roman"/>
                <w:color w:val="000000" w:themeColor="text1"/>
                <w:sz w:val="24"/>
                <w:szCs w:val="24"/>
              </w:rPr>
              <w:t xml:space="preserve"> </w:t>
            </w:r>
            <w:r w:rsidR="00A9782B" w:rsidRPr="00657A14">
              <w:rPr>
                <w:rFonts w:ascii="Times New Roman" w:hAnsi="Times New Roman" w:cs="Times New Roman"/>
                <w:color w:val="000000" w:themeColor="text1"/>
                <w:sz w:val="24"/>
                <w:szCs w:val="24"/>
              </w:rPr>
              <w:t xml:space="preserve">2) </w:t>
            </w:r>
            <w:r w:rsidR="00674FD5" w:rsidRPr="00657A14">
              <w:rPr>
                <w:rFonts w:ascii="Times New Roman" w:hAnsi="Times New Roman" w:cs="Times New Roman"/>
                <w:color w:val="000000" w:themeColor="text1"/>
                <w:sz w:val="24"/>
                <w:szCs w:val="24"/>
              </w:rPr>
              <w:t xml:space="preserve">kad klientu nav identificējis likuma subjekts, tā darbinieks </w:t>
            </w:r>
            <w:r w:rsidR="00B83437" w:rsidRPr="00657A14">
              <w:rPr>
                <w:rFonts w:ascii="Times New Roman" w:hAnsi="Times New Roman" w:cs="Times New Roman"/>
                <w:color w:val="000000" w:themeColor="text1"/>
                <w:sz w:val="24"/>
                <w:szCs w:val="24"/>
              </w:rPr>
              <w:t>vai pilnvarota persona</w:t>
            </w:r>
            <w:r w:rsidR="00A9782B" w:rsidRPr="00657A14">
              <w:rPr>
                <w:rFonts w:ascii="Times New Roman" w:hAnsi="Times New Roman" w:cs="Times New Roman"/>
                <w:color w:val="000000" w:themeColor="text1"/>
                <w:sz w:val="24"/>
                <w:szCs w:val="24"/>
              </w:rPr>
              <w:t xml:space="preserve">, </w:t>
            </w:r>
            <w:r w:rsidR="00602B01" w:rsidRPr="00657A14">
              <w:rPr>
                <w:rFonts w:ascii="Times New Roman" w:hAnsi="Times New Roman" w:cs="Times New Roman"/>
                <w:color w:val="000000" w:themeColor="text1"/>
                <w:sz w:val="24"/>
                <w:szCs w:val="24"/>
              </w:rPr>
              <w:t>tas</w:t>
            </w:r>
            <w:r w:rsidR="00B83437" w:rsidRPr="00657A14">
              <w:rPr>
                <w:rFonts w:ascii="Times New Roman" w:hAnsi="Times New Roman" w:cs="Times New Roman"/>
                <w:color w:val="000000" w:themeColor="text1"/>
                <w:sz w:val="24"/>
                <w:szCs w:val="24"/>
              </w:rPr>
              <w:t xml:space="preserve"> ir pieļaujam</w:t>
            </w:r>
            <w:r w:rsidR="00602B01" w:rsidRPr="00657A14">
              <w:rPr>
                <w:rFonts w:ascii="Times New Roman" w:hAnsi="Times New Roman" w:cs="Times New Roman"/>
                <w:color w:val="000000" w:themeColor="text1"/>
                <w:sz w:val="24"/>
                <w:szCs w:val="24"/>
              </w:rPr>
              <w:t>s,</w:t>
            </w:r>
            <w:r w:rsidR="00B83437" w:rsidRPr="00657A14">
              <w:rPr>
                <w:rFonts w:ascii="Times New Roman" w:hAnsi="Times New Roman" w:cs="Times New Roman"/>
                <w:color w:val="000000" w:themeColor="text1"/>
                <w:sz w:val="24"/>
                <w:szCs w:val="24"/>
              </w:rPr>
              <w:t xml:space="preserve"> kad </w:t>
            </w:r>
            <w:r w:rsidR="00104352" w:rsidRPr="00657A14">
              <w:rPr>
                <w:rFonts w:ascii="Times New Roman" w:hAnsi="Times New Roman" w:cs="Times New Roman"/>
                <w:color w:val="000000" w:themeColor="text1"/>
                <w:sz w:val="24"/>
                <w:szCs w:val="24"/>
              </w:rPr>
              <w:t>klientam vai ar klientu saistīta</w:t>
            </w:r>
            <w:r w:rsidR="00602B01" w:rsidRPr="00657A14">
              <w:rPr>
                <w:rFonts w:ascii="Times New Roman" w:hAnsi="Times New Roman" w:cs="Times New Roman"/>
                <w:color w:val="000000" w:themeColor="text1"/>
                <w:sz w:val="24"/>
                <w:szCs w:val="24"/>
              </w:rPr>
              <w:t>ja</w:t>
            </w:r>
            <w:r w:rsidR="00104352" w:rsidRPr="00657A14">
              <w:rPr>
                <w:rFonts w:ascii="Times New Roman" w:hAnsi="Times New Roman" w:cs="Times New Roman"/>
                <w:color w:val="000000" w:themeColor="text1"/>
                <w:sz w:val="24"/>
                <w:szCs w:val="24"/>
              </w:rPr>
              <w:t xml:space="preserve">i </w:t>
            </w:r>
            <w:r w:rsidR="00AE3449" w:rsidRPr="00657A14">
              <w:rPr>
                <w:rFonts w:ascii="Times New Roman" w:hAnsi="Times New Roman" w:cs="Times New Roman"/>
                <w:color w:val="000000" w:themeColor="text1"/>
                <w:sz w:val="24"/>
                <w:szCs w:val="24"/>
              </w:rPr>
              <w:t xml:space="preserve">valstij vai ģeogrāfijai vai izmantojamiem pakalpojumiem, produktiem nepiemīt </w:t>
            </w:r>
            <w:r w:rsidR="0008732C" w:rsidRPr="00657A14">
              <w:rPr>
                <w:rFonts w:ascii="Times New Roman" w:hAnsi="Times New Roman" w:cs="Times New Roman"/>
                <w:color w:val="000000" w:themeColor="text1"/>
                <w:sz w:val="24"/>
                <w:szCs w:val="24"/>
              </w:rPr>
              <w:t>paaugstināts NILLTFN risks</w:t>
            </w:r>
            <w:r w:rsidR="00602B01" w:rsidRPr="00657A14">
              <w:rPr>
                <w:rFonts w:ascii="Times New Roman" w:hAnsi="Times New Roman" w:cs="Times New Roman"/>
                <w:color w:val="000000" w:themeColor="text1"/>
                <w:sz w:val="24"/>
                <w:szCs w:val="24"/>
              </w:rPr>
              <w:t>.</w:t>
            </w:r>
            <w:r w:rsidR="0008732C" w:rsidRPr="00657A14">
              <w:rPr>
                <w:rFonts w:ascii="Times New Roman" w:hAnsi="Times New Roman" w:cs="Times New Roman"/>
                <w:color w:val="000000" w:themeColor="text1"/>
                <w:sz w:val="24"/>
                <w:szCs w:val="24"/>
              </w:rPr>
              <w:t xml:space="preserve"> </w:t>
            </w:r>
            <w:r w:rsidR="00AF7A69" w:rsidRPr="00657A14">
              <w:rPr>
                <w:rFonts w:ascii="Times New Roman" w:hAnsi="Times New Roman" w:cs="Times New Roman"/>
                <w:color w:val="000000" w:themeColor="text1"/>
                <w:sz w:val="24"/>
                <w:szCs w:val="24"/>
              </w:rPr>
              <w:t xml:space="preserve">Ievērojot paaugstināto NILLTF risku, kas saistīts ar tādām klientu kategorijām kā politiski nozīmīga persona, čaulas kompānijas vai privātbaņķiera pakalpojumu sniegšanu, attiecībā uz šīm kategorijām tiek noteikts pienākums veikt klienta identifikāciju tikai klātienē. Attiecībā uz klientu - politiski nozīmīga persona šāds pienākums ir piemērojams tikai gadījumā, ja klienta mēneša apgrozījums pārsniedz 3000 euro, lai aptvertu tos gadījumus, kad pastāv paaugstināts NILLTF risks, savukārt citos gadījumos, balstoties uz risku izvērtējumu, varētu veikt klienta neklātienes identifikāciju. 3000 euro limits tiek noteikts, ņemot vērā augstākā līmeņa valsts amatpersonu vidējo ienākumu līmeni un korupcijas riskus. </w:t>
            </w:r>
            <w:r w:rsidR="00602B01" w:rsidRPr="00657A14">
              <w:rPr>
                <w:rFonts w:ascii="Times New Roman" w:hAnsi="Times New Roman" w:cs="Times New Roman"/>
                <w:color w:val="000000" w:themeColor="text1"/>
                <w:sz w:val="24"/>
                <w:szCs w:val="24"/>
              </w:rPr>
              <w:t>L</w:t>
            </w:r>
            <w:r w:rsidR="0008732C" w:rsidRPr="00657A14">
              <w:rPr>
                <w:rFonts w:ascii="Times New Roman" w:hAnsi="Times New Roman" w:cs="Times New Roman"/>
                <w:color w:val="000000" w:themeColor="text1"/>
                <w:sz w:val="24"/>
                <w:szCs w:val="24"/>
              </w:rPr>
              <w:t>ikuma subjektiem tas jāizvērtē un jāpierāda, ka tas nepastāv</w:t>
            </w:r>
            <w:r w:rsidR="00DD3F8F" w:rsidRPr="00657A14">
              <w:rPr>
                <w:rFonts w:ascii="Times New Roman" w:hAnsi="Times New Roman" w:cs="Times New Roman"/>
                <w:color w:val="000000" w:themeColor="text1"/>
                <w:sz w:val="24"/>
                <w:szCs w:val="24"/>
              </w:rPr>
              <w:t>, kā arī</w:t>
            </w:r>
            <w:r w:rsidR="00602B01" w:rsidRPr="00657A14">
              <w:rPr>
                <w:rFonts w:ascii="Times New Roman" w:hAnsi="Times New Roman" w:cs="Times New Roman"/>
                <w:color w:val="000000" w:themeColor="text1"/>
                <w:sz w:val="24"/>
                <w:szCs w:val="24"/>
              </w:rPr>
              <w:t>, ka</w:t>
            </w:r>
            <w:r w:rsidR="00DD3F8F" w:rsidRPr="00657A14">
              <w:rPr>
                <w:rFonts w:ascii="Times New Roman" w:hAnsi="Times New Roman" w:cs="Times New Roman"/>
                <w:color w:val="000000" w:themeColor="text1"/>
                <w:sz w:val="24"/>
                <w:szCs w:val="24"/>
              </w:rPr>
              <w:t xml:space="preserve"> klientu identifikācijas pasākumi</w:t>
            </w:r>
            <w:r w:rsidR="00602B01" w:rsidRPr="00657A14">
              <w:rPr>
                <w:rFonts w:ascii="Times New Roman" w:hAnsi="Times New Roman" w:cs="Times New Roman"/>
                <w:color w:val="000000" w:themeColor="text1"/>
                <w:sz w:val="24"/>
                <w:szCs w:val="24"/>
              </w:rPr>
              <w:t>,</w:t>
            </w:r>
            <w:r w:rsidR="00DD3F8F" w:rsidRPr="00657A14">
              <w:rPr>
                <w:rFonts w:ascii="Times New Roman" w:hAnsi="Times New Roman" w:cs="Times New Roman"/>
                <w:color w:val="000000" w:themeColor="text1"/>
                <w:sz w:val="24"/>
                <w:szCs w:val="24"/>
              </w:rPr>
              <w:t xml:space="preserve"> klientam personīgi nepiedaloties</w:t>
            </w:r>
            <w:r w:rsidR="00602B01" w:rsidRPr="00657A14">
              <w:rPr>
                <w:rFonts w:ascii="Times New Roman" w:hAnsi="Times New Roman" w:cs="Times New Roman"/>
                <w:color w:val="000000" w:themeColor="text1"/>
                <w:sz w:val="24"/>
                <w:szCs w:val="24"/>
              </w:rPr>
              <w:t>,</w:t>
            </w:r>
            <w:r w:rsidR="00DD3F8F" w:rsidRPr="00657A14">
              <w:rPr>
                <w:rFonts w:ascii="Times New Roman" w:hAnsi="Times New Roman" w:cs="Times New Roman"/>
                <w:color w:val="000000" w:themeColor="text1"/>
                <w:sz w:val="24"/>
                <w:szCs w:val="24"/>
              </w:rPr>
              <w:t xml:space="preserve"> ir atbilstoši NILLTF riskam.</w:t>
            </w:r>
            <w:r w:rsidR="00AF7A69" w:rsidRPr="00657A14">
              <w:rPr>
                <w:rFonts w:ascii="Times New Roman" w:hAnsi="Times New Roman" w:cs="Times New Roman"/>
                <w:color w:val="000000" w:themeColor="text1"/>
                <w:sz w:val="24"/>
                <w:szCs w:val="24"/>
              </w:rPr>
              <w:t xml:space="preserve"> </w:t>
            </w:r>
            <w:r w:rsidR="000F2499">
              <w:rPr>
                <w:rFonts w:ascii="Times New Roman" w:hAnsi="Times New Roman" w:cs="Times New Roman"/>
                <w:color w:val="000000" w:themeColor="text1"/>
                <w:sz w:val="24"/>
                <w:szCs w:val="24"/>
              </w:rPr>
              <w:t>Gadījumos, kad likuma subjekts ir veicis risku izvērtējumu, un veiktie klienta identifikācijas pasākumi, klientam personīgi nepiedaloties identifikācijas procedūrā, ar nosacījumu, ka tie ir atbilstoši piemītošajam NILLTF riskam, likuma subjekts var veikt klienta identifikāciju, klientam personīgi nepiedaloties identifikācijas procedūrā klātienē. Šis nosacījums ir attiecinā</w:t>
            </w:r>
            <w:r w:rsidR="00B174E7">
              <w:rPr>
                <w:rFonts w:ascii="Times New Roman" w:hAnsi="Times New Roman" w:cs="Times New Roman"/>
                <w:color w:val="000000" w:themeColor="text1"/>
                <w:sz w:val="24"/>
                <w:szCs w:val="24"/>
              </w:rPr>
              <w:t>ms arī uz, tajā skaitā,  likumprojektā (NILLTFNL  23.pants</w:t>
            </w:r>
            <w:r w:rsidR="000F2499">
              <w:rPr>
                <w:rFonts w:ascii="Times New Roman" w:hAnsi="Times New Roman" w:cs="Times New Roman"/>
                <w:color w:val="000000" w:themeColor="text1"/>
                <w:sz w:val="24"/>
                <w:szCs w:val="24"/>
              </w:rPr>
              <w:t xml:space="preserve"> o</w:t>
            </w:r>
            <w:r w:rsidR="00B174E7">
              <w:rPr>
                <w:rFonts w:ascii="Times New Roman" w:hAnsi="Times New Roman" w:cs="Times New Roman"/>
                <w:color w:val="000000" w:themeColor="text1"/>
                <w:sz w:val="24"/>
                <w:szCs w:val="24"/>
              </w:rPr>
              <w:t>trā daļa) ietvertajiem nosacījumiem</w:t>
            </w:r>
            <w:r w:rsidR="00996D94">
              <w:rPr>
                <w:rFonts w:ascii="Times New Roman" w:hAnsi="Times New Roman" w:cs="Times New Roman"/>
                <w:color w:val="000000" w:themeColor="text1"/>
                <w:sz w:val="24"/>
                <w:szCs w:val="24"/>
              </w:rPr>
              <w:t>, līdz ar to, ja likumprojektā (NILLTFNL  23.pants ceturtā daļa) noteiktais ir izpildīts, klienta padziļinātās izpētes nosacījumi, klientam piedaloties klienta identifikācijā klātienē, ir uzskatāmi par izpildītiem.</w:t>
            </w:r>
          </w:p>
          <w:p w:rsidR="000F2499" w:rsidRPr="00657A14" w:rsidRDefault="00E9542D" w:rsidP="00AF7A69">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(NILLTFNL  23.pants pirmā daļa) paredz, balstoties uz riska izvērtējumu, klientam personiski nepiedaloties klienta identifikācijas procedūrā klātienē, piemērot kādu no vai vairākus šajā daļā minētos pasākumus. </w:t>
            </w:r>
          </w:p>
          <w:p w:rsidR="00922D45" w:rsidRPr="00657A14" w:rsidRDefault="004216CE"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24.pants)</w:t>
            </w:r>
            <w:r w:rsidR="00602B01" w:rsidRPr="00657A14">
              <w:rPr>
                <w:rFonts w:ascii="Times New Roman" w:hAnsi="Times New Roman" w:cs="Times New Roman"/>
                <w:color w:val="000000" w:themeColor="text1"/>
                <w:sz w:val="24"/>
                <w:szCs w:val="24"/>
              </w:rPr>
              <w:t xml:space="preserve"> paredz </w:t>
            </w:r>
            <w:r w:rsidR="004F30B9"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pārrobežu attiecību terminu aizstāt ar korespondent</w:t>
            </w:r>
            <w:r w:rsidR="004F30B9" w:rsidRPr="00657A14">
              <w:rPr>
                <w:rFonts w:ascii="Times New Roman" w:hAnsi="Times New Roman" w:cs="Times New Roman"/>
                <w:color w:val="000000" w:themeColor="text1"/>
                <w:sz w:val="24"/>
                <w:szCs w:val="24"/>
              </w:rPr>
              <w:t xml:space="preserve">attiecību terminu </w:t>
            </w:r>
            <w:r w:rsidR="00602B01" w:rsidRPr="00657A14">
              <w:rPr>
                <w:rFonts w:ascii="Times New Roman" w:hAnsi="Times New Roman" w:cs="Times New Roman"/>
                <w:color w:val="000000" w:themeColor="text1"/>
                <w:sz w:val="24"/>
                <w:szCs w:val="24"/>
              </w:rPr>
              <w:t xml:space="preserve">panta </w:t>
            </w:r>
            <w:r w:rsidR="004F30B9" w:rsidRPr="00657A14">
              <w:rPr>
                <w:rFonts w:ascii="Times New Roman" w:hAnsi="Times New Roman" w:cs="Times New Roman"/>
                <w:color w:val="000000" w:themeColor="text1"/>
                <w:sz w:val="24"/>
                <w:szCs w:val="24"/>
              </w:rPr>
              <w:t xml:space="preserve">nosaukumā. </w:t>
            </w:r>
            <w:r w:rsidR="00CC6869" w:rsidRPr="00657A14">
              <w:rPr>
                <w:rFonts w:ascii="Times New Roman" w:hAnsi="Times New Roman" w:cs="Times New Roman"/>
                <w:color w:val="000000" w:themeColor="text1"/>
                <w:sz w:val="24"/>
                <w:szCs w:val="24"/>
              </w:rPr>
              <w:t xml:space="preserve">Savukārt atbilstoši AML IV direktīvas </w:t>
            </w:r>
            <w:r w:rsidR="000B3CA6" w:rsidRPr="00657A14">
              <w:rPr>
                <w:rFonts w:ascii="Times New Roman" w:hAnsi="Times New Roman" w:cs="Times New Roman"/>
                <w:color w:val="000000" w:themeColor="text1"/>
                <w:sz w:val="24"/>
                <w:szCs w:val="24"/>
              </w:rPr>
              <w:lastRenderedPageBreak/>
              <w:t>19.pantam likumprojekts (NILLTFNL 24.pants pirmā daļa) paredz nosacījumu, ka kredītiestādes un finanšu iestādes, uzs</w:t>
            </w:r>
            <w:r w:rsidR="007D0B92" w:rsidRPr="00657A14">
              <w:rPr>
                <w:rFonts w:ascii="Times New Roman" w:hAnsi="Times New Roman" w:cs="Times New Roman"/>
                <w:color w:val="000000" w:themeColor="text1"/>
                <w:sz w:val="24"/>
                <w:szCs w:val="24"/>
              </w:rPr>
              <w:t>ākot korespondent</w:t>
            </w:r>
            <w:r w:rsidR="000B3CA6" w:rsidRPr="00657A14">
              <w:rPr>
                <w:rFonts w:ascii="Times New Roman" w:hAnsi="Times New Roman" w:cs="Times New Roman"/>
                <w:color w:val="000000" w:themeColor="text1"/>
                <w:sz w:val="24"/>
                <w:szCs w:val="24"/>
              </w:rPr>
              <w:t>attiec</w:t>
            </w:r>
            <w:r w:rsidR="007D0B92" w:rsidRPr="00657A14">
              <w:rPr>
                <w:rFonts w:ascii="Times New Roman" w:hAnsi="Times New Roman" w:cs="Times New Roman"/>
                <w:color w:val="000000" w:themeColor="text1"/>
                <w:sz w:val="24"/>
                <w:szCs w:val="24"/>
              </w:rPr>
              <w:t>īb</w:t>
            </w:r>
            <w:r w:rsidR="00602B01" w:rsidRPr="00657A14">
              <w:rPr>
                <w:rFonts w:ascii="Times New Roman" w:hAnsi="Times New Roman" w:cs="Times New Roman"/>
                <w:color w:val="000000" w:themeColor="text1"/>
                <w:sz w:val="24"/>
                <w:szCs w:val="24"/>
              </w:rPr>
              <w:t>as</w:t>
            </w:r>
            <w:r w:rsidR="000B3CA6" w:rsidRPr="00657A14">
              <w:rPr>
                <w:rFonts w:ascii="Times New Roman" w:hAnsi="Times New Roman" w:cs="Times New Roman"/>
                <w:color w:val="000000" w:themeColor="text1"/>
                <w:sz w:val="24"/>
                <w:szCs w:val="24"/>
              </w:rPr>
              <w:t xml:space="preserve"> ar kredītiestādi vai finanšu iestādi, papildus klienta izpētes pasākumiem veic citus NILLTFNL minētos pasākumus.</w:t>
            </w:r>
            <w:r w:rsidR="00760A35" w:rsidRPr="00657A14">
              <w:rPr>
                <w:rFonts w:ascii="Times New Roman" w:hAnsi="Times New Roman" w:cs="Times New Roman"/>
                <w:color w:val="000000" w:themeColor="text1"/>
                <w:sz w:val="24"/>
                <w:szCs w:val="24"/>
              </w:rPr>
              <w:t xml:space="preserve"> Ievērojot AML IV direktīvas 24.pantu, likumprojekts (NILLTFNL 24.pant</w:t>
            </w:r>
            <w:r w:rsidR="00602B01" w:rsidRPr="00657A14">
              <w:rPr>
                <w:rFonts w:ascii="Times New Roman" w:hAnsi="Times New Roman" w:cs="Times New Roman"/>
                <w:color w:val="000000" w:themeColor="text1"/>
                <w:sz w:val="24"/>
                <w:szCs w:val="24"/>
              </w:rPr>
              <w:t>a</w:t>
            </w:r>
            <w:r w:rsidR="00760A35" w:rsidRPr="00657A14">
              <w:rPr>
                <w:rFonts w:ascii="Times New Roman" w:hAnsi="Times New Roman" w:cs="Times New Roman"/>
                <w:color w:val="000000" w:themeColor="text1"/>
                <w:sz w:val="24"/>
                <w:szCs w:val="24"/>
              </w:rPr>
              <w:t xml:space="preserve"> otrā daļa) paredz</w:t>
            </w:r>
            <w:r w:rsidR="00602B01" w:rsidRPr="00657A14">
              <w:rPr>
                <w:rFonts w:ascii="Times New Roman" w:hAnsi="Times New Roman" w:cs="Times New Roman"/>
                <w:color w:val="000000" w:themeColor="text1"/>
                <w:sz w:val="24"/>
                <w:szCs w:val="24"/>
              </w:rPr>
              <w:t>, ka,</w:t>
            </w:r>
            <w:r w:rsidR="00760A35" w:rsidRPr="00657A14">
              <w:rPr>
                <w:rFonts w:ascii="Times New Roman" w:hAnsi="Times New Roman" w:cs="Times New Roman"/>
                <w:color w:val="000000" w:themeColor="text1"/>
                <w:sz w:val="24"/>
                <w:szCs w:val="24"/>
              </w:rPr>
              <w:t xml:space="preserve"> gadījumā, kad kredītiestāde vai finanšu iestāde uztur darījuma attiecības ar čaula</w:t>
            </w:r>
            <w:r w:rsidR="00602B01" w:rsidRPr="00657A14">
              <w:rPr>
                <w:rFonts w:ascii="Times New Roman" w:hAnsi="Times New Roman" w:cs="Times New Roman"/>
                <w:color w:val="000000" w:themeColor="text1"/>
                <w:sz w:val="24"/>
                <w:szCs w:val="24"/>
              </w:rPr>
              <w:t>s</w:t>
            </w:r>
            <w:r w:rsidR="00760A35" w:rsidRPr="00657A14">
              <w:rPr>
                <w:rFonts w:ascii="Times New Roman" w:hAnsi="Times New Roman" w:cs="Times New Roman"/>
                <w:color w:val="000000" w:themeColor="text1"/>
                <w:sz w:val="24"/>
                <w:szCs w:val="24"/>
              </w:rPr>
              <w:t xml:space="preserve"> bankām, kredītiestāde neiesaistās </w:t>
            </w:r>
            <w:r w:rsidR="00602B01" w:rsidRPr="00657A14">
              <w:rPr>
                <w:rFonts w:ascii="Times New Roman" w:hAnsi="Times New Roman" w:cs="Times New Roman"/>
                <w:color w:val="000000" w:themeColor="text1"/>
                <w:sz w:val="24"/>
                <w:szCs w:val="24"/>
              </w:rPr>
              <w:t xml:space="preserve">korespondentattiecībās </w:t>
            </w:r>
            <w:r w:rsidR="00760A35" w:rsidRPr="00657A14">
              <w:rPr>
                <w:rFonts w:ascii="Times New Roman" w:hAnsi="Times New Roman" w:cs="Times New Roman"/>
                <w:color w:val="000000" w:themeColor="text1"/>
                <w:sz w:val="24"/>
                <w:szCs w:val="24"/>
              </w:rPr>
              <w:t>ar iepriekšminētajām</w:t>
            </w:r>
            <w:r w:rsidR="002328B3" w:rsidRPr="00657A14">
              <w:rPr>
                <w:rFonts w:ascii="Times New Roman" w:hAnsi="Times New Roman" w:cs="Times New Roman"/>
                <w:color w:val="000000" w:themeColor="text1"/>
                <w:sz w:val="24"/>
                <w:szCs w:val="24"/>
              </w:rPr>
              <w:t xml:space="preserve"> </w:t>
            </w:r>
            <w:r w:rsidR="00602B01" w:rsidRPr="00657A14">
              <w:rPr>
                <w:rFonts w:ascii="Times New Roman" w:hAnsi="Times New Roman" w:cs="Times New Roman"/>
                <w:color w:val="000000" w:themeColor="text1"/>
                <w:sz w:val="24"/>
                <w:szCs w:val="24"/>
              </w:rPr>
              <w:t>kredītiestādēm vai finanšu iestādēm</w:t>
            </w:r>
            <w:r w:rsidR="00602B01" w:rsidRPr="00657A14" w:rsidDel="00602B01">
              <w:rPr>
                <w:rFonts w:ascii="Times New Roman" w:hAnsi="Times New Roman" w:cs="Times New Roman"/>
                <w:color w:val="000000" w:themeColor="text1"/>
                <w:sz w:val="24"/>
                <w:szCs w:val="24"/>
              </w:rPr>
              <w:t xml:space="preserve"> </w:t>
            </w:r>
            <w:r w:rsidR="00760A35" w:rsidRPr="00657A14">
              <w:rPr>
                <w:rFonts w:ascii="Times New Roman" w:hAnsi="Times New Roman" w:cs="Times New Roman"/>
                <w:color w:val="000000" w:themeColor="text1"/>
                <w:sz w:val="24"/>
                <w:szCs w:val="24"/>
              </w:rPr>
              <w:t>.</w:t>
            </w:r>
          </w:p>
          <w:p w:rsidR="00922D45" w:rsidRPr="00657A14" w:rsidRDefault="00CE729E"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Atbilstoši AML IV direktīvas 21.panta prasībām, </w:t>
            </w:r>
            <w:r w:rsidR="00602B01" w:rsidRPr="00657A14">
              <w:rPr>
                <w:rFonts w:ascii="Times New Roman" w:hAnsi="Times New Roman" w:cs="Times New Roman"/>
                <w:color w:val="000000" w:themeColor="text1"/>
                <w:sz w:val="24"/>
                <w:szCs w:val="24"/>
              </w:rPr>
              <w:t xml:space="preserve">veidojot </w:t>
            </w:r>
            <w:r w:rsidRPr="00657A14">
              <w:rPr>
                <w:rFonts w:ascii="Times New Roman" w:hAnsi="Times New Roman" w:cs="Times New Roman"/>
                <w:color w:val="000000" w:themeColor="text1"/>
                <w:sz w:val="24"/>
                <w:szCs w:val="24"/>
              </w:rPr>
              <w:t>darījuma attiecīb</w:t>
            </w:r>
            <w:r w:rsidR="00602B01"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s ar politiski nozīmīgu personu, politiski nozīmīgas personas ģimenes locekli un ar politiski nozīmīgu personas cieši saistītu personu</w:t>
            </w:r>
            <w:r w:rsidR="00602B01"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likumprojekts (NILLTFNL 25.pants 2</w:t>
            </w:r>
            <w:r w:rsidR="002B4022"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w:t>
            </w:r>
            <w:r w:rsidR="002B4022"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daļa) paredz</w:t>
            </w:r>
            <w:r w:rsidR="00602B01" w:rsidRPr="00657A14">
              <w:rPr>
                <w:rFonts w:ascii="Times New Roman" w:hAnsi="Times New Roman" w:cs="Times New Roman"/>
                <w:color w:val="000000" w:themeColor="text1"/>
                <w:sz w:val="24"/>
                <w:szCs w:val="24"/>
              </w:rPr>
              <w:t xml:space="preserve"> pienākumu</w:t>
            </w:r>
            <w:r w:rsidR="00BB17A1" w:rsidRPr="00657A14">
              <w:rPr>
                <w:rFonts w:ascii="Times New Roman" w:hAnsi="Times New Roman" w:cs="Times New Roman"/>
                <w:color w:val="000000" w:themeColor="text1"/>
                <w:sz w:val="24"/>
                <w:szCs w:val="24"/>
              </w:rPr>
              <w:t xml:space="preserve"> apdrošināšanas komersant</w:t>
            </w:r>
            <w:r w:rsidR="00602B01" w:rsidRPr="00657A14">
              <w:rPr>
                <w:rFonts w:ascii="Times New Roman" w:hAnsi="Times New Roman" w:cs="Times New Roman"/>
                <w:color w:val="000000" w:themeColor="text1"/>
                <w:sz w:val="24"/>
                <w:szCs w:val="24"/>
              </w:rPr>
              <w:t>am</w:t>
            </w:r>
            <w:r w:rsidR="00BB17A1" w:rsidRPr="00657A14">
              <w:rPr>
                <w:rFonts w:ascii="Times New Roman" w:hAnsi="Times New Roman" w:cs="Times New Roman"/>
                <w:color w:val="000000" w:themeColor="text1"/>
                <w:sz w:val="24"/>
                <w:szCs w:val="24"/>
              </w:rPr>
              <w:t xml:space="preserve"> un apdrošināšanas starpniek</w:t>
            </w:r>
            <w:r w:rsidR="00602B01" w:rsidRPr="00657A14">
              <w:rPr>
                <w:rFonts w:ascii="Times New Roman" w:hAnsi="Times New Roman" w:cs="Times New Roman"/>
                <w:color w:val="000000" w:themeColor="text1"/>
                <w:sz w:val="24"/>
                <w:szCs w:val="24"/>
              </w:rPr>
              <w:t>am, kas ir</w:t>
            </w:r>
            <w:r w:rsidR="00BB17A1" w:rsidRPr="00657A14">
              <w:rPr>
                <w:rFonts w:ascii="Times New Roman" w:hAnsi="Times New Roman" w:cs="Times New Roman"/>
                <w:color w:val="000000" w:themeColor="text1"/>
                <w:sz w:val="24"/>
                <w:szCs w:val="24"/>
              </w:rPr>
              <w:t xml:space="preserve"> </w:t>
            </w:r>
            <w:r w:rsidR="00796830" w:rsidRPr="00657A14">
              <w:rPr>
                <w:rFonts w:ascii="Times New Roman" w:hAnsi="Times New Roman" w:cs="Times New Roman"/>
                <w:color w:val="000000" w:themeColor="text1"/>
                <w:sz w:val="24"/>
                <w:szCs w:val="24"/>
              </w:rPr>
              <w:t>NILLTFNL likuma subjekts</w:t>
            </w:r>
            <w:r w:rsidR="00602B01" w:rsidRPr="00657A14">
              <w:rPr>
                <w:rFonts w:ascii="Times New Roman" w:hAnsi="Times New Roman" w:cs="Times New Roman"/>
                <w:color w:val="000000" w:themeColor="text1"/>
                <w:sz w:val="24"/>
                <w:szCs w:val="24"/>
              </w:rPr>
              <w:t xml:space="preserve">, </w:t>
            </w:r>
            <w:r w:rsidR="00477AED" w:rsidRPr="00657A14">
              <w:rPr>
                <w:rFonts w:ascii="Times New Roman" w:hAnsi="Times New Roman" w:cs="Times New Roman"/>
                <w:color w:val="000000" w:themeColor="text1"/>
                <w:sz w:val="24"/>
                <w:szCs w:val="24"/>
              </w:rPr>
              <w:t xml:space="preserve"> pārliecinā</w:t>
            </w:r>
            <w:r w:rsidR="00602B01" w:rsidRPr="00657A14">
              <w:rPr>
                <w:rFonts w:ascii="Times New Roman" w:hAnsi="Times New Roman" w:cs="Times New Roman"/>
                <w:color w:val="000000" w:themeColor="text1"/>
                <w:sz w:val="24"/>
                <w:szCs w:val="24"/>
              </w:rPr>
              <w:t>tie</w:t>
            </w:r>
            <w:r w:rsidR="00477AED" w:rsidRPr="00657A14">
              <w:rPr>
                <w:rFonts w:ascii="Times New Roman" w:hAnsi="Times New Roman" w:cs="Times New Roman"/>
                <w:color w:val="000000" w:themeColor="text1"/>
                <w:sz w:val="24"/>
                <w:szCs w:val="24"/>
              </w:rPr>
              <w:t xml:space="preserve">s, ka ar ieguldījumiem saistītās apdrošināšanas līguma labuma guvējs vai attiecīgajā gadījumā – patiesais labuma guvējs ir politiski nozīmīgi persona vai politiski nozīmīgas personas ģimenes loceklis, vai ar politiski nozīmīgu personu cieši saistīta persona, </w:t>
            </w:r>
            <w:r w:rsidR="00602B01" w:rsidRPr="00657A14">
              <w:rPr>
                <w:rFonts w:ascii="Times New Roman" w:hAnsi="Times New Roman" w:cs="Times New Roman"/>
                <w:color w:val="000000" w:themeColor="text1"/>
                <w:sz w:val="24"/>
                <w:szCs w:val="24"/>
              </w:rPr>
              <w:t xml:space="preserve">un </w:t>
            </w:r>
            <w:r w:rsidR="00477AED" w:rsidRPr="00657A14">
              <w:rPr>
                <w:rFonts w:ascii="Times New Roman" w:hAnsi="Times New Roman" w:cs="Times New Roman"/>
                <w:color w:val="000000" w:themeColor="text1"/>
                <w:sz w:val="24"/>
                <w:szCs w:val="24"/>
              </w:rPr>
              <w:t>tas veicams ne vēlāk kā pirms izmaksas veikšanas</w:t>
            </w:r>
            <w:r w:rsidR="00602B01" w:rsidRPr="00657A14">
              <w:rPr>
                <w:rFonts w:ascii="Times New Roman" w:hAnsi="Times New Roman" w:cs="Times New Roman"/>
                <w:color w:val="000000" w:themeColor="text1"/>
                <w:sz w:val="24"/>
                <w:szCs w:val="24"/>
              </w:rPr>
              <w:t>,</w:t>
            </w:r>
            <w:r w:rsidR="00477AED" w:rsidRPr="00657A14">
              <w:rPr>
                <w:rFonts w:ascii="Times New Roman" w:hAnsi="Times New Roman" w:cs="Times New Roman"/>
                <w:color w:val="000000" w:themeColor="text1"/>
                <w:sz w:val="24"/>
                <w:szCs w:val="24"/>
              </w:rPr>
              <w:t xml:space="preserve"> vai pirms apdrošināšanas līgums tiek nodots pilnībā vai daļēji citam apdrošināšanas komersantam</w:t>
            </w:r>
            <w:r w:rsidR="007D4434" w:rsidRPr="00657A14">
              <w:rPr>
                <w:rFonts w:ascii="Times New Roman" w:hAnsi="Times New Roman" w:cs="Times New Roman"/>
                <w:color w:val="000000" w:themeColor="text1"/>
                <w:sz w:val="24"/>
                <w:szCs w:val="24"/>
              </w:rPr>
              <w:t xml:space="preserve"> vai apdrošināšanas starpniekam</w:t>
            </w:r>
            <w:r w:rsidR="00602B01" w:rsidRPr="00657A14">
              <w:rPr>
                <w:rFonts w:ascii="Times New Roman" w:hAnsi="Times New Roman" w:cs="Times New Roman"/>
                <w:color w:val="000000" w:themeColor="text1"/>
                <w:sz w:val="24"/>
                <w:szCs w:val="24"/>
              </w:rPr>
              <w:t xml:space="preserve">. </w:t>
            </w:r>
            <w:r w:rsidR="002F76E8" w:rsidRPr="00657A14">
              <w:rPr>
                <w:rFonts w:ascii="Times New Roman" w:hAnsi="Times New Roman" w:cs="Times New Roman"/>
                <w:color w:val="000000" w:themeColor="text1"/>
                <w:sz w:val="24"/>
                <w:szCs w:val="24"/>
              </w:rPr>
              <w:t xml:space="preserve"> </w:t>
            </w:r>
            <w:r w:rsidR="00602B01" w:rsidRPr="00657A14">
              <w:rPr>
                <w:rFonts w:ascii="Times New Roman" w:hAnsi="Times New Roman" w:cs="Times New Roman"/>
                <w:color w:val="000000" w:themeColor="text1"/>
                <w:sz w:val="24"/>
                <w:szCs w:val="24"/>
              </w:rPr>
              <w:t>J</w:t>
            </w:r>
            <w:r w:rsidR="002F76E8" w:rsidRPr="00657A14">
              <w:rPr>
                <w:rFonts w:ascii="Times New Roman" w:hAnsi="Times New Roman" w:cs="Times New Roman"/>
                <w:color w:val="000000" w:themeColor="text1"/>
                <w:sz w:val="24"/>
                <w:szCs w:val="24"/>
              </w:rPr>
              <w:t>a tiek konstatēti augstāki riski</w:t>
            </w:r>
            <w:r w:rsidR="00602B01" w:rsidRPr="00657A14">
              <w:rPr>
                <w:rFonts w:ascii="Times New Roman" w:hAnsi="Times New Roman" w:cs="Times New Roman"/>
                <w:color w:val="000000" w:themeColor="text1"/>
                <w:sz w:val="24"/>
                <w:szCs w:val="24"/>
              </w:rPr>
              <w:t>,</w:t>
            </w:r>
            <w:r w:rsidR="002F76E8" w:rsidRPr="00657A14">
              <w:rPr>
                <w:rFonts w:ascii="Times New Roman" w:hAnsi="Times New Roman" w:cs="Times New Roman"/>
                <w:color w:val="000000" w:themeColor="text1"/>
                <w:sz w:val="24"/>
                <w:szCs w:val="24"/>
              </w:rPr>
              <w:t xml:space="preserve"> tiek veikti atbilstošie pasākumi 11</w:t>
            </w:r>
            <w:r w:rsidR="00602B01" w:rsidRPr="00657A14">
              <w:rPr>
                <w:rFonts w:ascii="Times New Roman" w:hAnsi="Times New Roman" w:cs="Times New Roman"/>
                <w:color w:val="000000" w:themeColor="text1"/>
                <w:sz w:val="24"/>
                <w:szCs w:val="24"/>
              </w:rPr>
              <w:t>.</w:t>
            </w:r>
            <w:r w:rsidR="002F76E8" w:rsidRPr="00657A14">
              <w:rPr>
                <w:rFonts w:ascii="Times New Roman" w:hAnsi="Times New Roman" w:cs="Times New Roman"/>
                <w:color w:val="000000" w:themeColor="text1"/>
                <w:sz w:val="24"/>
                <w:szCs w:val="24"/>
              </w:rPr>
              <w:t>¹panta ietvaros, kā arī 25.panta trešās daļas</w:t>
            </w:r>
            <w:r w:rsidR="00477AED" w:rsidRPr="00657A14">
              <w:rPr>
                <w:rFonts w:ascii="Times New Roman" w:hAnsi="Times New Roman" w:cs="Times New Roman"/>
                <w:color w:val="000000" w:themeColor="text1"/>
                <w:sz w:val="24"/>
                <w:szCs w:val="24"/>
              </w:rPr>
              <w:t xml:space="preserve"> </w:t>
            </w:r>
            <w:r w:rsidR="002F76E8" w:rsidRPr="00657A14">
              <w:rPr>
                <w:rFonts w:ascii="Times New Roman" w:hAnsi="Times New Roman" w:cs="Times New Roman"/>
                <w:color w:val="000000" w:themeColor="text1"/>
                <w:sz w:val="24"/>
                <w:szCs w:val="24"/>
              </w:rPr>
              <w:t>ietvaros.</w:t>
            </w:r>
            <w:r w:rsidR="003726EB" w:rsidRPr="00657A14">
              <w:rPr>
                <w:rFonts w:ascii="Times New Roman" w:hAnsi="Times New Roman" w:cs="Times New Roman"/>
                <w:color w:val="000000" w:themeColor="text1"/>
                <w:sz w:val="24"/>
                <w:szCs w:val="24"/>
              </w:rPr>
              <w:t xml:space="preserve"> </w:t>
            </w:r>
          </w:p>
          <w:p w:rsidR="00922D45" w:rsidRPr="00657A14" w:rsidRDefault="00D62DD8"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25.pant</w:t>
            </w:r>
            <w:r w:rsidR="004F54F4"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trešā daļa) paredz “valdes vai valdes īpaši pilnvarotas valdes locekļa” terminu aizstāt ar AML IV direktīvā lietoto terminu “augstākā vadība”.</w:t>
            </w:r>
            <w:r w:rsidR="00E549BC" w:rsidRPr="00657A14">
              <w:rPr>
                <w:rFonts w:ascii="Times New Roman" w:hAnsi="Times New Roman" w:cs="Times New Roman"/>
                <w:color w:val="000000" w:themeColor="text1"/>
                <w:sz w:val="24"/>
                <w:szCs w:val="24"/>
              </w:rPr>
              <w:t xml:space="preserve"> Likumprojekta (NILLTFNL 1.pants 8¹.punkts) paredz augstākās vadības definīciju atbilstoši AML IV direktīvas 3.panta 12.punktam.</w:t>
            </w:r>
          </w:p>
          <w:p w:rsidR="003445DE" w:rsidRPr="00657A14" w:rsidRDefault="003445DE"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Likumprojekts (NILLTFNL 27.pants), paredz klienta izpētes izņēmumus. Klientu izpētes izņēmumi tiek noteikti, lai nepakļauti nepamatoti stingriem klientu izpētes pasākumiem gadījumus, kad pastāv zems NILLTF risks. Piemēram, tiek veikta apmaksa par auto stāvvietu, izmantojot elektronisko naudu vai iegādāta veikala dāvana karte ar ierobežot limitu un ierobežotām izmantošanas iespējām. Vienlaikus pantā tiek noteikti vairāki nosacījumi, lai maksimāli ierobežotu iespēju klientu izpētes izņēmumu izmantošanu noziedzīgi iegūtu līdzekļu legalizācijai vai terorisma finansēšanai. Minētais regulējums izstrādāts </w:t>
            </w:r>
            <w:r w:rsidRPr="00657A14">
              <w:rPr>
                <w:rFonts w:ascii="Times New Roman" w:hAnsi="Times New Roman" w:cs="Times New Roman"/>
                <w:color w:val="000000" w:themeColor="text1"/>
                <w:sz w:val="24"/>
                <w:szCs w:val="24"/>
              </w:rPr>
              <w:lastRenderedPageBreak/>
              <w:t>ņemot vērā AML IV direktīvas 12. pantā noteikto.</w:t>
            </w:r>
          </w:p>
          <w:p w:rsidR="00922D45" w:rsidRPr="00657A14" w:rsidRDefault="009E7A8F"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(NILLLTFNL 28.pant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otrā daļa) paredz izslēgto 17.pantu aizstāt ar likumprojektā paredzēto 11</w:t>
            </w:r>
            <w:r w:rsidR="004F54F4"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¹pantu.</w:t>
            </w:r>
          </w:p>
          <w:p w:rsidR="009E4B24" w:rsidRPr="00657A14" w:rsidRDefault="006E0B86"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Kad ir veikta klienta izpēt</w:t>
            </w:r>
            <w:r w:rsidR="004F54F4" w:rsidRPr="00657A14">
              <w:rPr>
                <w:rFonts w:ascii="Times New Roman" w:hAnsi="Times New Roman" w:cs="Times New Roman"/>
                <w:color w:val="000000" w:themeColor="text1"/>
                <w:sz w:val="24"/>
                <w:szCs w:val="24"/>
              </w:rPr>
              <w:t>e,</w:t>
            </w:r>
            <w:r w:rsidRPr="00657A14">
              <w:rPr>
                <w:rFonts w:ascii="Times New Roman" w:hAnsi="Times New Roman" w:cs="Times New Roman"/>
                <w:color w:val="000000" w:themeColor="text1"/>
                <w:sz w:val="24"/>
                <w:szCs w:val="24"/>
              </w:rPr>
              <w:t xml:space="preserve"> ir būtiska iegūto rezultātu kvalitāte. Likumprojekts (NILLTFNL 29.pant</w:t>
            </w:r>
            <w:r w:rsidR="004F54F4"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pirmā daļa) paredz kredītiestādēm un finanšu iestādēm </w:t>
            </w:r>
            <w:r w:rsidR="00962932" w:rsidRPr="00657A14">
              <w:rPr>
                <w:rFonts w:ascii="Times New Roman" w:hAnsi="Times New Roman" w:cs="Times New Roman"/>
                <w:color w:val="000000" w:themeColor="text1"/>
                <w:sz w:val="24"/>
                <w:szCs w:val="24"/>
              </w:rPr>
              <w:t>tiesības atzīt un pieņemt klienta izpētes rezultātus attiecībā uz patiesā labuma guvēja un darījuma paredzamo mē</w:t>
            </w:r>
            <w:r w:rsidR="00BA6A83" w:rsidRPr="00657A14">
              <w:rPr>
                <w:rFonts w:ascii="Times New Roman" w:hAnsi="Times New Roman" w:cs="Times New Roman"/>
                <w:color w:val="000000" w:themeColor="text1"/>
                <w:sz w:val="24"/>
                <w:szCs w:val="24"/>
              </w:rPr>
              <w:t>rķi</w:t>
            </w:r>
            <w:r w:rsidR="00962932" w:rsidRPr="00657A14">
              <w:rPr>
                <w:rFonts w:ascii="Times New Roman" w:hAnsi="Times New Roman" w:cs="Times New Roman"/>
                <w:color w:val="000000" w:themeColor="text1"/>
                <w:sz w:val="24"/>
                <w:szCs w:val="24"/>
              </w:rPr>
              <w:t xml:space="preserve"> un būtību</w:t>
            </w:r>
            <w:r w:rsidR="00BA6A83" w:rsidRPr="00657A14">
              <w:rPr>
                <w:rFonts w:ascii="Times New Roman" w:hAnsi="Times New Roman" w:cs="Times New Roman"/>
                <w:color w:val="000000" w:themeColor="text1"/>
                <w:sz w:val="24"/>
                <w:szCs w:val="24"/>
              </w:rPr>
              <w:t xml:space="preserve"> noteikto pasākumu izpildi</w:t>
            </w:r>
            <w:r w:rsidR="00962932" w:rsidRPr="00657A14">
              <w:rPr>
                <w:rFonts w:ascii="Times New Roman" w:hAnsi="Times New Roman" w:cs="Times New Roman"/>
                <w:color w:val="000000" w:themeColor="text1"/>
                <w:sz w:val="24"/>
                <w:szCs w:val="24"/>
              </w:rPr>
              <w:t>, ko dalībvalstīs veikušas kredītiestādes un finanšu iestādes ar noteiktajiem nosacījumiem. Likumprojekts (NILLTFNL 29.pant</w:t>
            </w:r>
            <w:r w:rsidR="006D7935" w:rsidRPr="00657A14">
              <w:rPr>
                <w:rFonts w:ascii="Times New Roman" w:hAnsi="Times New Roman" w:cs="Times New Roman"/>
                <w:color w:val="000000" w:themeColor="text1"/>
                <w:sz w:val="24"/>
                <w:szCs w:val="24"/>
              </w:rPr>
              <w:t>a</w:t>
            </w:r>
            <w:r w:rsidR="00962932" w:rsidRPr="00657A14">
              <w:rPr>
                <w:rFonts w:ascii="Times New Roman" w:hAnsi="Times New Roman" w:cs="Times New Roman"/>
                <w:color w:val="000000" w:themeColor="text1"/>
                <w:sz w:val="24"/>
                <w:szCs w:val="24"/>
              </w:rPr>
              <w:t xml:space="preserve"> 1.-3.punkts) paredz nosacījumus</w:t>
            </w:r>
            <w:r w:rsidR="009E4B24" w:rsidRPr="00657A14">
              <w:rPr>
                <w:rFonts w:ascii="Times New Roman" w:hAnsi="Times New Roman" w:cs="Times New Roman"/>
                <w:color w:val="000000" w:themeColor="text1"/>
                <w:sz w:val="24"/>
                <w:szCs w:val="24"/>
              </w:rPr>
              <w:t xml:space="preserve"> klienta izpētes rezultātu atzīšanai un pieņemšanai un tie ir</w:t>
            </w:r>
            <w:r w:rsidR="006E539C" w:rsidRPr="00657A14">
              <w:rPr>
                <w:rFonts w:ascii="Times New Roman" w:hAnsi="Times New Roman" w:cs="Times New Roman"/>
                <w:color w:val="000000" w:themeColor="text1"/>
                <w:sz w:val="24"/>
                <w:szCs w:val="24"/>
              </w:rPr>
              <w:t>:</w:t>
            </w:r>
          </w:p>
          <w:p w:rsidR="006E539C" w:rsidRPr="00657A14" w:rsidRDefault="00600D41" w:rsidP="00424423">
            <w:pPr>
              <w:pStyle w:val="ListParagraph"/>
              <w:widowControl w:val="0"/>
              <w:numPr>
                <w:ilvl w:val="0"/>
                <w:numId w:val="1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gadījumos, kad kredītiestāde un finanšu iestāde vērsusies pie citas kredītiestādes un finanšu iestādes pēc klienta izpētes rezultātiem, nodrošina, lai klienta izpētes rezultātu pieņemšanai un atzīšanai tai būtu pieejamas visas identifikācijas un datu pārbaudes kopijas, cita nepieciešamā informācija un dokumenti attiecībā uz klienta izpēti</w:t>
            </w:r>
            <w:r w:rsidR="004F54F4" w:rsidRPr="00657A14">
              <w:rPr>
                <w:rFonts w:ascii="Times New Roman" w:hAnsi="Times New Roman" w:cs="Times New Roman"/>
                <w:color w:val="000000" w:themeColor="text1"/>
                <w:sz w:val="24"/>
                <w:szCs w:val="24"/>
              </w:rPr>
              <w:t>;</w:t>
            </w:r>
          </w:p>
          <w:p w:rsidR="00600D41" w:rsidRPr="00657A14" w:rsidRDefault="00600D41" w:rsidP="00424423">
            <w:pPr>
              <w:pStyle w:val="ListParagraph"/>
              <w:widowControl w:val="0"/>
              <w:numPr>
                <w:ilvl w:val="0"/>
                <w:numId w:val="1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gadījumos, kad kredītiestāde un finanšu iestāde vērsusies pie citas kredītiestādes un finanšu iestād</w:t>
            </w:r>
            <w:r w:rsidR="004F54F4" w:rsidRPr="00657A14">
              <w:rPr>
                <w:rFonts w:ascii="Times New Roman" w:hAnsi="Times New Roman" w:cs="Times New Roman"/>
                <w:color w:val="000000" w:themeColor="text1"/>
                <w:sz w:val="24"/>
                <w:szCs w:val="24"/>
              </w:rPr>
              <w:t>e</w:t>
            </w:r>
            <w:r w:rsidRPr="00657A14">
              <w:rPr>
                <w:rFonts w:ascii="Times New Roman" w:hAnsi="Times New Roman" w:cs="Times New Roman"/>
                <w:color w:val="000000" w:themeColor="text1"/>
                <w:sz w:val="24"/>
                <w:szCs w:val="24"/>
              </w:rPr>
              <w:t>s pēc klienta izpētes rezultātiem, pārliecinās, ka kredītiestāde un finanšu iestāde, pie kuras tā vērsusies, piemēro klienta izpētes un informācijas glabāšanas prasības  un tiek uzraudzīta, kontrolēta NILLTFNL ietvaros</w:t>
            </w:r>
            <w:r w:rsidR="004F54F4" w:rsidRPr="00657A14">
              <w:rPr>
                <w:rFonts w:ascii="Times New Roman" w:hAnsi="Times New Roman" w:cs="Times New Roman"/>
                <w:color w:val="000000" w:themeColor="text1"/>
                <w:sz w:val="24"/>
                <w:szCs w:val="24"/>
              </w:rPr>
              <w:t>;</w:t>
            </w:r>
          </w:p>
          <w:p w:rsidR="00922D45" w:rsidRPr="00657A14" w:rsidRDefault="00B66809" w:rsidP="00424423">
            <w:pPr>
              <w:pStyle w:val="ListParagraph"/>
              <w:widowControl w:val="0"/>
              <w:numPr>
                <w:ilvl w:val="0"/>
                <w:numId w:val="18"/>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gadījumos, kad kredītiestādei un finanšu iestād</w:t>
            </w:r>
            <w:r w:rsidR="004F54F4" w:rsidRPr="00657A14">
              <w:rPr>
                <w:rFonts w:ascii="Times New Roman" w:hAnsi="Times New Roman" w:cs="Times New Roman"/>
                <w:color w:val="000000" w:themeColor="text1"/>
                <w:sz w:val="24"/>
                <w:szCs w:val="24"/>
              </w:rPr>
              <w:t>e</w:t>
            </w:r>
            <w:r w:rsidRPr="00657A14">
              <w:rPr>
                <w:rFonts w:ascii="Times New Roman" w:hAnsi="Times New Roman" w:cs="Times New Roman"/>
                <w:color w:val="000000" w:themeColor="text1"/>
                <w:sz w:val="24"/>
                <w:szCs w:val="24"/>
              </w:rPr>
              <w:t>i, pie kuras kredītiestāde un finanšu iestāde ir vērsusies pēc klienta izpētes un identifikācijas rezultātiem</w:t>
            </w:r>
            <w:r w:rsidR="000F61F6" w:rsidRPr="00657A14">
              <w:rPr>
                <w:rFonts w:ascii="Times New Roman" w:hAnsi="Times New Roman" w:cs="Times New Roman"/>
                <w:color w:val="000000" w:themeColor="text1"/>
                <w:sz w:val="24"/>
                <w:szCs w:val="24"/>
              </w:rPr>
              <w:t>, piemīt paaugstināts NILLTFN risks, iepriekšminētie rezultāti nav pieņemami.</w:t>
            </w:r>
          </w:p>
          <w:p w:rsidR="00922D45" w:rsidRPr="00657A14" w:rsidRDefault="00671398"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Par likuma prasību izpildi attiecībā uz identifikācijas un klienta izpētes pieņemtajiem rezultātiem no kredītiestādes vai finanšu iestādes, veicot klienta izpēti, ir atbildīgs likuma subjekts – likumprojekts (NILLTFNL 29.pant</w:t>
            </w:r>
            <w:r w:rsidR="004F54F4"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otrā daļa).</w:t>
            </w:r>
          </w:p>
          <w:p w:rsidR="00922D45" w:rsidRPr="00657A14" w:rsidRDefault="00671398"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Kredītiestādei un finanšu iestādei, kura ir pieņēmusi un atzinusi citas kredītiestādes un finanšu iestādes klienta identifikācijas un izpētes rezultātus ir pašai pienākums uzraudzīt klienta darījuma attiecības</w:t>
            </w:r>
            <w:r w:rsidR="004F54F4"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nepaļaujoties uz iegūtajiem klienta izpētes rezultātiem</w:t>
            </w:r>
            <w:r w:rsidR="00DF5013" w:rsidRPr="00657A14">
              <w:rPr>
                <w:rFonts w:ascii="Times New Roman" w:hAnsi="Times New Roman" w:cs="Times New Roman"/>
                <w:color w:val="000000" w:themeColor="text1"/>
                <w:sz w:val="24"/>
                <w:szCs w:val="24"/>
              </w:rPr>
              <w:t xml:space="preserve"> – likumprojekts (NILLTFNL 29.pant</w:t>
            </w:r>
            <w:r w:rsidR="004F54F4" w:rsidRPr="00657A14">
              <w:rPr>
                <w:rFonts w:ascii="Times New Roman" w:hAnsi="Times New Roman" w:cs="Times New Roman"/>
                <w:color w:val="000000" w:themeColor="text1"/>
                <w:sz w:val="24"/>
                <w:szCs w:val="24"/>
              </w:rPr>
              <w:t>a</w:t>
            </w:r>
            <w:r w:rsidR="00DF5013" w:rsidRPr="00657A14">
              <w:rPr>
                <w:rFonts w:ascii="Times New Roman" w:hAnsi="Times New Roman" w:cs="Times New Roman"/>
                <w:color w:val="000000" w:themeColor="text1"/>
                <w:sz w:val="24"/>
                <w:szCs w:val="24"/>
              </w:rPr>
              <w:t xml:space="preserve"> trešā daļa).</w:t>
            </w:r>
          </w:p>
          <w:p w:rsidR="009D7B31" w:rsidRPr="00657A14" w:rsidRDefault="00DB12C4" w:rsidP="00922D45">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29.pant</w:t>
            </w:r>
            <w:r w:rsidR="004F54F4"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trešā daļa) paredz </w:t>
            </w:r>
            <w:r w:rsidRPr="00657A14">
              <w:rPr>
                <w:rFonts w:ascii="Times New Roman" w:hAnsi="Times New Roman" w:cs="Times New Roman"/>
                <w:color w:val="000000" w:themeColor="text1"/>
                <w:sz w:val="24"/>
                <w:szCs w:val="24"/>
              </w:rPr>
              <w:lastRenderedPageBreak/>
              <w:t>to, ka kompetentā iestāde pieņem, ka kredītiestāde un finanšu iestāde ar savu grupas programmu ievēro šā panta noteikumus, ja ir izpildīti noteikti nosacījumi. Likumprojekts (NILLTFNL 29.pant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1.-3.punkts) paredz iepriekšminētā likumprojekta panta gadījuma nosacījumus un tie ir:</w:t>
            </w:r>
          </w:p>
          <w:p w:rsidR="00DB12C4" w:rsidRPr="00657A14" w:rsidRDefault="00015462" w:rsidP="00424423">
            <w:pPr>
              <w:pStyle w:val="ListParagraph"/>
              <w:widowControl w:val="0"/>
              <w:numPr>
                <w:ilvl w:val="0"/>
                <w:numId w:val="1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kredītiestāde un finanšu iestāde balstās uz informāciju, ja tā nāk no tās pašas grupas kredītiestādes un finanšu iestādes</w:t>
            </w:r>
            <w:r w:rsidR="004F54F4" w:rsidRPr="00657A14">
              <w:rPr>
                <w:rFonts w:ascii="Times New Roman" w:hAnsi="Times New Roman" w:cs="Times New Roman"/>
                <w:color w:val="000000" w:themeColor="text1"/>
                <w:sz w:val="24"/>
                <w:szCs w:val="24"/>
              </w:rPr>
              <w:t>;</w:t>
            </w:r>
          </w:p>
          <w:p w:rsidR="00015462" w:rsidRPr="00657A14" w:rsidRDefault="00015462" w:rsidP="00424423">
            <w:pPr>
              <w:pStyle w:val="ListParagraph"/>
              <w:widowControl w:val="0"/>
              <w:numPr>
                <w:ilvl w:val="0"/>
                <w:numId w:val="1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grupas ietvaros piemērotie klienta izpētes pasākumi un informācijas glabāšanas prasības un NILLTFN prasības atbilsts NILLTFNL</w:t>
            </w:r>
            <w:r w:rsidR="006A5FC2" w:rsidRPr="00657A14">
              <w:rPr>
                <w:rFonts w:ascii="Times New Roman" w:hAnsi="Times New Roman" w:cs="Times New Roman"/>
                <w:color w:val="000000" w:themeColor="text1"/>
                <w:sz w:val="24"/>
                <w:szCs w:val="24"/>
              </w:rPr>
              <w:t xml:space="preserve"> un prasību efektīvu īstenošanu grupas līmenī uzrauga piederības dalībvalsts vai trešās valsts kompetentā iestāde.</w:t>
            </w:r>
          </w:p>
          <w:p w:rsidR="005A48BC" w:rsidRPr="00657A14" w:rsidRDefault="00565DE3" w:rsidP="005A48B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32</w:t>
            </w:r>
            <w:r w:rsidR="00996D2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²pant</w:t>
            </w:r>
            <w:r w:rsidR="006D7935"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de</w:t>
            </w:r>
            <w:r w:rsidR="004B0212" w:rsidRPr="00657A14">
              <w:rPr>
                <w:rFonts w:ascii="Times New Roman" w:hAnsi="Times New Roman" w:cs="Times New Roman"/>
                <w:color w:val="000000" w:themeColor="text1"/>
                <w:sz w:val="24"/>
                <w:szCs w:val="24"/>
              </w:rPr>
              <w:t>vītā daļa) paredz</w:t>
            </w:r>
            <w:r w:rsidR="005A48BC"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Kontroles dienestā ārpus darba laika saņemto ziņojumu reģistrēšanu nākamajā darba dienā, bet ne vēlāk kā otrajā darba dienā.</w:t>
            </w:r>
            <w:r w:rsidR="005A48BC" w:rsidRPr="00657A14">
              <w:rPr>
                <w:rFonts w:ascii="Times New Roman" w:hAnsi="Times New Roman" w:cs="Times New Roman"/>
                <w:color w:val="000000" w:themeColor="text1"/>
                <w:sz w:val="24"/>
                <w:szCs w:val="24"/>
              </w:rPr>
              <w:t xml:space="preserve"> Šāda norma ir nepieciešama, lai noregulēt situāciju par ziņojumiem, kas saskaņā ar MK 6.12.2016. Noteikumu Nr.765   2.p. (spēkā no 01.01.2018.) tiks saņemti ārpus Kontroles dienesta darba laika (brīvdienās un svētku dienās) vai arī lielā skaitā piektdienā neilgi pirms darba dienas beigām, jo ziņotāja rīcībā būs ziņošanas laiks, bet Kontroles dienestā reģistrēts saņemšanas laiks un pēc ziņojuma pārnešanas uz citu</w:t>
            </w:r>
            <w:r w:rsidR="005A48BC" w:rsidRPr="00657A14">
              <w:rPr>
                <w:rFonts w:ascii="Times New Roman" w:hAnsi="Times New Roman" w:cs="Times New Roman"/>
                <w:color w:val="000000" w:themeColor="text1"/>
                <w:sz w:val="24"/>
                <w:szCs w:val="24"/>
              </w:rPr>
              <w:br/>
              <w:t>serveri (nākošajā darba dienā) reģistrēšanas laiks ar ienākošā kārtas numura piešķiršanu. Pie tam datorprogramma neļauj piešķirt numuru ar atpakaļejošu datumu.</w:t>
            </w:r>
          </w:p>
          <w:p w:rsidR="005A48BC" w:rsidRPr="00657A14" w:rsidRDefault="005A48BC" w:rsidP="00BC2917">
            <w:pPr>
              <w:widowControl w:val="0"/>
              <w:ind w:firstLine="394"/>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Šie divi laiki ir svarīgi, jo:</w:t>
            </w:r>
          </w:p>
          <w:p w:rsidR="005A48BC" w:rsidRPr="00657A14" w:rsidRDefault="005A48BC" w:rsidP="005A48B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 kā termiņu tecēšanas atskaites punkts (reģistrēšana ir vēlāk nekā saņemšana), jo to izmanto gan likuma subjekts, gan Kontroles dienests (piemēram, skaitot dienas 5 dienu rīkojumaizdošanai);</w:t>
            </w:r>
            <w:r w:rsidRPr="00657A14">
              <w:rPr>
                <w:rFonts w:ascii="Times New Roman" w:hAnsi="Times New Roman" w:cs="Times New Roman"/>
                <w:color w:val="000000" w:themeColor="text1"/>
                <w:sz w:val="24"/>
                <w:szCs w:val="24"/>
              </w:rPr>
              <w:br/>
              <w:t>     b) līdzekļu iesaldēšanas gadījumā bankas klients, zinot likumu prasības, vadīsies no līdzekļu nepieejamības brīža (lasi - ziņošanas datuma), bet Kontroles dienests no ziņojuma reģistrēšanas brīža. Ja prasība  ar grozījumiem nav iestrādāta likumā, tad bankas klientam nav iespēju to uzzināt no Kontroles dienesta iekšējās normatīvās bāzes.</w:t>
            </w:r>
            <w:r w:rsidRPr="00657A14">
              <w:rPr>
                <w:rFonts w:ascii="Times New Roman" w:hAnsi="Times New Roman" w:cs="Times New Roman"/>
                <w:color w:val="000000" w:themeColor="text1"/>
                <w:sz w:val="24"/>
                <w:szCs w:val="24"/>
              </w:rPr>
              <w:br/>
              <w:t xml:space="preserve">     c) Likumdevējs -  skatīt 2005.gada 28.jūnija Ministru kabineta Noteikumu Nr.473  "Elektronisko dokumentu izstrādāšanas, noformēšanas , glabāšanas un aprites kārtība valsts un pašvaldību iestādēs un kārtība, kādā notiek elektronisko dokumentu aprite starp valsts un pašvaldību iestādēm vai starp šīm iestādēm un fiziskajām un </w:t>
            </w:r>
            <w:r w:rsidRPr="00657A14">
              <w:rPr>
                <w:rFonts w:ascii="Times New Roman" w:hAnsi="Times New Roman" w:cs="Times New Roman"/>
                <w:color w:val="000000" w:themeColor="text1"/>
                <w:sz w:val="24"/>
                <w:szCs w:val="24"/>
              </w:rPr>
              <w:lastRenderedPageBreak/>
              <w:t>juridiskajām" 22.pants neparedz  valsts iestādei šādus jautājumus regulēt  ar iekšējās normatīvās bāzes dokumentiem, jo tie skar arī likuma subjektu klientu intereses un tiem ir jāzina savas tiesības, tajā skaitā par lēmumu saņemšanas termiņiem.</w:t>
            </w:r>
            <w:r w:rsidRPr="00657A14">
              <w:rPr>
                <w:rFonts w:ascii="Times New Roman" w:hAnsi="Times New Roman" w:cs="Times New Roman"/>
                <w:color w:val="000000" w:themeColor="text1"/>
                <w:sz w:val="24"/>
                <w:szCs w:val="24"/>
              </w:rPr>
              <w:br/>
            </w:r>
          </w:p>
          <w:p w:rsidR="00A412A3" w:rsidRPr="00657A14" w:rsidRDefault="00CD4AD9" w:rsidP="005A48BC">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U</w:t>
            </w:r>
            <w:r w:rsidR="00922D45" w:rsidRPr="00657A14">
              <w:rPr>
                <w:rFonts w:ascii="Times New Roman" w:hAnsi="Times New Roman" w:cs="Times New Roman"/>
                <w:color w:val="000000" w:themeColor="text1"/>
                <w:sz w:val="24"/>
                <w:szCs w:val="24"/>
              </w:rPr>
              <w:t>zraudzības</w:t>
            </w:r>
            <w:r w:rsidRPr="00657A14">
              <w:rPr>
                <w:rFonts w:ascii="Times New Roman" w:hAnsi="Times New Roman" w:cs="Times New Roman"/>
                <w:color w:val="000000" w:themeColor="text1"/>
                <w:sz w:val="24"/>
                <w:szCs w:val="24"/>
              </w:rPr>
              <w:t xml:space="preserve"> </w:t>
            </w:r>
            <w:r w:rsidR="00922D45" w:rsidRPr="00657A14">
              <w:rPr>
                <w:rFonts w:ascii="Times New Roman" w:hAnsi="Times New Roman" w:cs="Times New Roman"/>
                <w:color w:val="000000" w:themeColor="text1"/>
                <w:sz w:val="24"/>
                <w:szCs w:val="24"/>
              </w:rPr>
              <w:t xml:space="preserve">un kontroles institūciju </w:t>
            </w:r>
            <w:r w:rsidRPr="00657A14">
              <w:rPr>
                <w:rFonts w:ascii="Times New Roman" w:hAnsi="Times New Roman" w:cs="Times New Roman"/>
                <w:color w:val="000000" w:themeColor="text1"/>
                <w:sz w:val="24"/>
                <w:szCs w:val="24"/>
              </w:rPr>
              <w:t xml:space="preserve"> </w:t>
            </w:r>
            <w:r w:rsidR="00922D45" w:rsidRPr="00657A14">
              <w:rPr>
                <w:rFonts w:ascii="Times New Roman" w:hAnsi="Times New Roman" w:cs="Times New Roman"/>
                <w:color w:val="000000" w:themeColor="text1"/>
                <w:sz w:val="24"/>
                <w:szCs w:val="24"/>
              </w:rPr>
              <w:t>tiesības un pienākumi</w:t>
            </w:r>
          </w:p>
          <w:p w:rsidR="0009637F" w:rsidRPr="00657A14" w:rsidRDefault="003D2490" w:rsidP="005A48BC">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2017.gada novembrī</w:t>
            </w:r>
            <w:r w:rsidR="00B359FA" w:rsidRPr="00657A14">
              <w:rPr>
                <w:rFonts w:ascii="Times New Roman" w:hAnsi="Times New Roman" w:cs="Times New Roman"/>
                <w:color w:val="000000" w:themeColor="text1"/>
                <w:sz w:val="24"/>
                <w:szCs w:val="24"/>
              </w:rPr>
              <w:t xml:space="preserve"> notiks Eiropas Padomes Moneyval ekspertu komisijas vizīte, lai izvērtētu noziedzīgi iegūtu līdzekļu legalizācijas un terorisma finansēšanas novēršanas un apkarošanas sistēmu L</w:t>
            </w:r>
            <w:r w:rsidR="00F12D9B" w:rsidRPr="00657A14">
              <w:rPr>
                <w:rFonts w:ascii="Times New Roman" w:hAnsi="Times New Roman" w:cs="Times New Roman"/>
                <w:color w:val="000000" w:themeColor="text1"/>
                <w:sz w:val="24"/>
                <w:szCs w:val="24"/>
              </w:rPr>
              <w:t>atvijā, līdz ar to īpaši aktuāli ir jautājumi par iepriekš izteikto rekomendāciju</w:t>
            </w:r>
            <w:r w:rsidR="00B359FA" w:rsidRPr="00657A14">
              <w:rPr>
                <w:rFonts w:ascii="Times New Roman" w:hAnsi="Times New Roman" w:cs="Times New Roman"/>
                <w:color w:val="000000" w:themeColor="text1"/>
                <w:sz w:val="24"/>
                <w:szCs w:val="24"/>
              </w:rPr>
              <w:t xml:space="preserve"> ieviešanu. 2011.gada 9.-14.maijā Latvijā darbojās Eiropas Padomes Moneyval un FATF  kopīga ekspertu komisija, lai izvērtēšanas 4.kārtas ietvaros veiktu Latvijas noziedzīgi iegūtu līdzekļu legalizācijas un terorisma finansēšanas novēršanas un apkarošanas sistēmas (normatīvā bāze, institucionālā sistēma, darbības efektivitātes r</w:t>
            </w:r>
            <w:r w:rsidR="00A55237" w:rsidRPr="00657A14">
              <w:rPr>
                <w:rFonts w:ascii="Times New Roman" w:hAnsi="Times New Roman" w:cs="Times New Roman"/>
                <w:color w:val="000000" w:themeColor="text1"/>
                <w:sz w:val="24"/>
                <w:szCs w:val="24"/>
              </w:rPr>
              <w:t>ezultāti) izvērtēšanu. Kā viena</w:t>
            </w:r>
            <w:r w:rsidR="00B359FA" w:rsidRPr="00657A14">
              <w:rPr>
                <w:rFonts w:ascii="Times New Roman" w:hAnsi="Times New Roman" w:cs="Times New Roman"/>
                <w:color w:val="000000" w:themeColor="text1"/>
                <w:sz w:val="24"/>
                <w:szCs w:val="24"/>
              </w:rPr>
              <w:t xml:space="preserve"> no rekomendācijām šī izvērtējuma ietvaros, tika izteikta, ka atbildīgajām iestādēm vajadzētu pārskatīt VAS “Latvijas Pasts” sniegto naudas un vērtību pārvedumu pakalpojumu pārraudzības mehānismu un apsvērt minēto VAS “Latvijas Pasts” pakalpojumu nodošanu FKTK uzraudzītajām iestādēm, vai arī paplašināt Satiksmes ministrijas veiktās uzraudzības juridiskās pilnvaras un resursus. </w:t>
            </w:r>
            <w:r w:rsidR="00A55237" w:rsidRPr="00657A14">
              <w:rPr>
                <w:rFonts w:ascii="Times New Roman" w:hAnsi="Times New Roman" w:cs="Times New Roman"/>
                <w:color w:val="000000" w:themeColor="text1"/>
                <w:sz w:val="24"/>
                <w:szCs w:val="24"/>
              </w:rPr>
              <w:t>NILLTFNL</w:t>
            </w:r>
            <w:r w:rsidR="00B359FA" w:rsidRPr="00657A14">
              <w:rPr>
                <w:rFonts w:ascii="Times New Roman" w:hAnsi="Times New Roman" w:cs="Times New Roman"/>
                <w:color w:val="000000" w:themeColor="text1"/>
                <w:sz w:val="24"/>
                <w:szCs w:val="24"/>
              </w:rPr>
              <w:t xml:space="preserve"> ir noteiktas uzraudzības un kontroles institūcijas, kas uzrauga un kontrolē šā likuma subjektus. NILLTFNL 45.pants nosaka likuma subjektu uzraudzības un kontroles institūcijas. Saskaņā ar </w:t>
            </w:r>
            <w:r w:rsidR="00A55237" w:rsidRPr="00657A14">
              <w:rPr>
                <w:rFonts w:ascii="Times New Roman" w:hAnsi="Times New Roman" w:cs="Times New Roman"/>
                <w:color w:val="000000" w:themeColor="text1"/>
                <w:sz w:val="24"/>
                <w:szCs w:val="24"/>
              </w:rPr>
              <w:t>NILLTFNL</w:t>
            </w:r>
            <w:r w:rsidR="00B359FA" w:rsidRPr="00657A14">
              <w:rPr>
                <w:rFonts w:ascii="Times New Roman" w:hAnsi="Times New Roman" w:cs="Times New Roman"/>
                <w:color w:val="000000" w:themeColor="text1"/>
                <w:sz w:val="24"/>
                <w:szCs w:val="24"/>
              </w:rPr>
              <w:t xml:space="preserve"> 45.panta pirmās daļas 1.punktu finanšu iestādes (tajā skaitā maksājuma </w:t>
            </w:r>
            <w:r w:rsidR="00A55237" w:rsidRPr="00657A14">
              <w:rPr>
                <w:rFonts w:ascii="Times New Roman" w:hAnsi="Times New Roman" w:cs="Times New Roman"/>
                <w:color w:val="000000" w:themeColor="text1"/>
                <w:sz w:val="24"/>
                <w:szCs w:val="24"/>
              </w:rPr>
              <w:t>iestādes) uzrauga</w:t>
            </w:r>
            <w:r w:rsidR="00B359FA" w:rsidRPr="00657A14">
              <w:rPr>
                <w:rFonts w:ascii="Times New Roman" w:hAnsi="Times New Roman" w:cs="Times New Roman"/>
                <w:color w:val="000000" w:themeColor="text1"/>
                <w:sz w:val="24"/>
                <w:szCs w:val="24"/>
              </w:rPr>
              <w:t xml:space="preserve"> FKTK, bet saskaņā ar šīs daļas 5.punktu VAS “Latvijas Pasts” darbības uzraudzību veic Satiksmes ministrija. Savukārt tos pasta komersantus, kas atbilstoši Maksājumu pakalpojumu un elektroniskās naudas likuma prasībām ir reģistrējušies par maksājumu iestādi</w:t>
            </w:r>
            <w:r w:rsidR="00996D2F" w:rsidRPr="00657A14">
              <w:rPr>
                <w:rFonts w:ascii="Times New Roman" w:hAnsi="Times New Roman" w:cs="Times New Roman"/>
                <w:color w:val="000000" w:themeColor="text1"/>
                <w:sz w:val="24"/>
                <w:szCs w:val="24"/>
              </w:rPr>
              <w:t>,</w:t>
            </w:r>
            <w:r w:rsidR="00B359FA" w:rsidRPr="00657A14">
              <w:rPr>
                <w:rFonts w:ascii="Times New Roman" w:hAnsi="Times New Roman" w:cs="Times New Roman"/>
                <w:color w:val="000000" w:themeColor="text1"/>
                <w:sz w:val="24"/>
                <w:szCs w:val="24"/>
              </w:rPr>
              <w:t xml:space="preserve"> uzrauga FKTK, bet pārējo pasta komersantu darbības uzraudzībai, kas sniedz maksājumu pakalpojumus, ja tie nav reģistrējušies FKTK kā maksājuma</w:t>
            </w:r>
            <w:r w:rsidR="006B053F" w:rsidRPr="00657A14">
              <w:rPr>
                <w:rFonts w:ascii="Times New Roman" w:hAnsi="Times New Roman" w:cs="Times New Roman"/>
                <w:color w:val="000000" w:themeColor="text1"/>
                <w:sz w:val="24"/>
                <w:szCs w:val="24"/>
              </w:rPr>
              <w:t xml:space="preserve"> ies</w:t>
            </w:r>
            <w:r w:rsidR="00923462" w:rsidRPr="00657A14">
              <w:rPr>
                <w:rFonts w:ascii="Times New Roman" w:hAnsi="Times New Roman" w:cs="Times New Roman"/>
                <w:color w:val="000000" w:themeColor="text1"/>
                <w:sz w:val="24"/>
                <w:szCs w:val="24"/>
              </w:rPr>
              <w:t>tāde, šobrīd NILLTFN</w:t>
            </w:r>
            <w:r w:rsidR="006B053F" w:rsidRPr="00657A14">
              <w:rPr>
                <w:rFonts w:ascii="Times New Roman" w:hAnsi="Times New Roman" w:cs="Times New Roman"/>
                <w:color w:val="000000" w:themeColor="text1"/>
                <w:sz w:val="24"/>
                <w:szCs w:val="24"/>
              </w:rPr>
              <w:t xml:space="preserve"> jomā nav noteikta uzraudzības un kontroles institūcija. </w:t>
            </w:r>
          </w:p>
          <w:p w:rsidR="006B053F" w:rsidRPr="00657A14" w:rsidRDefault="006B053F"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Tādējādi šobrīd attiecībā uz komersantiem, kas sniedz maksājumu pakalpojumus, nepastāv vienota sistēma nedz attiecībā uz maksājumu pakalpojumu uzraudzību, nedz uzraudzību </w:t>
            </w:r>
            <w:r w:rsidR="00F04D7C" w:rsidRPr="00657A14">
              <w:rPr>
                <w:rFonts w:ascii="Times New Roman" w:hAnsi="Times New Roman" w:cs="Times New Roman"/>
                <w:color w:val="000000" w:themeColor="text1"/>
                <w:sz w:val="24"/>
                <w:szCs w:val="24"/>
              </w:rPr>
              <w:t>NILLTFN</w:t>
            </w:r>
            <w:r w:rsidRPr="00657A14">
              <w:rPr>
                <w:rFonts w:ascii="Times New Roman" w:hAnsi="Times New Roman" w:cs="Times New Roman"/>
                <w:color w:val="000000" w:themeColor="text1"/>
                <w:sz w:val="24"/>
                <w:szCs w:val="24"/>
              </w:rPr>
              <w:t xml:space="preserve"> jomā, kas vienlaikus rada arī nevienlīdzīgu attieksmi pret komersantiem, kas sniedz </w:t>
            </w:r>
            <w:r w:rsidRPr="00657A14">
              <w:rPr>
                <w:rFonts w:ascii="Times New Roman" w:hAnsi="Times New Roman" w:cs="Times New Roman"/>
                <w:color w:val="000000" w:themeColor="text1"/>
                <w:sz w:val="24"/>
                <w:szCs w:val="24"/>
              </w:rPr>
              <w:lastRenderedPageBreak/>
              <w:t xml:space="preserve">maksājumu pakalpojumus. </w:t>
            </w:r>
          </w:p>
          <w:p w:rsidR="006B053F" w:rsidRPr="00657A14" w:rsidRDefault="006B053F" w:rsidP="00424423">
            <w:pPr>
              <w:spacing w:after="0" w:line="240" w:lineRule="auto"/>
              <w:ind w:firstLine="709"/>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Sabiedrisko pakalpojumu regulēšanas komisijas mājas lapā interneta vietnē </w:t>
            </w:r>
            <w:hyperlink r:id="rId8" w:history="1">
              <w:r w:rsidRPr="00940700">
                <w:rPr>
                  <w:rFonts w:ascii="Times New Roman" w:hAnsi="Times New Roman" w:cs="Times New Roman"/>
                  <w:color w:val="000000" w:themeColor="text1"/>
                  <w:sz w:val="24"/>
                  <w:szCs w:val="24"/>
                </w:rPr>
                <w:t>www.sprk.gov.lv</w:t>
              </w:r>
            </w:hyperlink>
            <w:r w:rsidRPr="00657A14">
              <w:rPr>
                <w:rFonts w:ascii="Times New Roman" w:hAnsi="Times New Roman" w:cs="Times New Roman"/>
                <w:color w:val="000000" w:themeColor="text1"/>
                <w:sz w:val="24"/>
                <w:szCs w:val="24"/>
              </w:rPr>
              <w:t>, kur atbilstoši Noteikum</w:t>
            </w:r>
            <w:r w:rsidR="00996D2F" w:rsidRPr="00657A14">
              <w:rPr>
                <w:rFonts w:ascii="Times New Roman" w:hAnsi="Times New Roman" w:cs="Times New Roman"/>
                <w:color w:val="000000" w:themeColor="text1"/>
                <w:sz w:val="24"/>
                <w:szCs w:val="24"/>
              </w:rPr>
              <w:t>u</w:t>
            </w:r>
            <w:r w:rsidRPr="00657A14">
              <w:rPr>
                <w:rFonts w:ascii="Times New Roman" w:hAnsi="Times New Roman" w:cs="Times New Roman"/>
                <w:color w:val="000000" w:themeColor="text1"/>
                <w:sz w:val="24"/>
                <w:szCs w:val="24"/>
              </w:rPr>
              <w:t xml:space="preserve"> par pasta komersantu reģistrēšanu 10.pantam tiek nodrošināta publiskā pieejamība pasta komersantu reģistram, ir reģistrēti 86 pasta komersanti. </w:t>
            </w:r>
          </w:p>
          <w:p w:rsidR="006B053F" w:rsidRPr="00657A14" w:rsidRDefault="00AD1169" w:rsidP="00424423">
            <w:pPr>
              <w:spacing w:after="0" w:line="240" w:lineRule="auto"/>
              <w:ind w:firstLine="709"/>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w:t>
            </w:r>
            <w:r w:rsidR="006B053F" w:rsidRPr="00657A14">
              <w:rPr>
                <w:rFonts w:ascii="Times New Roman" w:hAnsi="Times New Roman" w:cs="Times New Roman"/>
                <w:color w:val="000000" w:themeColor="text1"/>
                <w:sz w:val="24"/>
                <w:szCs w:val="24"/>
              </w:rPr>
              <w:t xml:space="preserve">ī situācija norāda uz to, ka ir vajadzīga steidzama un efektīva darbība, lai sakārtotu sistēmu </w:t>
            </w:r>
            <w:r w:rsidR="00CB5228" w:rsidRPr="00657A14">
              <w:rPr>
                <w:rFonts w:ascii="Times New Roman" w:hAnsi="Times New Roman" w:cs="Times New Roman"/>
                <w:color w:val="000000" w:themeColor="text1"/>
                <w:sz w:val="24"/>
                <w:szCs w:val="24"/>
              </w:rPr>
              <w:t>NILLTFN</w:t>
            </w:r>
            <w:r w:rsidR="006B053F" w:rsidRPr="00657A14">
              <w:rPr>
                <w:rFonts w:ascii="Times New Roman" w:hAnsi="Times New Roman" w:cs="Times New Roman"/>
                <w:color w:val="000000" w:themeColor="text1"/>
                <w:sz w:val="24"/>
                <w:szCs w:val="24"/>
              </w:rPr>
              <w:t xml:space="preserve"> jomā attiecībā uz pasta komersantiem, kas sniedz maksājumu pakalpojumus. </w:t>
            </w:r>
          </w:p>
          <w:p w:rsidR="006B053F" w:rsidRPr="00657A14" w:rsidRDefault="006B6418" w:rsidP="00424423">
            <w:pPr>
              <w:spacing w:after="0" w:line="240" w:lineRule="auto"/>
              <w:ind w:firstLine="72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O</w:t>
            </w:r>
            <w:r w:rsidR="006B053F" w:rsidRPr="00657A14">
              <w:rPr>
                <w:rFonts w:ascii="Times New Roman" w:hAnsi="Times New Roman" w:cs="Times New Roman"/>
                <w:color w:val="000000" w:themeColor="text1"/>
                <w:sz w:val="24"/>
                <w:szCs w:val="24"/>
              </w:rPr>
              <w:t>ptimālākais risinājums iepriekš norādīto trūkumu novēršanai būtu paredzēt, ka jebkuram pasta komersantam, tai skaitā</w:t>
            </w:r>
            <w:r w:rsidR="00D9362A" w:rsidRPr="00657A14">
              <w:rPr>
                <w:rFonts w:ascii="Times New Roman" w:hAnsi="Times New Roman" w:cs="Times New Roman"/>
                <w:color w:val="000000" w:themeColor="text1"/>
                <w:sz w:val="24"/>
                <w:szCs w:val="24"/>
              </w:rPr>
              <w:t xml:space="preserve">, </w:t>
            </w:r>
            <w:r w:rsidR="006B053F" w:rsidRPr="00657A14">
              <w:rPr>
                <w:rFonts w:ascii="Times New Roman" w:hAnsi="Times New Roman" w:cs="Times New Roman"/>
                <w:color w:val="000000" w:themeColor="text1"/>
                <w:sz w:val="24"/>
                <w:szCs w:val="24"/>
              </w:rPr>
              <w:t xml:space="preserve">VAS “Latvijas Pasts”, kas vēlas sniegt maksājumu pakalpojumus, ir jāsaņem licence vai jāreģistrējas kā maksājumu iestādei Finanšu un kapitāla tirgus komisijā saskaņā ar Maksājumu pakalpojumu un elektroniskās naudas likumā noteikto, t.i. – atsakoties no šobrīd pasta komersantiem noteiktā izņēmuma statusa maksājumu pakalpojumu jomā, paredzot </w:t>
            </w:r>
            <w:r w:rsidR="00C60D99" w:rsidRPr="00657A14">
              <w:rPr>
                <w:rFonts w:ascii="Times New Roman" w:hAnsi="Times New Roman" w:cs="Times New Roman"/>
                <w:color w:val="000000" w:themeColor="text1"/>
                <w:sz w:val="24"/>
                <w:szCs w:val="24"/>
              </w:rPr>
              <w:t>divu gadu</w:t>
            </w:r>
            <w:r w:rsidR="006B053F" w:rsidRPr="00657A14">
              <w:rPr>
                <w:rFonts w:ascii="Times New Roman" w:hAnsi="Times New Roman" w:cs="Times New Roman"/>
                <w:color w:val="000000" w:themeColor="text1"/>
                <w:sz w:val="24"/>
                <w:szCs w:val="24"/>
              </w:rPr>
              <w:t xml:space="preserve"> pārejas periodu. Attiecīgi </w:t>
            </w:r>
            <w:r w:rsidR="00F23AC0" w:rsidRPr="00657A14">
              <w:rPr>
                <w:rFonts w:ascii="Times New Roman" w:hAnsi="Times New Roman" w:cs="Times New Roman"/>
                <w:color w:val="000000" w:themeColor="text1"/>
                <w:sz w:val="24"/>
                <w:szCs w:val="24"/>
              </w:rPr>
              <w:t>FKTK</w:t>
            </w:r>
            <w:r w:rsidR="006B053F" w:rsidRPr="00657A14">
              <w:rPr>
                <w:rFonts w:ascii="Times New Roman" w:hAnsi="Times New Roman" w:cs="Times New Roman"/>
                <w:color w:val="000000" w:themeColor="text1"/>
                <w:sz w:val="24"/>
                <w:szCs w:val="24"/>
              </w:rPr>
              <w:t xml:space="preserve"> pasta komersantus, kas sniedz maksājumu pakalpojumus, uzraudzītu gan kā maksājumu iestādes, gan kā NILLTFNL subjektus. </w:t>
            </w:r>
          </w:p>
          <w:p w:rsidR="006B053F" w:rsidRPr="00657A14" w:rsidRDefault="006B053F" w:rsidP="00424423">
            <w:pPr>
              <w:spacing w:after="0" w:line="240" w:lineRule="auto"/>
              <w:ind w:firstLine="72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Tādējādi tiktu nodrošināta Money</w:t>
            </w:r>
            <w:r w:rsidR="00996D2F" w:rsidRPr="00657A14">
              <w:rPr>
                <w:rFonts w:ascii="Times New Roman" w:hAnsi="Times New Roman" w:cs="Times New Roman"/>
                <w:color w:val="000000" w:themeColor="text1"/>
                <w:sz w:val="24"/>
                <w:szCs w:val="24"/>
              </w:rPr>
              <w:t>v</w:t>
            </w:r>
            <w:r w:rsidRPr="00657A14">
              <w:rPr>
                <w:rFonts w:ascii="Times New Roman" w:hAnsi="Times New Roman" w:cs="Times New Roman"/>
                <w:color w:val="000000" w:themeColor="text1"/>
                <w:sz w:val="24"/>
                <w:szCs w:val="24"/>
              </w:rPr>
              <w:t>al rekomendācijas izpilde, kā arī ieviesta vienota uzraudzības sistēma attiecībā uz visiem pasta komersantiem, kuri sniedz maksājuma pakalpojumus, novēršot iespējas dažādi interpretēt normatīvo aktu prasību piemērošanu attiecībā uz pasta komersantiem maksājumu pakalpojumu jomā.</w:t>
            </w:r>
          </w:p>
          <w:p w:rsidR="00013785" w:rsidRPr="00657A14" w:rsidRDefault="006B053F"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Nododot FKTK uzraudzībā un kontrolē VAS “Latvijas Pasts”</w:t>
            </w:r>
            <w:r w:rsidR="00996D2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tiktu panākta vienveidība</w:t>
            </w:r>
            <w:r w:rsidR="00996D2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nosakot vienotas prasības visā nozarē maksājumu pakalpojumu sniegšanai un uzraudzībai. Tāpat FKTK jau ir iestāde, kura ir tiesīga izskatīt administratīvo pārkāpumu lietas un piemērot sodus, līdz ar to nebūtu nepieciešamība risināt jautājumu attiecībā uz Satiksmes ministriju Administratīvo sodu sistēmas modeļa reformas ietvaros.</w:t>
            </w:r>
          </w:p>
          <w:p w:rsidR="0009637F" w:rsidRPr="00657A14" w:rsidRDefault="00123F30"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Ievērojot iepriekš minēto</w:t>
            </w:r>
            <w:r w:rsidR="000E63F5" w:rsidRPr="00657A14">
              <w:rPr>
                <w:rFonts w:ascii="Times New Roman" w:hAnsi="Times New Roman" w:cs="Times New Roman"/>
                <w:color w:val="000000" w:themeColor="text1"/>
                <w:sz w:val="24"/>
                <w:szCs w:val="24"/>
              </w:rPr>
              <w:t>, ja uzsāktā VAS “Latvijas Pasta” komersant</w:t>
            </w:r>
            <w:r w:rsidR="00996D2F" w:rsidRPr="00657A14">
              <w:rPr>
                <w:rFonts w:ascii="Times New Roman" w:hAnsi="Times New Roman" w:cs="Times New Roman"/>
                <w:color w:val="000000" w:themeColor="text1"/>
                <w:sz w:val="24"/>
                <w:szCs w:val="24"/>
              </w:rPr>
              <w:t>a</w:t>
            </w:r>
            <w:r w:rsidR="000E63F5" w:rsidRPr="00657A14">
              <w:rPr>
                <w:rFonts w:ascii="Times New Roman" w:hAnsi="Times New Roman" w:cs="Times New Roman"/>
                <w:color w:val="000000" w:themeColor="text1"/>
                <w:sz w:val="24"/>
                <w:szCs w:val="24"/>
              </w:rPr>
              <w:t>, kas veic maksājuma pakalpojumus</w:t>
            </w:r>
            <w:r w:rsidR="00996D2F" w:rsidRPr="00657A14">
              <w:rPr>
                <w:rFonts w:ascii="Times New Roman" w:hAnsi="Times New Roman" w:cs="Times New Roman"/>
                <w:color w:val="000000" w:themeColor="text1"/>
                <w:sz w:val="24"/>
                <w:szCs w:val="24"/>
              </w:rPr>
              <w:t xml:space="preserve">, </w:t>
            </w:r>
            <w:r w:rsidR="000E63F5" w:rsidRPr="00657A14">
              <w:rPr>
                <w:rFonts w:ascii="Times New Roman" w:hAnsi="Times New Roman" w:cs="Times New Roman"/>
                <w:color w:val="000000" w:themeColor="text1"/>
                <w:sz w:val="24"/>
                <w:szCs w:val="24"/>
              </w:rPr>
              <w:t>licencēšana tiek pabeigta divu gadu laikā</w:t>
            </w:r>
            <w:r w:rsidR="00996D2F" w:rsidRPr="00657A14">
              <w:rPr>
                <w:rFonts w:ascii="Times New Roman" w:hAnsi="Times New Roman" w:cs="Times New Roman"/>
                <w:color w:val="000000" w:themeColor="text1"/>
                <w:sz w:val="24"/>
                <w:szCs w:val="24"/>
              </w:rPr>
              <w:t>,</w:t>
            </w:r>
            <w:r w:rsidR="000E63F5" w:rsidRPr="00657A14">
              <w:rPr>
                <w:rFonts w:ascii="Times New Roman" w:hAnsi="Times New Roman" w:cs="Times New Roman"/>
                <w:color w:val="000000" w:themeColor="text1"/>
                <w:sz w:val="24"/>
                <w:szCs w:val="24"/>
              </w:rPr>
              <w:t xml:space="preserve"> tas ir</w:t>
            </w:r>
            <w:r w:rsidR="00996D2F" w:rsidRPr="00657A14">
              <w:rPr>
                <w:rFonts w:ascii="Times New Roman" w:hAnsi="Times New Roman" w:cs="Times New Roman"/>
                <w:color w:val="000000" w:themeColor="text1"/>
                <w:sz w:val="24"/>
                <w:szCs w:val="24"/>
              </w:rPr>
              <w:t>,</w:t>
            </w:r>
            <w:r w:rsidR="000E63F5" w:rsidRPr="00657A14">
              <w:rPr>
                <w:rFonts w:ascii="Times New Roman" w:hAnsi="Times New Roman" w:cs="Times New Roman"/>
                <w:color w:val="000000" w:themeColor="text1"/>
                <w:sz w:val="24"/>
                <w:szCs w:val="24"/>
              </w:rPr>
              <w:t xml:space="preserve"> 2019.gada 25.jūnijā</w:t>
            </w:r>
            <w:r w:rsidR="00A117C5" w:rsidRPr="00657A14">
              <w:rPr>
                <w:rFonts w:ascii="Times New Roman" w:hAnsi="Times New Roman" w:cs="Times New Roman"/>
                <w:color w:val="000000" w:themeColor="text1"/>
                <w:sz w:val="24"/>
                <w:szCs w:val="24"/>
              </w:rPr>
              <w:t xml:space="preserve"> (likumprojekta pārejas noteikumu 22.punkts)</w:t>
            </w:r>
            <w:r w:rsidR="00771C9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likumprojekts paredz </w:t>
            </w:r>
            <w:r w:rsidR="003B63C7" w:rsidRPr="00657A14">
              <w:rPr>
                <w:rFonts w:ascii="Times New Roman" w:hAnsi="Times New Roman" w:cs="Times New Roman"/>
                <w:color w:val="000000" w:themeColor="text1"/>
                <w:sz w:val="24"/>
                <w:szCs w:val="24"/>
              </w:rPr>
              <w:t>izslēgt NILL</w:t>
            </w:r>
            <w:r w:rsidR="00A85705" w:rsidRPr="00657A14">
              <w:rPr>
                <w:rFonts w:ascii="Times New Roman" w:hAnsi="Times New Roman" w:cs="Times New Roman"/>
                <w:color w:val="000000" w:themeColor="text1"/>
                <w:sz w:val="24"/>
                <w:szCs w:val="24"/>
              </w:rPr>
              <w:t xml:space="preserve">TFNL 45.panta </w:t>
            </w:r>
            <w:r w:rsidR="002962A8" w:rsidRPr="00657A14">
              <w:rPr>
                <w:rFonts w:ascii="Times New Roman" w:hAnsi="Times New Roman" w:cs="Times New Roman"/>
                <w:color w:val="000000" w:themeColor="text1"/>
                <w:sz w:val="24"/>
                <w:szCs w:val="24"/>
              </w:rPr>
              <w:t>pirmās daļas 5.punktu</w:t>
            </w:r>
            <w:r w:rsidR="00996D2F" w:rsidRPr="00657A14">
              <w:rPr>
                <w:rFonts w:ascii="Times New Roman" w:hAnsi="Times New Roman" w:cs="Times New Roman"/>
                <w:color w:val="000000" w:themeColor="text1"/>
                <w:sz w:val="24"/>
                <w:szCs w:val="24"/>
              </w:rPr>
              <w:t>,</w:t>
            </w:r>
            <w:r w:rsidR="002962A8" w:rsidRPr="00657A14">
              <w:rPr>
                <w:rFonts w:ascii="Times New Roman" w:hAnsi="Times New Roman" w:cs="Times New Roman"/>
                <w:color w:val="000000" w:themeColor="text1"/>
                <w:sz w:val="24"/>
                <w:szCs w:val="24"/>
              </w:rPr>
              <w:t xml:space="preserve"> </w:t>
            </w:r>
            <w:r w:rsidR="000E63F5" w:rsidRPr="00657A14">
              <w:rPr>
                <w:rFonts w:ascii="Times New Roman" w:hAnsi="Times New Roman" w:cs="Times New Roman"/>
                <w:color w:val="000000" w:themeColor="text1"/>
                <w:sz w:val="24"/>
                <w:szCs w:val="24"/>
              </w:rPr>
              <w:t>un</w:t>
            </w:r>
            <w:r w:rsidR="002962A8" w:rsidRPr="00657A14">
              <w:rPr>
                <w:rFonts w:ascii="Times New Roman" w:hAnsi="Times New Roman" w:cs="Times New Roman"/>
                <w:color w:val="000000" w:themeColor="text1"/>
                <w:sz w:val="24"/>
                <w:szCs w:val="24"/>
              </w:rPr>
              <w:t xml:space="preserve"> ar 2019.gada </w:t>
            </w:r>
            <w:r w:rsidR="00B06B5F" w:rsidRPr="00657A14">
              <w:rPr>
                <w:rFonts w:ascii="Times New Roman" w:hAnsi="Times New Roman" w:cs="Times New Roman"/>
                <w:color w:val="000000" w:themeColor="text1"/>
                <w:sz w:val="24"/>
                <w:szCs w:val="24"/>
              </w:rPr>
              <w:t>26.jūniju pasta komersanti, kas sniedz maksājuma pakalpojumus</w:t>
            </w:r>
            <w:r w:rsidR="000E63F5" w:rsidRPr="00657A14">
              <w:rPr>
                <w:rFonts w:ascii="Times New Roman" w:hAnsi="Times New Roman" w:cs="Times New Roman"/>
                <w:color w:val="000000" w:themeColor="text1"/>
                <w:sz w:val="24"/>
                <w:szCs w:val="24"/>
              </w:rPr>
              <w:t xml:space="preserve">, tiek uzraudzīti un kontrolēti NILLTFN jomā un līdz ar to attiecīgi atbilst NILLTFNL 45.panta pirmajā daļā iekļautajiem likuma subjektam - maksājuma iestāde, kuru </w:t>
            </w:r>
            <w:r w:rsidR="00996D2F" w:rsidRPr="00657A14">
              <w:rPr>
                <w:rFonts w:ascii="Times New Roman" w:hAnsi="Times New Roman" w:cs="Times New Roman"/>
                <w:color w:val="000000" w:themeColor="text1"/>
                <w:sz w:val="24"/>
                <w:szCs w:val="24"/>
              </w:rPr>
              <w:t xml:space="preserve">NILLTFN jomā </w:t>
            </w:r>
            <w:r w:rsidR="000E63F5" w:rsidRPr="00657A14">
              <w:rPr>
                <w:rFonts w:ascii="Times New Roman" w:hAnsi="Times New Roman" w:cs="Times New Roman"/>
                <w:color w:val="000000" w:themeColor="text1"/>
                <w:sz w:val="24"/>
                <w:szCs w:val="24"/>
              </w:rPr>
              <w:t xml:space="preserve">uzrauga un kontrolē FKTK. </w:t>
            </w:r>
            <w:r w:rsidR="00771C9F" w:rsidRPr="00657A14">
              <w:rPr>
                <w:rFonts w:ascii="Times New Roman" w:hAnsi="Times New Roman" w:cs="Times New Roman"/>
                <w:color w:val="000000" w:themeColor="text1"/>
                <w:sz w:val="24"/>
                <w:szCs w:val="24"/>
              </w:rPr>
              <w:t xml:space="preserve">Pārejas perioda laikā Satiksmes ministrija piemēro NILLTFNL 46.panta pirmās daļas 6.punktu un </w:t>
            </w:r>
            <w:r w:rsidR="00771C9F" w:rsidRPr="00657A14">
              <w:rPr>
                <w:rFonts w:ascii="Times New Roman" w:hAnsi="Times New Roman" w:cs="Times New Roman"/>
                <w:color w:val="000000" w:themeColor="text1"/>
                <w:sz w:val="24"/>
                <w:szCs w:val="24"/>
              </w:rPr>
              <w:lastRenderedPageBreak/>
              <w:t>piemēro vai ierosina, lai FKTK piemēro normatīvajos aktos noteiktās sankcijas par normatīvo aktu pārkāpumiem, kā arī kontrolēt šo pārkāpumu novēršanas pasākumus.</w:t>
            </w:r>
          </w:p>
          <w:p w:rsidR="00190D1D" w:rsidRPr="00657A14" w:rsidRDefault="00037971"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Viena no </w:t>
            </w:r>
            <w:r w:rsidR="00491FE3" w:rsidRPr="00657A14">
              <w:rPr>
                <w:rFonts w:ascii="Times New Roman" w:hAnsi="Times New Roman" w:cs="Times New Roman"/>
                <w:color w:val="000000" w:themeColor="text1"/>
                <w:sz w:val="24"/>
                <w:szCs w:val="24"/>
              </w:rPr>
              <w:t>uzraudzības un kontroles institūcijām</w:t>
            </w:r>
            <w:r w:rsidR="00812D2D" w:rsidRPr="00657A14">
              <w:rPr>
                <w:rFonts w:ascii="Times New Roman" w:hAnsi="Times New Roman" w:cs="Times New Roman"/>
                <w:color w:val="000000" w:themeColor="text1"/>
                <w:sz w:val="24"/>
                <w:szCs w:val="24"/>
              </w:rPr>
              <w:t xml:space="preserve"> NILLTFNL ietvaros ir VID</w:t>
            </w:r>
            <w:r w:rsidR="00996D2F" w:rsidRPr="00657A14">
              <w:rPr>
                <w:rFonts w:ascii="Times New Roman" w:hAnsi="Times New Roman" w:cs="Times New Roman"/>
                <w:color w:val="000000" w:themeColor="text1"/>
                <w:sz w:val="24"/>
                <w:szCs w:val="24"/>
              </w:rPr>
              <w:t>.</w:t>
            </w:r>
            <w:r w:rsidR="002A63FB" w:rsidRPr="00657A14">
              <w:rPr>
                <w:rFonts w:ascii="Times New Roman" w:hAnsi="Times New Roman" w:cs="Times New Roman"/>
                <w:color w:val="000000" w:themeColor="text1"/>
                <w:sz w:val="24"/>
                <w:szCs w:val="24"/>
              </w:rPr>
              <w:t xml:space="preserve"> </w:t>
            </w:r>
            <w:r w:rsidR="00996D2F" w:rsidRPr="00657A14">
              <w:rPr>
                <w:rFonts w:ascii="Times New Roman" w:hAnsi="Times New Roman" w:cs="Times New Roman"/>
                <w:color w:val="000000" w:themeColor="text1"/>
                <w:sz w:val="24"/>
                <w:szCs w:val="24"/>
              </w:rPr>
              <w:t>T</w:t>
            </w:r>
            <w:r w:rsidR="002A63FB" w:rsidRPr="00657A14">
              <w:rPr>
                <w:rFonts w:ascii="Times New Roman" w:hAnsi="Times New Roman" w:cs="Times New Roman"/>
                <w:color w:val="000000" w:themeColor="text1"/>
                <w:sz w:val="24"/>
                <w:szCs w:val="24"/>
              </w:rPr>
              <w:t xml:space="preserve">as uzrauga un kontrolē </w:t>
            </w:r>
            <w:r w:rsidR="005E693D" w:rsidRPr="00657A14">
              <w:rPr>
                <w:rFonts w:ascii="Times New Roman" w:hAnsi="Times New Roman" w:cs="Times New Roman"/>
                <w:color w:val="000000" w:themeColor="text1"/>
                <w:sz w:val="24"/>
                <w:szCs w:val="24"/>
              </w:rPr>
              <w:t>NILLTFNL subjektus</w:t>
            </w:r>
            <w:r w:rsidR="00996D2F" w:rsidRPr="00657A14">
              <w:rPr>
                <w:rFonts w:ascii="Times New Roman" w:hAnsi="Times New Roman" w:cs="Times New Roman"/>
                <w:color w:val="000000" w:themeColor="text1"/>
                <w:sz w:val="24"/>
                <w:szCs w:val="24"/>
              </w:rPr>
              <w:t xml:space="preserve">, kas noteikti </w:t>
            </w:r>
            <w:r w:rsidR="005E693D" w:rsidRPr="00657A14">
              <w:rPr>
                <w:rFonts w:ascii="Times New Roman" w:hAnsi="Times New Roman" w:cs="Times New Roman"/>
                <w:color w:val="000000" w:themeColor="text1"/>
                <w:sz w:val="24"/>
                <w:szCs w:val="24"/>
              </w:rPr>
              <w:t xml:space="preserve"> 45.panta otr</w:t>
            </w:r>
            <w:r w:rsidR="00996D2F" w:rsidRPr="00657A14">
              <w:rPr>
                <w:rFonts w:ascii="Times New Roman" w:hAnsi="Times New Roman" w:cs="Times New Roman"/>
                <w:color w:val="000000" w:themeColor="text1"/>
                <w:sz w:val="24"/>
                <w:szCs w:val="24"/>
              </w:rPr>
              <w:t>ajā</w:t>
            </w:r>
            <w:r w:rsidR="005E693D" w:rsidRPr="00657A14">
              <w:rPr>
                <w:rFonts w:ascii="Times New Roman" w:hAnsi="Times New Roman" w:cs="Times New Roman"/>
                <w:color w:val="000000" w:themeColor="text1"/>
                <w:sz w:val="24"/>
                <w:szCs w:val="24"/>
              </w:rPr>
              <w:t xml:space="preserve"> daļ</w:t>
            </w:r>
            <w:r w:rsidR="00996D2F" w:rsidRPr="00657A14">
              <w:rPr>
                <w:rFonts w:ascii="Times New Roman" w:hAnsi="Times New Roman" w:cs="Times New Roman"/>
                <w:color w:val="000000" w:themeColor="text1"/>
                <w:sz w:val="24"/>
                <w:szCs w:val="24"/>
              </w:rPr>
              <w:t>ā</w:t>
            </w:r>
            <w:r w:rsidR="005E693D" w:rsidRPr="00657A14">
              <w:rPr>
                <w:rFonts w:ascii="Times New Roman" w:hAnsi="Times New Roman" w:cs="Times New Roman"/>
                <w:color w:val="000000" w:themeColor="text1"/>
                <w:sz w:val="24"/>
                <w:szCs w:val="24"/>
              </w:rPr>
              <w:t xml:space="preserve">. NILLTFNL 45.panta otrās daļas 6.punkts nosaka, ka </w:t>
            </w:r>
            <w:r w:rsidR="00CF2098" w:rsidRPr="00657A14">
              <w:rPr>
                <w:rFonts w:ascii="Times New Roman" w:hAnsi="Times New Roman" w:cs="Times New Roman"/>
                <w:color w:val="000000" w:themeColor="text1"/>
                <w:sz w:val="24"/>
                <w:szCs w:val="24"/>
              </w:rPr>
              <w:t>VID uzrauga citas finanšu iestādes, kas nav minētas NILLTFNL 1.panta 7.punktā</w:t>
            </w:r>
            <w:r w:rsidR="00996D2F" w:rsidRPr="00657A14">
              <w:rPr>
                <w:rFonts w:ascii="Times New Roman" w:hAnsi="Times New Roman" w:cs="Times New Roman"/>
                <w:color w:val="000000" w:themeColor="text1"/>
                <w:sz w:val="24"/>
                <w:szCs w:val="24"/>
              </w:rPr>
              <w:t>.</w:t>
            </w:r>
            <w:r w:rsidR="0077178C" w:rsidRPr="00657A14">
              <w:rPr>
                <w:rFonts w:ascii="Times New Roman" w:hAnsi="Times New Roman" w:cs="Times New Roman"/>
                <w:color w:val="000000" w:themeColor="text1"/>
                <w:sz w:val="24"/>
                <w:szCs w:val="24"/>
              </w:rPr>
              <w:t xml:space="preserve"> </w:t>
            </w:r>
            <w:r w:rsidR="006155D7" w:rsidRPr="00657A14">
              <w:rPr>
                <w:rFonts w:ascii="Times New Roman" w:hAnsi="Times New Roman" w:cs="Times New Roman"/>
                <w:color w:val="000000" w:themeColor="text1"/>
                <w:sz w:val="24"/>
                <w:szCs w:val="24"/>
              </w:rPr>
              <w:t xml:space="preserve">Novēršot iespēju dažādi interpretēt NILLTFNL </w:t>
            </w:r>
            <w:r w:rsidR="00D56BA2" w:rsidRPr="00657A14">
              <w:rPr>
                <w:rFonts w:ascii="Times New Roman" w:hAnsi="Times New Roman" w:cs="Times New Roman"/>
                <w:color w:val="000000" w:themeColor="text1"/>
                <w:sz w:val="24"/>
                <w:szCs w:val="24"/>
              </w:rPr>
              <w:t xml:space="preserve">45.panta </w:t>
            </w:r>
            <w:r w:rsidR="006155D7" w:rsidRPr="00657A14">
              <w:rPr>
                <w:rFonts w:ascii="Times New Roman" w:hAnsi="Times New Roman" w:cs="Times New Roman"/>
                <w:color w:val="000000" w:themeColor="text1"/>
                <w:sz w:val="24"/>
                <w:szCs w:val="24"/>
              </w:rPr>
              <w:t>otrās daļas 6.punktu</w:t>
            </w:r>
            <w:r w:rsidR="00996D2F" w:rsidRPr="00657A14">
              <w:rPr>
                <w:rFonts w:ascii="Times New Roman" w:hAnsi="Times New Roman" w:cs="Times New Roman"/>
                <w:color w:val="000000" w:themeColor="text1"/>
                <w:sz w:val="24"/>
                <w:szCs w:val="24"/>
              </w:rPr>
              <w:t>,</w:t>
            </w:r>
            <w:r w:rsidR="004457E3" w:rsidRPr="00657A14">
              <w:rPr>
                <w:rFonts w:ascii="Times New Roman" w:hAnsi="Times New Roman" w:cs="Times New Roman"/>
                <w:color w:val="000000" w:themeColor="text1"/>
                <w:sz w:val="24"/>
                <w:szCs w:val="24"/>
              </w:rPr>
              <w:t xml:space="preserve"> likumprojekts paredz to precizēt</w:t>
            </w:r>
            <w:r w:rsidR="00996D2F" w:rsidRPr="00657A14">
              <w:rPr>
                <w:rFonts w:ascii="Times New Roman" w:hAnsi="Times New Roman" w:cs="Times New Roman"/>
                <w:color w:val="000000" w:themeColor="text1"/>
                <w:sz w:val="24"/>
                <w:szCs w:val="24"/>
              </w:rPr>
              <w:t>,</w:t>
            </w:r>
            <w:r w:rsidR="006155D7" w:rsidRPr="00657A14">
              <w:rPr>
                <w:rFonts w:ascii="Times New Roman" w:hAnsi="Times New Roman" w:cs="Times New Roman"/>
                <w:color w:val="000000" w:themeColor="text1"/>
                <w:sz w:val="24"/>
                <w:szCs w:val="24"/>
              </w:rPr>
              <w:t xml:space="preserve"> </w:t>
            </w:r>
            <w:r w:rsidR="004457E3" w:rsidRPr="00657A14">
              <w:rPr>
                <w:rFonts w:ascii="Times New Roman" w:hAnsi="Times New Roman" w:cs="Times New Roman"/>
                <w:color w:val="000000" w:themeColor="text1"/>
                <w:sz w:val="24"/>
                <w:szCs w:val="24"/>
              </w:rPr>
              <w:t>t</w:t>
            </w:r>
            <w:r w:rsidR="00996D2F" w:rsidRPr="00657A14">
              <w:rPr>
                <w:rFonts w:ascii="Times New Roman" w:hAnsi="Times New Roman" w:cs="Times New Roman"/>
                <w:color w:val="000000" w:themeColor="text1"/>
                <w:sz w:val="24"/>
                <w:szCs w:val="24"/>
              </w:rPr>
              <w:t>as</w:t>
            </w:r>
            <w:r w:rsidR="007348CE" w:rsidRPr="00657A14">
              <w:rPr>
                <w:rFonts w:ascii="Times New Roman" w:hAnsi="Times New Roman" w:cs="Times New Roman"/>
                <w:color w:val="000000" w:themeColor="text1"/>
                <w:sz w:val="24"/>
                <w:szCs w:val="24"/>
              </w:rPr>
              <w:t xml:space="preserve"> </w:t>
            </w:r>
            <w:r w:rsidR="004457E3" w:rsidRPr="00657A14">
              <w:rPr>
                <w:rFonts w:ascii="Times New Roman" w:hAnsi="Times New Roman" w:cs="Times New Roman"/>
                <w:color w:val="000000" w:themeColor="text1"/>
                <w:sz w:val="24"/>
                <w:szCs w:val="24"/>
              </w:rPr>
              <w:t>i</w:t>
            </w:r>
            <w:r w:rsidR="00996D2F" w:rsidRPr="00657A14">
              <w:rPr>
                <w:rFonts w:ascii="Times New Roman" w:hAnsi="Times New Roman" w:cs="Times New Roman"/>
                <w:color w:val="000000" w:themeColor="text1"/>
                <w:sz w:val="24"/>
                <w:szCs w:val="24"/>
              </w:rPr>
              <w:t>r, noteikt, ka</w:t>
            </w:r>
            <w:r w:rsidR="004457E3" w:rsidRPr="00657A14">
              <w:rPr>
                <w:rFonts w:ascii="Times New Roman" w:hAnsi="Times New Roman" w:cs="Times New Roman"/>
                <w:color w:val="000000" w:themeColor="text1"/>
                <w:sz w:val="24"/>
                <w:szCs w:val="24"/>
              </w:rPr>
              <w:t xml:space="preserve"> VID uzrauga citas finanšu iestādes, kas nav minētas NILLTFNL 45.panta pirmās daļas 1.punktā, kuras sniedz</w:t>
            </w:r>
            <w:r w:rsidR="00190D1D" w:rsidRPr="00657A14">
              <w:rPr>
                <w:rFonts w:ascii="Times New Roman" w:hAnsi="Times New Roman" w:cs="Times New Roman"/>
                <w:color w:val="000000" w:themeColor="text1"/>
                <w:sz w:val="24"/>
                <w:szCs w:val="24"/>
              </w:rPr>
              <w:t>:</w:t>
            </w:r>
          </w:p>
          <w:p w:rsidR="00F64369" w:rsidRPr="00657A14" w:rsidRDefault="004457E3"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finanšu </w:t>
            </w:r>
            <w:r w:rsidR="00190D1D" w:rsidRPr="00657A14">
              <w:rPr>
                <w:rFonts w:ascii="Times New Roman" w:hAnsi="Times New Roman" w:cs="Times New Roman"/>
                <w:color w:val="000000" w:themeColor="text1"/>
                <w:sz w:val="24"/>
                <w:szCs w:val="24"/>
              </w:rPr>
              <w:t>līzinga pakalpojumus</w:t>
            </w:r>
            <w:r w:rsidR="003D631D" w:rsidRPr="00657A14">
              <w:rPr>
                <w:rFonts w:ascii="Times New Roman" w:hAnsi="Times New Roman" w:cs="Times New Roman"/>
                <w:color w:val="000000" w:themeColor="text1"/>
                <w:sz w:val="24"/>
                <w:szCs w:val="24"/>
              </w:rPr>
              <w:t>, izņemot tos finanšu līzinga pakalpojumu sniedzējus, kuru darbību uzrauga Patērētāju tiesību aizsardzības centrs</w:t>
            </w:r>
            <w:r w:rsidR="00996D2F" w:rsidRPr="00657A14">
              <w:rPr>
                <w:rFonts w:ascii="Times New Roman" w:hAnsi="Times New Roman" w:cs="Times New Roman"/>
                <w:color w:val="000000" w:themeColor="text1"/>
                <w:sz w:val="24"/>
                <w:szCs w:val="24"/>
              </w:rPr>
              <w:t>;</w:t>
            </w:r>
            <w:r w:rsidR="00190D1D" w:rsidRPr="00657A14">
              <w:rPr>
                <w:rFonts w:ascii="Times New Roman" w:hAnsi="Times New Roman" w:cs="Times New Roman"/>
                <w:color w:val="000000" w:themeColor="text1"/>
                <w:sz w:val="24"/>
                <w:szCs w:val="24"/>
              </w:rPr>
              <w:t xml:space="preserve"> </w:t>
            </w:r>
          </w:p>
          <w:p w:rsidR="00190D1D" w:rsidRPr="00657A14" w:rsidRDefault="003D631D"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kreditēšana, kuru pakalpojumu sniegšanai </w:t>
            </w:r>
            <w:r w:rsidR="00190D1D" w:rsidRPr="00657A14">
              <w:rPr>
                <w:rFonts w:ascii="Times New Roman" w:hAnsi="Times New Roman" w:cs="Times New Roman"/>
                <w:color w:val="000000" w:themeColor="text1"/>
                <w:sz w:val="24"/>
                <w:szCs w:val="24"/>
              </w:rPr>
              <w:t>nav nepieciešama licencēšana, pakalpojumus</w:t>
            </w:r>
            <w:r w:rsidR="00996D2F" w:rsidRPr="00657A14">
              <w:rPr>
                <w:rFonts w:ascii="Times New Roman" w:hAnsi="Times New Roman" w:cs="Times New Roman"/>
                <w:color w:val="000000" w:themeColor="text1"/>
                <w:sz w:val="24"/>
                <w:szCs w:val="24"/>
              </w:rPr>
              <w:t>;</w:t>
            </w:r>
          </w:p>
          <w:p w:rsidR="00190D1D" w:rsidRPr="00657A14" w:rsidRDefault="00190D1D"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galvojumu un citu tādu saistību aktu izsniegšana, ar kuriem uzņemts pienākums, pakalpojumus</w:t>
            </w:r>
            <w:r w:rsidR="00996D2F" w:rsidRPr="00657A14">
              <w:rPr>
                <w:rFonts w:ascii="Times New Roman" w:hAnsi="Times New Roman" w:cs="Times New Roman"/>
                <w:color w:val="000000" w:themeColor="text1"/>
                <w:sz w:val="24"/>
                <w:szCs w:val="24"/>
              </w:rPr>
              <w:t>;</w:t>
            </w:r>
          </w:p>
          <w:p w:rsidR="00190D1D" w:rsidRPr="00657A14" w:rsidRDefault="00190D1D"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konsultācijas klientiem finansiāla rakstura jautājumos, pakalpojumus</w:t>
            </w:r>
            <w:r w:rsidR="00996D2F" w:rsidRPr="00657A14">
              <w:rPr>
                <w:rFonts w:ascii="Times New Roman" w:hAnsi="Times New Roman" w:cs="Times New Roman"/>
                <w:color w:val="000000" w:themeColor="text1"/>
                <w:sz w:val="24"/>
                <w:szCs w:val="24"/>
              </w:rPr>
              <w:t>;</w:t>
            </w:r>
          </w:p>
          <w:p w:rsidR="00190D1D" w:rsidRPr="00657A14" w:rsidRDefault="003D631D"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inkasāciju</w:t>
            </w:r>
            <w:r w:rsidR="00996D2F" w:rsidRPr="00657A14">
              <w:rPr>
                <w:rFonts w:ascii="Times New Roman" w:hAnsi="Times New Roman" w:cs="Times New Roman"/>
                <w:color w:val="000000" w:themeColor="text1"/>
                <w:sz w:val="24"/>
                <w:szCs w:val="24"/>
              </w:rPr>
              <w:t>;</w:t>
            </w:r>
          </w:p>
          <w:p w:rsidR="004B216A" w:rsidRPr="00657A14" w:rsidRDefault="009F11E1" w:rsidP="00424423">
            <w:pPr>
              <w:pStyle w:val="ListParagraph"/>
              <w:widowControl w:val="0"/>
              <w:numPr>
                <w:ilvl w:val="0"/>
                <w:numId w:val="13"/>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virtuālās valūtas pakalpojumu sniedzēju, pakalpojumus.</w:t>
            </w:r>
          </w:p>
          <w:p w:rsidR="0009637F" w:rsidRPr="00657A14" w:rsidRDefault="00D801E5"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Pakalpojumu sniedzēji iekļauti</w:t>
            </w:r>
            <w:r w:rsidR="00996D2F"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atbilstoši izvērtējot Kredītiestāžu likum</w:t>
            </w:r>
            <w:r w:rsidR="00996D2F"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1.panta 4.punktā uzskaitīt</w:t>
            </w:r>
            <w:r w:rsidR="00996D2F" w:rsidRPr="00657A14">
              <w:rPr>
                <w:rFonts w:ascii="Times New Roman" w:hAnsi="Times New Roman" w:cs="Times New Roman"/>
                <w:color w:val="000000" w:themeColor="text1"/>
                <w:sz w:val="24"/>
                <w:szCs w:val="24"/>
              </w:rPr>
              <w:t>os</w:t>
            </w:r>
            <w:r w:rsidRPr="00657A14">
              <w:rPr>
                <w:rFonts w:ascii="Times New Roman" w:hAnsi="Times New Roman" w:cs="Times New Roman"/>
                <w:color w:val="000000" w:themeColor="text1"/>
                <w:sz w:val="24"/>
                <w:szCs w:val="24"/>
              </w:rPr>
              <w:t xml:space="preserve"> finanšu pakalpojum</w:t>
            </w:r>
            <w:r w:rsidR="00996D2F" w:rsidRPr="00657A14">
              <w:rPr>
                <w:rFonts w:ascii="Times New Roman" w:hAnsi="Times New Roman" w:cs="Times New Roman"/>
                <w:color w:val="000000" w:themeColor="text1"/>
                <w:sz w:val="24"/>
                <w:szCs w:val="24"/>
              </w:rPr>
              <w:t>u veidus</w:t>
            </w:r>
            <w:r w:rsidRPr="00657A14">
              <w:rPr>
                <w:rFonts w:ascii="Times New Roman" w:hAnsi="Times New Roman" w:cs="Times New Roman"/>
                <w:color w:val="000000" w:themeColor="text1"/>
                <w:sz w:val="24"/>
                <w:szCs w:val="24"/>
              </w:rPr>
              <w:t>.</w:t>
            </w:r>
          </w:p>
          <w:p w:rsidR="00565AE9" w:rsidRPr="00657A14" w:rsidRDefault="00EB22BE"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Šobrīd vēl viens sektors, kurš netiek uzraudzīts un kontrolēts NILLTFN jomā ir </w:t>
            </w:r>
            <w:r w:rsidR="00E15F12" w:rsidRPr="00657A14">
              <w:rPr>
                <w:rFonts w:ascii="Times New Roman" w:hAnsi="Times New Roman" w:cs="Times New Roman"/>
                <w:color w:val="000000" w:themeColor="text1"/>
                <w:sz w:val="24"/>
                <w:szCs w:val="24"/>
              </w:rPr>
              <w:t>nebanku</w:t>
            </w:r>
            <w:r w:rsidR="007348CE" w:rsidRPr="00657A14">
              <w:rPr>
                <w:rFonts w:ascii="Times New Roman" w:hAnsi="Times New Roman" w:cs="Times New Roman"/>
                <w:color w:val="000000" w:themeColor="text1"/>
                <w:sz w:val="24"/>
                <w:szCs w:val="24"/>
              </w:rPr>
              <w:t xml:space="preserve"> </w:t>
            </w:r>
            <w:r w:rsidR="003952D0" w:rsidRPr="00657A14">
              <w:rPr>
                <w:rFonts w:ascii="Times New Roman" w:hAnsi="Times New Roman" w:cs="Times New Roman"/>
                <w:color w:val="000000" w:themeColor="text1"/>
                <w:sz w:val="24"/>
                <w:szCs w:val="24"/>
              </w:rPr>
              <w:t>(patērētāju)</w:t>
            </w:r>
            <w:r w:rsidR="00E15F12" w:rsidRPr="00657A14">
              <w:rPr>
                <w:rFonts w:ascii="Times New Roman" w:hAnsi="Times New Roman" w:cs="Times New Roman"/>
                <w:color w:val="000000" w:themeColor="text1"/>
                <w:sz w:val="24"/>
                <w:szCs w:val="24"/>
              </w:rPr>
              <w:t xml:space="preserve"> kred</w:t>
            </w:r>
            <w:r w:rsidR="003952D0" w:rsidRPr="00657A14">
              <w:rPr>
                <w:rFonts w:ascii="Times New Roman" w:hAnsi="Times New Roman" w:cs="Times New Roman"/>
                <w:color w:val="000000" w:themeColor="text1"/>
                <w:sz w:val="24"/>
                <w:szCs w:val="24"/>
              </w:rPr>
              <w:t>ītdevēji</w:t>
            </w:r>
            <w:r w:rsidR="00E15F12" w:rsidRPr="00657A14">
              <w:rPr>
                <w:rFonts w:ascii="Times New Roman" w:hAnsi="Times New Roman" w:cs="Times New Roman"/>
                <w:color w:val="000000" w:themeColor="text1"/>
                <w:sz w:val="24"/>
                <w:szCs w:val="24"/>
              </w:rPr>
              <w:t xml:space="preserve">. </w:t>
            </w:r>
            <w:r w:rsidR="004970EE" w:rsidRPr="00657A14">
              <w:rPr>
                <w:rFonts w:ascii="Times New Roman" w:hAnsi="Times New Roman" w:cs="Times New Roman"/>
                <w:color w:val="000000" w:themeColor="text1"/>
                <w:sz w:val="24"/>
                <w:szCs w:val="24"/>
              </w:rPr>
              <w:t>Līdz ar to, šis sektors ietver  noziedzīgi iegūtu līdzekļu legalizācijas un terorisma finansēšanas</w:t>
            </w:r>
            <w:r w:rsidR="007348CE" w:rsidRPr="00657A14">
              <w:rPr>
                <w:rFonts w:ascii="Times New Roman" w:hAnsi="Times New Roman" w:cs="Times New Roman"/>
                <w:color w:val="000000" w:themeColor="text1"/>
                <w:sz w:val="24"/>
                <w:szCs w:val="24"/>
              </w:rPr>
              <w:t xml:space="preserve"> </w:t>
            </w:r>
            <w:r w:rsidR="003952D0" w:rsidRPr="00657A14">
              <w:rPr>
                <w:rFonts w:ascii="Times New Roman" w:hAnsi="Times New Roman" w:cs="Times New Roman"/>
                <w:color w:val="000000" w:themeColor="text1"/>
                <w:sz w:val="24"/>
                <w:szCs w:val="24"/>
              </w:rPr>
              <w:t>riskus</w:t>
            </w:r>
            <w:r w:rsidR="00EE3D0A" w:rsidRPr="00657A14">
              <w:rPr>
                <w:rFonts w:ascii="Times New Roman" w:hAnsi="Times New Roman" w:cs="Times New Roman"/>
                <w:color w:val="000000" w:themeColor="text1"/>
                <w:sz w:val="24"/>
                <w:szCs w:val="24"/>
              </w:rPr>
              <w:t xml:space="preserve">. No uzraudzības un kontroles viedokļa ir būtiski apzināties noteiktā subjekta darbības principus, </w:t>
            </w:r>
            <w:r w:rsidR="003952D0" w:rsidRPr="00657A14">
              <w:rPr>
                <w:rFonts w:ascii="Times New Roman" w:hAnsi="Times New Roman" w:cs="Times New Roman"/>
                <w:color w:val="000000" w:themeColor="text1"/>
                <w:sz w:val="24"/>
                <w:szCs w:val="24"/>
              </w:rPr>
              <w:t xml:space="preserve">un </w:t>
            </w:r>
            <w:r w:rsidR="00EE3D0A" w:rsidRPr="00657A14">
              <w:rPr>
                <w:rFonts w:ascii="Times New Roman" w:hAnsi="Times New Roman" w:cs="Times New Roman"/>
                <w:color w:val="000000" w:themeColor="text1"/>
                <w:sz w:val="24"/>
                <w:szCs w:val="24"/>
              </w:rPr>
              <w:t>institūcijas, kuras licencē attiecīgās iestādes</w:t>
            </w:r>
            <w:r w:rsidR="003952D0" w:rsidRPr="00657A14">
              <w:rPr>
                <w:rFonts w:ascii="Times New Roman" w:hAnsi="Times New Roman" w:cs="Times New Roman"/>
                <w:color w:val="000000" w:themeColor="text1"/>
                <w:sz w:val="24"/>
                <w:szCs w:val="24"/>
              </w:rPr>
              <w:t>,</w:t>
            </w:r>
            <w:r w:rsidR="00EE3D0A" w:rsidRPr="00657A14">
              <w:rPr>
                <w:rFonts w:ascii="Times New Roman" w:hAnsi="Times New Roman" w:cs="Times New Roman"/>
                <w:color w:val="000000" w:themeColor="text1"/>
                <w:sz w:val="24"/>
                <w:szCs w:val="24"/>
              </w:rPr>
              <w:t xml:space="preserve"> ir vienas no kompetentākajām, jo licencēšanas nolūkos pārbauda attiecīgā subjekta piemērotību paredzētajai darbībai. Nebanku</w:t>
            </w:r>
            <w:r w:rsidR="007348CE" w:rsidRPr="00657A14">
              <w:rPr>
                <w:rFonts w:ascii="Times New Roman" w:hAnsi="Times New Roman" w:cs="Times New Roman"/>
                <w:color w:val="000000" w:themeColor="text1"/>
                <w:sz w:val="24"/>
                <w:szCs w:val="24"/>
              </w:rPr>
              <w:t xml:space="preserve"> </w:t>
            </w:r>
            <w:r w:rsidR="003952D0" w:rsidRPr="00657A14">
              <w:rPr>
                <w:rFonts w:ascii="Times New Roman" w:hAnsi="Times New Roman" w:cs="Times New Roman"/>
                <w:color w:val="000000" w:themeColor="text1"/>
                <w:sz w:val="24"/>
                <w:szCs w:val="24"/>
              </w:rPr>
              <w:t>(patērētāju)</w:t>
            </w:r>
            <w:r w:rsidR="00EE3D0A" w:rsidRPr="00657A14">
              <w:rPr>
                <w:rFonts w:ascii="Times New Roman" w:hAnsi="Times New Roman" w:cs="Times New Roman"/>
                <w:color w:val="000000" w:themeColor="text1"/>
                <w:sz w:val="24"/>
                <w:szCs w:val="24"/>
              </w:rPr>
              <w:t xml:space="preserve"> kred</w:t>
            </w:r>
            <w:r w:rsidR="003952D0" w:rsidRPr="00657A14">
              <w:rPr>
                <w:rFonts w:ascii="Times New Roman" w:hAnsi="Times New Roman" w:cs="Times New Roman"/>
                <w:color w:val="000000" w:themeColor="text1"/>
                <w:sz w:val="24"/>
                <w:szCs w:val="24"/>
              </w:rPr>
              <w:t>itēšanas</w:t>
            </w:r>
            <w:r w:rsidR="00EE3D0A" w:rsidRPr="00657A14">
              <w:rPr>
                <w:rFonts w:ascii="Times New Roman" w:hAnsi="Times New Roman" w:cs="Times New Roman"/>
                <w:color w:val="000000" w:themeColor="text1"/>
                <w:sz w:val="24"/>
                <w:szCs w:val="24"/>
              </w:rPr>
              <w:t xml:space="preserve"> pakalpojumu sniedzējus normatīv</w:t>
            </w:r>
            <w:r w:rsidR="003952D0" w:rsidRPr="00657A14">
              <w:rPr>
                <w:rFonts w:ascii="Times New Roman" w:hAnsi="Times New Roman" w:cs="Times New Roman"/>
                <w:color w:val="000000" w:themeColor="text1"/>
                <w:sz w:val="24"/>
                <w:szCs w:val="24"/>
              </w:rPr>
              <w:t>ajos</w:t>
            </w:r>
            <w:r w:rsidR="00EE3D0A" w:rsidRPr="00657A14">
              <w:rPr>
                <w:rFonts w:ascii="Times New Roman" w:hAnsi="Times New Roman" w:cs="Times New Roman"/>
                <w:color w:val="000000" w:themeColor="text1"/>
                <w:sz w:val="24"/>
                <w:szCs w:val="24"/>
              </w:rPr>
              <w:t xml:space="preserve"> akt</w:t>
            </w:r>
            <w:r w:rsidR="003952D0" w:rsidRPr="00657A14">
              <w:rPr>
                <w:rFonts w:ascii="Times New Roman" w:hAnsi="Times New Roman" w:cs="Times New Roman"/>
                <w:color w:val="000000" w:themeColor="text1"/>
                <w:sz w:val="24"/>
                <w:szCs w:val="24"/>
              </w:rPr>
              <w:t>os</w:t>
            </w:r>
            <w:r w:rsidR="00EE3D0A" w:rsidRPr="00657A14">
              <w:rPr>
                <w:rFonts w:ascii="Times New Roman" w:hAnsi="Times New Roman" w:cs="Times New Roman"/>
                <w:color w:val="000000" w:themeColor="text1"/>
                <w:sz w:val="24"/>
                <w:szCs w:val="24"/>
              </w:rPr>
              <w:t xml:space="preserve"> noteiktajā kārtībā licencē Patērētāju tiesību aizsardzības centrs. Likumprojekts (NILLTFNL 45.pant</w:t>
            </w:r>
            <w:r w:rsidR="006D7935" w:rsidRPr="00657A14">
              <w:rPr>
                <w:rFonts w:ascii="Times New Roman" w:hAnsi="Times New Roman" w:cs="Times New Roman"/>
                <w:color w:val="000000" w:themeColor="text1"/>
                <w:sz w:val="24"/>
                <w:szCs w:val="24"/>
              </w:rPr>
              <w:t>a</w:t>
            </w:r>
            <w:r w:rsidR="00EE3D0A" w:rsidRPr="00657A14">
              <w:rPr>
                <w:rFonts w:ascii="Times New Roman" w:hAnsi="Times New Roman" w:cs="Times New Roman"/>
                <w:color w:val="000000" w:themeColor="text1"/>
                <w:sz w:val="24"/>
                <w:szCs w:val="24"/>
              </w:rPr>
              <w:t xml:space="preserve"> 2</w:t>
            </w:r>
            <w:r w:rsidR="00D56BA2" w:rsidRPr="00657A14">
              <w:rPr>
                <w:rFonts w:ascii="Times New Roman" w:hAnsi="Times New Roman" w:cs="Times New Roman"/>
                <w:color w:val="000000" w:themeColor="text1"/>
                <w:sz w:val="24"/>
                <w:szCs w:val="24"/>
              </w:rPr>
              <w:t>.</w:t>
            </w:r>
            <w:r w:rsidR="00EE3D0A" w:rsidRPr="00657A14">
              <w:rPr>
                <w:rFonts w:ascii="Times New Roman" w:hAnsi="Times New Roman" w:cs="Times New Roman"/>
                <w:color w:val="000000" w:themeColor="text1"/>
                <w:sz w:val="24"/>
                <w:szCs w:val="24"/>
              </w:rPr>
              <w:t>¹</w:t>
            </w:r>
            <w:r w:rsidR="003952D0" w:rsidRPr="00657A14">
              <w:rPr>
                <w:rFonts w:ascii="Times New Roman" w:hAnsi="Times New Roman" w:cs="Times New Roman"/>
                <w:color w:val="000000" w:themeColor="text1"/>
                <w:sz w:val="24"/>
                <w:szCs w:val="24"/>
              </w:rPr>
              <w:t xml:space="preserve"> </w:t>
            </w:r>
            <w:r w:rsidR="00EE3D0A" w:rsidRPr="00657A14">
              <w:rPr>
                <w:rFonts w:ascii="Times New Roman" w:hAnsi="Times New Roman" w:cs="Times New Roman"/>
                <w:color w:val="000000" w:themeColor="text1"/>
                <w:sz w:val="24"/>
                <w:szCs w:val="24"/>
              </w:rPr>
              <w:t xml:space="preserve">daļa) paredz to, ka Patērētāju tiesību aizsardzības centrs uzraudzīs un kontrolēs NILLTFN jomā </w:t>
            </w:r>
            <w:r w:rsidR="003952D0" w:rsidRPr="00657A14">
              <w:rPr>
                <w:rFonts w:ascii="Times New Roman" w:hAnsi="Times New Roman" w:cs="Times New Roman"/>
                <w:color w:val="000000" w:themeColor="text1"/>
                <w:sz w:val="24"/>
                <w:szCs w:val="24"/>
              </w:rPr>
              <w:t>nebanku (</w:t>
            </w:r>
            <w:r w:rsidR="00EE3D0A" w:rsidRPr="00657A14">
              <w:rPr>
                <w:rFonts w:ascii="Times New Roman" w:hAnsi="Times New Roman" w:cs="Times New Roman"/>
                <w:color w:val="000000" w:themeColor="text1"/>
                <w:sz w:val="24"/>
                <w:szCs w:val="24"/>
              </w:rPr>
              <w:t>patērētāju</w:t>
            </w:r>
            <w:r w:rsidR="003952D0" w:rsidRPr="00657A14">
              <w:rPr>
                <w:rFonts w:ascii="Times New Roman" w:hAnsi="Times New Roman" w:cs="Times New Roman"/>
                <w:color w:val="000000" w:themeColor="text1"/>
                <w:sz w:val="24"/>
                <w:szCs w:val="24"/>
              </w:rPr>
              <w:t>)</w:t>
            </w:r>
            <w:r w:rsidR="00EE3D0A" w:rsidRPr="00657A14">
              <w:rPr>
                <w:rFonts w:ascii="Times New Roman" w:hAnsi="Times New Roman" w:cs="Times New Roman"/>
                <w:color w:val="000000" w:themeColor="text1"/>
                <w:sz w:val="24"/>
                <w:szCs w:val="24"/>
              </w:rPr>
              <w:t xml:space="preserve"> kreditētājus, kuru licencēšanu tas veic</w:t>
            </w:r>
            <w:r w:rsidR="00550250" w:rsidRPr="00657A14">
              <w:rPr>
                <w:rFonts w:ascii="Times New Roman" w:hAnsi="Times New Roman" w:cs="Times New Roman"/>
                <w:color w:val="000000" w:themeColor="text1"/>
                <w:sz w:val="24"/>
                <w:szCs w:val="24"/>
              </w:rPr>
              <w:t>, tādējādi samazinot NILLTFN risku ša</w:t>
            </w:r>
            <w:r w:rsidR="003952D0" w:rsidRPr="00657A14">
              <w:rPr>
                <w:rFonts w:ascii="Times New Roman" w:hAnsi="Times New Roman" w:cs="Times New Roman"/>
                <w:color w:val="000000" w:themeColor="text1"/>
                <w:sz w:val="24"/>
                <w:szCs w:val="24"/>
              </w:rPr>
              <w:t>jā</w:t>
            </w:r>
            <w:r w:rsidR="00550250" w:rsidRPr="00657A14">
              <w:rPr>
                <w:rFonts w:ascii="Times New Roman" w:hAnsi="Times New Roman" w:cs="Times New Roman"/>
                <w:color w:val="000000" w:themeColor="text1"/>
                <w:sz w:val="24"/>
                <w:szCs w:val="24"/>
              </w:rPr>
              <w:t xml:space="preserve"> sektorā.</w:t>
            </w:r>
            <w:r w:rsidR="006F4D2D" w:rsidRPr="00657A14">
              <w:rPr>
                <w:rFonts w:ascii="Times New Roman" w:hAnsi="Times New Roman" w:cs="Times New Roman"/>
                <w:color w:val="000000" w:themeColor="text1"/>
                <w:sz w:val="24"/>
                <w:szCs w:val="24"/>
              </w:rPr>
              <w:t xml:space="preserve"> Nelicencētos patērētāju kreditēšanas </w:t>
            </w:r>
            <w:r w:rsidR="006F4D2D" w:rsidRPr="00657A14">
              <w:rPr>
                <w:rFonts w:ascii="Times New Roman" w:hAnsi="Times New Roman" w:cs="Times New Roman"/>
                <w:color w:val="000000" w:themeColor="text1"/>
                <w:sz w:val="24"/>
                <w:szCs w:val="24"/>
              </w:rPr>
              <w:lastRenderedPageBreak/>
              <w:t>pakalpojumus uzrauga Valsts ieņēmu dienests.</w:t>
            </w:r>
            <w:r w:rsidR="00394349" w:rsidRPr="00657A14">
              <w:rPr>
                <w:rFonts w:ascii="Times New Roman" w:hAnsi="Times New Roman" w:cs="Times New Roman"/>
                <w:color w:val="000000" w:themeColor="text1"/>
                <w:sz w:val="24"/>
                <w:szCs w:val="24"/>
              </w:rPr>
              <w:t xml:space="preserve"> </w:t>
            </w:r>
          </w:p>
          <w:p w:rsidR="005A18DC" w:rsidRPr="00657A14" w:rsidRDefault="00BC0953"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Likumprojekts </w:t>
            </w:r>
            <w:r w:rsidR="009B2595" w:rsidRPr="00657A14">
              <w:rPr>
                <w:rFonts w:ascii="Times New Roman" w:hAnsi="Times New Roman" w:cs="Times New Roman"/>
                <w:color w:val="000000" w:themeColor="text1"/>
                <w:sz w:val="24"/>
                <w:szCs w:val="24"/>
              </w:rPr>
              <w:t xml:space="preserve">paredz </w:t>
            </w:r>
            <w:r w:rsidR="006B0406" w:rsidRPr="00657A14">
              <w:rPr>
                <w:rFonts w:ascii="Times New Roman" w:hAnsi="Times New Roman" w:cs="Times New Roman"/>
                <w:color w:val="000000" w:themeColor="text1"/>
                <w:sz w:val="24"/>
                <w:szCs w:val="24"/>
              </w:rPr>
              <w:t xml:space="preserve">papildināt </w:t>
            </w:r>
            <w:r w:rsidR="008D6F3A" w:rsidRPr="00657A14">
              <w:rPr>
                <w:rFonts w:ascii="Times New Roman" w:hAnsi="Times New Roman" w:cs="Times New Roman"/>
                <w:color w:val="000000" w:themeColor="text1"/>
                <w:sz w:val="24"/>
                <w:szCs w:val="24"/>
              </w:rPr>
              <w:t xml:space="preserve">FKTK </w:t>
            </w:r>
            <w:r w:rsidR="006B0406" w:rsidRPr="00657A14">
              <w:rPr>
                <w:rFonts w:ascii="Times New Roman" w:hAnsi="Times New Roman" w:cs="Times New Roman"/>
                <w:color w:val="000000" w:themeColor="text1"/>
                <w:sz w:val="24"/>
                <w:szCs w:val="24"/>
              </w:rPr>
              <w:t>tiesības attiecībā uz  noteikto normatīvajos noteikumos, kurus tā pieņem. Likumprojekts (NILLTFNL 47.pant</w:t>
            </w:r>
            <w:r w:rsidR="00D56BA2" w:rsidRPr="00657A14">
              <w:rPr>
                <w:rFonts w:ascii="Times New Roman" w:hAnsi="Times New Roman" w:cs="Times New Roman"/>
                <w:color w:val="000000" w:themeColor="text1"/>
                <w:sz w:val="24"/>
                <w:szCs w:val="24"/>
              </w:rPr>
              <w:t>a</w:t>
            </w:r>
            <w:r w:rsidR="006B0406" w:rsidRPr="00657A14">
              <w:rPr>
                <w:rFonts w:ascii="Times New Roman" w:hAnsi="Times New Roman" w:cs="Times New Roman"/>
                <w:color w:val="000000" w:themeColor="text1"/>
                <w:sz w:val="24"/>
                <w:szCs w:val="24"/>
              </w:rPr>
              <w:t xml:space="preserve"> otrā</w:t>
            </w:r>
            <w:r w:rsidR="00D56BA2" w:rsidRPr="00657A14">
              <w:rPr>
                <w:rFonts w:ascii="Times New Roman" w:hAnsi="Times New Roman" w:cs="Times New Roman"/>
                <w:color w:val="000000" w:themeColor="text1"/>
                <w:sz w:val="24"/>
                <w:szCs w:val="24"/>
              </w:rPr>
              <w:t>s</w:t>
            </w:r>
            <w:r w:rsidR="006B0406" w:rsidRPr="00657A14">
              <w:rPr>
                <w:rFonts w:ascii="Times New Roman" w:hAnsi="Times New Roman" w:cs="Times New Roman"/>
                <w:color w:val="000000" w:themeColor="text1"/>
                <w:sz w:val="24"/>
                <w:szCs w:val="24"/>
              </w:rPr>
              <w:t xml:space="preserve"> daļa</w:t>
            </w:r>
            <w:r w:rsidR="00D56BA2" w:rsidRPr="00657A14">
              <w:rPr>
                <w:rFonts w:ascii="Times New Roman" w:hAnsi="Times New Roman" w:cs="Times New Roman"/>
                <w:color w:val="000000" w:themeColor="text1"/>
                <w:sz w:val="24"/>
                <w:szCs w:val="24"/>
              </w:rPr>
              <w:t>s</w:t>
            </w:r>
            <w:r w:rsidR="006B0406" w:rsidRPr="00657A14">
              <w:rPr>
                <w:rFonts w:ascii="Times New Roman" w:hAnsi="Times New Roman" w:cs="Times New Roman"/>
                <w:color w:val="000000" w:themeColor="text1"/>
                <w:sz w:val="24"/>
                <w:szCs w:val="24"/>
              </w:rPr>
              <w:t xml:space="preserve"> 10.punkts) paredz precizējumu uz noteikto attiecībā uz korespondentattiecībām</w:t>
            </w:r>
            <w:r w:rsidR="003952D0" w:rsidRPr="00657A14">
              <w:rPr>
                <w:rFonts w:ascii="Times New Roman" w:hAnsi="Times New Roman" w:cs="Times New Roman"/>
                <w:color w:val="000000" w:themeColor="text1"/>
                <w:sz w:val="24"/>
                <w:szCs w:val="24"/>
              </w:rPr>
              <w:t>,</w:t>
            </w:r>
            <w:r w:rsidR="006B0406" w:rsidRPr="00657A14">
              <w:rPr>
                <w:rFonts w:ascii="Times New Roman" w:hAnsi="Times New Roman" w:cs="Times New Roman"/>
                <w:color w:val="000000" w:themeColor="text1"/>
                <w:sz w:val="24"/>
                <w:szCs w:val="24"/>
              </w:rPr>
              <w:t xml:space="preserve"> un  normatīv</w:t>
            </w:r>
            <w:r w:rsidR="003952D0" w:rsidRPr="00657A14">
              <w:rPr>
                <w:rFonts w:ascii="Times New Roman" w:hAnsi="Times New Roman" w:cs="Times New Roman"/>
                <w:color w:val="000000" w:themeColor="text1"/>
                <w:sz w:val="24"/>
                <w:szCs w:val="24"/>
              </w:rPr>
              <w:t>ajo</w:t>
            </w:r>
            <w:r w:rsidR="006B0406" w:rsidRPr="00657A14">
              <w:rPr>
                <w:rFonts w:ascii="Times New Roman" w:hAnsi="Times New Roman" w:cs="Times New Roman"/>
                <w:color w:val="000000" w:themeColor="text1"/>
                <w:sz w:val="24"/>
                <w:szCs w:val="24"/>
              </w:rPr>
              <w:t xml:space="preserve">s noteikumos nosaka prasības kredītiestāžu un finanšu iestāžu korespondentattiecību nodibināšanai un </w:t>
            </w:r>
            <w:r w:rsidR="00123C82" w:rsidRPr="00657A14">
              <w:rPr>
                <w:rFonts w:ascii="Times New Roman" w:hAnsi="Times New Roman" w:cs="Times New Roman"/>
                <w:color w:val="000000" w:themeColor="text1"/>
                <w:sz w:val="24"/>
                <w:szCs w:val="24"/>
              </w:rPr>
              <w:t xml:space="preserve">uzturēšanai, un </w:t>
            </w:r>
            <w:r w:rsidR="003952D0" w:rsidRPr="00657A14">
              <w:rPr>
                <w:rFonts w:ascii="Times New Roman" w:hAnsi="Times New Roman" w:cs="Times New Roman"/>
                <w:color w:val="000000" w:themeColor="text1"/>
                <w:sz w:val="24"/>
                <w:szCs w:val="24"/>
              </w:rPr>
              <w:t xml:space="preserve"> nodibināto kredītiestāžu un finanšu iestāžu korespondentattiecību ietvaros korespondentu izpētes kārtību</w:t>
            </w:r>
            <w:r w:rsidR="00123C82" w:rsidRPr="00657A14">
              <w:rPr>
                <w:rFonts w:ascii="Times New Roman" w:hAnsi="Times New Roman" w:cs="Times New Roman"/>
                <w:color w:val="000000" w:themeColor="text1"/>
                <w:sz w:val="24"/>
                <w:szCs w:val="24"/>
              </w:rPr>
              <w:t>.</w:t>
            </w:r>
            <w:r w:rsidR="00DA1261" w:rsidRPr="00657A14">
              <w:rPr>
                <w:rFonts w:ascii="Times New Roman" w:hAnsi="Times New Roman" w:cs="Times New Roman"/>
                <w:color w:val="000000" w:themeColor="text1"/>
                <w:sz w:val="24"/>
                <w:szCs w:val="24"/>
              </w:rPr>
              <w:t xml:space="preserve"> Likumprojekts (NILLTFNL 47.p</w:t>
            </w:r>
            <w:r w:rsidR="004C3083" w:rsidRPr="00657A14">
              <w:rPr>
                <w:rFonts w:ascii="Times New Roman" w:hAnsi="Times New Roman" w:cs="Times New Roman"/>
                <w:color w:val="000000" w:themeColor="text1"/>
                <w:sz w:val="24"/>
                <w:szCs w:val="24"/>
              </w:rPr>
              <w:t>anta</w:t>
            </w:r>
            <w:r w:rsidR="00DA1261" w:rsidRPr="00657A14">
              <w:rPr>
                <w:rFonts w:ascii="Times New Roman" w:hAnsi="Times New Roman" w:cs="Times New Roman"/>
                <w:color w:val="000000" w:themeColor="text1"/>
                <w:sz w:val="24"/>
                <w:szCs w:val="24"/>
              </w:rPr>
              <w:t xml:space="preserve"> </w:t>
            </w:r>
            <w:r w:rsidR="00E44359" w:rsidRPr="00657A14">
              <w:rPr>
                <w:rFonts w:ascii="Times New Roman" w:hAnsi="Times New Roman" w:cs="Times New Roman"/>
                <w:color w:val="000000" w:themeColor="text1"/>
                <w:sz w:val="24"/>
                <w:szCs w:val="24"/>
              </w:rPr>
              <w:t>otrā</w:t>
            </w:r>
            <w:r w:rsidR="004C3083" w:rsidRPr="00657A14">
              <w:rPr>
                <w:rFonts w:ascii="Times New Roman" w:hAnsi="Times New Roman" w:cs="Times New Roman"/>
                <w:color w:val="000000" w:themeColor="text1"/>
                <w:sz w:val="24"/>
                <w:szCs w:val="24"/>
              </w:rPr>
              <w:t>s</w:t>
            </w:r>
            <w:r w:rsidR="00E44359" w:rsidRPr="00657A14">
              <w:rPr>
                <w:rFonts w:ascii="Times New Roman" w:hAnsi="Times New Roman" w:cs="Times New Roman"/>
                <w:color w:val="000000" w:themeColor="text1"/>
                <w:sz w:val="24"/>
                <w:szCs w:val="24"/>
              </w:rPr>
              <w:t xml:space="preserve"> daļa</w:t>
            </w:r>
            <w:r w:rsidR="004C3083" w:rsidRPr="00657A14">
              <w:rPr>
                <w:rFonts w:ascii="Times New Roman" w:hAnsi="Times New Roman" w:cs="Times New Roman"/>
                <w:color w:val="000000" w:themeColor="text1"/>
                <w:sz w:val="24"/>
                <w:szCs w:val="24"/>
              </w:rPr>
              <w:t>s</w:t>
            </w:r>
            <w:r w:rsidR="00E44359" w:rsidRPr="00657A14">
              <w:rPr>
                <w:rFonts w:ascii="Times New Roman" w:hAnsi="Times New Roman" w:cs="Times New Roman"/>
                <w:color w:val="000000" w:themeColor="text1"/>
                <w:sz w:val="24"/>
                <w:szCs w:val="24"/>
              </w:rPr>
              <w:t xml:space="preserve"> 15., 16., 17., 18. punkts</w:t>
            </w:r>
            <w:r w:rsidR="00DA1261" w:rsidRPr="00657A14">
              <w:rPr>
                <w:rFonts w:ascii="Times New Roman" w:hAnsi="Times New Roman" w:cs="Times New Roman"/>
                <w:color w:val="000000" w:themeColor="text1"/>
                <w:sz w:val="24"/>
                <w:szCs w:val="24"/>
              </w:rPr>
              <w:t>)</w:t>
            </w:r>
            <w:r w:rsidR="00E44359" w:rsidRPr="00657A14">
              <w:rPr>
                <w:rFonts w:ascii="Times New Roman" w:hAnsi="Times New Roman" w:cs="Times New Roman"/>
                <w:color w:val="000000" w:themeColor="text1"/>
                <w:sz w:val="24"/>
                <w:szCs w:val="24"/>
              </w:rPr>
              <w:t xml:space="preserve"> paredz </w:t>
            </w:r>
            <w:r w:rsidR="006B3D94" w:rsidRPr="00657A14">
              <w:rPr>
                <w:rFonts w:ascii="Times New Roman" w:hAnsi="Times New Roman" w:cs="Times New Roman"/>
                <w:color w:val="000000" w:themeColor="text1"/>
                <w:sz w:val="24"/>
                <w:szCs w:val="24"/>
              </w:rPr>
              <w:t>FKTK normatīvajos aktos noteikt:</w:t>
            </w:r>
          </w:p>
          <w:p w:rsidR="006B3D94" w:rsidRPr="00657A14" w:rsidRDefault="00665EF3" w:rsidP="00424423">
            <w:pPr>
              <w:pStyle w:val="ListParagraph"/>
              <w:widowControl w:val="0"/>
              <w:numPr>
                <w:ilvl w:val="0"/>
                <w:numId w:val="1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ar vienkāršoto </w:t>
            </w:r>
            <w:r w:rsidR="003008D3" w:rsidRPr="00657A14">
              <w:rPr>
                <w:rFonts w:ascii="Times New Roman" w:hAnsi="Times New Roman" w:cs="Times New Roman"/>
                <w:color w:val="000000" w:themeColor="text1"/>
                <w:sz w:val="24"/>
                <w:szCs w:val="24"/>
              </w:rPr>
              <w:t xml:space="preserve">klienta </w:t>
            </w:r>
            <w:r w:rsidRPr="00657A14">
              <w:rPr>
                <w:rFonts w:ascii="Times New Roman" w:hAnsi="Times New Roman" w:cs="Times New Roman"/>
                <w:color w:val="000000" w:themeColor="text1"/>
                <w:sz w:val="24"/>
                <w:szCs w:val="24"/>
              </w:rPr>
              <w:t>izpēti sais</w:t>
            </w:r>
            <w:r w:rsidR="003008D3" w:rsidRPr="00657A14">
              <w:rPr>
                <w:rFonts w:ascii="Times New Roman" w:hAnsi="Times New Roman" w:cs="Times New Roman"/>
                <w:color w:val="000000" w:themeColor="text1"/>
                <w:sz w:val="24"/>
                <w:szCs w:val="24"/>
              </w:rPr>
              <w:t xml:space="preserve">tītos riska apjomus un </w:t>
            </w:r>
            <w:r w:rsidR="009E5E0C" w:rsidRPr="00657A14">
              <w:rPr>
                <w:rFonts w:ascii="Times New Roman" w:hAnsi="Times New Roman" w:cs="Times New Roman"/>
                <w:color w:val="000000" w:themeColor="text1"/>
                <w:sz w:val="24"/>
                <w:szCs w:val="24"/>
              </w:rPr>
              <w:t>minimālo pasākumu kopumu tās veikšanai</w:t>
            </w:r>
            <w:r w:rsidR="003952D0" w:rsidRPr="00657A14">
              <w:rPr>
                <w:rFonts w:ascii="Times New Roman" w:hAnsi="Times New Roman" w:cs="Times New Roman"/>
                <w:color w:val="000000" w:themeColor="text1"/>
                <w:sz w:val="24"/>
                <w:szCs w:val="24"/>
              </w:rPr>
              <w:t>;</w:t>
            </w:r>
          </w:p>
          <w:p w:rsidR="009E5E0C" w:rsidRPr="00657A14" w:rsidRDefault="00CE5A82" w:rsidP="00424423">
            <w:pPr>
              <w:pStyle w:val="ListParagraph"/>
              <w:widowControl w:val="0"/>
              <w:numPr>
                <w:ilvl w:val="0"/>
                <w:numId w:val="1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kredītiestāžu un finanšu iestāžu minimālo pasākumu kopumu, ja trešās valsts tiesību </w:t>
            </w:r>
            <w:r w:rsidR="0096634C" w:rsidRPr="00657A14">
              <w:rPr>
                <w:rFonts w:ascii="Times New Roman" w:hAnsi="Times New Roman" w:cs="Times New Roman"/>
                <w:color w:val="000000" w:themeColor="text1"/>
                <w:sz w:val="24"/>
                <w:szCs w:val="24"/>
              </w:rPr>
              <w:t>akti neļauj īstenot grupas līmeņa datu aizsardzības un informācijas apmaiņas pasākumus, lai efektīvi ierobežotu NILLTF riskus</w:t>
            </w:r>
            <w:r w:rsidR="003952D0" w:rsidRPr="00657A14">
              <w:rPr>
                <w:rFonts w:ascii="Times New Roman" w:hAnsi="Times New Roman" w:cs="Times New Roman"/>
                <w:color w:val="000000" w:themeColor="text1"/>
                <w:sz w:val="24"/>
                <w:szCs w:val="24"/>
              </w:rPr>
              <w:t>;</w:t>
            </w:r>
          </w:p>
          <w:p w:rsidR="0096634C" w:rsidRPr="00657A14" w:rsidRDefault="0096634C" w:rsidP="00424423">
            <w:pPr>
              <w:pStyle w:val="ListParagraph"/>
              <w:widowControl w:val="0"/>
              <w:numPr>
                <w:ilvl w:val="0"/>
                <w:numId w:val="1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par pasākumu piemērošanu, kas jāveic attiecībā uz </w:t>
            </w:r>
            <w:r w:rsidR="00FD0B22" w:rsidRPr="00657A14">
              <w:rPr>
                <w:rFonts w:ascii="Times New Roman" w:hAnsi="Times New Roman" w:cs="Times New Roman"/>
                <w:color w:val="000000" w:themeColor="text1"/>
                <w:sz w:val="24"/>
                <w:szCs w:val="24"/>
              </w:rPr>
              <w:t xml:space="preserve">Eiropas Parlamenta un Padomes </w:t>
            </w:r>
            <w:r w:rsidR="00B87F9C" w:rsidRPr="00657A14">
              <w:rPr>
                <w:rFonts w:ascii="Times New Roman" w:hAnsi="Times New Roman" w:cs="Times New Roman"/>
                <w:color w:val="000000" w:themeColor="text1"/>
                <w:sz w:val="24"/>
                <w:szCs w:val="24"/>
              </w:rPr>
              <w:t xml:space="preserve">2015.gada 20.maija </w:t>
            </w:r>
            <w:r w:rsidR="00FD0B22" w:rsidRPr="00657A14">
              <w:rPr>
                <w:rFonts w:ascii="Times New Roman" w:hAnsi="Times New Roman" w:cs="Times New Roman"/>
                <w:color w:val="000000" w:themeColor="text1"/>
                <w:sz w:val="24"/>
                <w:szCs w:val="24"/>
              </w:rPr>
              <w:t>Regulas Nr.2015/847 par līdzekļu pārvedumiem pievienoto informāciju un ar ko atceļ Regulu (EK) Nr.1781/2006</w:t>
            </w:r>
            <w:r w:rsidR="003952D0" w:rsidRPr="00657A14">
              <w:rPr>
                <w:rFonts w:ascii="Times New Roman" w:hAnsi="Times New Roman" w:cs="Times New Roman"/>
                <w:color w:val="000000" w:themeColor="text1"/>
                <w:sz w:val="24"/>
                <w:szCs w:val="24"/>
              </w:rPr>
              <w:t>;</w:t>
            </w:r>
          </w:p>
          <w:p w:rsidR="00FD0B22" w:rsidRPr="00657A14" w:rsidRDefault="00FD0B22" w:rsidP="00424423">
            <w:pPr>
              <w:pStyle w:val="ListParagraph"/>
              <w:widowControl w:val="0"/>
              <w:numPr>
                <w:ilvl w:val="0"/>
                <w:numId w:val="15"/>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kritērijus centrālo kontaktpunktu iecelšanai.</w:t>
            </w:r>
          </w:p>
          <w:p w:rsidR="00EE3FC8" w:rsidRPr="00657A14" w:rsidRDefault="00951D7F"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AML IV direktīvas preambulas 50.punkts nosaka</w:t>
            </w:r>
            <w:r w:rsidR="00D2196A" w:rsidRPr="00657A14">
              <w:rPr>
                <w:rFonts w:ascii="Times New Roman" w:hAnsi="Times New Roman" w:cs="Times New Roman"/>
                <w:color w:val="000000" w:themeColor="text1"/>
                <w:sz w:val="24"/>
                <w:szCs w:val="24"/>
              </w:rPr>
              <w:t xml:space="preserve">, ja dalībvalstīs pieprasa elektroniskās naudas emitentiem un maksājumu pakalpojuma sniedzējiem, kuri veic </w:t>
            </w:r>
            <w:r w:rsidRPr="00657A14">
              <w:rPr>
                <w:rFonts w:ascii="Times New Roman" w:hAnsi="Times New Roman" w:cs="Times New Roman"/>
                <w:color w:val="000000" w:themeColor="text1"/>
                <w:sz w:val="24"/>
                <w:szCs w:val="24"/>
              </w:rPr>
              <w:t xml:space="preserve"> </w:t>
            </w:r>
            <w:r w:rsidR="00B02CDA" w:rsidRPr="00657A14">
              <w:rPr>
                <w:rFonts w:ascii="Times New Roman" w:hAnsi="Times New Roman" w:cs="Times New Roman"/>
                <w:color w:val="000000" w:themeColor="text1"/>
                <w:sz w:val="24"/>
                <w:szCs w:val="24"/>
              </w:rPr>
              <w:t>uzņēmējdarbību to teritorijā citās formās, nevis kā filiāle, un kuru galvenais birojs atrodas citā dalībvalstī, iecelto centrālo kontaktpunktu to teritorijā, tām būtu jāvar pieprasīt, lai šāds centrālais kontaktpunkts, kas darbojas iecēlējiestādes vārdā</w:t>
            </w:r>
            <w:r w:rsidR="00024F2B" w:rsidRPr="00657A14">
              <w:rPr>
                <w:rFonts w:ascii="Times New Roman" w:hAnsi="Times New Roman" w:cs="Times New Roman"/>
                <w:color w:val="000000" w:themeColor="text1"/>
                <w:sz w:val="24"/>
                <w:szCs w:val="24"/>
              </w:rPr>
              <w:t xml:space="preserve">, nodrošinātu šo uzņēmumu atbilstību NILLTFN noteikumiem. Turklāt tām </w:t>
            </w:r>
            <w:r w:rsidR="00F23535" w:rsidRPr="00657A14">
              <w:rPr>
                <w:rFonts w:ascii="Times New Roman" w:hAnsi="Times New Roman" w:cs="Times New Roman"/>
                <w:color w:val="000000" w:themeColor="text1"/>
                <w:sz w:val="24"/>
                <w:szCs w:val="24"/>
              </w:rPr>
              <w:t>būtu jānodrošina, lai minētā prasība būtu samērīga un nepārsniegtu to, kas ir vajadzīgs, lai sasniegtu mērķi – panākt atbilstību NILLTFN noteikumiem, - tostarp atvieglojot</w:t>
            </w:r>
            <w:r w:rsidR="002B1D78" w:rsidRPr="00657A14">
              <w:rPr>
                <w:rFonts w:ascii="Times New Roman" w:hAnsi="Times New Roman" w:cs="Times New Roman"/>
                <w:color w:val="000000" w:themeColor="text1"/>
                <w:sz w:val="24"/>
                <w:szCs w:val="24"/>
              </w:rPr>
              <w:t xml:space="preserve"> attiecīgu uzraudzību.</w:t>
            </w:r>
            <w:r w:rsidR="001143CE" w:rsidRPr="00657A14">
              <w:rPr>
                <w:rFonts w:ascii="Times New Roman" w:hAnsi="Times New Roman" w:cs="Times New Roman"/>
                <w:color w:val="000000" w:themeColor="text1"/>
                <w:sz w:val="24"/>
                <w:szCs w:val="24"/>
              </w:rPr>
              <w:t xml:space="preserve"> Ievērojot iepriekš minēto</w:t>
            </w:r>
            <w:r w:rsidR="003952D0" w:rsidRPr="00657A14">
              <w:rPr>
                <w:rFonts w:ascii="Times New Roman" w:hAnsi="Times New Roman" w:cs="Times New Roman"/>
                <w:color w:val="000000" w:themeColor="text1"/>
                <w:sz w:val="24"/>
                <w:szCs w:val="24"/>
              </w:rPr>
              <w:t>,</w:t>
            </w:r>
            <w:r w:rsidR="001143CE" w:rsidRPr="00657A14">
              <w:rPr>
                <w:rFonts w:ascii="Times New Roman" w:hAnsi="Times New Roman" w:cs="Times New Roman"/>
                <w:color w:val="000000" w:themeColor="text1"/>
                <w:sz w:val="24"/>
                <w:szCs w:val="24"/>
              </w:rPr>
              <w:t xml:space="preserve"> un noteikto AML IV direktīvas 45.panta 9.punktā</w:t>
            </w:r>
            <w:r w:rsidR="003952D0" w:rsidRPr="00657A14">
              <w:rPr>
                <w:rFonts w:ascii="Times New Roman" w:hAnsi="Times New Roman" w:cs="Times New Roman"/>
                <w:color w:val="000000" w:themeColor="text1"/>
                <w:sz w:val="24"/>
                <w:szCs w:val="24"/>
              </w:rPr>
              <w:t>,</w:t>
            </w:r>
            <w:r w:rsidR="001143CE" w:rsidRPr="00657A14">
              <w:rPr>
                <w:rFonts w:ascii="Times New Roman" w:hAnsi="Times New Roman" w:cs="Times New Roman"/>
                <w:color w:val="000000" w:themeColor="text1"/>
                <w:sz w:val="24"/>
                <w:szCs w:val="24"/>
              </w:rPr>
              <w:t xml:space="preserve"> likumprojekts (NILLTFNL 47.pant</w:t>
            </w:r>
            <w:r w:rsidR="006D7935" w:rsidRPr="00657A14">
              <w:rPr>
                <w:rFonts w:ascii="Times New Roman" w:hAnsi="Times New Roman" w:cs="Times New Roman"/>
                <w:color w:val="000000" w:themeColor="text1"/>
                <w:sz w:val="24"/>
                <w:szCs w:val="24"/>
              </w:rPr>
              <w:t>a</w:t>
            </w:r>
            <w:r w:rsidR="001143CE" w:rsidRPr="00657A14">
              <w:rPr>
                <w:rFonts w:ascii="Times New Roman" w:hAnsi="Times New Roman" w:cs="Times New Roman"/>
                <w:color w:val="000000" w:themeColor="text1"/>
                <w:sz w:val="24"/>
                <w:szCs w:val="24"/>
              </w:rPr>
              <w:t xml:space="preserve"> 2</w:t>
            </w:r>
            <w:r w:rsidR="00CA1232" w:rsidRPr="00657A14">
              <w:rPr>
                <w:rFonts w:ascii="Times New Roman" w:hAnsi="Times New Roman" w:cs="Times New Roman"/>
                <w:color w:val="000000" w:themeColor="text1"/>
                <w:sz w:val="24"/>
                <w:szCs w:val="24"/>
              </w:rPr>
              <w:t>.</w:t>
            </w:r>
            <w:r w:rsidR="001143CE" w:rsidRPr="00657A14">
              <w:rPr>
                <w:rFonts w:ascii="Times New Roman" w:hAnsi="Times New Roman" w:cs="Times New Roman"/>
                <w:color w:val="000000" w:themeColor="text1"/>
                <w:sz w:val="24"/>
                <w:szCs w:val="24"/>
              </w:rPr>
              <w:t>¹</w:t>
            </w:r>
            <w:r w:rsidR="003952D0" w:rsidRPr="00657A14">
              <w:rPr>
                <w:rFonts w:ascii="Times New Roman" w:hAnsi="Times New Roman" w:cs="Times New Roman"/>
                <w:color w:val="000000" w:themeColor="text1"/>
                <w:sz w:val="24"/>
                <w:szCs w:val="24"/>
              </w:rPr>
              <w:t xml:space="preserve"> </w:t>
            </w:r>
            <w:r w:rsidR="001143CE" w:rsidRPr="00657A14">
              <w:rPr>
                <w:rFonts w:ascii="Times New Roman" w:hAnsi="Times New Roman" w:cs="Times New Roman"/>
                <w:color w:val="000000" w:themeColor="text1"/>
                <w:sz w:val="24"/>
                <w:szCs w:val="24"/>
              </w:rPr>
              <w:t>daļa) paredz FKTK pilnvaras prasīt elektroniskās naudas iestādēm un maksājuma iestādēm, kas veic uzņēmējdarbību Latvijas Republikā kādā no veidiem</w:t>
            </w:r>
            <w:r w:rsidR="00336FF2" w:rsidRPr="00657A14">
              <w:rPr>
                <w:rFonts w:ascii="Times New Roman" w:hAnsi="Times New Roman" w:cs="Times New Roman"/>
                <w:color w:val="000000" w:themeColor="text1"/>
                <w:sz w:val="24"/>
                <w:szCs w:val="24"/>
              </w:rPr>
              <w:t>, kas nav filiāle, un kuru galvenais birojs atrodas citā dalībvalstī, iecelt centrālo kontaktpunktu, tādējādi</w:t>
            </w:r>
            <w:r w:rsidR="003952D0" w:rsidRPr="00657A14">
              <w:rPr>
                <w:rFonts w:ascii="Times New Roman" w:hAnsi="Times New Roman" w:cs="Times New Roman"/>
                <w:color w:val="000000" w:themeColor="text1"/>
                <w:sz w:val="24"/>
                <w:szCs w:val="24"/>
              </w:rPr>
              <w:t>,</w:t>
            </w:r>
            <w:r w:rsidR="007348CE" w:rsidRPr="00657A14">
              <w:rPr>
                <w:rFonts w:ascii="Times New Roman" w:hAnsi="Times New Roman" w:cs="Times New Roman"/>
                <w:color w:val="000000" w:themeColor="text1"/>
                <w:sz w:val="24"/>
                <w:szCs w:val="24"/>
              </w:rPr>
              <w:t xml:space="preserve"> </w:t>
            </w:r>
            <w:r w:rsidR="00336FF2" w:rsidRPr="00657A14">
              <w:rPr>
                <w:rFonts w:ascii="Times New Roman" w:hAnsi="Times New Roman" w:cs="Times New Roman"/>
                <w:color w:val="000000" w:themeColor="text1"/>
                <w:sz w:val="24"/>
                <w:szCs w:val="24"/>
              </w:rPr>
              <w:t>atvieglo</w:t>
            </w:r>
            <w:r w:rsidR="003952D0" w:rsidRPr="00657A14">
              <w:rPr>
                <w:rFonts w:ascii="Times New Roman" w:hAnsi="Times New Roman" w:cs="Times New Roman"/>
                <w:color w:val="000000" w:themeColor="text1"/>
                <w:sz w:val="24"/>
                <w:szCs w:val="24"/>
              </w:rPr>
              <w:t>jot</w:t>
            </w:r>
            <w:r w:rsidR="00336FF2" w:rsidRPr="00657A14">
              <w:rPr>
                <w:rFonts w:ascii="Times New Roman" w:hAnsi="Times New Roman" w:cs="Times New Roman"/>
                <w:color w:val="000000" w:themeColor="text1"/>
                <w:sz w:val="24"/>
                <w:szCs w:val="24"/>
              </w:rPr>
              <w:t xml:space="preserve"> FKTK uzraudzību un </w:t>
            </w:r>
            <w:r w:rsidR="00336FF2" w:rsidRPr="00657A14">
              <w:rPr>
                <w:rFonts w:ascii="Times New Roman" w:hAnsi="Times New Roman" w:cs="Times New Roman"/>
                <w:color w:val="000000" w:themeColor="text1"/>
                <w:sz w:val="24"/>
                <w:szCs w:val="24"/>
              </w:rPr>
              <w:lastRenderedPageBreak/>
              <w:t>nodrošinot atbilstību NILLTFN prasībām.</w:t>
            </w:r>
          </w:p>
          <w:p w:rsidR="0009637F" w:rsidRPr="00657A14" w:rsidRDefault="00C90580" w:rsidP="00424423">
            <w:pPr>
              <w:widowControl w:val="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w:t>
            </w:r>
            <w:r w:rsidR="0009637F" w:rsidRPr="00657A14">
              <w:rPr>
                <w:rFonts w:ascii="Times New Roman" w:hAnsi="Times New Roman" w:cs="Times New Roman"/>
                <w:color w:val="000000" w:themeColor="text1"/>
                <w:sz w:val="24"/>
                <w:szCs w:val="24"/>
              </w:rPr>
              <w:t>ontroles dienests</w:t>
            </w:r>
          </w:p>
          <w:p w:rsidR="0009637F" w:rsidRPr="00657A14" w:rsidRDefault="00122000"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NILLTFNL 50.pants nosaka, ka Kontroles dienests ir speciāli izveidota valsts institūcija, kas saskaņā ar šo likumu veic neparastu un aizdomīgu darījumu kontroli un iegūst, saņem, reģistrē, apstrādā, apkopo, uzglabā, analizē un sniedz pirmstiesas izmeklēšanas iestādēm, prokuratūrai un tiesai informāciju, kuru var izmantot NILLTFN vai šo darbību mēģinājuma, vai cita ar to saistīta noziedzīga nodarījuma novēršanai</w:t>
            </w:r>
            <w:r w:rsidR="002D5330" w:rsidRPr="00657A14">
              <w:rPr>
                <w:rFonts w:ascii="Times New Roman" w:hAnsi="Times New Roman" w:cs="Times New Roman"/>
                <w:color w:val="000000" w:themeColor="text1"/>
                <w:sz w:val="24"/>
                <w:szCs w:val="24"/>
              </w:rPr>
              <w:t xml:space="preserve">, atklāšanai, pirmstiesas kriminālprocesam vai </w:t>
            </w:r>
            <w:r w:rsidR="006D610A" w:rsidRPr="00657A14">
              <w:rPr>
                <w:rFonts w:ascii="Times New Roman" w:hAnsi="Times New Roman" w:cs="Times New Roman"/>
                <w:color w:val="000000" w:themeColor="text1"/>
                <w:sz w:val="24"/>
                <w:szCs w:val="24"/>
              </w:rPr>
              <w:t>iz</w:t>
            </w:r>
            <w:r w:rsidR="002D5330" w:rsidRPr="00657A14">
              <w:rPr>
                <w:rFonts w:ascii="Times New Roman" w:hAnsi="Times New Roman" w:cs="Times New Roman"/>
                <w:color w:val="000000" w:themeColor="text1"/>
                <w:sz w:val="24"/>
                <w:szCs w:val="24"/>
              </w:rPr>
              <w:t>tiesāšanai.</w:t>
            </w:r>
            <w:r w:rsidR="006D610A" w:rsidRPr="00657A14">
              <w:rPr>
                <w:rFonts w:ascii="Times New Roman" w:hAnsi="Times New Roman" w:cs="Times New Roman"/>
                <w:color w:val="000000" w:themeColor="text1"/>
                <w:sz w:val="24"/>
                <w:szCs w:val="24"/>
              </w:rPr>
              <w:t xml:space="preserve"> Likumprojekts attiecībā uz Kontroles dienesta pilnvarām paredz sekojošas izmaiņas. Likumprojekts (51.pant</w:t>
            </w:r>
            <w:r w:rsidR="005E47AD" w:rsidRPr="00657A14">
              <w:rPr>
                <w:rFonts w:ascii="Times New Roman" w:hAnsi="Times New Roman" w:cs="Times New Roman"/>
                <w:color w:val="000000" w:themeColor="text1"/>
                <w:sz w:val="24"/>
                <w:szCs w:val="24"/>
              </w:rPr>
              <w:t>a</w:t>
            </w:r>
            <w:r w:rsidR="006D610A" w:rsidRPr="00657A14">
              <w:rPr>
                <w:rFonts w:ascii="Times New Roman" w:hAnsi="Times New Roman" w:cs="Times New Roman"/>
                <w:color w:val="000000" w:themeColor="text1"/>
                <w:sz w:val="24"/>
                <w:szCs w:val="24"/>
              </w:rPr>
              <w:t xml:space="preserve"> otrā</w:t>
            </w:r>
            <w:r w:rsidR="005E47AD" w:rsidRPr="00657A14">
              <w:rPr>
                <w:rFonts w:ascii="Times New Roman" w:hAnsi="Times New Roman" w:cs="Times New Roman"/>
                <w:color w:val="000000" w:themeColor="text1"/>
                <w:sz w:val="24"/>
                <w:szCs w:val="24"/>
              </w:rPr>
              <w:t>s</w:t>
            </w:r>
            <w:r w:rsidR="006D610A" w:rsidRPr="00657A14">
              <w:rPr>
                <w:rFonts w:ascii="Times New Roman" w:hAnsi="Times New Roman" w:cs="Times New Roman"/>
                <w:color w:val="000000" w:themeColor="text1"/>
                <w:sz w:val="24"/>
                <w:szCs w:val="24"/>
              </w:rPr>
              <w:t xml:space="preserve"> daļa</w:t>
            </w:r>
            <w:r w:rsidR="005E47AD" w:rsidRPr="00657A14">
              <w:rPr>
                <w:rFonts w:ascii="Times New Roman" w:hAnsi="Times New Roman" w:cs="Times New Roman"/>
                <w:color w:val="000000" w:themeColor="text1"/>
                <w:sz w:val="24"/>
                <w:szCs w:val="24"/>
              </w:rPr>
              <w:t>s</w:t>
            </w:r>
            <w:r w:rsidR="006D610A" w:rsidRPr="00657A14">
              <w:rPr>
                <w:rFonts w:ascii="Times New Roman" w:hAnsi="Times New Roman" w:cs="Times New Roman"/>
                <w:color w:val="000000" w:themeColor="text1"/>
                <w:sz w:val="24"/>
                <w:szCs w:val="24"/>
              </w:rPr>
              <w:t xml:space="preserve"> 1.punkts)</w:t>
            </w:r>
            <w:r w:rsidR="000908BC" w:rsidRPr="00657A14">
              <w:rPr>
                <w:rFonts w:ascii="Times New Roman" w:hAnsi="Times New Roman" w:cs="Times New Roman"/>
                <w:color w:val="000000" w:themeColor="text1"/>
                <w:sz w:val="24"/>
                <w:szCs w:val="24"/>
              </w:rPr>
              <w:t xml:space="preserve"> paredz atbilstošu termina lietojumu – Kontroles dienestam ir tiesības nevis apturēt darījumu vai noteikta veida debeta operācijas, bet gan iesaldēt.</w:t>
            </w:r>
          </w:p>
          <w:p w:rsidR="0009637F" w:rsidRPr="00657A14" w:rsidRDefault="00A27407"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FATF 29.rekomendācijas skaidrojošā piezīme </w:t>
            </w:r>
            <w:r w:rsidR="004D670D" w:rsidRPr="00657A14">
              <w:rPr>
                <w:rFonts w:ascii="Times New Roman" w:hAnsi="Times New Roman" w:cs="Times New Roman"/>
                <w:color w:val="000000" w:themeColor="text1"/>
                <w:sz w:val="24"/>
                <w:szCs w:val="24"/>
              </w:rPr>
              <w:t xml:space="preserve">(finanšu izlūkošanas vienībai) g) punktā </w:t>
            </w:r>
            <w:r w:rsidR="003952D0" w:rsidRPr="00657A14">
              <w:rPr>
                <w:rFonts w:ascii="Times New Roman" w:hAnsi="Times New Roman" w:cs="Times New Roman"/>
                <w:color w:val="000000" w:themeColor="text1"/>
                <w:sz w:val="24"/>
                <w:szCs w:val="24"/>
              </w:rPr>
              <w:t>“</w:t>
            </w:r>
            <w:r w:rsidR="004D670D" w:rsidRPr="00657A14">
              <w:rPr>
                <w:rFonts w:ascii="Times New Roman" w:hAnsi="Times New Roman" w:cs="Times New Roman"/>
                <w:color w:val="000000" w:themeColor="text1"/>
                <w:sz w:val="24"/>
                <w:szCs w:val="24"/>
              </w:rPr>
              <w:t>E</w:t>
            </w:r>
            <w:r w:rsidR="003952D0" w:rsidRPr="00657A14">
              <w:rPr>
                <w:rFonts w:ascii="Times New Roman" w:hAnsi="Times New Roman" w:cs="Times New Roman"/>
                <w:color w:val="000000" w:themeColor="text1"/>
                <w:sz w:val="24"/>
                <w:szCs w:val="24"/>
              </w:rPr>
              <w:t>gmot grupa”</w:t>
            </w:r>
            <w:r w:rsidR="004D670D" w:rsidRPr="00657A14">
              <w:rPr>
                <w:rFonts w:ascii="Times New Roman" w:hAnsi="Times New Roman" w:cs="Times New Roman"/>
                <w:color w:val="000000" w:themeColor="text1"/>
                <w:sz w:val="24"/>
                <w:szCs w:val="24"/>
              </w:rPr>
              <w:t xml:space="preserve">, nosaka, ka valstīm jānodrošina, ka finanšu izlūkošanas vienība ņem vērā Egmont grupas paziņojumu par tās mērķi un principiem attiecībā uz informācijas apmaiņu finanšu izlūkošanas vienību starpā </w:t>
            </w:r>
            <w:r w:rsidR="006F6BDA" w:rsidRPr="00657A14">
              <w:rPr>
                <w:rFonts w:ascii="Times New Roman" w:hAnsi="Times New Roman" w:cs="Times New Roman"/>
                <w:color w:val="000000" w:themeColor="text1"/>
                <w:sz w:val="24"/>
                <w:szCs w:val="24"/>
              </w:rPr>
              <w:t>NILLTFN lietās (šajos dokumentos izklāstītas nozīmīgākās vadlīnijas par finanšu izlūkošanas vienības lomu un funkcijām, kā arī par mehānismiem informācijas apmaiņai informācijas apmaiņas mehānismiem starp finanšu izlūkošanas vienībām). Finanšu izlūkošanas vienībai ir jāpiesakās dalībai Egmont grupā</w:t>
            </w:r>
            <w:r w:rsidR="00384305" w:rsidRPr="00657A14">
              <w:rPr>
                <w:rFonts w:ascii="Times New Roman" w:hAnsi="Times New Roman" w:cs="Times New Roman"/>
                <w:color w:val="000000" w:themeColor="text1"/>
                <w:sz w:val="24"/>
                <w:szCs w:val="24"/>
              </w:rPr>
              <w:t>, jo</w:t>
            </w:r>
            <w:r w:rsidR="00025706" w:rsidRPr="00657A14">
              <w:rPr>
                <w:rFonts w:ascii="Times New Roman" w:hAnsi="Times New Roman" w:cs="Times New Roman"/>
                <w:color w:val="000000" w:themeColor="text1"/>
                <w:sz w:val="24"/>
                <w:szCs w:val="24"/>
              </w:rPr>
              <w:t xml:space="preserve"> </w:t>
            </w:r>
            <w:r w:rsidR="004D6052" w:rsidRPr="00657A14">
              <w:rPr>
                <w:rFonts w:ascii="Times New Roman" w:hAnsi="Times New Roman" w:cs="Times New Roman"/>
                <w:color w:val="000000" w:themeColor="text1"/>
                <w:sz w:val="24"/>
                <w:szCs w:val="24"/>
              </w:rPr>
              <w:t xml:space="preserve">AML IV direktīvas 51.pants nosaka, ka </w:t>
            </w:r>
            <w:r w:rsidR="00384305" w:rsidRPr="00657A14">
              <w:rPr>
                <w:rFonts w:ascii="Times New Roman" w:hAnsi="Times New Roman" w:cs="Times New Roman"/>
                <w:color w:val="000000" w:themeColor="text1"/>
                <w:sz w:val="24"/>
                <w:szCs w:val="24"/>
              </w:rPr>
              <w:t xml:space="preserve">tādējādi Eiropas </w:t>
            </w:r>
            <w:r w:rsidR="004D6052" w:rsidRPr="00657A14">
              <w:rPr>
                <w:rFonts w:ascii="Times New Roman" w:hAnsi="Times New Roman" w:cs="Times New Roman"/>
                <w:color w:val="000000" w:themeColor="text1"/>
                <w:sz w:val="24"/>
                <w:szCs w:val="24"/>
              </w:rPr>
              <w:t>Komisija</w:t>
            </w:r>
            <w:r w:rsidR="00384305" w:rsidRPr="00657A14">
              <w:rPr>
                <w:rFonts w:ascii="Times New Roman" w:hAnsi="Times New Roman" w:cs="Times New Roman"/>
                <w:color w:val="000000" w:themeColor="text1"/>
                <w:sz w:val="24"/>
                <w:szCs w:val="24"/>
              </w:rPr>
              <w:t>i tiek sniegts</w:t>
            </w:r>
            <w:r w:rsidR="004D6052" w:rsidRPr="00657A14">
              <w:rPr>
                <w:rFonts w:ascii="Times New Roman" w:hAnsi="Times New Roman" w:cs="Times New Roman"/>
                <w:color w:val="000000" w:themeColor="text1"/>
                <w:sz w:val="24"/>
                <w:szCs w:val="24"/>
              </w:rPr>
              <w:t xml:space="preserve"> atbalst</w:t>
            </w:r>
            <w:r w:rsidR="00384305" w:rsidRPr="00657A14">
              <w:rPr>
                <w:rFonts w:ascii="Times New Roman" w:hAnsi="Times New Roman" w:cs="Times New Roman"/>
                <w:color w:val="000000" w:themeColor="text1"/>
                <w:sz w:val="24"/>
                <w:szCs w:val="24"/>
              </w:rPr>
              <w:t>s</w:t>
            </w:r>
            <w:r w:rsidR="004D6052" w:rsidRPr="00657A14">
              <w:rPr>
                <w:rFonts w:ascii="Times New Roman" w:hAnsi="Times New Roman" w:cs="Times New Roman"/>
                <w:color w:val="000000" w:themeColor="text1"/>
                <w:sz w:val="24"/>
                <w:szCs w:val="24"/>
              </w:rPr>
              <w:t xml:space="preserve"> koordinēšanas atvieglošanai, iekļaujot informācijas apmaiņu starp finanšu izlūkošanas vienībām</w:t>
            </w:r>
            <w:r w:rsidR="00C4564B" w:rsidRPr="00657A14">
              <w:rPr>
                <w:rFonts w:ascii="Times New Roman" w:hAnsi="Times New Roman" w:cs="Times New Roman"/>
                <w:color w:val="000000" w:themeColor="text1"/>
                <w:sz w:val="24"/>
                <w:szCs w:val="24"/>
              </w:rPr>
              <w:t xml:space="preserve"> Eiropas Savienības teritorij</w:t>
            </w:r>
            <w:r w:rsidR="0019621F" w:rsidRPr="00657A14">
              <w:rPr>
                <w:rFonts w:ascii="Times New Roman" w:hAnsi="Times New Roman" w:cs="Times New Roman"/>
                <w:color w:val="000000" w:themeColor="text1"/>
                <w:sz w:val="24"/>
                <w:szCs w:val="24"/>
              </w:rPr>
              <w:t>ā. Sadarbības</w:t>
            </w:r>
            <w:r w:rsidR="00C4564B" w:rsidRPr="00657A14">
              <w:rPr>
                <w:rFonts w:ascii="Times New Roman" w:hAnsi="Times New Roman" w:cs="Times New Roman"/>
                <w:color w:val="000000" w:themeColor="text1"/>
                <w:sz w:val="24"/>
                <w:szCs w:val="24"/>
              </w:rPr>
              <w:t xml:space="preserve"> sekmēšanai starp finanšu un izlūkošanas vienībām</w:t>
            </w:r>
            <w:r w:rsidR="0019621F" w:rsidRPr="00657A14">
              <w:rPr>
                <w:rFonts w:ascii="Times New Roman" w:hAnsi="Times New Roman" w:cs="Times New Roman"/>
                <w:color w:val="000000" w:themeColor="text1"/>
                <w:sz w:val="24"/>
                <w:szCs w:val="24"/>
              </w:rPr>
              <w:t>, viedokļu apmaiņai un padomu sniegšanai īstenošanas jautājumos, kas ir svarīgi finanšu izlūkošanas vienībām un ziņošanas iestādēm</w:t>
            </w:r>
            <w:r w:rsidR="00F85167" w:rsidRPr="00657A14">
              <w:rPr>
                <w:rFonts w:ascii="Times New Roman" w:hAnsi="Times New Roman" w:cs="Times New Roman"/>
                <w:color w:val="000000" w:themeColor="text1"/>
                <w:sz w:val="24"/>
                <w:szCs w:val="24"/>
              </w:rPr>
              <w:t xml:space="preserve">, kā arī tādos jautājumos kā efektīva finanšu izlūkošanas vienību sadarbība, tādu aizdomīgu darījumu identifikācija, kuriem ir pārrobežu dimensija, ziņojumu formātu standartizācija, izmantojot FIU.net vai tā </w:t>
            </w:r>
            <w:r w:rsidR="00314C26" w:rsidRPr="00657A14">
              <w:rPr>
                <w:rFonts w:ascii="Times New Roman" w:hAnsi="Times New Roman" w:cs="Times New Roman"/>
                <w:color w:val="000000" w:themeColor="text1"/>
                <w:sz w:val="24"/>
                <w:szCs w:val="24"/>
              </w:rPr>
              <w:t>pēctecīgos tīklus, kopīga pārrobežu gadījumu analīze un tādu tendenču un faktoru identifikācija, kuri ir būtiski, lai novērtētu NILLTFN risku valsts pārvalstiskā līmenī</w:t>
            </w:r>
            <w:r w:rsidR="002619F9" w:rsidRPr="00657A14">
              <w:rPr>
                <w:rFonts w:ascii="Times New Roman" w:hAnsi="Times New Roman" w:cs="Times New Roman"/>
                <w:color w:val="000000" w:themeColor="text1"/>
                <w:sz w:val="24"/>
                <w:szCs w:val="24"/>
              </w:rPr>
              <w:t xml:space="preserve">, </w:t>
            </w:r>
            <w:r w:rsidR="00384305" w:rsidRPr="00657A14">
              <w:rPr>
                <w:rFonts w:ascii="Times New Roman" w:hAnsi="Times New Roman" w:cs="Times New Roman"/>
                <w:color w:val="000000" w:themeColor="text1"/>
                <w:sz w:val="24"/>
                <w:szCs w:val="24"/>
              </w:rPr>
              <w:t xml:space="preserve">Eiropas </w:t>
            </w:r>
            <w:r w:rsidR="002619F9" w:rsidRPr="00657A14">
              <w:rPr>
                <w:rFonts w:ascii="Times New Roman" w:hAnsi="Times New Roman" w:cs="Times New Roman"/>
                <w:color w:val="000000" w:themeColor="text1"/>
                <w:sz w:val="24"/>
                <w:szCs w:val="24"/>
              </w:rPr>
              <w:t>Komisija sasauc regulāri Eiropas Savienības finanšu izlūkošanas vienību platformu sanāksmes.</w:t>
            </w:r>
            <w:r w:rsidR="00B97B79" w:rsidRPr="00657A14">
              <w:rPr>
                <w:rFonts w:ascii="Times New Roman" w:hAnsi="Times New Roman" w:cs="Times New Roman"/>
                <w:color w:val="000000" w:themeColor="text1"/>
                <w:sz w:val="24"/>
                <w:szCs w:val="24"/>
              </w:rPr>
              <w:t xml:space="preserve"> Savukārt AML IV direktīvas 56.pants nosaka, to, ka finanšu izlūkošanas vienībām savā starpā komunicējot, jāizmanto droši kanāl</w:t>
            </w:r>
            <w:r w:rsidR="00384305" w:rsidRPr="00657A14">
              <w:rPr>
                <w:rFonts w:ascii="Times New Roman" w:hAnsi="Times New Roman" w:cs="Times New Roman"/>
                <w:color w:val="000000" w:themeColor="text1"/>
                <w:sz w:val="24"/>
                <w:szCs w:val="24"/>
              </w:rPr>
              <w:t>i</w:t>
            </w:r>
            <w:r w:rsidR="00B97B79" w:rsidRPr="00657A14">
              <w:rPr>
                <w:rFonts w:ascii="Times New Roman" w:hAnsi="Times New Roman" w:cs="Times New Roman"/>
                <w:color w:val="000000" w:themeColor="text1"/>
                <w:sz w:val="24"/>
                <w:szCs w:val="24"/>
              </w:rPr>
              <w:t xml:space="preserve">, kā ieteikums ir izmantot </w:t>
            </w:r>
            <w:r w:rsidR="00035219" w:rsidRPr="00657A14">
              <w:rPr>
                <w:rFonts w:ascii="Times New Roman" w:hAnsi="Times New Roman" w:cs="Times New Roman"/>
                <w:color w:val="000000" w:themeColor="text1"/>
                <w:sz w:val="24"/>
                <w:szCs w:val="24"/>
              </w:rPr>
              <w:t>FIU.</w:t>
            </w:r>
            <w:r w:rsidR="00B97B79" w:rsidRPr="00657A14">
              <w:rPr>
                <w:rFonts w:ascii="Times New Roman" w:hAnsi="Times New Roman" w:cs="Times New Roman"/>
                <w:color w:val="000000" w:themeColor="text1"/>
                <w:sz w:val="24"/>
                <w:szCs w:val="24"/>
              </w:rPr>
              <w:t xml:space="preserve">net vai tā pēctecīgos kanālus. Finanšu </w:t>
            </w:r>
            <w:r w:rsidR="00B97B79" w:rsidRPr="00657A14">
              <w:rPr>
                <w:rFonts w:ascii="Times New Roman" w:hAnsi="Times New Roman" w:cs="Times New Roman"/>
                <w:color w:val="000000" w:themeColor="text1"/>
                <w:sz w:val="24"/>
                <w:szCs w:val="24"/>
              </w:rPr>
              <w:lastRenderedPageBreak/>
              <w:t>izlūkošanas vienībām, NILLTFN uzdevumu izpildei sadarbojoties, jāizmanto mūsdienīgās tehnoloģijas saskaņā ar katras finanšu izlūkošanas vienības normatīvajiem aktiem, jo tās ļauj finanšu izlūkošanas vienībām anonīmi, nodrošinot personas datu pilnīgu aizsardzību</w:t>
            </w:r>
            <w:r w:rsidR="00780A15" w:rsidRPr="00657A14">
              <w:rPr>
                <w:rFonts w:ascii="Times New Roman" w:hAnsi="Times New Roman" w:cs="Times New Roman"/>
                <w:color w:val="000000" w:themeColor="text1"/>
                <w:sz w:val="24"/>
                <w:szCs w:val="24"/>
              </w:rPr>
              <w:t>, salīdzināt savus datus ar citām finanšu izlūkošanas vienībām</w:t>
            </w:r>
            <w:r w:rsidR="00DB4040" w:rsidRPr="00657A14">
              <w:rPr>
                <w:rFonts w:ascii="Times New Roman" w:hAnsi="Times New Roman" w:cs="Times New Roman"/>
                <w:color w:val="000000" w:themeColor="text1"/>
                <w:sz w:val="24"/>
                <w:szCs w:val="24"/>
              </w:rPr>
              <w:t xml:space="preserve">, lai atklātu finanšu izlūkošanas vienību interesējušos subjektus citās dalībvalstīs un identificēt viņu ienākumus un līdzekļus. Ievērojot iepriekš minēto likumprojekts (NILLTFNL </w:t>
            </w:r>
            <w:r w:rsidR="00035219" w:rsidRPr="00657A14">
              <w:rPr>
                <w:rFonts w:ascii="Times New Roman" w:hAnsi="Times New Roman" w:cs="Times New Roman"/>
                <w:color w:val="000000" w:themeColor="text1"/>
                <w:sz w:val="24"/>
                <w:szCs w:val="24"/>
              </w:rPr>
              <w:t>51.pant</w:t>
            </w:r>
            <w:r w:rsidR="008D3E1E" w:rsidRPr="00657A14">
              <w:rPr>
                <w:rFonts w:ascii="Times New Roman" w:hAnsi="Times New Roman" w:cs="Times New Roman"/>
                <w:color w:val="000000" w:themeColor="text1"/>
                <w:sz w:val="24"/>
                <w:szCs w:val="24"/>
              </w:rPr>
              <w:t>a</w:t>
            </w:r>
            <w:r w:rsidR="00035219" w:rsidRPr="00657A14">
              <w:rPr>
                <w:rFonts w:ascii="Times New Roman" w:hAnsi="Times New Roman" w:cs="Times New Roman"/>
                <w:color w:val="000000" w:themeColor="text1"/>
                <w:sz w:val="24"/>
                <w:szCs w:val="24"/>
              </w:rPr>
              <w:t xml:space="preserve"> otrā</w:t>
            </w:r>
            <w:r w:rsidR="00384305" w:rsidRPr="00657A14">
              <w:rPr>
                <w:rFonts w:ascii="Times New Roman" w:hAnsi="Times New Roman" w:cs="Times New Roman"/>
                <w:color w:val="000000" w:themeColor="text1"/>
                <w:sz w:val="24"/>
                <w:szCs w:val="24"/>
              </w:rPr>
              <w:t>s</w:t>
            </w:r>
            <w:r w:rsidR="008D3E1E" w:rsidRPr="00657A14">
              <w:rPr>
                <w:rFonts w:ascii="Times New Roman" w:hAnsi="Times New Roman" w:cs="Times New Roman"/>
                <w:color w:val="000000" w:themeColor="text1"/>
                <w:sz w:val="24"/>
                <w:szCs w:val="24"/>
              </w:rPr>
              <w:t xml:space="preserve"> </w:t>
            </w:r>
            <w:r w:rsidR="00035219" w:rsidRPr="00657A14">
              <w:rPr>
                <w:rFonts w:ascii="Times New Roman" w:hAnsi="Times New Roman" w:cs="Times New Roman"/>
                <w:color w:val="000000" w:themeColor="text1"/>
                <w:sz w:val="24"/>
                <w:szCs w:val="24"/>
              </w:rPr>
              <w:t>daļa</w:t>
            </w:r>
            <w:r w:rsidR="00384305" w:rsidRPr="00657A14">
              <w:rPr>
                <w:rFonts w:ascii="Times New Roman" w:hAnsi="Times New Roman" w:cs="Times New Roman"/>
                <w:color w:val="000000" w:themeColor="text1"/>
                <w:sz w:val="24"/>
                <w:szCs w:val="24"/>
              </w:rPr>
              <w:t>s</w:t>
            </w:r>
            <w:r w:rsidR="00035219" w:rsidRPr="00657A14">
              <w:rPr>
                <w:rFonts w:ascii="Times New Roman" w:hAnsi="Times New Roman" w:cs="Times New Roman"/>
                <w:color w:val="000000" w:themeColor="text1"/>
                <w:sz w:val="24"/>
                <w:szCs w:val="24"/>
              </w:rPr>
              <w:t xml:space="preserve"> 9.punkts</w:t>
            </w:r>
            <w:r w:rsidR="00DB4040" w:rsidRPr="00657A14">
              <w:rPr>
                <w:rFonts w:ascii="Times New Roman" w:hAnsi="Times New Roman" w:cs="Times New Roman"/>
                <w:color w:val="000000" w:themeColor="text1"/>
                <w:sz w:val="24"/>
                <w:szCs w:val="24"/>
              </w:rPr>
              <w:t>)</w:t>
            </w:r>
            <w:r w:rsidR="00035219" w:rsidRPr="00657A14">
              <w:rPr>
                <w:rFonts w:ascii="Times New Roman" w:hAnsi="Times New Roman" w:cs="Times New Roman"/>
                <w:color w:val="000000" w:themeColor="text1"/>
                <w:sz w:val="24"/>
                <w:szCs w:val="24"/>
              </w:rPr>
              <w:t xml:space="preserve"> paredz Kontroles dienestam, kur</w:t>
            </w:r>
            <w:r w:rsidR="00384305" w:rsidRPr="00657A14">
              <w:rPr>
                <w:rFonts w:ascii="Times New Roman" w:hAnsi="Times New Roman" w:cs="Times New Roman"/>
                <w:color w:val="000000" w:themeColor="text1"/>
                <w:sz w:val="24"/>
                <w:szCs w:val="24"/>
              </w:rPr>
              <w:t>š</w:t>
            </w:r>
            <w:r w:rsidR="00035219" w:rsidRPr="00657A14">
              <w:rPr>
                <w:rFonts w:ascii="Times New Roman" w:hAnsi="Times New Roman" w:cs="Times New Roman"/>
                <w:color w:val="000000" w:themeColor="text1"/>
                <w:sz w:val="24"/>
                <w:szCs w:val="24"/>
              </w:rPr>
              <w:t xml:space="preserve"> pilda finanšu izlūkošanas vienīb</w:t>
            </w:r>
            <w:r w:rsidR="00AB27F0" w:rsidRPr="00657A14">
              <w:rPr>
                <w:rFonts w:ascii="Times New Roman" w:hAnsi="Times New Roman" w:cs="Times New Roman"/>
                <w:color w:val="000000" w:themeColor="text1"/>
                <w:sz w:val="24"/>
                <w:szCs w:val="24"/>
              </w:rPr>
              <w:t>as funkcijas Latvijas Republikā</w:t>
            </w:r>
            <w:r w:rsidR="00384305" w:rsidRPr="00657A14">
              <w:rPr>
                <w:rFonts w:ascii="Times New Roman" w:hAnsi="Times New Roman" w:cs="Times New Roman"/>
                <w:color w:val="000000" w:themeColor="text1"/>
                <w:sz w:val="24"/>
                <w:szCs w:val="24"/>
              </w:rPr>
              <w:t xml:space="preserve">, </w:t>
            </w:r>
            <w:r w:rsidR="00035219" w:rsidRPr="00657A14">
              <w:rPr>
                <w:rFonts w:ascii="Times New Roman" w:hAnsi="Times New Roman" w:cs="Times New Roman"/>
                <w:color w:val="000000" w:themeColor="text1"/>
                <w:sz w:val="24"/>
                <w:szCs w:val="24"/>
              </w:rPr>
              <w:t>pilnvaras piedalīties E</w:t>
            </w:r>
            <w:r w:rsidR="00384305" w:rsidRPr="00657A14">
              <w:rPr>
                <w:rFonts w:ascii="Times New Roman" w:hAnsi="Times New Roman" w:cs="Times New Roman"/>
                <w:color w:val="000000" w:themeColor="text1"/>
                <w:sz w:val="24"/>
                <w:szCs w:val="24"/>
              </w:rPr>
              <w:t>gmont</w:t>
            </w:r>
            <w:r w:rsidR="00035219" w:rsidRPr="00657A14">
              <w:rPr>
                <w:rFonts w:ascii="Times New Roman" w:hAnsi="Times New Roman" w:cs="Times New Roman"/>
                <w:color w:val="000000" w:themeColor="text1"/>
                <w:sz w:val="24"/>
                <w:szCs w:val="24"/>
              </w:rPr>
              <w:t xml:space="preserve"> grupā, Eiropas Savienības finanšu izlūkošanas vienību platformu sanāksmēs, izmantot aizsargātus komunikācijas kanālus - FIU.net </w:t>
            </w:r>
            <w:r w:rsidR="002D17B6" w:rsidRPr="00657A14">
              <w:rPr>
                <w:rFonts w:ascii="Times New Roman" w:hAnsi="Times New Roman" w:cs="Times New Roman"/>
                <w:color w:val="000000" w:themeColor="text1"/>
                <w:sz w:val="24"/>
                <w:szCs w:val="24"/>
              </w:rPr>
              <w:t>vai tā pēctecīgos tīklus, izmantot modernās tehnoloģijas</w:t>
            </w:r>
            <w:r w:rsidR="00740418" w:rsidRPr="00657A14">
              <w:rPr>
                <w:rFonts w:ascii="Times New Roman" w:hAnsi="Times New Roman" w:cs="Times New Roman"/>
                <w:color w:val="000000" w:themeColor="text1"/>
                <w:sz w:val="24"/>
                <w:szCs w:val="24"/>
              </w:rPr>
              <w:t>.</w:t>
            </w:r>
          </w:p>
          <w:p w:rsidR="0009637F" w:rsidRPr="00657A14" w:rsidRDefault="00E37EE0"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Kontroles dienests</w:t>
            </w:r>
            <w:r w:rsidR="00384305"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w:t>
            </w:r>
            <w:r w:rsidR="005944E2" w:rsidRPr="00657A14">
              <w:rPr>
                <w:rFonts w:ascii="Times New Roman" w:hAnsi="Times New Roman" w:cs="Times New Roman"/>
                <w:color w:val="000000" w:themeColor="text1"/>
                <w:sz w:val="24"/>
                <w:szCs w:val="24"/>
              </w:rPr>
              <w:t>kā arī citas kompetentās iestādes, lai varētu novērst, atklāt un izmeklēt iespējamus NILLTFN gadījumus</w:t>
            </w:r>
            <w:r w:rsidR="00384305" w:rsidRPr="00657A14">
              <w:rPr>
                <w:rFonts w:ascii="Times New Roman" w:hAnsi="Times New Roman" w:cs="Times New Roman"/>
                <w:color w:val="000000" w:themeColor="text1"/>
                <w:sz w:val="24"/>
                <w:szCs w:val="24"/>
              </w:rPr>
              <w:t>,</w:t>
            </w:r>
            <w:r w:rsidR="005944E2" w:rsidRPr="00657A14">
              <w:rPr>
                <w:rFonts w:ascii="Times New Roman" w:hAnsi="Times New Roman" w:cs="Times New Roman"/>
                <w:color w:val="000000" w:themeColor="text1"/>
                <w:sz w:val="24"/>
                <w:szCs w:val="24"/>
              </w:rPr>
              <w:t xml:space="preserve"> attiecīgajiem likuma subjektiem prasa uzglabāt noteiktus dokumentus un informāciju. Datu apstrādei tiek piemēroti noteikti normatīvie akti, kas aizsargā personas intereses, noteiktos gadījumos subjekta tiesības piekļūt saviem datiem var būt ierobežotas</w:t>
            </w:r>
            <w:r w:rsidR="0026304E" w:rsidRPr="00657A14">
              <w:rPr>
                <w:rFonts w:ascii="Times New Roman" w:hAnsi="Times New Roman" w:cs="Times New Roman"/>
                <w:color w:val="000000" w:themeColor="text1"/>
                <w:sz w:val="24"/>
                <w:szCs w:val="24"/>
              </w:rPr>
              <w:t xml:space="preserve">, ciktāl šāds ierobežojums ir pasākums, kas demokrātiskā sabiedrībā ir vajadzīgs un samērīgs, ņemot vērā personas likumīgās intereses, lai </w:t>
            </w:r>
            <w:r w:rsidR="000D2526" w:rsidRPr="00657A14">
              <w:rPr>
                <w:rFonts w:ascii="Times New Roman" w:hAnsi="Times New Roman" w:cs="Times New Roman"/>
                <w:color w:val="000000" w:themeColor="text1"/>
                <w:sz w:val="24"/>
                <w:szCs w:val="24"/>
              </w:rPr>
              <w:t>atbildīgais subjekts vai valsts kompetentās iestādes varētu pildīt savus uzdevumus NILLTFN nolūkos, kā arī izvairītos no oficiālu, tiesisku pārbaužu, izvērtējumu, izmeklēšanas vai procedūru kavēšanas</w:t>
            </w:r>
            <w:r w:rsidR="00274CD3" w:rsidRPr="00657A14">
              <w:rPr>
                <w:rFonts w:ascii="Times New Roman" w:hAnsi="Times New Roman" w:cs="Times New Roman"/>
                <w:color w:val="000000" w:themeColor="text1"/>
                <w:sz w:val="24"/>
                <w:szCs w:val="24"/>
              </w:rPr>
              <w:t xml:space="preserve"> NILLTFNL nolūkā un nodrošinātu NILLTF izmeklēšanu un atklāšanu. Likumprojekts (NILLTFNL 53.pant</w:t>
            </w:r>
            <w:r w:rsidR="008D3E1E" w:rsidRPr="00657A14">
              <w:rPr>
                <w:rFonts w:ascii="Times New Roman" w:hAnsi="Times New Roman" w:cs="Times New Roman"/>
                <w:color w:val="000000" w:themeColor="text1"/>
                <w:sz w:val="24"/>
                <w:szCs w:val="24"/>
              </w:rPr>
              <w:t>a</w:t>
            </w:r>
            <w:r w:rsidR="00274CD3" w:rsidRPr="00657A14">
              <w:rPr>
                <w:rFonts w:ascii="Times New Roman" w:hAnsi="Times New Roman" w:cs="Times New Roman"/>
                <w:color w:val="000000" w:themeColor="text1"/>
                <w:sz w:val="24"/>
                <w:szCs w:val="24"/>
              </w:rPr>
              <w:t xml:space="preserve"> trešā daļa), ievērojot AML IV direktīvas 41.panta 4.punkta, 39.panta 1.punkta un 43.pant</w:t>
            </w:r>
            <w:r w:rsidR="00384305" w:rsidRPr="00657A14">
              <w:rPr>
                <w:rFonts w:ascii="Times New Roman" w:hAnsi="Times New Roman" w:cs="Times New Roman"/>
                <w:color w:val="000000" w:themeColor="text1"/>
                <w:sz w:val="24"/>
                <w:szCs w:val="24"/>
              </w:rPr>
              <w:t>a</w:t>
            </w:r>
            <w:r w:rsidR="00274CD3" w:rsidRPr="00657A14">
              <w:rPr>
                <w:rFonts w:ascii="Times New Roman" w:hAnsi="Times New Roman" w:cs="Times New Roman"/>
                <w:color w:val="000000" w:themeColor="text1"/>
                <w:sz w:val="24"/>
                <w:szCs w:val="24"/>
              </w:rPr>
              <w:t xml:space="preserve"> </w:t>
            </w:r>
            <w:r w:rsidR="00384305" w:rsidRPr="00657A14">
              <w:rPr>
                <w:rFonts w:ascii="Times New Roman" w:hAnsi="Times New Roman" w:cs="Times New Roman"/>
                <w:color w:val="000000" w:themeColor="text1"/>
                <w:sz w:val="24"/>
                <w:szCs w:val="24"/>
              </w:rPr>
              <w:t>prasības</w:t>
            </w:r>
            <w:r w:rsidR="00274CD3" w:rsidRPr="00657A14">
              <w:rPr>
                <w:rFonts w:ascii="Times New Roman" w:hAnsi="Times New Roman" w:cs="Times New Roman"/>
                <w:color w:val="000000" w:themeColor="text1"/>
                <w:sz w:val="24"/>
                <w:szCs w:val="24"/>
              </w:rPr>
              <w:t>, paredz Kontroles dienestā datu subjektiem liegtu piekļuvi saviem datiem,</w:t>
            </w:r>
            <w:r w:rsidR="00785DF7">
              <w:rPr>
                <w:rFonts w:ascii="Times New Roman" w:hAnsi="Times New Roman" w:cs="Times New Roman"/>
                <w:color w:val="000000" w:themeColor="text1"/>
                <w:sz w:val="24"/>
                <w:szCs w:val="24"/>
              </w:rPr>
              <w:t xml:space="preserve"> tajā skaitā datu labošanai un dzēšanai,</w:t>
            </w:r>
            <w:r w:rsidR="00274CD3" w:rsidRPr="00657A14">
              <w:rPr>
                <w:rFonts w:ascii="Times New Roman" w:hAnsi="Times New Roman" w:cs="Times New Roman"/>
                <w:color w:val="000000" w:themeColor="text1"/>
                <w:sz w:val="24"/>
                <w:szCs w:val="24"/>
              </w:rPr>
              <w:t xml:space="preserve"> lai sabiedrības interesēs nodrošinātu NILLTFN, nepadraudētu vai neietekmētu izmeklēšanu un ar to saistīto procesu gaitu.</w:t>
            </w:r>
          </w:p>
          <w:p w:rsidR="0009637F" w:rsidRPr="00657A14" w:rsidRDefault="00994B07"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NILLTFNL 50.panta otrā daļa nosaka, ka Kontroles dienests darbojas prokuratūras pārraudzībā.</w:t>
            </w:r>
            <w:r w:rsidR="00EC51C4" w:rsidRPr="00657A14">
              <w:rPr>
                <w:rFonts w:ascii="Times New Roman" w:hAnsi="Times New Roman" w:cs="Times New Roman"/>
                <w:color w:val="000000" w:themeColor="text1"/>
                <w:sz w:val="24"/>
                <w:szCs w:val="24"/>
              </w:rPr>
              <w:t xml:space="preserve"> Likumprojekts </w:t>
            </w:r>
            <w:r w:rsidR="00623F3B">
              <w:rPr>
                <w:rFonts w:ascii="Times New Roman" w:hAnsi="Times New Roman" w:cs="Times New Roman"/>
                <w:color w:val="000000" w:themeColor="text1"/>
                <w:sz w:val="24"/>
                <w:szCs w:val="24"/>
              </w:rPr>
              <w:t>(NILLTFNL 5</w:t>
            </w:r>
            <w:r w:rsidR="00A458EA">
              <w:rPr>
                <w:rFonts w:ascii="Times New Roman" w:hAnsi="Times New Roman" w:cs="Times New Roman"/>
                <w:color w:val="000000" w:themeColor="text1"/>
                <w:sz w:val="24"/>
                <w:szCs w:val="24"/>
              </w:rPr>
              <w:t>1</w:t>
            </w:r>
            <w:r w:rsidR="00EC51C4" w:rsidRPr="00657A14">
              <w:rPr>
                <w:rFonts w:ascii="Times New Roman" w:hAnsi="Times New Roman" w:cs="Times New Roman"/>
                <w:color w:val="000000" w:themeColor="text1"/>
                <w:sz w:val="24"/>
                <w:szCs w:val="24"/>
              </w:rPr>
              <w:t>.pant</w:t>
            </w:r>
            <w:r w:rsidR="005A31BC" w:rsidRPr="00657A14">
              <w:rPr>
                <w:rFonts w:ascii="Times New Roman" w:hAnsi="Times New Roman" w:cs="Times New Roman"/>
                <w:color w:val="000000" w:themeColor="text1"/>
                <w:sz w:val="24"/>
                <w:szCs w:val="24"/>
              </w:rPr>
              <w:t>a</w:t>
            </w:r>
            <w:r w:rsidR="00EC51C4" w:rsidRPr="00657A14">
              <w:rPr>
                <w:rFonts w:ascii="Times New Roman" w:hAnsi="Times New Roman" w:cs="Times New Roman"/>
                <w:color w:val="000000" w:themeColor="text1"/>
                <w:sz w:val="24"/>
                <w:szCs w:val="24"/>
              </w:rPr>
              <w:t xml:space="preserve"> </w:t>
            </w:r>
            <w:r w:rsidR="00A458EA">
              <w:rPr>
                <w:rFonts w:ascii="Times New Roman" w:hAnsi="Times New Roman" w:cs="Times New Roman"/>
                <w:color w:val="000000" w:themeColor="text1"/>
                <w:sz w:val="24"/>
                <w:szCs w:val="24"/>
              </w:rPr>
              <w:t>otrā daļa 9.punkts</w:t>
            </w:r>
            <w:r w:rsidR="00EC51C4" w:rsidRPr="00657A14">
              <w:rPr>
                <w:rFonts w:ascii="Times New Roman" w:hAnsi="Times New Roman" w:cs="Times New Roman"/>
                <w:color w:val="000000" w:themeColor="text1"/>
                <w:sz w:val="24"/>
                <w:szCs w:val="24"/>
              </w:rPr>
              <w:t xml:space="preserve">) paredz informācijas aizsardzības nolūkos Kontroles dienestā </w:t>
            </w:r>
            <w:r w:rsidR="005216F1" w:rsidRPr="00657A14">
              <w:rPr>
                <w:rFonts w:ascii="Times New Roman" w:hAnsi="Times New Roman" w:cs="Times New Roman"/>
                <w:color w:val="000000" w:themeColor="text1"/>
                <w:sz w:val="24"/>
                <w:szCs w:val="24"/>
              </w:rPr>
              <w:t>operatīvās darbības pasākumus un pirmstiesas izmeklēšanas darbības</w:t>
            </w:r>
            <w:r w:rsidR="003C00E2" w:rsidRPr="00657A14">
              <w:rPr>
                <w:rFonts w:ascii="Times New Roman" w:hAnsi="Times New Roman" w:cs="Times New Roman"/>
                <w:color w:val="000000" w:themeColor="text1"/>
                <w:sz w:val="24"/>
                <w:szCs w:val="24"/>
              </w:rPr>
              <w:t xml:space="preserve"> operatīvas darbības subjekti, pirmstiesas izmeklēšanas iestādes un prokuratūra drīkst veikt pēc tam, kad ģenerālprokurors </w:t>
            </w:r>
            <w:r w:rsidR="000B4657" w:rsidRPr="00657A14">
              <w:rPr>
                <w:rFonts w:ascii="Times New Roman" w:hAnsi="Times New Roman" w:cs="Times New Roman"/>
                <w:color w:val="000000" w:themeColor="text1"/>
                <w:sz w:val="24"/>
                <w:szCs w:val="24"/>
              </w:rPr>
              <w:t xml:space="preserve">vai īpaši pilnvarots prokurors ir izvērtējis uzraudzības kārtībā veicamos pasākumus vai </w:t>
            </w:r>
            <w:r w:rsidR="000B4657" w:rsidRPr="00657A14">
              <w:rPr>
                <w:rFonts w:ascii="Times New Roman" w:hAnsi="Times New Roman" w:cs="Times New Roman"/>
                <w:color w:val="000000" w:themeColor="text1"/>
                <w:sz w:val="24"/>
                <w:szCs w:val="24"/>
              </w:rPr>
              <w:lastRenderedPageBreak/>
              <w:t>darbības no likumības un pamatotības viedokļa</w:t>
            </w:r>
            <w:r w:rsidR="00384305" w:rsidRPr="00657A14">
              <w:rPr>
                <w:rFonts w:ascii="Times New Roman" w:hAnsi="Times New Roman" w:cs="Times New Roman"/>
                <w:color w:val="000000" w:themeColor="text1"/>
                <w:sz w:val="24"/>
                <w:szCs w:val="24"/>
              </w:rPr>
              <w:t>,</w:t>
            </w:r>
            <w:r w:rsidR="000B4657" w:rsidRPr="00657A14">
              <w:rPr>
                <w:rFonts w:ascii="Times New Roman" w:hAnsi="Times New Roman" w:cs="Times New Roman"/>
                <w:color w:val="000000" w:themeColor="text1"/>
                <w:sz w:val="24"/>
                <w:szCs w:val="24"/>
              </w:rPr>
              <w:t xml:space="preserve"> un ir tās akceptējis</w:t>
            </w:r>
            <w:r w:rsidR="00D07ADC" w:rsidRPr="00657A14">
              <w:rPr>
                <w:rFonts w:ascii="Times New Roman" w:hAnsi="Times New Roman" w:cs="Times New Roman"/>
                <w:color w:val="000000" w:themeColor="text1"/>
                <w:sz w:val="24"/>
                <w:szCs w:val="24"/>
              </w:rPr>
              <w:t xml:space="preserve">. </w:t>
            </w:r>
            <w:r w:rsidR="00394349" w:rsidRPr="00657A14">
              <w:rPr>
                <w:rFonts w:ascii="Times New Roman" w:hAnsi="Times New Roman" w:cs="Times New Roman"/>
                <w:color w:val="000000" w:themeColor="text1"/>
                <w:sz w:val="24"/>
                <w:szCs w:val="24"/>
              </w:rPr>
              <w:t>Norma paredzēta , lai Kontroles dienestā (telpās) aizsargātu likuma subjektu sniegto, Kontroles dienesta pieprasīto un ārvalstu dienestu sniegto informāciju/dokumentus, kā arī dažādas tehniskās iekārtas no Kontroles dienesta pārrauga nesankcionētas izņemšanas/izpaušanas operatīvo pasākumu vai pirmstiesas izmeklēšanas laikā, jo NILLTFNL 56.pants nosaka, ka no Kontroles dienesta informāciju var iegūt tikai ar Ģenerālprokurora vai īpaši pilnvarotu prokuroru akcepta pēc attiecīgas materiālu pārbaudes. Grozījums ir nepieciešams, lai informācija netiktu iegūta nevis ar pieprasījuma , bet citu darbību (noklausīšanās, izņemšanas, kratīšanas)rezultātā.</w:t>
            </w:r>
            <w:r w:rsidR="00394349" w:rsidRPr="00657A14">
              <w:rPr>
                <w:rFonts w:ascii="Times New Roman" w:hAnsi="Times New Roman" w:cs="Times New Roman"/>
                <w:color w:val="000000" w:themeColor="text1"/>
                <w:sz w:val="24"/>
                <w:szCs w:val="24"/>
              </w:rPr>
              <w:br/>
            </w:r>
          </w:p>
          <w:p w:rsidR="0009637F" w:rsidRPr="00657A14" w:rsidRDefault="00D07ADC"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informācijas pieprasījumu apmierināšanu</w:t>
            </w:r>
            <w:r w:rsidR="007F7B77" w:rsidRPr="00657A14">
              <w:rPr>
                <w:rFonts w:ascii="Times New Roman" w:hAnsi="Times New Roman" w:cs="Times New Roman"/>
                <w:color w:val="000000" w:themeColor="text1"/>
                <w:sz w:val="24"/>
                <w:szCs w:val="24"/>
              </w:rPr>
              <w:t xml:space="preserve"> ievērojot AML IV direktīvas </w:t>
            </w:r>
            <w:r w:rsidR="00EE24D7" w:rsidRPr="00657A14">
              <w:rPr>
                <w:rFonts w:ascii="Times New Roman" w:hAnsi="Times New Roman" w:cs="Times New Roman"/>
                <w:color w:val="000000" w:themeColor="text1"/>
                <w:sz w:val="24"/>
                <w:szCs w:val="24"/>
              </w:rPr>
              <w:t>32.panta 5.punkta noteikto</w:t>
            </w:r>
            <w:r w:rsidR="00384305" w:rsidRPr="00657A14">
              <w:rPr>
                <w:rFonts w:ascii="Times New Roman" w:hAnsi="Times New Roman" w:cs="Times New Roman"/>
                <w:color w:val="000000" w:themeColor="text1"/>
                <w:sz w:val="24"/>
                <w:szCs w:val="24"/>
              </w:rPr>
              <w:t>,</w:t>
            </w:r>
            <w:r w:rsidR="00EE24D7" w:rsidRPr="00657A14">
              <w:rPr>
                <w:rFonts w:ascii="Times New Roman" w:hAnsi="Times New Roman" w:cs="Times New Roman"/>
                <w:color w:val="000000" w:themeColor="text1"/>
                <w:sz w:val="24"/>
                <w:szCs w:val="24"/>
              </w:rPr>
              <w:t xml:space="preserve"> par to, ka objektīvu iemeslu gadījumā informācijas sniegšanas uz pieprasījumu</w:t>
            </w:r>
            <w:r w:rsidR="004C2D45" w:rsidRPr="00657A14">
              <w:rPr>
                <w:rFonts w:ascii="Times New Roman" w:hAnsi="Times New Roman" w:cs="Times New Roman"/>
                <w:color w:val="000000" w:themeColor="text1"/>
                <w:sz w:val="24"/>
                <w:szCs w:val="24"/>
              </w:rPr>
              <w:t xml:space="preserve"> negatīvi var ietekmēt izmeklēšanas gaitu vai analīzi, vai ārkārtas apstākļos acīmredzamas nesamērīgas informācijas izpaušanu, kas pretrunā ar fiziskas vai juridiskas personas likumīgajām interesēm, neatbilstīga pieprasījuma nolūkam</w:t>
            </w:r>
            <w:r w:rsidR="00147FC5" w:rsidRPr="00657A14">
              <w:rPr>
                <w:rFonts w:ascii="Times New Roman" w:hAnsi="Times New Roman" w:cs="Times New Roman"/>
                <w:color w:val="000000" w:themeColor="text1"/>
                <w:sz w:val="24"/>
                <w:szCs w:val="24"/>
              </w:rPr>
              <w:t xml:space="preserve"> finanšu izmeklēšanas vienībai nav pienākums izpildīt informācijas pieprasījumu. Atbilstoši iepriekšminētajam </w:t>
            </w:r>
            <w:r w:rsidR="00384305" w:rsidRPr="00657A14">
              <w:rPr>
                <w:rFonts w:ascii="Times New Roman" w:hAnsi="Times New Roman" w:cs="Times New Roman"/>
                <w:color w:val="000000" w:themeColor="text1"/>
                <w:sz w:val="24"/>
                <w:szCs w:val="24"/>
              </w:rPr>
              <w:t>l</w:t>
            </w:r>
            <w:r w:rsidR="00147FC5" w:rsidRPr="00657A14">
              <w:rPr>
                <w:rFonts w:ascii="Times New Roman" w:hAnsi="Times New Roman" w:cs="Times New Roman"/>
                <w:color w:val="000000" w:themeColor="text1"/>
                <w:sz w:val="24"/>
                <w:szCs w:val="24"/>
              </w:rPr>
              <w:t>ikumprojekts (NILLTFNL 56.pant</w:t>
            </w:r>
            <w:r w:rsidR="005A31BC" w:rsidRPr="00657A14">
              <w:rPr>
                <w:rFonts w:ascii="Times New Roman" w:hAnsi="Times New Roman" w:cs="Times New Roman"/>
                <w:color w:val="000000" w:themeColor="text1"/>
                <w:sz w:val="24"/>
                <w:szCs w:val="24"/>
              </w:rPr>
              <w:t>a</w:t>
            </w:r>
            <w:r w:rsidR="00147FC5" w:rsidRPr="00657A14">
              <w:rPr>
                <w:rFonts w:ascii="Times New Roman" w:hAnsi="Times New Roman" w:cs="Times New Roman"/>
                <w:color w:val="000000" w:themeColor="text1"/>
                <w:sz w:val="24"/>
                <w:szCs w:val="24"/>
              </w:rPr>
              <w:t xml:space="preserve"> ceturtā daļa) paredz pilnvaras</w:t>
            </w:r>
            <w:r w:rsidR="00384305" w:rsidRPr="00657A14">
              <w:rPr>
                <w:rFonts w:ascii="Times New Roman" w:hAnsi="Times New Roman" w:cs="Times New Roman"/>
                <w:color w:val="000000" w:themeColor="text1"/>
                <w:sz w:val="24"/>
                <w:szCs w:val="24"/>
              </w:rPr>
              <w:t>,</w:t>
            </w:r>
            <w:r w:rsidR="00147FC5" w:rsidRPr="00657A14">
              <w:rPr>
                <w:rFonts w:ascii="Times New Roman" w:hAnsi="Times New Roman" w:cs="Times New Roman"/>
                <w:color w:val="000000" w:themeColor="text1"/>
                <w:sz w:val="24"/>
                <w:szCs w:val="24"/>
              </w:rPr>
              <w:t xml:space="preserve"> izvērtējot objektīvos iemeslus, </w:t>
            </w:r>
            <w:r w:rsidR="0001170A" w:rsidRPr="00657A14">
              <w:rPr>
                <w:rFonts w:ascii="Times New Roman" w:hAnsi="Times New Roman" w:cs="Times New Roman"/>
                <w:color w:val="000000" w:themeColor="text1"/>
                <w:sz w:val="24"/>
                <w:szCs w:val="24"/>
              </w:rPr>
              <w:t>pienākumu neizpildīt informācijas pieprasījumu.</w:t>
            </w:r>
          </w:p>
          <w:p w:rsidR="0009637F" w:rsidRPr="00657A14" w:rsidRDefault="008D4893"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informācijas izmatošanu</w:t>
            </w:r>
            <w:r w:rsidR="00B70984" w:rsidRPr="00657A14">
              <w:rPr>
                <w:rFonts w:ascii="Times New Roman" w:hAnsi="Times New Roman" w:cs="Times New Roman"/>
                <w:color w:val="000000" w:themeColor="text1"/>
                <w:sz w:val="24"/>
                <w:szCs w:val="24"/>
              </w:rPr>
              <w:t xml:space="preserve"> </w:t>
            </w:r>
            <w:r w:rsidR="00F20278" w:rsidRPr="00657A14">
              <w:rPr>
                <w:rFonts w:ascii="Times New Roman" w:hAnsi="Times New Roman" w:cs="Times New Roman"/>
                <w:color w:val="000000" w:themeColor="text1"/>
                <w:sz w:val="24"/>
                <w:szCs w:val="24"/>
              </w:rPr>
              <w:t>papildus jau esošajām regulējumam</w:t>
            </w:r>
            <w:r w:rsidR="00384305" w:rsidRPr="00657A14">
              <w:rPr>
                <w:rFonts w:ascii="Times New Roman" w:hAnsi="Times New Roman" w:cs="Times New Roman"/>
                <w:color w:val="000000" w:themeColor="text1"/>
                <w:sz w:val="24"/>
                <w:szCs w:val="24"/>
              </w:rPr>
              <w:t xml:space="preserve">, </w:t>
            </w:r>
            <w:r w:rsidR="00F20278" w:rsidRPr="00657A14">
              <w:rPr>
                <w:rFonts w:ascii="Times New Roman" w:hAnsi="Times New Roman" w:cs="Times New Roman"/>
                <w:color w:val="000000" w:themeColor="text1"/>
                <w:sz w:val="24"/>
                <w:szCs w:val="24"/>
              </w:rPr>
              <w:t xml:space="preserve"> NILLTFNL 58.pants </w:t>
            </w:r>
            <w:r w:rsidR="00384305" w:rsidRPr="00657A14">
              <w:rPr>
                <w:rFonts w:ascii="Times New Roman" w:hAnsi="Times New Roman" w:cs="Times New Roman"/>
                <w:color w:val="000000" w:themeColor="text1"/>
                <w:sz w:val="24"/>
                <w:szCs w:val="24"/>
              </w:rPr>
              <w:t>nosaka</w:t>
            </w:r>
            <w:r w:rsidR="00F20278" w:rsidRPr="00657A14">
              <w:rPr>
                <w:rFonts w:ascii="Times New Roman" w:hAnsi="Times New Roman" w:cs="Times New Roman"/>
                <w:color w:val="000000" w:themeColor="text1"/>
                <w:sz w:val="24"/>
                <w:szCs w:val="24"/>
              </w:rPr>
              <w:t>, ka X nodaļā minētās valsts institūcijas informāciju, kuru tām sniedzis Kontroles dienests, drīkst izmantot tikai tam mērķim, kuram tā saņemta, likumprojekts (NILLTFNL 58.pants)</w:t>
            </w:r>
            <w:r w:rsidR="00384305" w:rsidRPr="00657A14">
              <w:rPr>
                <w:rFonts w:ascii="Times New Roman" w:hAnsi="Times New Roman" w:cs="Times New Roman"/>
                <w:color w:val="000000" w:themeColor="text1"/>
                <w:sz w:val="24"/>
                <w:szCs w:val="24"/>
              </w:rPr>
              <w:t>,</w:t>
            </w:r>
            <w:r w:rsidR="00F20278" w:rsidRPr="00657A14">
              <w:rPr>
                <w:rFonts w:ascii="Times New Roman" w:hAnsi="Times New Roman" w:cs="Times New Roman"/>
                <w:color w:val="000000" w:themeColor="text1"/>
                <w:sz w:val="24"/>
                <w:szCs w:val="24"/>
              </w:rPr>
              <w:t xml:space="preserve"> ievērojot AML IV direktīvas 54.pantu un 32.panta 6.punktu</w:t>
            </w:r>
            <w:r w:rsidR="00384305" w:rsidRPr="00657A14">
              <w:rPr>
                <w:rFonts w:ascii="Times New Roman" w:hAnsi="Times New Roman" w:cs="Times New Roman"/>
                <w:color w:val="000000" w:themeColor="text1"/>
                <w:sz w:val="24"/>
                <w:szCs w:val="24"/>
              </w:rPr>
              <w:t>,</w:t>
            </w:r>
            <w:r w:rsidR="00F20278" w:rsidRPr="00657A14">
              <w:rPr>
                <w:rFonts w:ascii="Times New Roman" w:hAnsi="Times New Roman" w:cs="Times New Roman"/>
                <w:color w:val="000000" w:themeColor="text1"/>
                <w:sz w:val="24"/>
                <w:szCs w:val="24"/>
              </w:rPr>
              <w:t xml:space="preserve"> </w:t>
            </w:r>
            <w:r w:rsidR="00384305" w:rsidRPr="00657A14">
              <w:rPr>
                <w:rFonts w:ascii="Times New Roman" w:hAnsi="Times New Roman" w:cs="Times New Roman"/>
                <w:color w:val="000000" w:themeColor="text1"/>
                <w:sz w:val="24"/>
                <w:szCs w:val="24"/>
              </w:rPr>
              <w:t xml:space="preserve">nosaka, ka </w:t>
            </w:r>
            <w:r w:rsidR="00F20278" w:rsidRPr="00657A14">
              <w:rPr>
                <w:rFonts w:ascii="Times New Roman" w:hAnsi="Times New Roman" w:cs="Times New Roman"/>
                <w:color w:val="000000" w:themeColor="text1"/>
                <w:sz w:val="24"/>
                <w:szCs w:val="24"/>
              </w:rPr>
              <w:t>Kontroles dienests no ārvalstu pilnvarotajām iestādēm, ārvalstu vai starptautiskajām terorisma finansēšanas apkarošanas institūcijām, citām iepriekš neminētām ārvalstu iestādēm un institūcijām iegūto informāciju izpauž ar to iepriekšēju piekrišanu</w:t>
            </w:r>
            <w:r w:rsidR="00384305" w:rsidRPr="00657A14">
              <w:rPr>
                <w:rFonts w:ascii="Times New Roman" w:hAnsi="Times New Roman" w:cs="Times New Roman"/>
                <w:color w:val="000000" w:themeColor="text1"/>
                <w:sz w:val="24"/>
                <w:szCs w:val="24"/>
              </w:rPr>
              <w:t>,</w:t>
            </w:r>
            <w:r w:rsidR="00F20278" w:rsidRPr="00657A14">
              <w:rPr>
                <w:rFonts w:ascii="Times New Roman" w:hAnsi="Times New Roman" w:cs="Times New Roman"/>
                <w:color w:val="000000" w:themeColor="text1"/>
                <w:sz w:val="24"/>
                <w:szCs w:val="24"/>
              </w:rPr>
              <w:t xml:space="preserve"> un izmatošanas mērķim jābūt abpusēji saskaņotam</w:t>
            </w:r>
            <w:r w:rsidR="0084346C" w:rsidRPr="00657A14">
              <w:rPr>
                <w:rFonts w:ascii="Times New Roman" w:hAnsi="Times New Roman" w:cs="Times New Roman"/>
                <w:color w:val="000000" w:themeColor="text1"/>
                <w:sz w:val="24"/>
                <w:szCs w:val="24"/>
              </w:rPr>
              <w:t>, savukārt par informācijas izmanto</w:t>
            </w:r>
            <w:r w:rsidR="007D5076" w:rsidRPr="00657A14">
              <w:rPr>
                <w:rFonts w:ascii="Times New Roman" w:hAnsi="Times New Roman" w:cs="Times New Roman"/>
                <w:color w:val="000000" w:themeColor="text1"/>
                <w:sz w:val="24"/>
                <w:szCs w:val="24"/>
              </w:rPr>
              <w:t>šanu, veiktās pirmstiesas izmeklēšanas vai pārbaudes rezultātiem valsts institūcijas sniedz Kontroles dienestam atgriezenisk</w:t>
            </w:r>
            <w:r w:rsidR="00384305" w:rsidRPr="00657A14">
              <w:rPr>
                <w:rFonts w:ascii="Times New Roman" w:hAnsi="Times New Roman" w:cs="Times New Roman"/>
                <w:color w:val="000000" w:themeColor="text1"/>
                <w:sz w:val="24"/>
                <w:szCs w:val="24"/>
              </w:rPr>
              <w:t>ās</w:t>
            </w:r>
            <w:r w:rsidR="007D5076" w:rsidRPr="00657A14">
              <w:rPr>
                <w:rFonts w:ascii="Times New Roman" w:hAnsi="Times New Roman" w:cs="Times New Roman"/>
                <w:color w:val="000000" w:themeColor="text1"/>
                <w:sz w:val="24"/>
                <w:szCs w:val="24"/>
              </w:rPr>
              <w:t xml:space="preserve"> saites informāciju.</w:t>
            </w:r>
            <w:r w:rsidR="00DC7644" w:rsidRPr="00657A14">
              <w:rPr>
                <w:rFonts w:ascii="Times New Roman" w:hAnsi="Times New Roman" w:cs="Times New Roman"/>
                <w:color w:val="000000" w:themeColor="text1"/>
                <w:sz w:val="24"/>
                <w:szCs w:val="24"/>
              </w:rPr>
              <w:t xml:space="preserve"> Ar informācijas atgriezeniskās saites nodrošināšanu no Kontroles dienesta puses tiek paredzēts likumprojektā papildin</w:t>
            </w:r>
            <w:r w:rsidR="00384305" w:rsidRPr="00657A14">
              <w:rPr>
                <w:rFonts w:ascii="Times New Roman" w:hAnsi="Times New Roman" w:cs="Times New Roman"/>
                <w:color w:val="000000" w:themeColor="text1"/>
                <w:sz w:val="24"/>
                <w:szCs w:val="24"/>
              </w:rPr>
              <w:t>āt</w:t>
            </w:r>
            <w:r w:rsidR="00DC7644" w:rsidRPr="00657A14">
              <w:rPr>
                <w:rFonts w:ascii="Times New Roman" w:hAnsi="Times New Roman" w:cs="Times New Roman"/>
                <w:color w:val="000000" w:themeColor="text1"/>
                <w:sz w:val="24"/>
                <w:szCs w:val="24"/>
              </w:rPr>
              <w:t xml:space="preserve"> NILLTFNL 62.panta otro daļu</w:t>
            </w:r>
            <w:r w:rsidR="00511C57" w:rsidRPr="00657A14">
              <w:rPr>
                <w:rFonts w:ascii="Times New Roman" w:hAnsi="Times New Roman" w:cs="Times New Roman"/>
                <w:color w:val="000000" w:themeColor="text1"/>
                <w:sz w:val="24"/>
                <w:szCs w:val="24"/>
              </w:rPr>
              <w:t>.</w:t>
            </w:r>
            <w:r w:rsidR="00DC7644" w:rsidRPr="00657A14">
              <w:rPr>
                <w:rFonts w:ascii="Times New Roman" w:hAnsi="Times New Roman" w:cs="Times New Roman"/>
                <w:color w:val="000000" w:themeColor="text1"/>
                <w:sz w:val="24"/>
                <w:szCs w:val="24"/>
              </w:rPr>
              <w:t xml:space="preserve"> </w:t>
            </w:r>
            <w:r w:rsidR="005C7D72" w:rsidRPr="00657A14">
              <w:rPr>
                <w:rFonts w:ascii="Times New Roman" w:hAnsi="Times New Roman" w:cs="Times New Roman"/>
                <w:color w:val="000000" w:themeColor="text1"/>
                <w:sz w:val="24"/>
                <w:szCs w:val="24"/>
              </w:rPr>
              <w:t xml:space="preserve"> Likumprojekts (NILLTFNL 62.pants trešā daļa) Kontroles dienestam </w:t>
            </w:r>
            <w:r w:rsidR="00511C57" w:rsidRPr="00657A14">
              <w:rPr>
                <w:rFonts w:ascii="Times New Roman" w:hAnsi="Times New Roman" w:cs="Times New Roman"/>
                <w:color w:val="000000" w:themeColor="text1"/>
                <w:sz w:val="24"/>
                <w:szCs w:val="24"/>
              </w:rPr>
              <w:t xml:space="preserve">paredz </w:t>
            </w:r>
            <w:r w:rsidR="005C7D72" w:rsidRPr="00657A14">
              <w:rPr>
                <w:rFonts w:ascii="Times New Roman" w:hAnsi="Times New Roman" w:cs="Times New Roman"/>
                <w:color w:val="000000" w:themeColor="text1"/>
                <w:sz w:val="24"/>
                <w:szCs w:val="24"/>
              </w:rPr>
              <w:t xml:space="preserve">sniegt pamatotu atteikumu informācijas </w:t>
            </w:r>
            <w:r w:rsidR="005C7D72" w:rsidRPr="00657A14">
              <w:rPr>
                <w:rFonts w:ascii="Times New Roman" w:hAnsi="Times New Roman" w:cs="Times New Roman"/>
                <w:color w:val="000000" w:themeColor="text1"/>
                <w:sz w:val="24"/>
                <w:szCs w:val="24"/>
              </w:rPr>
              <w:lastRenderedPageBreak/>
              <w:t>apmaiņai noteiktos gadījumos.</w:t>
            </w:r>
          </w:p>
          <w:p w:rsidR="004E02C4" w:rsidRPr="00657A14" w:rsidRDefault="004E02C4"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38.pant</w:t>
            </w:r>
            <w:r w:rsidR="005A31BC"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otrā daļa) paredz, atbilstoši AML IV direktīvas 45.panta 8.punktā noteiktajam, to, ka </w:t>
            </w:r>
            <w:r w:rsidR="00511C57" w:rsidRPr="00657A14">
              <w:rPr>
                <w:rFonts w:ascii="Times New Roman" w:hAnsi="Times New Roman" w:cs="Times New Roman"/>
                <w:color w:val="000000" w:themeColor="text1"/>
                <w:sz w:val="24"/>
                <w:szCs w:val="24"/>
              </w:rPr>
              <w:t xml:space="preserve">NILLTFNL 38.panta </w:t>
            </w:r>
            <w:r w:rsidRPr="00657A14">
              <w:rPr>
                <w:rFonts w:ascii="Times New Roman" w:hAnsi="Times New Roman" w:cs="Times New Roman"/>
                <w:color w:val="000000" w:themeColor="text1"/>
                <w:sz w:val="24"/>
                <w:szCs w:val="24"/>
              </w:rPr>
              <w:t>pirmajā daļā noteiktie aizliegumi neattiecas uz informācijas apmaiņu starp dalībvalstu likuma subjektiem</w:t>
            </w:r>
            <w:r w:rsidR="00511C57"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ietilpstošiem vienā grupā, ar nosacījumu</w:t>
            </w:r>
            <w:r w:rsidR="00ED620A" w:rsidRPr="00657A14">
              <w:rPr>
                <w:rFonts w:ascii="Times New Roman" w:hAnsi="Times New Roman" w:cs="Times New Roman"/>
                <w:color w:val="000000" w:themeColor="text1"/>
                <w:sz w:val="24"/>
                <w:szCs w:val="24"/>
              </w:rPr>
              <w:t>, ja Kontroles dienests nav noteicis citādi.</w:t>
            </w:r>
          </w:p>
          <w:p w:rsidR="0009637F" w:rsidRPr="00657A14" w:rsidRDefault="006E6903" w:rsidP="002F4EE1">
            <w:pPr>
              <w:widowControl w:val="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38.pant</w:t>
            </w:r>
            <w:r w:rsidR="005A31BC"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trešā daļa)</w:t>
            </w:r>
            <w:r w:rsidR="00D407F7" w:rsidRPr="00657A14">
              <w:rPr>
                <w:rFonts w:ascii="Times New Roman" w:hAnsi="Times New Roman" w:cs="Times New Roman"/>
                <w:color w:val="000000" w:themeColor="text1"/>
                <w:sz w:val="24"/>
                <w:szCs w:val="24"/>
              </w:rPr>
              <w:t xml:space="preserve"> paredz precizējumu, ka noteiktie aizliegumi neatticas uz informācijas apmaiņu starp dalībvalstu nodokļu konsultantiem, ārpakalpojuma grāmatvežiem, zvērinātiem revidentiem, zvērinātu revidentu komercsabiedrībām, zvērinātiem notāriem, zvērinātiem advokātiem un citiem neatkarīgiem  juridisko pakalpojumu sniedzējiem, ja tie veic savas profesionālās darbības kā viens juridiskās personas darbinieki</w:t>
            </w:r>
            <w:r w:rsidR="00511C57" w:rsidRPr="00657A14">
              <w:rPr>
                <w:rFonts w:ascii="Times New Roman" w:hAnsi="Times New Roman" w:cs="Times New Roman"/>
                <w:color w:val="000000" w:themeColor="text1"/>
                <w:sz w:val="24"/>
                <w:szCs w:val="24"/>
              </w:rPr>
              <w:t>,</w:t>
            </w:r>
            <w:r w:rsidR="00D407F7" w:rsidRPr="00657A14">
              <w:rPr>
                <w:rFonts w:ascii="Times New Roman" w:hAnsi="Times New Roman" w:cs="Times New Roman"/>
                <w:color w:val="000000" w:themeColor="text1"/>
                <w:sz w:val="24"/>
                <w:szCs w:val="24"/>
              </w:rPr>
              <w:t xml:space="preserve"> vai arī darbojoties vienas grupas ietvaros.</w:t>
            </w:r>
          </w:p>
          <w:p w:rsidR="003A72DD" w:rsidRPr="00657A14" w:rsidRDefault="003A72DD" w:rsidP="00355853">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38.pant</w:t>
            </w:r>
            <w:r w:rsidR="00511C57"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ceturtā</w:t>
            </w:r>
            <w:r w:rsidR="00511C57"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daļa</w:t>
            </w:r>
            <w:r w:rsidR="005A31BC" w:rsidRPr="00657A14">
              <w:rPr>
                <w:rFonts w:ascii="Times New Roman" w:hAnsi="Times New Roman" w:cs="Times New Roman"/>
                <w:color w:val="000000" w:themeColor="text1"/>
                <w:sz w:val="24"/>
                <w:szCs w:val="24"/>
              </w:rPr>
              <w:t xml:space="preserve">s </w:t>
            </w:r>
            <w:r w:rsidRPr="00657A14">
              <w:rPr>
                <w:rFonts w:ascii="Times New Roman" w:hAnsi="Times New Roman" w:cs="Times New Roman"/>
                <w:color w:val="000000" w:themeColor="text1"/>
                <w:sz w:val="24"/>
                <w:szCs w:val="24"/>
              </w:rPr>
              <w:t>3.punkts) paredz precizējumu, ka darījumā iesaistītie likuma subjekti ir reģistrēti vai darbojas dalībvalstī.</w:t>
            </w:r>
          </w:p>
          <w:p w:rsidR="00635C57" w:rsidRPr="00657A14" w:rsidRDefault="0009637F" w:rsidP="002F4EE1">
            <w:pPr>
              <w:widowControl w:val="0"/>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Atbildība par pārkāpumiem NILLTFN jomā un kompetence sankciju piemērošanā</w:t>
            </w:r>
            <w:r w:rsidR="00635C57" w:rsidRPr="00657A14">
              <w:rPr>
                <w:rFonts w:ascii="Times New Roman" w:hAnsi="Times New Roman" w:cs="Times New Roman"/>
                <w:color w:val="000000" w:themeColor="text1"/>
                <w:sz w:val="24"/>
                <w:szCs w:val="24"/>
              </w:rPr>
              <w:t xml:space="preserve"> </w:t>
            </w:r>
          </w:p>
          <w:p w:rsidR="0009637F" w:rsidRPr="00657A14" w:rsidRDefault="00746848"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Latvijas tiesību akti neparedz iespēju Latvijā atzīt un izpildīt ārvalsts lēmumu, ar kuru per</w:t>
            </w:r>
            <w:r w:rsidR="00BD0B26" w:rsidRPr="00657A14">
              <w:rPr>
                <w:rFonts w:ascii="Times New Roman" w:hAnsi="Times New Roman" w:cs="Times New Roman"/>
                <w:color w:val="000000" w:themeColor="text1"/>
                <w:sz w:val="24"/>
                <w:szCs w:val="24"/>
              </w:rPr>
              <w:t>sonai piemērots administratīva rakstura</w:t>
            </w:r>
            <w:r w:rsidRPr="00657A14">
              <w:rPr>
                <w:rFonts w:ascii="Times New Roman" w:hAnsi="Times New Roman" w:cs="Times New Roman"/>
                <w:color w:val="000000" w:themeColor="text1"/>
                <w:sz w:val="24"/>
                <w:szCs w:val="24"/>
              </w:rPr>
              <w:t xml:space="preserve">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w:t>
            </w:r>
            <w:r w:rsidR="00BD0B26" w:rsidRPr="00657A14">
              <w:rPr>
                <w:rFonts w:ascii="Times New Roman" w:hAnsi="Times New Roman" w:cs="Times New Roman"/>
                <w:color w:val="000000" w:themeColor="text1"/>
                <w:sz w:val="24"/>
                <w:szCs w:val="24"/>
              </w:rPr>
              <w:t xml:space="preserve"> rakstura sods, </w:t>
            </w:r>
            <w:r w:rsidR="00A56547" w:rsidRPr="00657A14">
              <w:rPr>
                <w:rFonts w:ascii="Times New Roman" w:hAnsi="Times New Roman" w:cs="Times New Roman"/>
                <w:color w:val="000000" w:themeColor="text1"/>
                <w:sz w:val="24"/>
                <w:szCs w:val="24"/>
              </w:rPr>
              <w:t>v</w:t>
            </w:r>
            <w:r w:rsidRPr="00657A14">
              <w:rPr>
                <w:rFonts w:ascii="Times New Roman" w:hAnsi="Times New Roman" w:cs="Times New Roman"/>
                <w:color w:val="000000" w:themeColor="text1"/>
                <w:sz w:val="24"/>
                <w:szCs w:val="24"/>
              </w:rPr>
              <w:t>ai varētu nosūtīt Latvijā pieņemtu lēmumu izpildei ārvalstī.</w:t>
            </w:r>
          </w:p>
          <w:p w:rsidR="0009637F" w:rsidRPr="00657A14" w:rsidRDefault="00746848"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Likumprojekts paredz papildināt </w:t>
            </w:r>
            <w:r w:rsidR="00767061" w:rsidRPr="00657A14">
              <w:rPr>
                <w:rFonts w:ascii="Times New Roman" w:hAnsi="Times New Roman" w:cs="Times New Roman"/>
                <w:color w:val="000000" w:themeColor="text1"/>
                <w:sz w:val="24"/>
                <w:szCs w:val="24"/>
              </w:rPr>
              <w:t>NILLTFNL</w:t>
            </w:r>
            <w:r w:rsidR="000F1670" w:rsidRPr="00657A14">
              <w:rPr>
                <w:rFonts w:ascii="Times New Roman" w:hAnsi="Times New Roman" w:cs="Times New Roman"/>
                <w:color w:val="000000" w:themeColor="text1"/>
                <w:sz w:val="24"/>
                <w:szCs w:val="24"/>
              </w:rPr>
              <w:t xml:space="preserve"> ar jaunu XV nodaļu</w:t>
            </w:r>
            <w:r w:rsidR="00FA3771" w:rsidRPr="00657A14">
              <w:rPr>
                <w:rFonts w:ascii="Times New Roman" w:hAnsi="Times New Roman" w:cs="Times New Roman"/>
                <w:color w:val="000000" w:themeColor="text1"/>
                <w:sz w:val="24"/>
                <w:szCs w:val="24"/>
              </w:rPr>
              <w:t xml:space="preserve"> “Atbildība par pārkāpumiem noziedzīgi iegūtu līdzekļu legalizācijas un terorisma finansēšanas novēršanas jomā un kompetence sankciju piemērošanā”</w:t>
            </w:r>
            <w:r w:rsidR="00B63C32" w:rsidRPr="00657A14">
              <w:rPr>
                <w:rFonts w:ascii="Times New Roman" w:hAnsi="Times New Roman" w:cs="Times New Roman"/>
                <w:color w:val="000000" w:themeColor="text1"/>
                <w:sz w:val="24"/>
                <w:szCs w:val="24"/>
              </w:rPr>
              <w:t>. Izpildot AML IV direktīvas prasības</w:t>
            </w:r>
            <w:r w:rsidR="00511C57" w:rsidRPr="00657A14">
              <w:rPr>
                <w:rFonts w:ascii="Times New Roman" w:hAnsi="Times New Roman" w:cs="Times New Roman"/>
                <w:color w:val="000000" w:themeColor="text1"/>
                <w:sz w:val="24"/>
                <w:szCs w:val="24"/>
              </w:rPr>
              <w:t>,</w:t>
            </w:r>
            <w:r w:rsidR="00B63C32" w:rsidRPr="00657A14">
              <w:rPr>
                <w:rFonts w:ascii="Times New Roman" w:hAnsi="Times New Roman" w:cs="Times New Roman"/>
                <w:color w:val="000000" w:themeColor="text1"/>
                <w:sz w:val="24"/>
                <w:szCs w:val="24"/>
              </w:rPr>
              <w:t xml:space="preserve"> tiek paredzēti sodi un pasākumu klāsts saistībā ar nopietniem, atkārtotiem vai sistemātiskiem prasību pārkāpumiem attiecībā uz klienta izpētes pasākumiem, informācijas uzglabāšanu, ziņošanu par aizdomīgiem darījumiem un atbildīgo subjektu iekšējo ko</w:t>
            </w:r>
            <w:r w:rsidR="00033562" w:rsidRPr="00657A14">
              <w:rPr>
                <w:rFonts w:ascii="Times New Roman" w:hAnsi="Times New Roman" w:cs="Times New Roman"/>
                <w:color w:val="000000" w:themeColor="text1"/>
                <w:sz w:val="24"/>
                <w:szCs w:val="24"/>
              </w:rPr>
              <w:t>n</w:t>
            </w:r>
            <w:r w:rsidR="00B63C32" w:rsidRPr="00657A14">
              <w:rPr>
                <w:rFonts w:ascii="Times New Roman" w:hAnsi="Times New Roman" w:cs="Times New Roman"/>
                <w:color w:val="000000" w:themeColor="text1"/>
                <w:sz w:val="24"/>
                <w:szCs w:val="24"/>
              </w:rPr>
              <w:t>troli.</w:t>
            </w:r>
            <w:r w:rsidR="00033562" w:rsidRPr="00657A14">
              <w:rPr>
                <w:rFonts w:ascii="Times New Roman" w:hAnsi="Times New Roman" w:cs="Times New Roman"/>
                <w:color w:val="000000" w:themeColor="text1"/>
                <w:sz w:val="24"/>
                <w:szCs w:val="24"/>
              </w:rPr>
              <w:t xml:space="preserve"> Sankciju un pasākumu klāsts </w:t>
            </w:r>
            <w:r w:rsidR="00445883" w:rsidRPr="00657A14">
              <w:rPr>
                <w:rFonts w:ascii="Times New Roman" w:hAnsi="Times New Roman" w:cs="Times New Roman"/>
                <w:color w:val="000000" w:themeColor="text1"/>
                <w:sz w:val="24"/>
                <w:szCs w:val="24"/>
              </w:rPr>
              <w:t>ir pietiekami plašs un ļauj kompetentajām iestādēm ņemt vērā atšķirības starp atbildīgajiem subjektiem, jo īpaši starp kredītiestādēm un finanšu iestādēm un citiem atbildīgajiem subjektiem</w:t>
            </w:r>
            <w:r w:rsidR="00877ACA" w:rsidRPr="00657A14">
              <w:rPr>
                <w:rFonts w:ascii="Times New Roman" w:hAnsi="Times New Roman" w:cs="Times New Roman"/>
                <w:color w:val="000000" w:themeColor="text1"/>
                <w:sz w:val="24"/>
                <w:szCs w:val="24"/>
              </w:rPr>
              <w:t xml:space="preserve">, ņemot </w:t>
            </w:r>
            <w:r w:rsidR="00877ACA" w:rsidRPr="00657A14">
              <w:rPr>
                <w:rFonts w:ascii="Times New Roman" w:hAnsi="Times New Roman" w:cs="Times New Roman"/>
                <w:color w:val="000000" w:themeColor="text1"/>
                <w:sz w:val="24"/>
                <w:szCs w:val="24"/>
              </w:rPr>
              <w:lastRenderedPageBreak/>
              <w:t>vērā apmēru, iezīmes un darījumdarbības būtību.</w:t>
            </w:r>
            <w:r w:rsidR="004D028B" w:rsidRPr="00657A14">
              <w:rPr>
                <w:rFonts w:ascii="Times New Roman" w:hAnsi="Times New Roman" w:cs="Times New Roman"/>
                <w:color w:val="000000" w:themeColor="text1"/>
                <w:sz w:val="24"/>
                <w:szCs w:val="24"/>
              </w:rPr>
              <w:t xml:space="preserve"> </w:t>
            </w:r>
          </w:p>
          <w:p w:rsidR="0009637F" w:rsidRPr="00657A14" w:rsidRDefault="00FE4A8E" w:rsidP="0009637F">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Šobrīd, lai veicinātu kredītiestāžu darbības atbilstību noziedzīgi iegūtu līdzekļu legalizācijas un terorisma </w:t>
            </w:r>
            <w:r w:rsidR="00220900" w:rsidRPr="00657A14">
              <w:rPr>
                <w:rFonts w:ascii="Times New Roman" w:hAnsi="Times New Roman" w:cs="Times New Roman"/>
                <w:color w:val="000000" w:themeColor="text1"/>
                <w:sz w:val="24"/>
                <w:szCs w:val="24"/>
              </w:rPr>
              <w:t>finansēšanas novēršanas prasībām un izvirzītu par noziedzīgi iegūtu līdzekļu legalizācijas un terorisma finansēšanas novēršanas prasību izpildi atbildīgajām</w:t>
            </w:r>
            <w:r w:rsidR="00DF00AB" w:rsidRPr="00657A14">
              <w:rPr>
                <w:rFonts w:ascii="Times New Roman" w:hAnsi="Times New Roman" w:cs="Times New Roman"/>
                <w:color w:val="000000" w:themeColor="text1"/>
                <w:sz w:val="24"/>
                <w:szCs w:val="24"/>
              </w:rPr>
              <w:t xml:space="preserve"> personām kredītiestādēs paaugstinātas atbilstības prasības ir pārņemtas Kredītiestāžu likumā</w:t>
            </w:r>
            <w:r w:rsidR="00511C57" w:rsidRPr="00657A14">
              <w:rPr>
                <w:rFonts w:ascii="Times New Roman" w:hAnsi="Times New Roman" w:cs="Times New Roman"/>
                <w:color w:val="000000" w:themeColor="text1"/>
                <w:sz w:val="24"/>
                <w:szCs w:val="24"/>
              </w:rPr>
              <w:t>.</w:t>
            </w:r>
            <w:r w:rsidR="00DF00AB" w:rsidRPr="00657A14">
              <w:rPr>
                <w:rFonts w:ascii="Times New Roman" w:hAnsi="Times New Roman" w:cs="Times New Roman"/>
                <w:color w:val="000000" w:themeColor="text1"/>
                <w:sz w:val="24"/>
                <w:szCs w:val="24"/>
              </w:rPr>
              <w:t xml:space="preserve"> </w:t>
            </w:r>
            <w:r w:rsidR="00511C57" w:rsidRPr="00657A14">
              <w:rPr>
                <w:rFonts w:ascii="Times New Roman" w:hAnsi="Times New Roman" w:cs="Times New Roman"/>
                <w:color w:val="000000" w:themeColor="text1"/>
                <w:sz w:val="24"/>
                <w:szCs w:val="24"/>
              </w:rPr>
              <w:t>G</w:t>
            </w:r>
            <w:r w:rsidR="00DF00AB" w:rsidRPr="00657A14">
              <w:rPr>
                <w:rFonts w:ascii="Times New Roman" w:hAnsi="Times New Roman" w:cs="Times New Roman"/>
                <w:color w:val="000000" w:themeColor="text1"/>
                <w:sz w:val="24"/>
                <w:szCs w:val="24"/>
              </w:rPr>
              <w:t>rozījumi minētajā likumā tika izstrādāti saskaņā ar AML IV direktīvas 59.pantā noteikto</w:t>
            </w:r>
            <w:r w:rsidR="00511C57" w:rsidRPr="00657A14">
              <w:rPr>
                <w:rFonts w:ascii="Times New Roman" w:hAnsi="Times New Roman" w:cs="Times New Roman"/>
                <w:color w:val="000000" w:themeColor="text1"/>
                <w:sz w:val="24"/>
                <w:szCs w:val="24"/>
              </w:rPr>
              <w:t>,</w:t>
            </w:r>
            <w:r w:rsidR="00DF00AB" w:rsidRPr="00657A14">
              <w:rPr>
                <w:rFonts w:ascii="Times New Roman" w:hAnsi="Times New Roman" w:cs="Times New Roman"/>
                <w:color w:val="000000" w:themeColor="text1"/>
                <w:sz w:val="24"/>
                <w:szCs w:val="24"/>
              </w:rPr>
              <w:t xml:space="preserve"> kā arī FATF 35.rekomendāciju, kas paredz valstīm nodrošināt virkni efektīvu, samērīgu un atturošu sankciju, kuras var piemērot personām, kuras nepilda NILLTFNL prasības</w:t>
            </w:r>
            <w:r w:rsidR="00BC1646" w:rsidRPr="00657A14">
              <w:rPr>
                <w:rFonts w:ascii="Times New Roman" w:hAnsi="Times New Roman" w:cs="Times New Roman"/>
                <w:color w:val="000000" w:themeColor="text1"/>
                <w:sz w:val="24"/>
                <w:szCs w:val="24"/>
              </w:rPr>
              <w:t xml:space="preserve">. Sankcijas tiek piemērotas ne tikai finanšu iestādēm, bet arī to direktoriem un augstākajai vadībai. </w:t>
            </w:r>
          </w:p>
          <w:p w:rsidR="0009637F" w:rsidRPr="00657A14" w:rsidRDefault="00A6613C" w:rsidP="00385D61">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2015.gada 21.oktobrī publicētais Ekonomikas Sadarbības un attīstības organizācijas</w:t>
            </w:r>
            <w:r w:rsidR="00CB701F" w:rsidRPr="00657A14">
              <w:rPr>
                <w:rFonts w:ascii="Times New Roman" w:hAnsi="Times New Roman" w:cs="Times New Roman"/>
                <w:color w:val="000000" w:themeColor="text1"/>
                <w:sz w:val="24"/>
                <w:szCs w:val="24"/>
              </w:rPr>
              <w:t xml:space="preserve"> (OECD)</w:t>
            </w:r>
            <w:r w:rsidRPr="00657A14">
              <w:rPr>
                <w:rFonts w:ascii="Times New Roman" w:hAnsi="Times New Roman" w:cs="Times New Roman"/>
                <w:color w:val="000000" w:themeColor="text1"/>
                <w:sz w:val="24"/>
                <w:szCs w:val="24"/>
              </w:rPr>
              <w:t xml:space="preserve"> otrās fāzes ziņojums</w:t>
            </w:r>
            <w:r w:rsidR="00CB701F" w:rsidRPr="00657A14">
              <w:rPr>
                <w:rFonts w:ascii="Times New Roman" w:hAnsi="Times New Roman" w:cs="Times New Roman"/>
                <w:color w:val="000000" w:themeColor="text1"/>
                <w:sz w:val="24"/>
                <w:szCs w:val="24"/>
              </w:rPr>
              <w:t xml:space="preserve"> “Par OECD Pretkorupcijas konvencijas ieviešanu Latvijā” (turpmāk - ziņojums), norādīja, to ka pastāv bažas</w:t>
            </w:r>
            <w:r w:rsidR="00C244F9" w:rsidRPr="00657A14">
              <w:rPr>
                <w:rFonts w:ascii="Times New Roman" w:hAnsi="Times New Roman" w:cs="Times New Roman"/>
                <w:color w:val="000000" w:themeColor="text1"/>
                <w:sz w:val="24"/>
                <w:szCs w:val="24"/>
              </w:rPr>
              <w:t>, ka atbildīgās personas par NILLTFNL pārkāpumiem netiek pienācīgi sodītas. Ziņojuma 106.punktā tika norādīts: “Masu mēdiji ziņoja par apgalvojumiem, ka ārvalstu amatpersonas atmazgājušas vismaz 63 milj. euro ienākumu no nodokļu krāpšanas</w:t>
            </w:r>
            <w:r w:rsidR="00A25FF2" w:rsidRPr="00657A14">
              <w:rPr>
                <w:rFonts w:ascii="Times New Roman" w:hAnsi="Times New Roman" w:cs="Times New Roman"/>
                <w:color w:val="000000" w:themeColor="text1"/>
                <w:sz w:val="24"/>
                <w:szCs w:val="24"/>
              </w:rPr>
              <w:t>, izmantojot nerezidentu bankas kontus Latvijā</w:t>
            </w:r>
            <w:r w:rsidR="00924902" w:rsidRPr="00657A14">
              <w:rPr>
                <w:rFonts w:ascii="Times New Roman" w:hAnsi="Times New Roman" w:cs="Times New Roman"/>
                <w:color w:val="000000" w:themeColor="text1"/>
                <w:sz w:val="24"/>
                <w:szCs w:val="24"/>
              </w:rPr>
              <w:t>. 2013.gadā Finanšu tirgus un kapitāla komisija piemēroja bankai soda naudu 142 000 euro apmērā</w:t>
            </w:r>
            <w:r w:rsidR="00EC19DE" w:rsidRPr="00657A14">
              <w:rPr>
                <w:rFonts w:ascii="Times New Roman" w:hAnsi="Times New Roman" w:cs="Times New Roman"/>
                <w:color w:val="000000" w:themeColor="text1"/>
                <w:sz w:val="24"/>
                <w:szCs w:val="24"/>
              </w:rPr>
              <w:t>, kas ir maksimālais pieejamais apmērs, saistībā ar šo lietu NILLTFNL pārkāpumu. (Piecas citas Latvijas bankas, par kurām tika apgalvots, ka caur tām atmazgāti ienākumi šajā pat lietā, netika sodītas, jo tika uzskatīts, ka tās</w:t>
            </w:r>
            <w:r w:rsidR="00B2481F" w:rsidRPr="00657A14">
              <w:rPr>
                <w:rFonts w:ascii="Times New Roman" w:hAnsi="Times New Roman" w:cs="Times New Roman"/>
                <w:color w:val="000000" w:themeColor="text1"/>
                <w:sz w:val="24"/>
                <w:szCs w:val="24"/>
              </w:rPr>
              <w:t xml:space="preserve"> pārkāpušas NILLTFNL</w:t>
            </w:r>
            <w:r w:rsidR="00EC19DE" w:rsidRPr="00657A14">
              <w:rPr>
                <w:rFonts w:ascii="Times New Roman" w:hAnsi="Times New Roman" w:cs="Times New Roman"/>
                <w:color w:val="000000" w:themeColor="text1"/>
                <w:sz w:val="24"/>
                <w:szCs w:val="24"/>
              </w:rPr>
              <w:t>)</w:t>
            </w:r>
            <w:r w:rsidR="00B2481F" w:rsidRPr="00657A14">
              <w:rPr>
                <w:rFonts w:ascii="Times New Roman" w:hAnsi="Times New Roman" w:cs="Times New Roman"/>
                <w:color w:val="000000" w:themeColor="text1"/>
                <w:sz w:val="24"/>
                <w:szCs w:val="24"/>
              </w:rPr>
              <w:t>. Maksimālā soda nauda bija tikusi piemērota sešos iepriekšējos gadījumos, kas norāda, ka tā ir pārāk maza. Personai (piem</w:t>
            </w:r>
            <w:r w:rsidR="00511C57" w:rsidRPr="00657A14">
              <w:rPr>
                <w:rFonts w:ascii="Times New Roman" w:hAnsi="Times New Roman" w:cs="Times New Roman"/>
                <w:color w:val="000000" w:themeColor="text1"/>
                <w:sz w:val="24"/>
                <w:szCs w:val="24"/>
              </w:rPr>
              <w:t>ēram,</w:t>
            </w:r>
            <w:r w:rsidR="00B2481F" w:rsidRPr="00657A14">
              <w:rPr>
                <w:rFonts w:ascii="Times New Roman" w:hAnsi="Times New Roman" w:cs="Times New Roman"/>
                <w:color w:val="000000" w:themeColor="text1"/>
                <w:sz w:val="24"/>
                <w:szCs w:val="24"/>
              </w:rPr>
              <w:t xml:space="preserve"> bankas darbiniekam), kas neziņo par aizdomām par naudas atmazgāšanu, var piemērot naudas sodu tikai līdz 350 euro apmērā) (</w:t>
            </w:r>
            <w:r w:rsidR="00D43E0A" w:rsidRPr="00657A14">
              <w:rPr>
                <w:rFonts w:ascii="Times New Roman" w:hAnsi="Times New Roman" w:cs="Times New Roman"/>
                <w:color w:val="000000" w:themeColor="text1"/>
                <w:sz w:val="24"/>
                <w:szCs w:val="24"/>
              </w:rPr>
              <w:t xml:space="preserve">Latvijas </w:t>
            </w:r>
            <w:r w:rsidR="00B2481F" w:rsidRPr="00657A14">
              <w:rPr>
                <w:rFonts w:ascii="Times New Roman" w:hAnsi="Times New Roman" w:cs="Times New Roman"/>
                <w:color w:val="000000" w:themeColor="text1"/>
                <w:sz w:val="24"/>
                <w:szCs w:val="24"/>
              </w:rPr>
              <w:t xml:space="preserve">Administratīvo pārkāpumu kodeksa </w:t>
            </w:r>
            <w:r w:rsidR="00340C7F" w:rsidRPr="00657A14">
              <w:rPr>
                <w:rFonts w:ascii="Times New Roman" w:hAnsi="Times New Roman" w:cs="Times New Roman"/>
                <w:color w:val="000000" w:themeColor="text1"/>
                <w:sz w:val="24"/>
                <w:szCs w:val="24"/>
              </w:rPr>
              <w:t>165.</w:t>
            </w:r>
            <w:r w:rsidR="00D43E0A" w:rsidRPr="00657A14">
              <w:rPr>
                <w:rFonts w:ascii="Times New Roman" w:hAnsi="Times New Roman" w:cs="Times New Roman"/>
                <w:color w:val="000000" w:themeColor="text1"/>
                <w:sz w:val="24"/>
                <w:szCs w:val="24"/>
              </w:rPr>
              <w:t>4</w:t>
            </w:r>
            <w:r w:rsidR="00340C7F" w:rsidRPr="00657A14">
              <w:rPr>
                <w:rFonts w:ascii="Times New Roman" w:hAnsi="Times New Roman" w:cs="Times New Roman"/>
                <w:color w:val="000000" w:themeColor="text1"/>
                <w:sz w:val="24"/>
                <w:szCs w:val="24"/>
              </w:rPr>
              <w:t xml:space="preserve"> </w:t>
            </w:r>
            <w:r w:rsidR="00677D13" w:rsidRPr="00657A14">
              <w:rPr>
                <w:rFonts w:ascii="Times New Roman" w:hAnsi="Times New Roman" w:cs="Times New Roman"/>
                <w:color w:val="000000" w:themeColor="text1"/>
                <w:sz w:val="24"/>
                <w:szCs w:val="24"/>
              </w:rPr>
              <w:t>pants). Nevienam finanšu institūciju darbiniekam vai amatpersonai nav piemērotas sankcijas par palīdzību vai sadarbību naudas atmazgāšanā kopš vismaz 2010.gada</w:t>
            </w:r>
            <w:r w:rsidR="001B40F4" w:rsidRPr="00657A14">
              <w:rPr>
                <w:rFonts w:ascii="Times New Roman" w:hAnsi="Times New Roman" w:cs="Times New Roman"/>
                <w:color w:val="000000" w:themeColor="text1"/>
                <w:sz w:val="24"/>
                <w:szCs w:val="24"/>
              </w:rPr>
              <w:t>.</w:t>
            </w:r>
            <w:r w:rsidR="00677D13" w:rsidRPr="00657A14">
              <w:rPr>
                <w:rFonts w:ascii="Times New Roman" w:hAnsi="Times New Roman" w:cs="Times New Roman"/>
                <w:color w:val="000000" w:themeColor="text1"/>
                <w:sz w:val="24"/>
                <w:szCs w:val="24"/>
              </w:rPr>
              <w:t xml:space="preserve"> 2014.gadā maksimālie naudas sodi tika paaugstināti līdz 10% no juridiskās personas apgrozījuma iepriekšējā</w:t>
            </w:r>
            <w:r w:rsidR="00146E08" w:rsidRPr="00657A14">
              <w:rPr>
                <w:rFonts w:ascii="Times New Roman" w:hAnsi="Times New Roman" w:cs="Times New Roman"/>
                <w:color w:val="000000" w:themeColor="text1"/>
                <w:sz w:val="24"/>
                <w:szCs w:val="24"/>
              </w:rPr>
              <w:t xml:space="preserve"> gadā un līdz 5 milj. euro pret fiziskām personām. </w:t>
            </w:r>
            <w:r w:rsidR="001B40F4" w:rsidRPr="00657A14">
              <w:rPr>
                <w:rFonts w:ascii="Times New Roman" w:hAnsi="Times New Roman" w:cs="Times New Roman"/>
                <w:color w:val="000000" w:themeColor="text1"/>
                <w:sz w:val="24"/>
                <w:szCs w:val="24"/>
              </w:rPr>
              <w:t>N</w:t>
            </w:r>
            <w:r w:rsidR="00146E08" w:rsidRPr="00657A14">
              <w:rPr>
                <w:rFonts w:ascii="Times New Roman" w:hAnsi="Times New Roman" w:cs="Times New Roman"/>
                <w:color w:val="000000" w:themeColor="text1"/>
                <w:sz w:val="24"/>
                <w:szCs w:val="24"/>
              </w:rPr>
              <w:t xml:space="preserve">audas atmazgāšana kā krimināls nodarījums arī tiek sodīta neatbilstoši. </w:t>
            </w:r>
            <w:r w:rsidR="00DE17E1" w:rsidRPr="00657A14">
              <w:rPr>
                <w:rFonts w:ascii="Times New Roman" w:hAnsi="Times New Roman" w:cs="Times New Roman"/>
                <w:color w:val="000000" w:themeColor="text1"/>
                <w:sz w:val="24"/>
                <w:szCs w:val="24"/>
              </w:rPr>
              <w:t>Esošās situācijas problemātika kredītiestādēs nepietiekamu sankciju piemērošanā efektīvākai cīņai pret NILLTFNL pārkāpumiem tika novērsta Kredītiestāžu likumā</w:t>
            </w:r>
            <w:r w:rsidR="001B40F4" w:rsidRPr="00657A14">
              <w:rPr>
                <w:rFonts w:ascii="Times New Roman" w:hAnsi="Times New Roman" w:cs="Times New Roman"/>
                <w:color w:val="000000" w:themeColor="text1"/>
                <w:sz w:val="24"/>
                <w:szCs w:val="24"/>
              </w:rPr>
              <w:t>,</w:t>
            </w:r>
            <w:r w:rsidR="00DE17E1" w:rsidRPr="00657A14">
              <w:rPr>
                <w:rFonts w:ascii="Times New Roman" w:hAnsi="Times New Roman" w:cs="Times New Roman"/>
                <w:color w:val="000000" w:themeColor="text1"/>
                <w:sz w:val="24"/>
                <w:szCs w:val="24"/>
              </w:rPr>
              <w:t xml:space="preserve"> ieviešot AML IV direktīvas 59.panta normas, taču nenoliedzami </w:t>
            </w:r>
            <w:r w:rsidR="00DE17E1" w:rsidRPr="00657A14">
              <w:rPr>
                <w:rFonts w:ascii="Times New Roman" w:hAnsi="Times New Roman" w:cs="Times New Roman"/>
                <w:color w:val="000000" w:themeColor="text1"/>
                <w:sz w:val="24"/>
                <w:szCs w:val="24"/>
              </w:rPr>
              <w:lastRenderedPageBreak/>
              <w:t>esošā problemātika pastāv arī citās jomās</w:t>
            </w:r>
            <w:r w:rsidR="001B40F4" w:rsidRPr="00657A14">
              <w:rPr>
                <w:rFonts w:ascii="Times New Roman" w:hAnsi="Times New Roman" w:cs="Times New Roman"/>
                <w:color w:val="000000" w:themeColor="text1"/>
                <w:sz w:val="24"/>
                <w:szCs w:val="24"/>
              </w:rPr>
              <w:t>,</w:t>
            </w:r>
            <w:r w:rsidR="00DE17E1" w:rsidRPr="00657A14">
              <w:rPr>
                <w:rFonts w:ascii="Times New Roman" w:hAnsi="Times New Roman" w:cs="Times New Roman"/>
                <w:color w:val="000000" w:themeColor="text1"/>
                <w:sz w:val="24"/>
                <w:szCs w:val="24"/>
              </w:rPr>
              <w:t xml:space="preserve"> un pastāvošās normas attiecībā uz pārējiem NILLTFNL subjektu pārkāpumiem neļauj īstenot efektīvu cīņu, līdz ar to tiek pārņemtas AML IV direktīvas prasības NILLTFNL nosakot sankciju piemērošanu veidu un apjomu attiecībā uz visiem NILLTFNL subjektiem.</w:t>
            </w:r>
          </w:p>
          <w:p w:rsidR="00385D61" w:rsidRPr="00657A14" w:rsidRDefault="00385D61" w:rsidP="00385D61">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Ja pēc konkrētu apstākļu pārbaudes Finanšu un kapitāla tirgus komisijai ir pamats pieņemt lēmumu par sankciju un/vai korektīvo pasākumu, ierobežojumu piemērošanu personām, kuras pārkāpušas finanšu un kapitāla tirgu regulējošos normatīvos aktus, tā savā lēmumā ietver:</w:t>
            </w:r>
          </w:p>
          <w:p w:rsidR="00385D61" w:rsidRPr="00657A14" w:rsidRDefault="00385D61" w:rsidP="00385D61">
            <w:pPr>
              <w:shd w:val="clear" w:color="auto" w:fill="FFFFFF"/>
              <w:spacing w:before="280" w:after="280"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Finanšu un kapitāla tirgus komisijas likuma 17.1 panta pirmajā daļā noteikto kritēriju izvērtējumu, nosakot, cik konkrētais pārkāpums ir būtisks, ilgstošs, kāda ir personas atbildības pakāpe, kāda būs sankciju ietekme uz iestādi un finanšu sektoru kopumā u.tml.;</w:t>
            </w:r>
          </w:p>
          <w:p w:rsidR="00385D61" w:rsidRPr="00657A14" w:rsidRDefault="00385D61" w:rsidP="00385D61">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Uz Finanšu un kapitāla tirgus komisijas likuma 17.1 panta otrās daļas pamata 28.12.2016. izdotajos Finanšu un kapitāla tirgus komisijas ieteikumos Nr. 268 “Ieteikumi (vadlīnijas) sankciju par finanšu un kapitāla tirgus regulējuma pārkāpumiem noteikšanai finanšu un kapitāla tirgus dalībniekiem un par pārkāpumu atbildīgajām fiziskajām un juridiskajām personām” un to pielikumos noteiktās vadlīnijas sankciju piemērošanai. Jo pārkāpums ir nozīmīgāks, jo bargākas ir piemērojamās sankcijas.</w:t>
            </w:r>
          </w:p>
          <w:p w:rsidR="00385D61" w:rsidRPr="00657A14" w:rsidRDefault="00385D61" w:rsidP="00385D61">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Administratīvā procesa likuma 66. panta pirmajā daļā noteikto lietderības apsvērumu saturu, izvērtējot pieņemtā lēmuma un piemēroto sankciju nepieciešamību, piemērotību, vajadzību un atbilstību, ievērojot normatīvajos aktos noteikto Finanšu un kapitāla tirgus komisijas rīcības brīvību piemērot sankcijas par normatīvo aktu pārkāpumiem.</w:t>
            </w:r>
          </w:p>
          <w:p w:rsidR="00385D61" w:rsidRPr="00657A14" w:rsidRDefault="00385D61" w:rsidP="00385D61">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Vienlaikus ar sankcijas piemērošanas jautājumu tiek vērtēts arī jautājums par nepieciešamību piemērot korektīvos pasākumus vai ierobežojumus, lai novērstu turpmāku pārkāpumu atkārtošanos un Latvijas finanšu sektora apdraudēšanu. Piemēram, kā ierobežojošais pasākums var tikt noteikts aizliegums piesaistīt jaunus klientus, kam piemīt paaugstināti riski, kamēr nav veikti uzlabojumi iekšējā kontroles sistēmā. Lemjot par sankcijas piemērošanu, vairumā gadījumu tiek lemts arī par nepieciešamību pārvērtēt iestādes klientu bāzi, lai mazinātu pastāvošos riskus.</w:t>
            </w:r>
          </w:p>
          <w:p w:rsidR="00385D61" w:rsidRPr="00657A14" w:rsidRDefault="00385D61" w:rsidP="00385D61">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Ņemot vērā minēto ir būtiski nodrošināt, ka sankcijas, ierobežojumi un korektīvie pasākumi tiek piemēroti </w:t>
            </w:r>
            <w:r w:rsidRPr="00657A14">
              <w:rPr>
                <w:rFonts w:ascii="Times New Roman" w:hAnsi="Times New Roman" w:cs="Times New Roman"/>
                <w:color w:val="000000" w:themeColor="text1"/>
                <w:sz w:val="24"/>
                <w:szCs w:val="24"/>
              </w:rPr>
              <w:lastRenderedPageBreak/>
              <w:t>A</w:t>
            </w:r>
            <w:r w:rsidR="005954D6" w:rsidRPr="00657A14">
              <w:rPr>
                <w:rFonts w:ascii="Times New Roman" w:hAnsi="Times New Roman" w:cs="Times New Roman"/>
                <w:color w:val="000000" w:themeColor="text1"/>
                <w:sz w:val="24"/>
                <w:szCs w:val="24"/>
              </w:rPr>
              <w:t xml:space="preserve">dministratīvā </w:t>
            </w:r>
            <w:r w:rsidR="000E0365" w:rsidRPr="00657A14">
              <w:rPr>
                <w:rFonts w:ascii="Times New Roman" w:hAnsi="Times New Roman" w:cs="Times New Roman"/>
                <w:color w:val="000000" w:themeColor="text1"/>
                <w:sz w:val="24"/>
                <w:szCs w:val="24"/>
              </w:rPr>
              <w:t>procesa likuma</w:t>
            </w:r>
            <w:r w:rsidRPr="00657A14">
              <w:rPr>
                <w:rFonts w:ascii="Times New Roman" w:hAnsi="Times New Roman" w:cs="Times New Roman"/>
                <w:color w:val="000000" w:themeColor="text1"/>
                <w:sz w:val="24"/>
                <w:szCs w:val="24"/>
              </w:rPr>
              <w:t xml:space="preserve"> noteiktajā kārtībā.</w:t>
            </w:r>
          </w:p>
          <w:p w:rsidR="00E03777" w:rsidRPr="00657A14" w:rsidRDefault="00E03777" w:rsidP="00385D61">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w:t>
            </w:r>
            <w:r w:rsidR="001B40F4" w:rsidRPr="00657A14">
              <w:rPr>
                <w:rFonts w:ascii="Times New Roman" w:hAnsi="Times New Roman" w:cs="Times New Roman"/>
                <w:color w:val="000000" w:themeColor="text1"/>
                <w:sz w:val="24"/>
                <w:szCs w:val="24"/>
              </w:rPr>
              <w:t>L</w:t>
            </w:r>
            <w:r w:rsidRPr="00657A14">
              <w:rPr>
                <w:rFonts w:ascii="Times New Roman" w:hAnsi="Times New Roman" w:cs="Times New Roman"/>
                <w:color w:val="000000" w:themeColor="text1"/>
                <w:sz w:val="24"/>
                <w:szCs w:val="24"/>
              </w:rPr>
              <w:t xml:space="preserve">TFNL 77.pants) paredz par konstatētiem </w:t>
            </w:r>
            <w:r w:rsidR="007672FE" w:rsidRPr="00657A14">
              <w:rPr>
                <w:rFonts w:ascii="Times New Roman" w:hAnsi="Times New Roman" w:cs="Times New Roman"/>
                <w:color w:val="000000" w:themeColor="text1"/>
                <w:sz w:val="24"/>
                <w:szCs w:val="24"/>
              </w:rPr>
              <w:t>pārkāpumiem</w:t>
            </w:r>
            <w:r w:rsidR="00944CD1" w:rsidRPr="00657A14">
              <w:rPr>
                <w:rFonts w:ascii="Times New Roman" w:hAnsi="Times New Roman" w:cs="Times New Roman"/>
                <w:color w:val="000000" w:themeColor="text1"/>
                <w:sz w:val="24"/>
                <w:szCs w:val="24"/>
              </w:rPr>
              <w:t xml:space="preserve"> normatīvo aktu kārtībā NILLTFN jomā uzraudzības un kontroles institūcijām īstenot NILLTFNL likumā paredzētās sankcijas un pasākumus. </w:t>
            </w:r>
            <w:r w:rsidR="00280306" w:rsidRPr="00657A14">
              <w:rPr>
                <w:rFonts w:ascii="Times New Roman" w:hAnsi="Times New Roman" w:cs="Times New Roman"/>
                <w:color w:val="000000" w:themeColor="text1"/>
                <w:sz w:val="24"/>
                <w:szCs w:val="24"/>
              </w:rPr>
              <w:t>Uzraudzības un kontroles institūcijām tiek piešķirtas tiesības ar nosacījumu, ja citos normatīvajos tiesību aktos nav paredzēta cita kārtība</w:t>
            </w:r>
            <w:r w:rsidR="00D6707B" w:rsidRPr="00657A14">
              <w:rPr>
                <w:rFonts w:ascii="Times New Roman" w:hAnsi="Times New Roman" w:cs="Times New Roman"/>
                <w:color w:val="000000" w:themeColor="text1"/>
                <w:sz w:val="24"/>
                <w:szCs w:val="24"/>
              </w:rPr>
              <w:t>, izdot normatīvos aktus, nosakot tajos piemērojamo sankciju un pasākumu īstenošanas kārtību un apmēru.</w:t>
            </w:r>
            <w:r w:rsidR="00C56729" w:rsidRPr="00657A14">
              <w:rPr>
                <w:rFonts w:ascii="Times New Roman" w:hAnsi="Times New Roman" w:cs="Times New Roman"/>
                <w:color w:val="000000" w:themeColor="text1"/>
                <w:sz w:val="24"/>
                <w:szCs w:val="24"/>
              </w:rPr>
              <w:t xml:space="preserve"> Atbilstoši AML IV direktīvas 60.panta 4.punktā noteiktajam, uzraudzības un kontroles institūcijām ir pienākums, nosakot sankciju vai pasākumu veidu un apmēru, ņemot vērā būtiskos apstākļus, noteikt arī:</w:t>
            </w:r>
          </w:p>
          <w:p w:rsidR="00C56729" w:rsidRPr="00657A14" w:rsidRDefault="00EB505C" w:rsidP="00385D61">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pārkāpuma smagumu</w:t>
            </w:r>
            <w:r w:rsidR="00B747C0" w:rsidRPr="00657A14">
              <w:rPr>
                <w:rFonts w:ascii="Times New Roman" w:hAnsi="Times New Roman" w:cs="Times New Roman"/>
                <w:color w:val="000000" w:themeColor="text1"/>
                <w:sz w:val="24"/>
                <w:szCs w:val="24"/>
              </w:rPr>
              <w:t xml:space="preserve"> un ilgumu</w:t>
            </w:r>
            <w:r w:rsidRPr="00657A14">
              <w:rPr>
                <w:rFonts w:ascii="Times New Roman" w:hAnsi="Times New Roman" w:cs="Times New Roman"/>
                <w:color w:val="000000" w:themeColor="text1"/>
                <w:sz w:val="24"/>
                <w:szCs w:val="24"/>
              </w:rPr>
              <w:t>;</w:t>
            </w:r>
          </w:p>
          <w:p w:rsidR="00EB505C" w:rsidRPr="00657A14" w:rsidRDefault="00EB505C" w:rsidP="00385D61">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pie atbildības </w:t>
            </w:r>
            <w:r w:rsidR="00983B31" w:rsidRPr="00657A14">
              <w:rPr>
                <w:rFonts w:ascii="Times New Roman" w:hAnsi="Times New Roman" w:cs="Times New Roman"/>
                <w:color w:val="000000" w:themeColor="text1"/>
                <w:sz w:val="24"/>
                <w:szCs w:val="24"/>
              </w:rPr>
              <w:t xml:space="preserve">sauktās </w:t>
            </w:r>
            <w:r w:rsidR="00577C97" w:rsidRPr="00657A14">
              <w:rPr>
                <w:rFonts w:ascii="Times New Roman" w:hAnsi="Times New Roman" w:cs="Times New Roman"/>
                <w:color w:val="000000" w:themeColor="text1"/>
                <w:sz w:val="24"/>
                <w:szCs w:val="24"/>
              </w:rPr>
              <w:t xml:space="preserve">fiziskās vai juridiskās personas </w:t>
            </w:r>
            <w:r w:rsidR="00FE3502" w:rsidRPr="00657A14">
              <w:rPr>
                <w:rFonts w:ascii="Times New Roman" w:hAnsi="Times New Roman" w:cs="Times New Roman"/>
                <w:color w:val="000000" w:themeColor="text1"/>
                <w:sz w:val="24"/>
                <w:szCs w:val="24"/>
              </w:rPr>
              <w:t>atbildības pakāpi;</w:t>
            </w:r>
          </w:p>
          <w:p w:rsidR="00FE3502" w:rsidRPr="00657A14" w:rsidRDefault="00FE3502" w:rsidP="00385D61">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pie atbildības sauktās fiziskās vai juridiskās personas finansiālo stāvokli, ko, piemēram norāda atbildīgās juridiskās personas kopējais apgrozījums vai atbildīgās fiziskās personas gada ienākumu apmērs;</w:t>
            </w:r>
          </w:p>
          <w:p w:rsidR="00FE3502" w:rsidRPr="00657A14" w:rsidRDefault="00FE3502" w:rsidP="00424423">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pie atbildības sauktās fiziskās un juridiskās personas</w:t>
            </w:r>
            <w:r w:rsidR="00141A98" w:rsidRPr="00657A14">
              <w:rPr>
                <w:rFonts w:ascii="Times New Roman" w:hAnsi="Times New Roman" w:cs="Times New Roman"/>
                <w:color w:val="000000" w:themeColor="text1"/>
                <w:sz w:val="24"/>
                <w:szCs w:val="24"/>
              </w:rPr>
              <w:t xml:space="preserve"> pārkāpumu rezultātā iegūto peļņu, ciktāl to var aprēķināt;</w:t>
            </w:r>
          </w:p>
          <w:p w:rsidR="00141A98" w:rsidRPr="00657A14" w:rsidRDefault="00141A98" w:rsidP="00424423">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pārkāpuma radītos zaudējumus trešajām personām, ciktāl tos var noteikt;</w:t>
            </w:r>
          </w:p>
          <w:p w:rsidR="00141A98" w:rsidRPr="00657A14" w:rsidRDefault="00141A98" w:rsidP="00424423">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to, cik lielā mērā </w:t>
            </w:r>
            <w:r w:rsidR="00AF7E87" w:rsidRPr="00657A14">
              <w:rPr>
                <w:rFonts w:ascii="Times New Roman" w:hAnsi="Times New Roman" w:cs="Times New Roman"/>
                <w:color w:val="000000" w:themeColor="text1"/>
                <w:sz w:val="24"/>
                <w:szCs w:val="24"/>
              </w:rPr>
              <w:t>pie atbildības sauktā fiziskā vai juridiskā persona</w:t>
            </w:r>
            <w:r w:rsidR="00691FBA" w:rsidRPr="00657A14">
              <w:rPr>
                <w:rFonts w:ascii="Times New Roman" w:hAnsi="Times New Roman" w:cs="Times New Roman"/>
                <w:color w:val="000000" w:themeColor="text1"/>
                <w:sz w:val="24"/>
                <w:szCs w:val="24"/>
              </w:rPr>
              <w:t xml:space="preserve"> sadarbojas</w:t>
            </w:r>
            <w:r w:rsidR="008206FF" w:rsidRPr="00657A14">
              <w:rPr>
                <w:rFonts w:ascii="Times New Roman" w:hAnsi="Times New Roman" w:cs="Times New Roman"/>
                <w:color w:val="000000" w:themeColor="text1"/>
                <w:sz w:val="24"/>
                <w:szCs w:val="24"/>
              </w:rPr>
              <w:t xml:space="preserve"> ar kompetento iestādi;</w:t>
            </w:r>
          </w:p>
          <w:p w:rsidR="0009637F" w:rsidRPr="00657A14" w:rsidRDefault="008206FF" w:rsidP="00424423">
            <w:pPr>
              <w:pStyle w:val="ListParagraph"/>
              <w:numPr>
                <w:ilvl w:val="0"/>
                <w:numId w:val="9"/>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pie atbildības sauktās fiziskās vai juridiskās personas iepriekšējos pārkāpumus.</w:t>
            </w:r>
          </w:p>
          <w:p w:rsidR="008206FF" w:rsidRPr="00657A14" w:rsidRDefault="00DC4293"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NILLTFN novēršanai noteiktu prasību neievērošanai likumprojekts </w:t>
            </w:r>
            <w:r w:rsidR="0013190C" w:rsidRPr="00657A14">
              <w:rPr>
                <w:rFonts w:ascii="Times New Roman" w:hAnsi="Times New Roman" w:cs="Times New Roman"/>
                <w:color w:val="000000" w:themeColor="text1"/>
                <w:sz w:val="24"/>
                <w:szCs w:val="24"/>
              </w:rPr>
              <w:t xml:space="preserve">(NILLTFNL 78.pants) </w:t>
            </w:r>
            <w:r w:rsidRPr="00657A14">
              <w:rPr>
                <w:rFonts w:ascii="Times New Roman" w:hAnsi="Times New Roman" w:cs="Times New Roman"/>
                <w:color w:val="000000" w:themeColor="text1"/>
                <w:sz w:val="24"/>
                <w:szCs w:val="24"/>
              </w:rPr>
              <w:t xml:space="preserve">paredz </w:t>
            </w:r>
            <w:r w:rsidR="0013190C" w:rsidRPr="00657A14">
              <w:rPr>
                <w:rFonts w:ascii="Times New Roman" w:hAnsi="Times New Roman" w:cs="Times New Roman"/>
                <w:color w:val="000000" w:themeColor="text1"/>
                <w:sz w:val="24"/>
                <w:szCs w:val="24"/>
              </w:rPr>
              <w:t xml:space="preserve">atbilstoši AML IV direktīvas 2.punkta a)-e) apakšpunktā noteiktajam, ka par darbībām, kuru rezultātā ir pārkāptas normatīvo aktu  prasības NILLTFN jomā vai normatīvo aktu prasības attiecībā uz starptautiskajām vai nacionālajām sankcijām, kas nosaka </w:t>
            </w:r>
            <w:r w:rsidR="00FF71F4" w:rsidRPr="00657A14">
              <w:rPr>
                <w:rFonts w:ascii="Times New Roman" w:hAnsi="Times New Roman" w:cs="Times New Roman"/>
                <w:color w:val="000000" w:themeColor="text1"/>
                <w:sz w:val="24"/>
                <w:szCs w:val="24"/>
              </w:rPr>
              <w:t>finanšu ierobežojumus likuma subjektam ir piemērojamas šādas sankcijas</w:t>
            </w:r>
            <w:r w:rsidR="00A30A99" w:rsidRPr="00657A14">
              <w:rPr>
                <w:rFonts w:ascii="Times New Roman" w:hAnsi="Times New Roman" w:cs="Times New Roman"/>
                <w:color w:val="000000" w:themeColor="text1"/>
                <w:sz w:val="24"/>
                <w:szCs w:val="24"/>
              </w:rPr>
              <w:t>:</w:t>
            </w:r>
          </w:p>
          <w:p w:rsidR="00A30A99" w:rsidRPr="00657A14" w:rsidRDefault="007F2FF2" w:rsidP="00424423">
            <w:pPr>
              <w:pStyle w:val="ListParagraph"/>
              <w:numPr>
                <w:ilvl w:val="0"/>
                <w:numId w:val="10"/>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izteikt publisku paziņojumu, norādot par pārkāpumu atbildīgo personu un pārkāpumu būtību;</w:t>
            </w:r>
          </w:p>
          <w:p w:rsidR="007F2FF2" w:rsidRPr="00657A14" w:rsidRDefault="00136DB1" w:rsidP="00424423">
            <w:pPr>
              <w:pStyle w:val="ListParagraph"/>
              <w:numPr>
                <w:ilvl w:val="0"/>
                <w:numId w:val="10"/>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uzlikt par pārkāpumu atbildīgajai personai soda naudu līdz 1 milj. euro ;</w:t>
            </w:r>
          </w:p>
          <w:p w:rsidR="00136DB1" w:rsidRPr="00657A14" w:rsidRDefault="00F32717" w:rsidP="00424423">
            <w:pPr>
              <w:pStyle w:val="ListParagraph"/>
              <w:numPr>
                <w:ilvl w:val="0"/>
                <w:numId w:val="10"/>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apturēt vai anulēt licenci;</w:t>
            </w:r>
          </w:p>
          <w:p w:rsidR="00F32717" w:rsidRPr="00657A14" w:rsidRDefault="00F32717" w:rsidP="00424423">
            <w:pPr>
              <w:pStyle w:val="ListParagraph"/>
              <w:numPr>
                <w:ilvl w:val="0"/>
                <w:numId w:val="10"/>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lastRenderedPageBreak/>
              <w:t xml:space="preserve">noteikt pagaidu aizliegumu darbiniekiem </w:t>
            </w:r>
            <w:r w:rsidR="00E6644C" w:rsidRPr="00657A14">
              <w:rPr>
                <w:rFonts w:ascii="Times New Roman" w:hAnsi="Times New Roman" w:cs="Times New Roman"/>
                <w:color w:val="000000" w:themeColor="text1"/>
                <w:sz w:val="24"/>
                <w:szCs w:val="24"/>
              </w:rPr>
              <w:t xml:space="preserve">vai valdes loceklim pildīt likuma subjekta </w:t>
            </w:r>
            <w:r w:rsidR="007F011A" w:rsidRPr="00657A14">
              <w:rPr>
                <w:rFonts w:ascii="Times New Roman" w:hAnsi="Times New Roman" w:cs="Times New Roman"/>
                <w:color w:val="000000" w:themeColor="text1"/>
                <w:sz w:val="24"/>
                <w:szCs w:val="24"/>
              </w:rPr>
              <w:t>pārvaldības funkcijas;</w:t>
            </w:r>
          </w:p>
          <w:p w:rsidR="007F011A" w:rsidRPr="00657A14" w:rsidRDefault="007F011A" w:rsidP="00424423">
            <w:pPr>
              <w:pStyle w:val="ListParagraph"/>
              <w:numPr>
                <w:ilvl w:val="0"/>
                <w:numId w:val="10"/>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pienākumu veikt vai atturēties no noteiktās rīcības;</w:t>
            </w:r>
          </w:p>
          <w:p w:rsidR="007F011A" w:rsidRPr="00657A14" w:rsidRDefault="007F011A" w:rsidP="00424423">
            <w:pPr>
              <w:ind w:left="360"/>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kā arī papildus AML IV direktīvā noteiktajam – izteikt brīdinājumu.</w:t>
            </w:r>
          </w:p>
          <w:p w:rsidR="005954D6" w:rsidRPr="00657A14" w:rsidRDefault="00BB1603" w:rsidP="004D79FE">
            <w:pPr>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Zvērinātiem advokātiem, zvērinātiem notāriem, zvērinātiem revidentiem un zvērinātu revidentu komercsabiedrībām atbildība, atkāpjoties no iepriekšminētajām sankcijām, par darbībām, kuru rezultātā ir pārkāptas normatīvo aktu prasības NILLTFN jomā, tiek īstenota disciplinārprocesa oetvaros, atbilstoši to darbību regulējošo normatīvo aktu prasībām.</w:t>
            </w:r>
          </w:p>
          <w:p w:rsidR="00DE50D9" w:rsidRPr="00657A14" w:rsidRDefault="00DE50D9" w:rsidP="004D79FE">
            <w:pPr>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Pašreiz ne Notariāta likums, ne Latvijas Republikas Advokatūras likums neparedz naudas sodu kā </w:t>
            </w:r>
            <w:r w:rsidR="00526B46" w:rsidRPr="00657A14">
              <w:rPr>
                <w:rFonts w:ascii="Times New Roman" w:hAnsi="Times New Roman" w:cs="Times New Roman"/>
                <w:color w:val="000000" w:themeColor="text1"/>
                <w:sz w:val="24"/>
                <w:szCs w:val="24"/>
              </w:rPr>
              <w:t xml:space="preserve">disciplinārsoda veidu, tādējādi </w:t>
            </w:r>
            <w:r w:rsidR="009E5D83" w:rsidRPr="00657A14">
              <w:rPr>
                <w:rFonts w:ascii="Times New Roman" w:hAnsi="Times New Roman" w:cs="Times New Roman"/>
                <w:color w:val="000000" w:themeColor="text1"/>
                <w:sz w:val="24"/>
                <w:szCs w:val="24"/>
              </w:rPr>
              <w:t>NILLTFNL grozījumu ietvaros tiks izdarīti grozījumi iepriekš minētajos likumos.</w:t>
            </w:r>
          </w:p>
          <w:p w:rsidR="007F011A" w:rsidRPr="00657A14" w:rsidRDefault="007F011A" w:rsidP="004D79FE">
            <w:pPr>
              <w:ind w:firstLine="403"/>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kredītiestādēm</w:t>
            </w:r>
            <w:r w:rsidR="001B40F4"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atkāpjoties no iepriekš nosauktajām sankcijām </w:t>
            </w:r>
            <w:r w:rsidR="00B754EE" w:rsidRPr="00657A14">
              <w:rPr>
                <w:rFonts w:ascii="Times New Roman" w:hAnsi="Times New Roman" w:cs="Times New Roman"/>
                <w:color w:val="000000" w:themeColor="text1"/>
                <w:sz w:val="24"/>
                <w:szCs w:val="24"/>
              </w:rPr>
              <w:t>atbilstoši AML IV direktīvas 59.panta 3.punktā noteiktajam</w:t>
            </w:r>
            <w:r w:rsidR="001B40F4" w:rsidRPr="00657A14">
              <w:rPr>
                <w:rFonts w:ascii="Times New Roman" w:hAnsi="Times New Roman" w:cs="Times New Roman"/>
                <w:color w:val="000000" w:themeColor="text1"/>
                <w:sz w:val="24"/>
                <w:szCs w:val="24"/>
              </w:rPr>
              <w:t>,</w:t>
            </w:r>
            <w:r w:rsidR="00B754EE"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var</w:t>
            </w:r>
            <w:r w:rsidR="00765EB8" w:rsidRPr="00657A14">
              <w:rPr>
                <w:rFonts w:ascii="Times New Roman" w:hAnsi="Times New Roman" w:cs="Times New Roman"/>
                <w:color w:val="000000" w:themeColor="text1"/>
                <w:sz w:val="24"/>
                <w:szCs w:val="24"/>
              </w:rPr>
              <w:t>:</w:t>
            </w:r>
          </w:p>
          <w:p w:rsidR="00B754EE" w:rsidRPr="00657A14" w:rsidRDefault="00466E52" w:rsidP="00424423">
            <w:pPr>
              <w:pStyle w:val="ListParagraph"/>
              <w:numPr>
                <w:ilvl w:val="0"/>
                <w:numId w:val="11"/>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uzlikt juridiskajai personai soda naudu līdz 10 % no kopējā gada apgrozījuma saskaņā ar pēdējiem gada </w:t>
            </w:r>
            <w:r w:rsidR="009401AB" w:rsidRPr="00657A14">
              <w:rPr>
                <w:rFonts w:ascii="Times New Roman" w:hAnsi="Times New Roman" w:cs="Times New Roman"/>
                <w:color w:val="000000" w:themeColor="text1"/>
                <w:sz w:val="24"/>
                <w:szCs w:val="24"/>
              </w:rPr>
              <w:t xml:space="preserve">pieejamiem pārskatiem, kurus apstiprinājusi vadības struktūra. Savukārt, ja 10% no kopējā gada apgrozījuma, kas pieejams saskaņā ar iepriekš minēto ir </w:t>
            </w:r>
            <w:r w:rsidR="00BE45E3" w:rsidRPr="00657A14">
              <w:rPr>
                <w:rFonts w:ascii="Times New Roman" w:hAnsi="Times New Roman" w:cs="Times New Roman"/>
                <w:color w:val="000000" w:themeColor="text1"/>
                <w:sz w:val="24"/>
                <w:szCs w:val="24"/>
              </w:rPr>
              <w:t>mazāka par 5 milj. euro, FKTK ir tiesības uzlikt soda naudu līdz 5 milj. euro;</w:t>
            </w:r>
          </w:p>
          <w:p w:rsidR="00BE45E3" w:rsidRPr="00657A14" w:rsidRDefault="00BE45E3" w:rsidP="00424423">
            <w:pPr>
              <w:pStyle w:val="ListParagraph"/>
              <w:numPr>
                <w:ilvl w:val="0"/>
                <w:numId w:val="11"/>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amatpersonai, darbiniekam vai personai, kura ir atbildīga par noteiktu darbību veikšanu kredītiestādes uzdevumā vai interesēs, par pārkāpumu var piemērot soda naudu līdz 5 milj. euro.</w:t>
            </w:r>
          </w:p>
          <w:p w:rsidR="0009637F" w:rsidRPr="00657A14" w:rsidRDefault="00434E0D" w:rsidP="00424423">
            <w:p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Attiecībā uz finanšu iestādēm</w:t>
            </w:r>
            <w:r w:rsidR="001B40F4"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atkāpjoties no iepriekš nosauktajām sankcijām atbilstoši AML IV direktīvas 59.panta 3.punkta a) apakšpunktā noteiktajam</w:t>
            </w:r>
            <w:r w:rsidR="001B40F4" w:rsidRPr="00657A14">
              <w:rPr>
                <w:rFonts w:ascii="Times New Roman" w:hAnsi="Times New Roman" w:cs="Times New Roman"/>
                <w:color w:val="000000" w:themeColor="text1"/>
                <w:sz w:val="24"/>
                <w:szCs w:val="24"/>
              </w:rPr>
              <w:t>,</w:t>
            </w:r>
            <w:r w:rsidR="00A72ED0" w:rsidRPr="00657A14">
              <w:rPr>
                <w:rFonts w:ascii="Times New Roman" w:hAnsi="Times New Roman" w:cs="Times New Roman"/>
                <w:color w:val="000000" w:themeColor="text1"/>
                <w:sz w:val="24"/>
                <w:szCs w:val="24"/>
              </w:rPr>
              <w:t xml:space="preserve"> ir tiesības uzlikt </w:t>
            </w:r>
            <w:r w:rsidR="007802BA" w:rsidRPr="00657A14">
              <w:rPr>
                <w:rFonts w:ascii="Times New Roman" w:hAnsi="Times New Roman" w:cs="Times New Roman"/>
                <w:color w:val="000000" w:themeColor="text1"/>
                <w:sz w:val="24"/>
                <w:szCs w:val="24"/>
              </w:rPr>
              <w:t xml:space="preserve">juridiskajai personai soda naudu līdz 10% no kopējā gada apgrozījuma saskaņā ar pēdējiem pieejamajiem pārskatiem, kurus </w:t>
            </w:r>
            <w:r w:rsidR="00A43A66" w:rsidRPr="00657A14">
              <w:rPr>
                <w:rFonts w:ascii="Times New Roman" w:hAnsi="Times New Roman" w:cs="Times New Roman"/>
                <w:color w:val="000000" w:themeColor="text1"/>
                <w:sz w:val="24"/>
                <w:szCs w:val="24"/>
              </w:rPr>
              <w:t xml:space="preserve">apstiprinājusi vadības struktūra. Ja 10% no kopējā </w:t>
            </w:r>
            <w:r w:rsidR="00C63331" w:rsidRPr="00657A14">
              <w:rPr>
                <w:rFonts w:ascii="Times New Roman" w:hAnsi="Times New Roman" w:cs="Times New Roman"/>
                <w:color w:val="000000" w:themeColor="text1"/>
                <w:sz w:val="24"/>
                <w:szCs w:val="24"/>
              </w:rPr>
              <w:t xml:space="preserve">gada apgrozījuma, kas pieejams saskaņā ar </w:t>
            </w:r>
            <w:r w:rsidR="008C5ADF" w:rsidRPr="00657A14">
              <w:rPr>
                <w:rFonts w:ascii="Times New Roman" w:hAnsi="Times New Roman" w:cs="Times New Roman"/>
                <w:color w:val="000000" w:themeColor="text1"/>
                <w:sz w:val="24"/>
                <w:szCs w:val="24"/>
              </w:rPr>
              <w:t>iepriekš minēto ir mazāk par 1 milj. euro, tad atbildīgā uzraudzības iestāde ir tiesīga uzlikt soda naudu līdz 1 milj. euro.</w:t>
            </w:r>
          </w:p>
          <w:p w:rsidR="00FD7FB1" w:rsidRPr="00657A14" w:rsidRDefault="00EE1A74"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lastRenderedPageBreak/>
              <w:t xml:space="preserve">Gadījumos, kad netiek ievēroti principi attiecībā uz </w:t>
            </w:r>
            <w:r w:rsidR="00FD7FB1" w:rsidRPr="00657A14">
              <w:rPr>
                <w:rFonts w:ascii="Times New Roman" w:hAnsi="Times New Roman" w:cs="Times New Roman"/>
                <w:color w:val="000000" w:themeColor="text1"/>
                <w:sz w:val="24"/>
                <w:szCs w:val="24"/>
              </w:rPr>
              <w:t>Eiropas Savienības</w:t>
            </w:r>
            <w:r w:rsidR="00E63CC7" w:rsidRPr="00657A14">
              <w:rPr>
                <w:rFonts w:ascii="Times New Roman" w:hAnsi="Times New Roman" w:cs="Times New Roman"/>
                <w:color w:val="000000" w:themeColor="text1"/>
                <w:sz w:val="24"/>
                <w:szCs w:val="24"/>
              </w:rPr>
              <w:t xml:space="preserve"> un </w:t>
            </w:r>
            <w:r w:rsidR="003D735E">
              <w:rPr>
                <w:rFonts w:ascii="Times New Roman" w:hAnsi="Times New Roman" w:cs="Times New Roman"/>
                <w:color w:val="000000" w:themeColor="text1"/>
                <w:sz w:val="24"/>
                <w:szCs w:val="24"/>
              </w:rPr>
              <w:t xml:space="preserve">uzraudzības </w:t>
            </w:r>
            <w:r w:rsidR="00E63CC7" w:rsidRPr="00657A14">
              <w:rPr>
                <w:rFonts w:ascii="Times New Roman" w:hAnsi="Times New Roman" w:cs="Times New Roman"/>
                <w:color w:val="000000" w:themeColor="text1"/>
                <w:sz w:val="24"/>
                <w:szCs w:val="24"/>
              </w:rPr>
              <w:t>izdotajiem tiesību aktiem</w:t>
            </w:r>
            <w:r w:rsidR="00FD7FB1" w:rsidRPr="00657A14">
              <w:rPr>
                <w:rFonts w:ascii="Times New Roman" w:hAnsi="Times New Roman" w:cs="Times New Roman"/>
                <w:color w:val="000000" w:themeColor="text1"/>
                <w:sz w:val="24"/>
                <w:szCs w:val="24"/>
              </w:rPr>
              <w:t xml:space="preserve"> NILL</w:t>
            </w:r>
            <w:r w:rsidRPr="00657A14">
              <w:rPr>
                <w:rFonts w:ascii="Times New Roman" w:hAnsi="Times New Roman" w:cs="Times New Roman"/>
                <w:color w:val="000000" w:themeColor="text1"/>
                <w:sz w:val="24"/>
                <w:szCs w:val="24"/>
              </w:rPr>
              <w:t xml:space="preserve">TFNL jomā </w:t>
            </w:r>
            <w:r w:rsidR="00E63CC7" w:rsidRPr="00657A14">
              <w:rPr>
                <w:rFonts w:ascii="Times New Roman" w:hAnsi="Times New Roman" w:cs="Times New Roman"/>
                <w:color w:val="000000" w:themeColor="text1"/>
                <w:sz w:val="24"/>
                <w:szCs w:val="24"/>
              </w:rPr>
              <w:t>,</w:t>
            </w:r>
            <w:r w:rsidR="00FD7FB1" w:rsidRPr="00657A14">
              <w:rPr>
                <w:rFonts w:ascii="Times New Roman" w:hAnsi="Times New Roman" w:cs="Times New Roman"/>
                <w:color w:val="000000" w:themeColor="text1"/>
                <w:sz w:val="24"/>
                <w:szCs w:val="24"/>
              </w:rPr>
              <w:t xml:space="preserve"> likumprojekts pared</w:t>
            </w:r>
            <w:r w:rsidRPr="00657A14">
              <w:rPr>
                <w:rFonts w:ascii="Times New Roman" w:hAnsi="Times New Roman" w:cs="Times New Roman"/>
                <w:color w:val="000000" w:themeColor="text1"/>
                <w:sz w:val="24"/>
                <w:szCs w:val="24"/>
              </w:rPr>
              <w:t xml:space="preserve">z sankcijas, kad tiek izmantotas  </w:t>
            </w:r>
            <w:r w:rsidR="003D735E">
              <w:rPr>
                <w:rFonts w:ascii="Times New Roman" w:hAnsi="Times New Roman" w:cs="Times New Roman"/>
                <w:color w:val="000000" w:themeColor="text1"/>
                <w:sz w:val="24"/>
                <w:szCs w:val="24"/>
              </w:rPr>
              <w:t>uzraudzības iestādes</w:t>
            </w:r>
            <w:r w:rsidRPr="00657A14">
              <w:rPr>
                <w:rFonts w:ascii="Times New Roman" w:hAnsi="Times New Roman" w:cs="Times New Roman"/>
                <w:color w:val="000000" w:themeColor="text1"/>
                <w:sz w:val="24"/>
                <w:szCs w:val="24"/>
              </w:rPr>
              <w:t xml:space="preserve"> pilnvaras</w:t>
            </w:r>
            <w:r w:rsidR="00FD7FB1"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ja</w:t>
            </w:r>
            <w:r w:rsidR="008657C8" w:rsidRPr="00657A14">
              <w:rPr>
                <w:rFonts w:ascii="Times New Roman" w:hAnsi="Times New Roman" w:cs="Times New Roman"/>
                <w:color w:val="000000" w:themeColor="text1"/>
                <w:sz w:val="24"/>
                <w:szCs w:val="24"/>
              </w:rPr>
              <w:t>:</w:t>
            </w:r>
          </w:p>
          <w:p w:rsidR="00765EB8" w:rsidRPr="00657A14" w:rsidRDefault="008657C8" w:rsidP="00424423">
            <w:pPr>
              <w:pStyle w:val="ListParagraph"/>
              <w:numPr>
                <w:ilvl w:val="0"/>
                <w:numId w:val="12"/>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tiek konstatēts, ka citā dalībvalstī licencēta kredītiestādes vai finanšu iestādes filiāle, kas darbojas Latvijā, vai citā dalībvalstī licencēta kredītiest</w:t>
            </w:r>
            <w:r w:rsidR="00813683" w:rsidRPr="00657A14">
              <w:rPr>
                <w:rFonts w:ascii="Times New Roman" w:hAnsi="Times New Roman" w:cs="Times New Roman"/>
                <w:color w:val="000000" w:themeColor="text1"/>
                <w:sz w:val="24"/>
                <w:szCs w:val="24"/>
              </w:rPr>
              <w:t>āde vai finanšu</w:t>
            </w:r>
            <w:r w:rsidRPr="00657A14">
              <w:rPr>
                <w:rFonts w:ascii="Times New Roman" w:hAnsi="Times New Roman" w:cs="Times New Roman"/>
                <w:color w:val="000000" w:themeColor="text1"/>
                <w:sz w:val="24"/>
                <w:szCs w:val="24"/>
              </w:rPr>
              <w:t xml:space="preserve"> iestāde</w:t>
            </w:r>
            <w:r w:rsidR="00CC506F" w:rsidRPr="00657A14">
              <w:rPr>
                <w:rFonts w:ascii="Times New Roman" w:hAnsi="Times New Roman" w:cs="Times New Roman"/>
                <w:color w:val="000000" w:themeColor="text1"/>
                <w:sz w:val="24"/>
                <w:szCs w:val="24"/>
              </w:rPr>
              <w:t xml:space="preserve">, kas sniedz finanšu pakalpojumus, neatverot tajā filiāli, veic darbības, kas ir pretrunā ar NILLTFNL likumu, Eiropas Savienības institūciju izdotajiem un </w:t>
            </w:r>
            <w:r w:rsidR="003D735E">
              <w:rPr>
                <w:rFonts w:ascii="Times New Roman" w:hAnsi="Times New Roman" w:cs="Times New Roman"/>
                <w:color w:val="000000" w:themeColor="text1"/>
                <w:sz w:val="24"/>
                <w:szCs w:val="24"/>
              </w:rPr>
              <w:t>uzraudzības iestādes</w:t>
            </w:r>
            <w:r w:rsidR="00CC506F" w:rsidRPr="00657A14">
              <w:rPr>
                <w:rFonts w:ascii="Times New Roman" w:hAnsi="Times New Roman" w:cs="Times New Roman"/>
                <w:color w:val="000000" w:themeColor="text1"/>
                <w:sz w:val="24"/>
                <w:szCs w:val="24"/>
              </w:rPr>
              <w:t xml:space="preserve"> tiesību aktiem</w:t>
            </w:r>
            <w:r w:rsidR="00714B04" w:rsidRPr="00657A14">
              <w:rPr>
                <w:rFonts w:ascii="Times New Roman" w:hAnsi="Times New Roman" w:cs="Times New Roman"/>
                <w:color w:val="000000" w:themeColor="text1"/>
                <w:sz w:val="24"/>
                <w:szCs w:val="24"/>
              </w:rPr>
              <w:t xml:space="preserve"> vai arī ar pieņemtajiem lēmumiem, </w:t>
            </w:r>
            <w:r w:rsidR="003D735E">
              <w:rPr>
                <w:rFonts w:ascii="Times New Roman" w:hAnsi="Times New Roman" w:cs="Times New Roman"/>
                <w:color w:val="000000" w:themeColor="text1"/>
                <w:sz w:val="24"/>
                <w:szCs w:val="24"/>
              </w:rPr>
              <w:t>uzraudzības iestāde</w:t>
            </w:r>
            <w:r w:rsidR="00714B04" w:rsidRPr="00657A14">
              <w:rPr>
                <w:rFonts w:ascii="Times New Roman" w:hAnsi="Times New Roman" w:cs="Times New Roman"/>
                <w:color w:val="000000" w:themeColor="text1"/>
                <w:sz w:val="24"/>
                <w:szCs w:val="24"/>
              </w:rPr>
              <w:t xml:space="preserve"> nekavējoties pieprasa, lai attiecīgā filiāle, kredītiestāde vai finanšu iestāde izbeidz šādas darbības;</w:t>
            </w:r>
          </w:p>
          <w:p w:rsidR="00714B04" w:rsidRPr="00657A14" w:rsidRDefault="009B26B6" w:rsidP="00424423">
            <w:pPr>
              <w:pStyle w:val="ListParagraph"/>
              <w:numPr>
                <w:ilvl w:val="0"/>
                <w:numId w:val="12"/>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ja iepriekš minētās darbības netiek izbeigtas, </w:t>
            </w:r>
            <w:r w:rsidR="003D735E">
              <w:rPr>
                <w:rFonts w:ascii="Times New Roman" w:hAnsi="Times New Roman" w:cs="Times New Roman"/>
                <w:color w:val="000000" w:themeColor="text1"/>
                <w:sz w:val="24"/>
                <w:szCs w:val="24"/>
              </w:rPr>
              <w:t>uzraudzības iestāde</w:t>
            </w:r>
            <w:r w:rsidR="001B40F4"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nekavējoties par to informē</w:t>
            </w:r>
            <w:r w:rsidR="00437D06" w:rsidRPr="00657A14">
              <w:rPr>
                <w:rFonts w:ascii="Times New Roman" w:hAnsi="Times New Roman" w:cs="Times New Roman"/>
                <w:color w:val="000000" w:themeColor="text1"/>
                <w:sz w:val="24"/>
                <w:szCs w:val="24"/>
              </w:rPr>
              <w:t xml:space="preserve"> attiecīgās dalībvalsts kredītiestāžu vai finanšu iestāžu uzraudzības institūciju, kuras pienākums ir rīkoties, tā lai pārkāpums tiktu novērsts;</w:t>
            </w:r>
          </w:p>
          <w:p w:rsidR="00437D06" w:rsidRPr="00657A14" w:rsidRDefault="00437D06" w:rsidP="00424423">
            <w:pPr>
              <w:pStyle w:val="ListParagraph"/>
              <w:numPr>
                <w:ilvl w:val="0"/>
                <w:numId w:val="12"/>
              </w:num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iepriekšminētajā situācijā attiecībā uz kredītiestādēm un finanšu iestādēm maksājumu pakalpojumu sniegšan</w:t>
            </w:r>
            <w:r w:rsidR="0026365C" w:rsidRPr="00657A14">
              <w:rPr>
                <w:rFonts w:ascii="Times New Roman" w:hAnsi="Times New Roman" w:cs="Times New Roman"/>
                <w:color w:val="000000" w:themeColor="text1"/>
                <w:sz w:val="24"/>
                <w:szCs w:val="24"/>
              </w:rPr>
              <w:t>ā</w:t>
            </w:r>
            <w:r w:rsidRPr="00657A14">
              <w:rPr>
                <w:rFonts w:ascii="Times New Roman" w:hAnsi="Times New Roman" w:cs="Times New Roman"/>
                <w:color w:val="000000" w:themeColor="text1"/>
                <w:sz w:val="24"/>
                <w:szCs w:val="24"/>
              </w:rPr>
              <w:t xml:space="preserve"> </w:t>
            </w:r>
            <w:r w:rsidR="003D735E">
              <w:rPr>
                <w:rFonts w:ascii="Times New Roman" w:hAnsi="Times New Roman" w:cs="Times New Roman"/>
                <w:color w:val="000000" w:themeColor="text1"/>
                <w:sz w:val="24"/>
                <w:szCs w:val="24"/>
              </w:rPr>
              <w:t>uzraudzības iestādes</w:t>
            </w:r>
            <w:r w:rsidRPr="00657A14">
              <w:rPr>
                <w:rFonts w:ascii="Times New Roman" w:hAnsi="Times New Roman" w:cs="Times New Roman"/>
                <w:color w:val="000000" w:themeColor="text1"/>
                <w:sz w:val="24"/>
                <w:szCs w:val="24"/>
              </w:rPr>
              <w:t xml:space="preserve"> rīkojas tāpat.</w:t>
            </w:r>
          </w:p>
          <w:p w:rsidR="0009637F" w:rsidRPr="00657A14" w:rsidRDefault="00AB15F9" w:rsidP="00424423">
            <w:pPr>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Pārņemot AML IV direktīvas 60.panta 2.punkta prasības attiecībā uz lēmuma publikāciju likumprojekts (</w:t>
            </w:r>
            <w:r w:rsidR="007F3398" w:rsidRPr="00657A14">
              <w:rPr>
                <w:rFonts w:ascii="Times New Roman" w:hAnsi="Times New Roman" w:cs="Times New Roman"/>
                <w:color w:val="000000" w:themeColor="text1"/>
                <w:sz w:val="24"/>
                <w:szCs w:val="24"/>
              </w:rPr>
              <w:t xml:space="preserve">NILLTFNL </w:t>
            </w:r>
            <w:r w:rsidRPr="00657A14">
              <w:rPr>
                <w:rFonts w:ascii="Times New Roman" w:hAnsi="Times New Roman" w:cs="Times New Roman"/>
                <w:color w:val="000000" w:themeColor="text1"/>
                <w:sz w:val="24"/>
                <w:szCs w:val="24"/>
              </w:rPr>
              <w:t>78.pant</w:t>
            </w:r>
            <w:r w:rsidR="00D43E0A"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septītā daļa) paredz, ka tiek public</w:t>
            </w:r>
            <w:r w:rsidR="000D6357" w:rsidRPr="00657A14">
              <w:rPr>
                <w:rFonts w:ascii="Times New Roman" w:hAnsi="Times New Roman" w:cs="Times New Roman"/>
                <w:color w:val="000000" w:themeColor="text1"/>
                <w:sz w:val="24"/>
                <w:szCs w:val="24"/>
              </w:rPr>
              <w:t>ēt</w:t>
            </w:r>
            <w:r w:rsidRPr="00657A14">
              <w:rPr>
                <w:rFonts w:ascii="Times New Roman" w:hAnsi="Times New Roman" w:cs="Times New Roman"/>
                <w:color w:val="000000" w:themeColor="text1"/>
                <w:sz w:val="24"/>
                <w:szCs w:val="24"/>
              </w:rPr>
              <w:t>a</w:t>
            </w:r>
            <w:r w:rsidR="001155C5"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informācija</w:t>
            </w:r>
            <w:r w:rsidR="001155C5" w:rsidRPr="00657A14">
              <w:rPr>
                <w:rFonts w:ascii="Times New Roman" w:hAnsi="Times New Roman" w:cs="Times New Roman"/>
                <w:color w:val="000000" w:themeColor="text1"/>
                <w:sz w:val="24"/>
                <w:szCs w:val="24"/>
              </w:rPr>
              <w:t xml:space="preserve"> par </w:t>
            </w:r>
            <w:r w:rsidR="00553E2D" w:rsidRPr="00657A14">
              <w:rPr>
                <w:rFonts w:ascii="Times New Roman" w:hAnsi="Times New Roman" w:cs="Times New Roman"/>
                <w:color w:val="000000" w:themeColor="text1"/>
                <w:sz w:val="24"/>
                <w:szCs w:val="24"/>
              </w:rPr>
              <w:t>pārsūdzēto lēmumu</w:t>
            </w:r>
            <w:r w:rsidR="00776DD4" w:rsidRPr="00657A14">
              <w:rPr>
                <w:rFonts w:ascii="Times New Roman" w:hAnsi="Times New Roman" w:cs="Times New Roman"/>
                <w:color w:val="000000" w:themeColor="text1"/>
                <w:sz w:val="24"/>
                <w:szCs w:val="24"/>
              </w:rPr>
              <w:t xml:space="preserve"> par sankciju piemērošanu un informācija par pārsūdzības iznākumu, kā arī lēmums par sankciju atcelšanu.</w:t>
            </w:r>
          </w:p>
          <w:p w:rsidR="009F7B29" w:rsidRPr="00657A14" w:rsidRDefault="009F7B29" w:rsidP="00F90642">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Ņemot vērā vispārējo praksi administratīvo sodu piemērošanā, tika apzināta nepieciešamība paredzēt noilguma termiņu sankciju piemērošanai par darbībām, kuru rezultātā ir pārkāptas normatīvo aktu prasības NILLTFN jomā vai normatīvo aktu prasības attiecībā uz starptautiskajām vai nacionālajām sankcijām, kas nosaka finanšu ierobežojumus. Ievērojot pārbaužu norises procesu, noilguma termiņam būtu jābūt vismaz pieciem gadiem no pārkāpuma izdarīšanas dienas, lai nodrošinātu iespēju atbildīgās personas saukt pie atbildības un tām piemērot sodu par izdarītajiem pārkāpumiem. Jāņem vērā, ka likumu subjekta pārbaudes tiek veiktas periodiski, tāpēc pārkāpumi vienmēr tiks konstatēti pēc noteikta laika perioda, ko nepieciešams ietver noilguma periodā.  Savukārt atsevišķos gadījumos, kad tiek veikta noziedzīga nodarījuma izmeklēšana Latvijā vai ārvalstīs iespējama likuma subjekta </w:t>
            </w:r>
            <w:r w:rsidRPr="00657A14">
              <w:rPr>
                <w:rFonts w:ascii="Times New Roman" w:hAnsi="Times New Roman" w:cs="Times New Roman"/>
                <w:color w:val="000000" w:themeColor="text1"/>
                <w:sz w:val="24"/>
                <w:szCs w:val="24"/>
              </w:rPr>
              <w:lastRenderedPageBreak/>
              <w:t>iesaiste noziedzīgi iegūtu līdzekļu legalizācijā vai terorisma finansēšanā var tik konstatēta salīdzinoši vēlāk, tāpēc nepieciešams noteikt garāku noilguma periodu - 10 gadi no pārkāpuma izdarīšanas brīža.</w:t>
            </w:r>
          </w:p>
          <w:p w:rsidR="00475673" w:rsidRPr="00657A14" w:rsidRDefault="00556098" w:rsidP="00F90642">
            <w:pPr>
              <w:pStyle w:val="CommentText"/>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 (NILLTFNL 37.panta otrā daļa)</w:t>
            </w:r>
            <w:r w:rsidR="00AF081E" w:rsidRPr="00657A14">
              <w:rPr>
                <w:rFonts w:ascii="Times New Roman" w:hAnsi="Times New Roman" w:cs="Times New Roman"/>
                <w:color w:val="000000" w:themeColor="text1"/>
                <w:sz w:val="24"/>
                <w:szCs w:val="24"/>
              </w:rPr>
              <w:t xml:space="preserve"> paredz</w:t>
            </w:r>
            <w:r w:rsidR="00114E6E" w:rsidRPr="00657A14">
              <w:rPr>
                <w:rFonts w:ascii="Times New Roman" w:hAnsi="Times New Roman" w:cs="Times New Roman"/>
                <w:color w:val="000000" w:themeColor="text1"/>
                <w:sz w:val="24"/>
                <w:szCs w:val="24"/>
              </w:rPr>
              <w:t xml:space="preserve">, </w:t>
            </w:r>
            <w:r w:rsidR="00AF081E" w:rsidRPr="00657A14">
              <w:rPr>
                <w:rFonts w:ascii="Times New Roman" w:hAnsi="Times New Roman" w:cs="Times New Roman"/>
                <w:color w:val="000000" w:themeColor="text1"/>
                <w:sz w:val="24"/>
                <w:szCs w:val="24"/>
              </w:rPr>
              <w:t xml:space="preserve"> atbilstoši AML IV direktīvas 4</w:t>
            </w:r>
            <w:r w:rsidR="00114E6E" w:rsidRPr="00657A14">
              <w:rPr>
                <w:rFonts w:ascii="Times New Roman" w:hAnsi="Times New Roman" w:cs="Times New Roman"/>
                <w:color w:val="000000" w:themeColor="text1"/>
                <w:sz w:val="24"/>
                <w:szCs w:val="24"/>
              </w:rPr>
              <w:t>0.panta 1.punkta a) apakšpunktā</w:t>
            </w:r>
            <w:r w:rsidR="00CB2A3D" w:rsidRPr="00657A14">
              <w:rPr>
                <w:rFonts w:ascii="Times New Roman" w:hAnsi="Times New Roman" w:cs="Times New Roman"/>
                <w:color w:val="000000" w:themeColor="text1"/>
                <w:sz w:val="24"/>
                <w:szCs w:val="24"/>
              </w:rPr>
              <w:t xml:space="preserve"> </w:t>
            </w:r>
            <w:r w:rsidR="00114E6E" w:rsidRPr="00657A14">
              <w:rPr>
                <w:rFonts w:ascii="Times New Roman" w:hAnsi="Times New Roman" w:cs="Times New Roman"/>
                <w:color w:val="000000" w:themeColor="text1"/>
                <w:sz w:val="24"/>
                <w:szCs w:val="24"/>
              </w:rPr>
              <w:t xml:space="preserve">un 40.panta 1.punkta b) apakšpunktā noteiktajam, </w:t>
            </w:r>
            <w:r w:rsidR="00CB2A3D" w:rsidRPr="00657A14">
              <w:rPr>
                <w:rFonts w:ascii="Times New Roman" w:hAnsi="Times New Roman" w:cs="Times New Roman"/>
                <w:color w:val="000000" w:themeColor="text1"/>
                <w:sz w:val="24"/>
                <w:szCs w:val="24"/>
              </w:rPr>
              <w:t>piecu gadu glabāšanas termi</w:t>
            </w:r>
            <w:r w:rsidR="00475673" w:rsidRPr="00657A14">
              <w:rPr>
                <w:rFonts w:ascii="Times New Roman" w:hAnsi="Times New Roman" w:cs="Times New Roman"/>
                <w:color w:val="000000" w:themeColor="text1"/>
                <w:sz w:val="24"/>
                <w:szCs w:val="24"/>
              </w:rPr>
              <w:t>ņu pēc darījuma attiecību izbeigšanas vai gadījuma rakstura darījuma veikšanas</w:t>
            </w:r>
            <w:r w:rsidR="00CB2A3D" w:rsidRPr="00657A14">
              <w:rPr>
                <w:rFonts w:ascii="Times New Roman" w:hAnsi="Times New Roman" w:cs="Times New Roman"/>
                <w:color w:val="000000" w:themeColor="text1"/>
                <w:sz w:val="24"/>
                <w:szCs w:val="24"/>
              </w:rPr>
              <w:t xml:space="preserve">, </w:t>
            </w:r>
            <w:r w:rsidR="00475673" w:rsidRPr="00657A14">
              <w:rPr>
                <w:rFonts w:ascii="Times New Roman" w:hAnsi="Times New Roman" w:cs="Times New Roman"/>
                <w:color w:val="000000" w:themeColor="text1"/>
                <w:sz w:val="24"/>
                <w:szCs w:val="24"/>
              </w:rPr>
              <w:t>glab</w:t>
            </w:r>
            <w:r w:rsidR="00114E6E" w:rsidRPr="00657A14">
              <w:rPr>
                <w:rFonts w:ascii="Times New Roman" w:hAnsi="Times New Roman" w:cs="Times New Roman"/>
                <w:color w:val="000000" w:themeColor="text1"/>
                <w:sz w:val="24"/>
                <w:szCs w:val="24"/>
              </w:rPr>
              <w:t>āt</w:t>
            </w:r>
            <w:r w:rsidR="00475673" w:rsidRPr="00657A14">
              <w:rPr>
                <w:rFonts w:ascii="Times New Roman" w:hAnsi="Times New Roman" w:cs="Times New Roman"/>
                <w:color w:val="000000" w:themeColor="text1"/>
                <w:sz w:val="24"/>
                <w:szCs w:val="24"/>
              </w:rPr>
              <w:t xml:space="preserve"> informāciju par visiem klienta veiktajiem maksājumiem, visu klientu izpētes ietvaros iegūtu informāciju (informācija par klienta kontiem un pašu klientu, klienta identifikācijas datu apliecinošo dokumentu kopijas, klientu izpētes secinājumus)</w:t>
            </w:r>
            <w:r w:rsidR="00CB2A3D" w:rsidRPr="00657A14">
              <w:rPr>
                <w:rFonts w:ascii="Times New Roman" w:hAnsi="Times New Roman" w:cs="Times New Roman"/>
                <w:color w:val="000000" w:themeColor="text1"/>
                <w:sz w:val="24"/>
                <w:szCs w:val="24"/>
              </w:rPr>
              <w:t xml:space="preserve">, iepriekšējais NILLTFNL ietvertais </w:t>
            </w:r>
            <w:r w:rsidR="00F90642" w:rsidRPr="00657A14">
              <w:rPr>
                <w:rFonts w:ascii="Times New Roman" w:hAnsi="Times New Roman" w:cs="Times New Roman"/>
                <w:color w:val="000000" w:themeColor="text1"/>
                <w:sz w:val="24"/>
                <w:szCs w:val="24"/>
              </w:rPr>
              <w:t xml:space="preserve">termiņš bija vismaz pieci gadi. </w:t>
            </w:r>
            <w:r w:rsidR="00475673" w:rsidRPr="00657A14">
              <w:rPr>
                <w:rFonts w:ascii="Times New Roman" w:hAnsi="Times New Roman" w:cs="Times New Roman"/>
                <w:color w:val="000000" w:themeColor="text1"/>
                <w:sz w:val="24"/>
                <w:szCs w:val="24"/>
              </w:rPr>
              <w:t xml:space="preserve">NILLTFNL 37.pants tiek precizēts, lai nodrošinātu tā izpratni un interpretāciju atbilstoši FATF prasībām. FATF 11.rekomendācija "Datu uzglabāšana" noteic, ka, lai finanšu iestādes varētu ātri izpildīt kompetento iestāžu informācijas pieprasījumus, tām obligāti vismaz piecus gadus jāuztur visa vajadzīgā darījumu – gan iekšzemes, gan starptautisko – dokumentācija. </w:t>
            </w:r>
          </w:p>
          <w:p w:rsidR="00475673" w:rsidRPr="00657A14" w:rsidRDefault="00475673" w:rsidP="00475673">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Atbilstoši FATF 11.rekomendācijai </w:t>
            </w:r>
            <w:r w:rsidR="00FC1348" w:rsidRPr="00657A14">
              <w:rPr>
                <w:rFonts w:ascii="Times New Roman" w:hAnsi="Times New Roman" w:cs="Times New Roman"/>
                <w:color w:val="000000" w:themeColor="text1"/>
                <w:sz w:val="24"/>
                <w:szCs w:val="24"/>
              </w:rPr>
              <w:t>NILLTFNL</w:t>
            </w:r>
            <w:r w:rsidRPr="00657A14">
              <w:rPr>
                <w:rFonts w:ascii="Times New Roman" w:hAnsi="Times New Roman" w:cs="Times New Roman"/>
                <w:color w:val="000000" w:themeColor="text1"/>
                <w:sz w:val="24"/>
                <w:szCs w:val="24"/>
              </w:rPr>
              <w:t xml:space="preserve"> ir jāizvirza prasība finanšu iestādēm saglabāt darījumu dokumentāciju un klienta izpētes laikā iegūto informāciju.</w:t>
            </w:r>
          </w:p>
          <w:p w:rsidR="0009637F" w:rsidRPr="00657A14" w:rsidRDefault="004A06C5"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Savukārt likumprojekts (NILLTFNL 37.pant</w:t>
            </w:r>
            <w:r w:rsidR="00D43E0A"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w:t>
            </w:r>
            <w:r w:rsidR="00CE11E7" w:rsidRPr="00657A14">
              <w:rPr>
                <w:rFonts w:ascii="Times New Roman" w:hAnsi="Times New Roman" w:cs="Times New Roman"/>
                <w:color w:val="000000" w:themeColor="text1"/>
                <w:sz w:val="24"/>
                <w:szCs w:val="24"/>
              </w:rPr>
              <w:t>2</w:t>
            </w:r>
            <w:r w:rsidR="00D43E0A" w:rsidRPr="00657A14">
              <w:rPr>
                <w:rFonts w:ascii="Times New Roman" w:hAnsi="Times New Roman" w:cs="Times New Roman"/>
                <w:color w:val="000000" w:themeColor="text1"/>
                <w:sz w:val="24"/>
                <w:szCs w:val="24"/>
              </w:rPr>
              <w:t>.</w:t>
            </w:r>
            <w:r w:rsidR="00CE11E7" w:rsidRPr="00657A14">
              <w:rPr>
                <w:rFonts w:ascii="Times New Roman" w:hAnsi="Times New Roman" w:cs="Times New Roman"/>
                <w:color w:val="000000" w:themeColor="text1"/>
                <w:sz w:val="24"/>
                <w:szCs w:val="24"/>
              </w:rPr>
              <w:t>¹daļa</w:t>
            </w:r>
            <w:r w:rsidRPr="00657A14">
              <w:rPr>
                <w:rFonts w:ascii="Times New Roman" w:hAnsi="Times New Roman" w:cs="Times New Roman"/>
                <w:color w:val="000000" w:themeColor="text1"/>
                <w:sz w:val="24"/>
                <w:szCs w:val="24"/>
              </w:rPr>
              <w:t>)</w:t>
            </w:r>
            <w:r w:rsidR="003A1641" w:rsidRPr="00657A14">
              <w:rPr>
                <w:rFonts w:ascii="Times New Roman" w:hAnsi="Times New Roman" w:cs="Times New Roman"/>
                <w:color w:val="000000" w:themeColor="text1"/>
                <w:sz w:val="24"/>
                <w:szCs w:val="24"/>
              </w:rPr>
              <w:t xml:space="preserve"> </w:t>
            </w:r>
            <w:r w:rsidR="00CE11E7" w:rsidRPr="00657A14">
              <w:rPr>
                <w:rFonts w:ascii="Times New Roman" w:hAnsi="Times New Roman" w:cs="Times New Roman"/>
                <w:color w:val="000000" w:themeColor="text1"/>
                <w:sz w:val="24"/>
                <w:szCs w:val="24"/>
              </w:rPr>
              <w:t xml:space="preserve">atbilstoši </w:t>
            </w:r>
            <w:r w:rsidR="00461112" w:rsidRPr="00657A14">
              <w:rPr>
                <w:rFonts w:ascii="Times New Roman" w:hAnsi="Times New Roman" w:cs="Times New Roman"/>
                <w:color w:val="000000" w:themeColor="text1"/>
                <w:sz w:val="24"/>
                <w:szCs w:val="24"/>
              </w:rPr>
              <w:t>AML IV direktīvas 40.panta 1.punkta otrajā daļā minētajam, paredz, ka atbilstoši NILLTFNL 37.panta otrajā daļā minētajam, likuma subjekts iznīcina personas datus un dokumentus pēc noteiktā termiņa ar izņēmumu, kad likums paredz citādi, lai novērstu, atklātu un izmeklētu NILLTFNL</w:t>
            </w:r>
            <w:r w:rsidR="0026365C" w:rsidRPr="00657A14">
              <w:rPr>
                <w:rFonts w:ascii="Times New Roman" w:hAnsi="Times New Roman" w:cs="Times New Roman"/>
                <w:color w:val="000000" w:themeColor="text1"/>
                <w:sz w:val="24"/>
                <w:szCs w:val="24"/>
              </w:rPr>
              <w:t xml:space="preserve"> pārkāpumu</w:t>
            </w:r>
            <w:r w:rsidR="00461112" w:rsidRPr="00657A14">
              <w:rPr>
                <w:rFonts w:ascii="Times New Roman" w:hAnsi="Times New Roman" w:cs="Times New Roman"/>
                <w:color w:val="000000" w:themeColor="text1"/>
                <w:sz w:val="24"/>
                <w:szCs w:val="24"/>
              </w:rPr>
              <w:t>, ar nosacījumu, ka jābūt izvērtētam turpmākās uzglabāšanas nepieciešamības samērīgumam un vajadzības pamatotībai.</w:t>
            </w:r>
          </w:p>
          <w:p w:rsidR="0009637F" w:rsidRPr="00657A14" w:rsidRDefault="00C303C7"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Likumprojekta (NILLTFNL 37.pant</w:t>
            </w:r>
            <w:r w:rsidR="00D43E0A"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trešā daļa) paredz </w:t>
            </w:r>
            <w:r w:rsidR="00071E75" w:rsidRPr="00657A14">
              <w:rPr>
                <w:rFonts w:ascii="Times New Roman" w:hAnsi="Times New Roman" w:cs="Times New Roman"/>
                <w:color w:val="000000" w:themeColor="text1"/>
                <w:sz w:val="24"/>
                <w:szCs w:val="24"/>
              </w:rPr>
              <w:t>pilnvaras</w:t>
            </w:r>
            <w:r w:rsidRPr="00657A14">
              <w:rPr>
                <w:rFonts w:ascii="Times New Roman" w:hAnsi="Times New Roman" w:cs="Times New Roman"/>
                <w:color w:val="000000" w:themeColor="text1"/>
                <w:sz w:val="24"/>
                <w:szCs w:val="24"/>
              </w:rPr>
              <w:t xml:space="preserve"> Kontroles dienestam, operatīvās darbības subjektam, valsts drošības iestādēm, izmeklēšanas iestādēm prokuratūrai un tiesai</w:t>
            </w:r>
            <w:r w:rsidR="00071E75" w:rsidRPr="00657A14">
              <w:rPr>
                <w:rFonts w:ascii="Times New Roman" w:hAnsi="Times New Roman" w:cs="Times New Roman"/>
                <w:color w:val="000000" w:themeColor="text1"/>
                <w:sz w:val="24"/>
                <w:szCs w:val="24"/>
              </w:rPr>
              <w:t xml:space="preserve"> noteikt papildu piecu gadu termiņu NILLTFNLL 37.panta otrajā daļā noteiktajam.</w:t>
            </w:r>
          </w:p>
          <w:p w:rsidR="0009637F" w:rsidRPr="00657A14" w:rsidRDefault="00C470F5"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Ievērojot iepriekšminēto</w:t>
            </w:r>
            <w:r w:rsidR="0026365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likumprojekt</w:t>
            </w:r>
            <w:r w:rsidR="0026365C" w:rsidRPr="00657A14">
              <w:rPr>
                <w:rFonts w:ascii="Times New Roman" w:hAnsi="Times New Roman" w:cs="Times New Roman"/>
                <w:color w:val="000000" w:themeColor="text1"/>
                <w:sz w:val="24"/>
                <w:szCs w:val="24"/>
              </w:rPr>
              <w:t>s</w:t>
            </w:r>
            <w:r w:rsidRPr="00657A14">
              <w:rPr>
                <w:rFonts w:ascii="Times New Roman" w:hAnsi="Times New Roman" w:cs="Times New Roman"/>
                <w:color w:val="000000" w:themeColor="text1"/>
                <w:sz w:val="24"/>
                <w:szCs w:val="24"/>
              </w:rPr>
              <w:t xml:space="preserve"> (NILLTFNL 79.pants) paredz </w:t>
            </w:r>
            <w:r w:rsidR="0026365C" w:rsidRPr="00657A14">
              <w:rPr>
                <w:rFonts w:ascii="Times New Roman" w:hAnsi="Times New Roman" w:cs="Times New Roman"/>
                <w:color w:val="000000" w:themeColor="text1"/>
                <w:sz w:val="24"/>
                <w:szCs w:val="24"/>
              </w:rPr>
              <w:t xml:space="preserve">to, ka </w:t>
            </w:r>
            <w:r w:rsidRPr="00657A14">
              <w:rPr>
                <w:rFonts w:ascii="Times New Roman" w:hAnsi="Times New Roman" w:cs="Times New Roman"/>
                <w:color w:val="000000" w:themeColor="text1"/>
                <w:sz w:val="24"/>
                <w:szCs w:val="24"/>
              </w:rPr>
              <w:t>darbībām, kuru rezultātā ir pārkāptas normatīvo aktu prasības NILLTFN jomā vai normatīvo aktu prasības attiecībā uz starptautiskajām vai nacionālajām sankcijām, kas nosaka finanšu ierobežojumus, sankcijas par normatīvo aktu pārkāpumiem</w:t>
            </w:r>
            <w:r w:rsidR="0026365C" w:rsidRPr="00657A14">
              <w:rPr>
                <w:rFonts w:ascii="Times New Roman" w:hAnsi="Times New Roman" w:cs="Times New Roman"/>
                <w:color w:val="000000" w:themeColor="text1"/>
                <w:sz w:val="24"/>
                <w:szCs w:val="24"/>
              </w:rPr>
              <w:t>,</w:t>
            </w:r>
            <w:r w:rsidR="00870165" w:rsidRPr="00657A14">
              <w:rPr>
                <w:rFonts w:ascii="Times New Roman" w:hAnsi="Times New Roman" w:cs="Times New Roman"/>
                <w:color w:val="000000" w:themeColor="text1"/>
                <w:sz w:val="24"/>
                <w:szCs w:val="24"/>
              </w:rPr>
              <w:t xml:space="preserve"> var piemērot 5</w:t>
            </w:r>
            <w:r w:rsidRPr="00657A14">
              <w:rPr>
                <w:rFonts w:ascii="Times New Roman" w:hAnsi="Times New Roman" w:cs="Times New Roman"/>
                <w:color w:val="000000" w:themeColor="text1"/>
                <w:sz w:val="24"/>
                <w:szCs w:val="24"/>
              </w:rPr>
              <w:t xml:space="preserve"> gadu laikā</w:t>
            </w:r>
            <w:r w:rsidR="00870165" w:rsidRPr="00657A14">
              <w:rPr>
                <w:rFonts w:ascii="Times New Roman" w:hAnsi="Times New Roman" w:cs="Times New Roman"/>
                <w:color w:val="000000" w:themeColor="text1"/>
                <w:sz w:val="24"/>
                <w:szCs w:val="24"/>
              </w:rPr>
              <w:t xml:space="preserve"> no pārkāpuma izdarīšanas brīža, bet ja NILLTF, vai </w:t>
            </w:r>
            <w:r w:rsidR="00870165" w:rsidRPr="00657A14">
              <w:rPr>
                <w:rFonts w:ascii="Times New Roman" w:hAnsi="Times New Roman" w:cs="Times New Roman"/>
                <w:color w:val="000000" w:themeColor="text1"/>
                <w:sz w:val="24"/>
                <w:szCs w:val="24"/>
              </w:rPr>
              <w:lastRenderedPageBreak/>
              <w:t>straptautisko vai nacionālo sankciju, kas nosaka finanšu</w:t>
            </w:r>
            <w:r w:rsidR="00564099" w:rsidRPr="00657A14">
              <w:rPr>
                <w:rFonts w:ascii="Times New Roman" w:hAnsi="Times New Roman" w:cs="Times New Roman"/>
                <w:color w:val="000000" w:themeColor="text1"/>
                <w:sz w:val="24"/>
                <w:szCs w:val="24"/>
              </w:rPr>
              <w:t xml:space="preserve"> ierobežojumus, pārkāpšanā, tad 10 gadu laikā no pārkāpuma izdarīšanas brīža. Noilguma termiņa skaitīšanu aptur administratīvās</w:t>
            </w:r>
            <w:r w:rsidR="00B272D2">
              <w:rPr>
                <w:rFonts w:ascii="Times New Roman" w:hAnsi="Times New Roman" w:cs="Times New Roman"/>
                <w:color w:val="000000" w:themeColor="text1"/>
                <w:sz w:val="24"/>
                <w:szCs w:val="24"/>
              </w:rPr>
              <w:t xml:space="preserve"> vai disciplinārās</w:t>
            </w:r>
            <w:r w:rsidR="00564099" w:rsidRPr="00657A14">
              <w:rPr>
                <w:rFonts w:ascii="Times New Roman" w:hAnsi="Times New Roman" w:cs="Times New Roman"/>
                <w:color w:val="000000" w:themeColor="text1"/>
                <w:sz w:val="24"/>
                <w:szCs w:val="24"/>
              </w:rPr>
              <w:t xml:space="preserve"> lietas ierosināšanas dienā.</w:t>
            </w:r>
            <w:r w:rsidRPr="00657A14">
              <w:rPr>
                <w:rFonts w:ascii="Times New Roman" w:hAnsi="Times New Roman" w:cs="Times New Roman"/>
                <w:color w:val="000000" w:themeColor="text1"/>
                <w:sz w:val="24"/>
                <w:szCs w:val="24"/>
              </w:rPr>
              <w:t xml:space="preserve"> </w:t>
            </w:r>
          </w:p>
          <w:p w:rsidR="0009637F" w:rsidRPr="00657A14" w:rsidRDefault="00156CEE"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AML IV direktīva par pienākumu dalībvalstīm nosaka lēmumu par admini</w:t>
            </w:r>
            <w:r w:rsidR="00F92C34" w:rsidRPr="00657A14">
              <w:rPr>
                <w:rFonts w:ascii="Times New Roman" w:hAnsi="Times New Roman" w:cs="Times New Roman"/>
                <w:color w:val="000000" w:themeColor="text1"/>
                <w:sz w:val="24"/>
                <w:szCs w:val="24"/>
              </w:rPr>
              <w:t>stratīva rakstura</w:t>
            </w:r>
            <w:r w:rsidRPr="00657A14">
              <w:rPr>
                <w:rFonts w:ascii="Times New Roman" w:hAnsi="Times New Roman" w:cs="Times New Roman"/>
                <w:color w:val="000000" w:themeColor="text1"/>
                <w:sz w:val="24"/>
                <w:szCs w:val="24"/>
              </w:rPr>
              <w:t xml:space="preserve"> sodu vai pasākumu piemērošanu publicēšanu. Likumprojekts (NILLTFNL 46.pant</w:t>
            </w:r>
            <w:r w:rsidR="00D43E0A" w:rsidRPr="00657A14">
              <w:rPr>
                <w:rFonts w:ascii="Times New Roman" w:hAnsi="Times New Roman" w:cs="Times New Roman"/>
                <w:color w:val="000000" w:themeColor="text1"/>
                <w:sz w:val="24"/>
                <w:szCs w:val="24"/>
              </w:rPr>
              <w:t>a</w:t>
            </w:r>
            <w:r w:rsidRPr="00657A14">
              <w:rPr>
                <w:rFonts w:ascii="Times New Roman" w:hAnsi="Times New Roman" w:cs="Times New Roman"/>
                <w:color w:val="000000" w:themeColor="text1"/>
                <w:sz w:val="24"/>
                <w:szCs w:val="24"/>
              </w:rPr>
              <w:t xml:space="preserve"> 1</w:t>
            </w:r>
            <w:r w:rsidR="00D43E0A"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¹</w:t>
            </w:r>
            <w:r w:rsidR="0026365C" w:rsidRPr="00657A14">
              <w:rPr>
                <w:rFonts w:ascii="Times New Roman" w:hAnsi="Times New Roman" w:cs="Times New Roman"/>
                <w:color w:val="000000" w:themeColor="text1"/>
                <w:sz w:val="24"/>
                <w:szCs w:val="24"/>
              </w:rPr>
              <w:t xml:space="preserve"> </w:t>
            </w:r>
            <w:r w:rsidRPr="00657A14">
              <w:rPr>
                <w:rFonts w:ascii="Times New Roman" w:hAnsi="Times New Roman" w:cs="Times New Roman"/>
                <w:color w:val="000000" w:themeColor="text1"/>
                <w:sz w:val="24"/>
                <w:szCs w:val="24"/>
              </w:rPr>
              <w:t>daļa) paredz AML IV direktīvas 60.panta 1.punkta pirmās daļas nosacījumu pārņemšanu</w:t>
            </w:r>
            <w:r w:rsidR="0026365C" w:rsidRPr="00657A14">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t</w:t>
            </w:r>
            <w:r w:rsidR="0026365C" w:rsidRPr="00657A14">
              <w:rPr>
                <w:rFonts w:ascii="Times New Roman" w:hAnsi="Times New Roman" w:cs="Times New Roman"/>
                <w:color w:val="000000" w:themeColor="text1"/>
                <w:sz w:val="24"/>
                <w:szCs w:val="24"/>
              </w:rPr>
              <w:t>as</w:t>
            </w:r>
            <w:r w:rsidRPr="00657A14">
              <w:rPr>
                <w:rFonts w:ascii="Times New Roman" w:hAnsi="Times New Roman" w:cs="Times New Roman"/>
                <w:color w:val="000000" w:themeColor="text1"/>
                <w:sz w:val="24"/>
                <w:szCs w:val="24"/>
              </w:rPr>
              <w:t>.i</w:t>
            </w:r>
            <w:r w:rsidR="0026365C" w:rsidRPr="00657A14">
              <w:rPr>
                <w:rFonts w:ascii="Times New Roman" w:hAnsi="Times New Roman" w:cs="Times New Roman"/>
                <w:color w:val="000000" w:themeColor="text1"/>
                <w:sz w:val="24"/>
                <w:szCs w:val="24"/>
              </w:rPr>
              <w:t>r,</w:t>
            </w:r>
            <w:r w:rsidRPr="00657A14">
              <w:rPr>
                <w:rFonts w:ascii="Times New Roman" w:hAnsi="Times New Roman" w:cs="Times New Roman"/>
                <w:color w:val="000000" w:themeColor="text1"/>
                <w:sz w:val="24"/>
                <w:szCs w:val="24"/>
              </w:rPr>
              <w:t xml:space="preserve"> </w:t>
            </w:r>
            <w:r w:rsidR="0026365C" w:rsidRPr="00657A14">
              <w:rPr>
                <w:rFonts w:ascii="Times New Roman" w:hAnsi="Times New Roman" w:cs="Times New Roman"/>
                <w:color w:val="000000" w:themeColor="text1"/>
                <w:sz w:val="24"/>
                <w:szCs w:val="24"/>
              </w:rPr>
              <w:t xml:space="preserve">tiek paredzēts noteikt </w:t>
            </w:r>
            <w:r w:rsidRPr="00657A14">
              <w:rPr>
                <w:rFonts w:ascii="Times New Roman" w:hAnsi="Times New Roman" w:cs="Times New Roman"/>
                <w:color w:val="000000" w:themeColor="text1"/>
                <w:sz w:val="24"/>
                <w:szCs w:val="24"/>
              </w:rPr>
              <w:t xml:space="preserve">par pienākumu </w:t>
            </w:r>
            <w:r w:rsidR="008B5F85" w:rsidRPr="00657A14">
              <w:rPr>
                <w:rFonts w:ascii="Times New Roman" w:hAnsi="Times New Roman" w:cs="Times New Roman"/>
                <w:color w:val="000000" w:themeColor="text1"/>
                <w:sz w:val="24"/>
                <w:szCs w:val="24"/>
              </w:rPr>
              <w:t xml:space="preserve">uzraudzības un kontroles institūcijām savā oficiālajā tīmekļa vietnē </w:t>
            </w:r>
            <w:r w:rsidRPr="00657A14">
              <w:rPr>
                <w:rFonts w:ascii="Times New Roman" w:hAnsi="Times New Roman" w:cs="Times New Roman"/>
                <w:color w:val="000000" w:themeColor="text1"/>
                <w:sz w:val="24"/>
                <w:szCs w:val="24"/>
              </w:rPr>
              <w:t>publicēt lēmumus, ar kuriem piemēro sankcijas un pasākumus, ja tiek konstat</w:t>
            </w:r>
            <w:r w:rsidR="00133153" w:rsidRPr="00657A14">
              <w:rPr>
                <w:rFonts w:ascii="Times New Roman" w:hAnsi="Times New Roman" w:cs="Times New Roman"/>
                <w:color w:val="000000" w:themeColor="text1"/>
                <w:sz w:val="24"/>
                <w:szCs w:val="24"/>
              </w:rPr>
              <w:t>ēti NILLTFN pā</w:t>
            </w:r>
            <w:r w:rsidRPr="00657A14">
              <w:rPr>
                <w:rFonts w:ascii="Times New Roman" w:hAnsi="Times New Roman" w:cs="Times New Roman"/>
                <w:color w:val="000000" w:themeColor="text1"/>
                <w:sz w:val="24"/>
                <w:szCs w:val="24"/>
              </w:rPr>
              <w:t>rkāpumi</w:t>
            </w:r>
            <w:r w:rsidR="00133153" w:rsidRPr="00657A14">
              <w:rPr>
                <w:rFonts w:ascii="Times New Roman" w:hAnsi="Times New Roman" w:cs="Times New Roman"/>
                <w:color w:val="000000" w:themeColor="text1"/>
                <w:sz w:val="24"/>
                <w:szCs w:val="24"/>
              </w:rPr>
              <w:t xml:space="preserve">, </w:t>
            </w:r>
            <w:r w:rsidR="00504A7F" w:rsidRPr="00657A14">
              <w:rPr>
                <w:rFonts w:ascii="Times New Roman" w:hAnsi="Times New Roman" w:cs="Times New Roman"/>
                <w:color w:val="000000" w:themeColor="text1"/>
                <w:sz w:val="24"/>
                <w:szCs w:val="24"/>
              </w:rPr>
              <w:t>nekavējoties pēc tam, kad persona, kurai piemērota sankcija vai pasākums tiek informēta par lēmumu.</w:t>
            </w:r>
            <w:r w:rsidR="009A1280" w:rsidRPr="00657A14">
              <w:rPr>
                <w:rFonts w:ascii="Times New Roman" w:hAnsi="Times New Roman" w:cs="Times New Roman"/>
                <w:color w:val="000000" w:themeColor="text1"/>
                <w:sz w:val="24"/>
                <w:szCs w:val="24"/>
              </w:rPr>
              <w:t xml:space="preserve"> Uzraudzības un kontroles iestādēm publicējot iepriekš minētos lēmumus</w:t>
            </w:r>
            <w:r w:rsidR="0026365C" w:rsidRPr="00657A14">
              <w:rPr>
                <w:rFonts w:ascii="Times New Roman" w:hAnsi="Times New Roman" w:cs="Times New Roman"/>
                <w:color w:val="000000" w:themeColor="text1"/>
                <w:sz w:val="24"/>
                <w:szCs w:val="24"/>
              </w:rPr>
              <w:t xml:space="preserve">, saskaņā ar </w:t>
            </w:r>
            <w:r w:rsidR="009A1280" w:rsidRPr="00657A14">
              <w:rPr>
                <w:rFonts w:ascii="Times New Roman" w:hAnsi="Times New Roman" w:cs="Times New Roman"/>
                <w:color w:val="000000" w:themeColor="text1"/>
                <w:sz w:val="24"/>
                <w:szCs w:val="24"/>
              </w:rPr>
              <w:t xml:space="preserve">AML IV </w:t>
            </w:r>
            <w:r w:rsidR="00E05C65" w:rsidRPr="00657A14">
              <w:rPr>
                <w:rFonts w:ascii="Times New Roman" w:hAnsi="Times New Roman" w:cs="Times New Roman"/>
                <w:color w:val="000000" w:themeColor="text1"/>
                <w:sz w:val="24"/>
                <w:szCs w:val="24"/>
              </w:rPr>
              <w:t xml:space="preserve">direktīvas 60.panta 1.punkta pirmās daļas un b) apakšpunkta kā arī 3.punkta </w:t>
            </w:r>
            <w:r w:rsidR="0026365C" w:rsidRPr="00657A14">
              <w:rPr>
                <w:rFonts w:ascii="Times New Roman" w:hAnsi="Times New Roman" w:cs="Times New Roman"/>
                <w:color w:val="000000" w:themeColor="text1"/>
                <w:sz w:val="24"/>
                <w:szCs w:val="24"/>
              </w:rPr>
              <w:t xml:space="preserve">noteikto </w:t>
            </w:r>
            <w:r w:rsidR="004B1044" w:rsidRPr="00657A14">
              <w:rPr>
                <w:rFonts w:ascii="Times New Roman" w:hAnsi="Times New Roman" w:cs="Times New Roman"/>
                <w:color w:val="000000" w:themeColor="text1"/>
                <w:sz w:val="24"/>
                <w:szCs w:val="24"/>
              </w:rPr>
              <w:t xml:space="preserve">jāievēro noteikumi – publikācijā tiek iekļauta informācija vismaz par pārkāpuma veidu, būtību un  </w:t>
            </w:r>
            <w:r w:rsidR="00B10A42" w:rsidRPr="00657A14">
              <w:rPr>
                <w:rFonts w:ascii="Times New Roman" w:hAnsi="Times New Roman" w:cs="Times New Roman"/>
                <w:color w:val="000000" w:themeColor="text1"/>
                <w:sz w:val="24"/>
                <w:szCs w:val="24"/>
              </w:rPr>
              <w:t>atbildīgo personu identitāti, kā arī par lēmuma apstrīdēšanu un pieņemto nolēmumu</w:t>
            </w:r>
            <w:r w:rsidR="0026365C" w:rsidRPr="00657A14">
              <w:rPr>
                <w:rFonts w:ascii="Times New Roman" w:hAnsi="Times New Roman" w:cs="Times New Roman"/>
                <w:color w:val="000000" w:themeColor="text1"/>
                <w:sz w:val="24"/>
                <w:szCs w:val="24"/>
              </w:rPr>
              <w:t>.</w:t>
            </w:r>
            <w:r w:rsidR="00CF7877" w:rsidRPr="00657A14">
              <w:rPr>
                <w:rFonts w:ascii="Times New Roman" w:hAnsi="Times New Roman" w:cs="Times New Roman"/>
                <w:color w:val="000000" w:themeColor="text1"/>
                <w:sz w:val="24"/>
                <w:szCs w:val="24"/>
              </w:rPr>
              <w:t xml:space="preserve"> </w:t>
            </w:r>
            <w:r w:rsidR="0026365C" w:rsidRPr="00657A14">
              <w:rPr>
                <w:rFonts w:ascii="Times New Roman" w:hAnsi="Times New Roman" w:cs="Times New Roman"/>
                <w:color w:val="000000" w:themeColor="text1"/>
                <w:sz w:val="24"/>
                <w:szCs w:val="24"/>
              </w:rPr>
              <w:t>I</w:t>
            </w:r>
            <w:r w:rsidR="00CF7877" w:rsidRPr="00657A14">
              <w:rPr>
                <w:rFonts w:ascii="Times New Roman" w:hAnsi="Times New Roman" w:cs="Times New Roman"/>
                <w:color w:val="000000" w:themeColor="text1"/>
                <w:sz w:val="24"/>
                <w:szCs w:val="24"/>
              </w:rPr>
              <w:t>r paredzēts izņēmums, kad publikācijā var neidentificēt personu</w:t>
            </w:r>
            <w:r w:rsidR="0026365C" w:rsidRPr="00657A14">
              <w:rPr>
                <w:rFonts w:ascii="Times New Roman" w:hAnsi="Times New Roman" w:cs="Times New Roman"/>
                <w:color w:val="000000" w:themeColor="text1"/>
                <w:sz w:val="24"/>
                <w:szCs w:val="24"/>
              </w:rPr>
              <w:t>,</w:t>
            </w:r>
            <w:r w:rsidR="00CF7877" w:rsidRPr="00657A14">
              <w:rPr>
                <w:rFonts w:ascii="Times New Roman" w:hAnsi="Times New Roman" w:cs="Times New Roman"/>
                <w:color w:val="000000" w:themeColor="text1"/>
                <w:sz w:val="24"/>
                <w:szCs w:val="24"/>
              </w:rPr>
              <w:t xml:space="preserve"> un tas ir </w:t>
            </w:r>
            <w:r w:rsidR="00100B4F" w:rsidRPr="00657A14">
              <w:rPr>
                <w:rFonts w:ascii="Times New Roman" w:hAnsi="Times New Roman" w:cs="Times New Roman"/>
                <w:color w:val="000000" w:themeColor="text1"/>
                <w:sz w:val="24"/>
                <w:szCs w:val="24"/>
              </w:rPr>
              <w:t>gadījumos, kad personas identificēšana</w:t>
            </w:r>
            <w:r w:rsidR="00362CEB" w:rsidRPr="00657A14">
              <w:rPr>
                <w:rFonts w:ascii="Times New Roman" w:hAnsi="Times New Roman" w:cs="Times New Roman"/>
                <w:color w:val="000000" w:themeColor="text1"/>
                <w:sz w:val="24"/>
                <w:szCs w:val="24"/>
              </w:rPr>
              <w:t xml:space="preserve"> var apdraudēt finanšu tirgus stabilitāti vai uzsāktā kriminālprocesa norisi</w:t>
            </w:r>
            <w:r w:rsidR="0026365C" w:rsidRPr="00657A14">
              <w:rPr>
                <w:rFonts w:ascii="Times New Roman" w:hAnsi="Times New Roman" w:cs="Times New Roman"/>
                <w:color w:val="000000" w:themeColor="text1"/>
                <w:sz w:val="24"/>
                <w:szCs w:val="24"/>
              </w:rPr>
              <w:t>,</w:t>
            </w:r>
            <w:r w:rsidR="000D1145" w:rsidRPr="00657A14">
              <w:rPr>
                <w:rFonts w:ascii="Times New Roman" w:hAnsi="Times New Roman" w:cs="Times New Roman"/>
                <w:color w:val="000000" w:themeColor="text1"/>
                <w:sz w:val="24"/>
                <w:szCs w:val="24"/>
              </w:rPr>
              <w:t xml:space="preserve"> </w:t>
            </w:r>
            <w:r w:rsidR="00362CEB" w:rsidRPr="00657A14">
              <w:rPr>
                <w:rFonts w:ascii="Times New Roman" w:hAnsi="Times New Roman" w:cs="Times New Roman"/>
                <w:color w:val="000000" w:themeColor="text1"/>
                <w:sz w:val="24"/>
                <w:szCs w:val="24"/>
              </w:rPr>
              <w:t>vai radīt nes</w:t>
            </w:r>
            <w:r w:rsidR="00AE00CC" w:rsidRPr="00657A14">
              <w:rPr>
                <w:rFonts w:ascii="Times New Roman" w:hAnsi="Times New Roman" w:cs="Times New Roman"/>
                <w:color w:val="000000" w:themeColor="text1"/>
                <w:sz w:val="24"/>
                <w:szCs w:val="24"/>
              </w:rPr>
              <w:t>amērīgu kaitējumu</w:t>
            </w:r>
            <w:r w:rsidR="00C726FE" w:rsidRPr="00657A14">
              <w:rPr>
                <w:rFonts w:ascii="Times New Roman" w:hAnsi="Times New Roman" w:cs="Times New Roman"/>
                <w:color w:val="000000" w:themeColor="text1"/>
                <w:sz w:val="24"/>
                <w:szCs w:val="24"/>
              </w:rPr>
              <w:t xml:space="preserve"> iesaistītajām personām</w:t>
            </w:r>
            <w:r w:rsidR="007F4AE4" w:rsidRPr="00657A14">
              <w:rPr>
                <w:rFonts w:ascii="Times New Roman" w:hAnsi="Times New Roman" w:cs="Times New Roman"/>
                <w:color w:val="000000" w:themeColor="text1"/>
                <w:sz w:val="24"/>
                <w:szCs w:val="24"/>
              </w:rPr>
              <w:t xml:space="preserve">, savukārt, ja iepriekšminētie apstākļi </w:t>
            </w:r>
            <w:r w:rsidR="00450DEE" w:rsidRPr="00657A14">
              <w:rPr>
                <w:rFonts w:ascii="Times New Roman" w:hAnsi="Times New Roman" w:cs="Times New Roman"/>
                <w:color w:val="000000" w:themeColor="text1"/>
                <w:sz w:val="24"/>
                <w:szCs w:val="24"/>
              </w:rPr>
              <w:t>saprātīgā laikposmā var izbeigties, publiskošanu var atlikt uz šo apstākļu posmu</w:t>
            </w:r>
            <w:r w:rsidR="0026365C" w:rsidRPr="00657A14">
              <w:rPr>
                <w:rFonts w:ascii="Times New Roman" w:hAnsi="Times New Roman" w:cs="Times New Roman"/>
                <w:color w:val="000000" w:themeColor="text1"/>
                <w:sz w:val="24"/>
                <w:szCs w:val="24"/>
              </w:rPr>
              <w:t>.</w:t>
            </w:r>
            <w:r w:rsidR="00017AA5" w:rsidRPr="00657A14">
              <w:rPr>
                <w:rFonts w:ascii="Times New Roman" w:hAnsi="Times New Roman" w:cs="Times New Roman"/>
                <w:color w:val="000000" w:themeColor="text1"/>
                <w:sz w:val="24"/>
                <w:szCs w:val="24"/>
              </w:rPr>
              <w:t xml:space="preserve"> </w:t>
            </w:r>
            <w:r w:rsidR="0026365C" w:rsidRPr="00657A14">
              <w:rPr>
                <w:rFonts w:ascii="Times New Roman" w:hAnsi="Times New Roman" w:cs="Times New Roman"/>
                <w:color w:val="000000" w:themeColor="text1"/>
                <w:sz w:val="24"/>
                <w:szCs w:val="24"/>
              </w:rPr>
              <w:t>P</w:t>
            </w:r>
            <w:r w:rsidR="00017AA5" w:rsidRPr="00657A14">
              <w:rPr>
                <w:rFonts w:ascii="Times New Roman" w:hAnsi="Times New Roman" w:cs="Times New Roman"/>
                <w:color w:val="000000" w:themeColor="text1"/>
                <w:sz w:val="24"/>
                <w:szCs w:val="24"/>
              </w:rPr>
              <w:t>ublikācija ir pieejama tik ilgi, cik nepieciešams</w:t>
            </w:r>
            <w:r w:rsidR="0026365C" w:rsidRPr="00657A14">
              <w:rPr>
                <w:rFonts w:ascii="Times New Roman" w:hAnsi="Times New Roman" w:cs="Times New Roman"/>
                <w:color w:val="000000" w:themeColor="text1"/>
                <w:sz w:val="24"/>
                <w:szCs w:val="24"/>
              </w:rPr>
              <w:t>,</w:t>
            </w:r>
            <w:r w:rsidR="000D1145" w:rsidRPr="00657A14">
              <w:rPr>
                <w:rFonts w:ascii="Times New Roman" w:hAnsi="Times New Roman" w:cs="Times New Roman"/>
                <w:color w:val="000000" w:themeColor="text1"/>
                <w:sz w:val="24"/>
                <w:szCs w:val="24"/>
              </w:rPr>
              <w:t xml:space="preserve"> </w:t>
            </w:r>
            <w:r w:rsidR="00017AA5" w:rsidRPr="00657A14">
              <w:rPr>
                <w:rFonts w:ascii="Times New Roman" w:hAnsi="Times New Roman" w:cs="Times New Roman"/>
                <w:color w:val="000000" w:themeColor="text1"/>
                <w:sz w:val="24"/>
                <w:szCs w:val="24"/>
              </w:rPr>
              <w:t>saskaņā ar piemērojamām datu aizsardzības prasībām.</w:t>
            </w:r>
          </w:p>
          <w:p w:rsidR="0009637F" w:rsidRPr="00657A14" w:rsidRDefault="00841939" w:rsidP="0009637F">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Līdz ar likumprojektā paredzēto atbildību par pārkāpumiem NILLTFN jomā un kompetences sankciju piemērošanas ieviešanu no Latvijas Administratīvo pārkāpumu kodeksa paredzēts izslēgt 165</w:t>
            </w:r>
            <w:r w:rsidR="004228EE" w:rsidRPr="00657A14">
              <w:rPr>
                <w:rFonts w:ascii="Times New Roman" w:hAnsi="Times New Roman" w:cs="Times New Roman"/>
                <w:color w:val="000000" w:themeColor="text1"/>
                <w:sz w:val="24"/>
                <w:szCs w:val="24"/>
              </w:rPr>
              <w:t>.</w:t>
            </w:r>
            <w:r w:rsidR="004228EE" w:rsidRPr="00742CA2">
              <w:rPr>
                <w:rFonts w:ascii="Times New Roman" w:hAnsi="Times New Roman" w:cs="Times New Roman"/>
                <w:color w:val="000000" w:themeColor="text1"/>
                <w:sz w:val="24"/>
                <w:szCs w:val="24"/>
              </w:rPr>
              <w:t>⁴</w:t>
            </w:r>
            <w:r w:rsidR="004228EE" w:rsidRPr="00657A14">
              <w:rPr>
                <w:rFonts w:ascii="Times New Roman" w:hAnsi="Times New Roman" w:cs="Times New Roman"/>
                <w:color w:val="000000" w:themeColor="text1"/>
                <w:sz w:val="24"/>
                <w:szCs w:val="24"/>
              </w:rPr>
              <w:t xml:space="preserve"> pantu., 165.</w:t>
            </w:r>
            <w:r w:rsidR="004228EE" w:rsidRPr="00742CA2">
              <w:rPr>
                <w:rFonts w:ascii="Times New Roman" w:hAnsi="Times New Roman" w:cs="Times New Roman"/>
                <w:color w:val="000000" w:themeColor="text1"/>
                <w:sz w:val="24"/>
                <w:szCs w:val="24"/>
              </w:rPr>
              <w:t>⁷</w:t>
            </w:r>
            <w:r w:rsidR="004228EE" w:rsidRPr="00657A14">
              <w:rPr>
                <w:rFonts w:ascii="Times New Roman" w:hAnsi="Times New Roman" w:cs="Times New Roman"/>
                <w:color w:val="000000" w:themeColor="text1"/>
                <w:sz w:val="24"/>
                <w:szCs w:val="24"/>
              </w:rPr>
              <w:t xml:space="preserve"> pantu., 16</w:t>
            </w:r>
            <w:r w:rsidR="00EB55D9" w:rsidRPr="00657A14">
              <w:rPr>
                <w:rFonts w:ascii="Times New Roman" w:hAnsi="Times New Roman" w:cs="Times New Roman"/>
                <w:color w:val="000000" w:themeColor="text1"/>
                <w:sz w:val="24"/>
                <w:szCs w:val="24"/>
              </w:rPr>
              <w:t>5</w:t>
            </w:r>
            <w:r w:rsidR="004228EE" w:rsidRPr="00657A14">
              <w:rPr>
                <w:rFonts w:ascii="Times New Roman" w:hAnsi="Times New Roman" w:cs="Times New Roman"/>
                <w:color w:val="000000" w:themeColor="text1"/>
                <w:sz w:val="24"/>
                <w:szCs w:val="24"/>
              </w:rPr>
              <w:t>.</w:t>
            </w:r>
            <w:r w:rsidR="004228EE" w:rsidRPr="00742CA2">
              <w:rPr>
                <w:rFonts w:ascii="Times New Roman" w:hAnsi="Times New Roman" w:cs="Times New Roman"/>
                <w:color w:val="000000" w:themeColor="text1"/>
                <w:sz w:val="24"/>
                <w:szCs w:val="24"/>
              </w:rPr>
              <w:t>⁸</w:t>
            </w:r>
            <w:r w:rsidR="001D214D" w:rsidRPr="00657A14">
              <w:rPr>
                <w:rFonts w:ascii="Times New Roman" w:hAnsi="Times New Roman" w:cs="Times New Roman"/>
                <w:color w:val="000000" w:themeColor="text1"/>
                <w:sz w:val="24"/>
                <w:szCs w:val="24"/>
              </w:rPr>
              <w:t xml:space="preserve"> pantu, tādējādi nepārkāpjot ne bis in idem principu.</w:t>
            </w:r>
          </w:p>
          <w:p w:rsidR="00683DA3" w:rsidRDefault="003C036E" w:rsidP="00073424">
            <w:pPr>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w:t>
            </w:r>
            <w:r w:rsidR="00DA74F2" w:rsidRPr="00657A14">
              <w:rPr>
                <w:rFonts w:ascii="Times New Roman" w:hAnsi="Times New Roman" w:cs="Times New Roman"/>
                <w:color w:val="000000" w:themeColor="text1"/>
                <w:sz w:val="24"/>
                <w:szCs w:val="24"/>
              </w:rPr>
              <w:t>rojekts paredz izslēgt</w:t>
            </w:r>
            <w:r w:rsidRPr="00657A14">
              <w:rPr>
                <w:rFonts w:ascii="Times New Roman" w:hAnsi="Times New Roman" w:cs="Times New Roman"/>
                <w:color w:val="000000" w:themeColor="text1"/>
                <w:sz w:val="24"/>
                <w:szCs w:val="24"/>
              </w:rPr>
              <w:t xml:space="preserve"> NILLTFNL </w:t>
            </w:r>
            <w:r w:rsidR="00DA74F2" w:rsidRPr="00657A14">
              <w:rPr>
                <w:rFonts w:ascii="Times New Roman" w:hAnsi="Times New Roman" w:cs="Times New Roman"/>
                <w:color w:val="000000" w:themeColor="text1"/>
                <w:sz w:val="24"/>
                <w:szCs w:val="24"/>
              </w:rPr>
              <w:t>16.</w:t>
            </w:r>
            <w:r w:rsidRPr="00657A14">
              <w:rPr>
                <w:rFonts w:ascii="Times New Roman" w:hAnsi="Times New Roman" w:cs="Times New Roman"/>
                <w:color w:val="000000" w:themeColor="text1"/>
                <w:sz w:val="24"/>
                <w:szCs w:val="24"/>
              </w:rPr>
              <w:t>pant</w:t>
            </w:r>
            <w:r w:rsidR="00DA74F2" w:rsidRPr="00657A14">
              <w:rPr>
                <w:rFonts w:ascii="Times New Roman" w:hAnsi="Times New Roman" w:cs="Times New Roman"/>
                <w:color w:val="000000" w:themeColor="text1"/>
                <w:sz w:val="24"/>
                <w:szCs w:val="24"/>
              </w:rPr>
              <w:t>u, 17.pantu, 19.pantu sakarā ar to, ka minēto pantu redakcijas tika iestrādātas citos likumprojekta pantos.</w:t>
            </w:r>
          </w:p>
          <w:p w:rsidR="00B272D2" w:rsidRPr="00657A14" w:rsidRDefault="00B272D2" w:rsidP="00073424">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paredz likuma subjektam nepieciešamās politikas un procedūras prasību izpildes pārejas termiņu līdz 2017.gada 1.oktobrim.</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370B02"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Par </w:t>
            </w:r>
            <w:r w:rsidR="0026365C">
              <w:rPr>
                <w:rFonts w:ascii="Times New Roman" w:hAnsi="Times New Roman" w:cs="Times New Roman"/>
                <w:sz w:val="24"/>
                <w:szCs w:val="24"/>
              </w:rPr>
              <w:t>l</w:t>
            </w:r>
            <w:r>
              <w:rPr>
                <w:rFonts w:ascii="Times New Roman" w:hAnsi="Times New Roman" w:cs="Times New Roman"/>
                <w:sz w:val="24"/>
                <w:szCs w:val="24"/>
              </w:rPr>
              <w:t>ikumprojekta izstrādi atbildīgā institūcija ir Finanšu ministrija, Tieslietu ministrija, Finanšu un kapitāla tirgus komisija, Noziedzīgi iegūtu līdzekļu legalizācijas novēršanas dienests.</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D22933"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DE6E37" w:rsidRPr="00894C55" w:rsidRDefault="00DE6E37"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EE033A"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ietekmēs NILLTFNL 3.pantā noteiktos subjektus</w:t>
            </w:r>
            <w:r w:rsidR="004602DE">
              <w:rPr>
                <w:rFonts w:ascii="Times New Roman" w:eastAsia="Times New Roman" w:hAnsi="Times New Roman" w:cs="Times New Roman"/>
                <w:color w:val="414142"/>
                <w:sz w:val="24"/>
                <w:szCs w:val="24"/>
                <w:lang w:eastAsia="lv-LV"/>
              </w:rPr>
              <w:t>.</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4602DE"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iespējams noteikt.</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4602DE"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iespējams noteikt.</w:t>
            </w:r>
          </w:p>
        </w:tc>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4602DE"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DE6E37" w:rsidRPr="00894C55" w:rsidRDefault="00DE6E37"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5"/>
        <w:gridCol w:w="1527"/>
        <w:gridCol w:w="1075"/>
        <w:gridCol w:w="1166"/>
        <w:gridCol w:w="1055"/>
      </w:tblGrid>
      <w:tr w:rsidR="00894C55" w:rsidRPr="00894C55"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94C55" w:rsidRPr="00894C55" w:rsidTr="00CE4BDE">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B0612A" w:rsidP="003F28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w:t>
            </w:r>
            <w:r w:rsidR="00CE4BDE">
              <w:rPr>
                <w:rFonts w:ascii="Times New Roman" w:eastAsia="Times New Roman" w:hAnsi="Times New Roman" w:cs="Times New Roman"/>
                <w:b/>
                <w:bCs/>
                <w:color w:val="414142"/>
                <w:sz w:val="24"/>
                <w:szCs w:val="24"/>
                <w:lang w:eastAsia="lv-LV"/>
              </w:rPr>
              <w:t>.</w:t>
            </w:r>
            <w:r w:rsidR="00471F27">
              <w:rPr>
                <w:rFonts w:ascii="Times New Roman" w:eastAsia="Times New Roman" w:hAnsi="Times New Roman" w:cs="Times New Roman"/>
                <w:b/>
                <w:bCs/>
                <w:color w:val="414142"/>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r w:rsidRPr="00894C55">
              <w:rPr>
                <w:rFonts w:ascii="Times New Roman" w:eastAsia="Times New Roman" w:hAnsi="Times New Roman" w:cs="Times New Roman"/>
                <w:i/>
                <w:iCs/>
                <w:color w:val="414142"/>
                <w:sz w:val="24"/>
                <w:szCs w:val="24"/>
                <w:lang w:eastAsia="lv-LV"/>
              </w:rPr>
              <w:t>euro</w:t>
            </w:r>
            <w:r w:rsidRPr="00894C55">
              <w:rPr>
                <w:rFonts w:ascii="Times New Roman" w:eastAsia="Times New Roman" w:hAnsi="Times New Roman" w:cs="Times New Roman"/>
                <w:color w:val="414142"/>
                <w:sz w:val="24"/>
                <w:szCs w:val="24"/>
                <w:lang w:eastAsia="lv-LV"/>
              </w:rPr>
              <w:t>)</w:t>
            </w:r>
          </w:p>
        </w:tc>
      </w:tr>
      <w:tr w:rsidR="00894C55" w:rsidRPr="00894C55" w:rsidTr="00CE4BD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B0612A"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w:t>
            </w:r>
            <w:r w:rsidR="00CE4BDE">
              <w:rPr>
                <w:rFonts w:ascii="Times New Roman" w:eastAsia="Times New Roman" w:hAnsi="Times New Roman" w:cs="Times New Roman"/>
                <w:b/>
                <w:bCs/>
                <w:color w:val="414142"/>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B0612A"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w:t>
            </w:r>
            <w:r w:rsidR="00CE4BDE">
              <w:rPr>
                <w:rFonts w:ascii="Times New Roman" w:eastAsia="Times New Roman" w:hAnsi="Times New Roman" w:cs="Times New Roman"/>
                <w:b/>
                <w:bCs/>
                <w:color w:val="414142"/>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B0612A"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2020</w:t>
            </w:r>
            <w:r w:rsidR="00CE4BDE">
              <w:rPr>
                <w:rFonts w:ascii="Times New Roman" w:eastAsia="Times New Roman" w:hAnsi="Times New Roman" w:cs="Times New Roman"/>
                <w:b/>
                <w:bCs/>
                <w:color w:val="414142"/>
                <w:sz w:val="24"/>
                <w:szCs w:val="24"/>
                <w:lang w:eastAsia="lv-LV"/>
              </w:rPr>
              <w:t>.</w:t>
            </w:r>
          </w:p>
        </w:tc>
      </w:tr>
      <w:tr w:rsidR="00894C55" w:rsidRPr="00894C55" w:rsidTr="00CE4BD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CE4BDE">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CE4BDE">
              <w:rPr>
                <w:rFonts w:ascii="Times New Roman" w:eastAsia="Times New Roman" w:hAnsi="Times New Roman" w:cs="Times New Roman"/>
                <w:color w:val="414142"/>
                <w:sz w:val="24"/>
                <w:szCs w:val="24"/>
                <w:lang w:eastAsia="lv-LV"/>
              </w:rPr>
              <w:t>201</w:t>
            </w:r>
            <w:r w:rsidR="005343ED">
              <w:rPr>
                <w:rFonts w:ascii="Times New Roman" w:eastAsia="Times New Roman" w:hAnsi="Times New Roman" w:cs="Times New Roman"/>
                <w:color w:val="414142"/>
                <w:sz w:val="24"/>
                <w:szCs w:val="24"/>
                <w:lang w:eastAsia="lv-LV"/>
              </w:rPr>
              <w:t>7</w:t>
            </w:r>
            <w:r w:rsidR="00CE4BDE">
              <w:rPr>
                <w:rFonts w:ascii="Times New Roman" w:eastAsia="Times New Roman" w:hAnsi="Times New Roman" w:cs="Times New Roman"/>
                <w:color w:val="414142"/>
                <w:sz w:val="24"/>
                <w:szCs w:val="24"/>
                <w:lang w:eastAsia="lv-LV"/>
              </w:rPr>
              <w:t>.</w:t>
            </w:r>
            <w:r w:rsidRPr="00894C55">
              <w:rPr>
                <w:rFonts w:ascii="Times New Roman" w:eastAsia="Times New Roman" w:hAnsi="Times New Roman" w:cs="Times New Roman"/>
                <w:color w:val="414142"/>
                <w:sz w:val="24"/>
                <w:szCs w:val="24"/>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CE4BDE">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CE4BDE">
              <w:rPr>
                <w:rFonts w:ascii="Times New Roman" w:eastAsia="Times New Roman" w:hAnsi="Times New Roman" w:cs="Times New Roman"/>
                <w:color w:val="414142"/>
                <w:sz w:val="24"/>
                <w:szCs w:val="24"/>
                <w:lang w:eastAsia="lv-LV"/>
              </w:rPr>
              <w:t>201</w:t>
            </w:r>
            <w:r w:rsidR="005343ED">
              <w:rPr>
                <w:rFonts w:ascii="Times New Roman" w:eastAsia="Times New Roman" w:hAnsi="Times New Roman" w:cs="Times New Roman"/>
                <w:color w:val="414142"/>
                <w:sz w:val="24"/>
                <w:szCs w:val="24"/>
                <w:lang w:eastAsia="lv-LV"/>
              </w:rPr>
              <w:t>7</w:t>
            </w:r>
            <w:r w:rsidR="00CE4BDE">
              <w:rPr>
                <w:rFonts w:ascii="Times New Roman" w:eastAsia="Times New Roman" w:hAnsi="Times New Roman" w:cs="Times New Roman"/>
                <w:color w:val="414142"/>
                <w:sz w:val="24"/>
                <w:szCs w:val="24"/>
                <w:lang w:eastAsia="lv-LV"/>
              </w:rPr>
              <w:t>.</w:t>
            </w:r>
            <w:r w:rsidRPr="00894C55">
              <w:rPr>
                <w:rFonts w:ascii="Times New Roman" w:eastAsia="Times New Roman" w:hAnsi="Times New Roman" w:cs="Times New Roman"/>
                <w:color w:val="414142"/>
                <w:sz w:val="24"/>
                <w:szCs w:val="24"/>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CE4BDE">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CE4BDE">
              <w:rPr>
                <w:rFonts w:ascii="Times New Roman" w:eastAsia="Times New Roman" w:hAnsi="Times New Roman" w:cs="Times New Roman"/>
                <w:color w:val="414142"/>
                <w:sz w:val="24"/>
                <w:szCs w:val="24"/>
                <w:lang w:eastAsia="lv-LV"/>
              </w:rPr>
              <w:t>201</w:t>
            </w:r>
            <w:r w:rsidR="005343ED">
              <w:rPr>
                <w:rFonts w:ascii="Times New Roman" w:eastAsia="Times New Roman" w:hAnsi="Times New Roman" w:cs="Times New Roman"/>
                <w:color w:val="414142"/>
                <w:sz w:val="24"/>
                <w:szCs w:val="24"/>
                <w:lang w:eastAsia="lv-LV"/>
              </w:rPr>
              <w:t>7</w:t>
            </w:r>
            <w:r w:rsidR="00CE4BDE">
              <w:rPr>
                <w:rFonts w:ascii="Times New Roman" w:eastAsia="Times New Roman" w:hAnsi="Times New Roman" w:cs="Times New Roman"/>
                <w:color w:val="414142"/>
                <w:sz w:val="24"/>
                <w:szCs w:val="24"/>
                <w:lang w:eastAsia="lv-LV"/>
              </w:rPr>
              <w:t>.</w:t>
            </w:r>
            <w:r w:rsidRPr="00894C55">
              <w:rPr>
                <w:rFonts w:ascii="Times New Roman" w:eastAsia="Times New Roman" w:hAnsi="Times New Roman" w:cs="Times New Roman"/>
                <w:color w:val="414142"/>
                <w:sz w:val="24"/>
                <w:szCs w:val="24"/>
                <w:lang w:eastAsia="lv-LV"/>
              </w:rPr>
              <w:t>gadu</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894C55"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AB66CD"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490 506</w:t>
            </w:r>
            <w:r w:rsidR="00546D77"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249173</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249173</w:t>
            </w:r>
          </w:p>
        </w:tc>
      </w:tr>
      <w:tr w:rsidR="00CE4BDE"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E4BDE" w:rsidRPr="00894C55" w:rsidRDefault="00AB66CD"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CE4BDE"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490506</w:t>
            </w:r>
            <w:r w:rsidR="00546D77"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249173</w:t>
            </w:r>
          </w:p>
        </w:tc>
        <w:tc>
          <w:tcPr>
            <w:tcW w:w="550" w:type="pct"/>
            <w:tcBorders>
              <w:top w:val="outset" w:sz="6" w:space="0" w:color="414142"/>
              <w:left w:val="outset" w:sz="6" w:space="0" w:color="414142"/>
              <w:bottom w:val="outset" w:sz="6" w:space="0" w:color="414142"/>
              <w:right w:val="outset" w:sz="6" w:space="0" w:color="414142"/>
            </w:tcBorders>
            <w:hideMark/>
          </w:tcPr>
          <w:p w:rsidR="00CE4BDE" w:rsidRPr="00894C55" w:rsidRDefault="00C66323"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249173</w:t>
            </w:r>
          </w:p>
        </w:tc>
      </w:tr>
      <w:tr w:rsidR="00CE4BDE"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E4BDE"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CE4BDE" w:rsidRPr="00894C55" w:rsidTr="007540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E4BDE" w:rsidRPr="00894C55" w:rsidRDefault="00F27F8E"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AB66CD">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CE4BDE" w:rsidRPr="00894C55" w:rsidRDefault="00546D77" w:rsidP="00C66323">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w:t>
            </w:r>
            <w:r w:rsidR="00C66323">
              <w:rPr>
                <w:rFonts w:ascii="Times New Roman" w:hAnsi="Times New Roman" w:cs="Times New Roman"/>
                <w:sz w:val="24"/>
                <w:szCs w:val="24"/>
              </w:rPr>
              <w:t>490506</w:t>
            </w:r>
            <w:r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DA3BDD"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C66323">
              <w:rPr>
                <w:rFonts w:ascii="Times New Roman" w:eastAsia="Times New Roman" w:hAnsi="Times New Roman" w:cs="Times New Roman"/>
                <w:color w:val="414142"/>
                <w:sz w:val="24"/>
                <w:szCs w:val="24"/>
                <w:lang w:eastAsia="lv-LV"/>
              </w:rPr>
              <w:t>249173</w:t>
            </w:r>
          </w:p>
        </w:tc>
        <w:tc>
          <w:tcPr>
            <w:tcW w:w="550" w:type="pct"/>
            <w:tcBorders>
              <w:top w:val="outset" w:sz="6" w:space="0" w:color="414142"/>
              <w:left w:val="outset" w:sz="6" w:space="0" w:color="414142"/>
              <w:bottom w:val="outset" w:sz="6" w:space="0" w:color="414142"/>
              <w:right w:val="outset" w:sz="6" w:space="0" w:color="414142"/>
            </w:tcBorders>
            <w:hideMark/>
          </w:tcPr>
          <w:p w:rsidR="00CE4BDE" w:rsidRPr="00894C55" w:rsidRDefault="00DA3BDD"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C66323">
              <w:rPr>
                <w:rFonts w:ascii="Times New Roman" w:eastAsia="Times New Roman" w:hAnsi="Times New Roman" w:cs="Times New Roman"/>
                <w:color w:val="414142"/>
                <w:sz w:val="24"/>
                <w:szCs w:val="24"/>
                <w:lang w:eastAsia="lv-LV"/>
              </w:rPr>
              <w:t>249173</w:t>
            </w:r>
          </w:p>
        </w:tc>
      </w:tr>
      <w:tr w:rsidR="00CE4BDE"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CE4BDE"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CE4BDE" w:rsidRPr="00894C55" w:rsidRDefault="00F27F8E"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AB66CD">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CE4BDE" w:rsidRPr="00894C55" w:rsidRDefault="00546D77" w:rsidP="00C66323">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w:t>
            </w:r>
            <w:r w:rsidR="00C66323">
              <w:rPr>
                <w:rFonts w:ascii="Times New Roman" w:hAnsi="Times New Roman" w:cs="Times New Roman"/>
                <w:sz w:val="24"/>
                <w:szCs w:val="24"/>
              </w:rPr>
              <w:t>490506</w:t>
            </w:r>
            <w:r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CE4BDE" w:rsidRPr="00894C55" w:rsidRDefault="00DA3BDD"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C66323">
              <w:rPr>
                <w:rFonts w:ascii="Times New Roman" w:eastAsia="Times New Roman" w:hAnsi="Times New Roman" w:cs="Times New Roman"/>
                <w:color w:val="414142"/>
                <w:sz w:val="24"/>
                <w:szCs w:val="24"/>
                <w:lang w:eastAsia="lv-LV"/>
              </w:rPr>
              <w:t>249173</w:t>
            </w:r>
          </w:p>
        </w:tc>
        <w:tc>
          <w:tcPr>
            <w:tcW w:w="550" w:type="pct"/>
            <w:tcBorders>
              <w:top w:val="outset" w:sz="6" w:space="0" w:color="414142"/>
              <w:left w:val="outset" w:sz="6" w:space="0" w:color="414142"/>
              <w:bottom w:val="outset" w:sz="6" w:space="0" w:color="414142"/>
              <w:right w:val="outset" w:sz="6" w:space="0" w:color="414142"/>
            </w:tcBorders>
            <w:hideMark/>
          </w:tcPr>
          <w:p w:rsidR="00CE4BDE" w:rsidRPr="00894C55" w:rsidRDefault="00DA3BDD" w:rsidP="00CE4BDE">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C66323">
              <w:rPr>
                <w:rFonts w:ascii="Times New Roman" w:eastAsia="Times New Roman" w:hAnsi="Times New Roman" w:cs="Times New Roman"/>
                <w:color w:val="414142"/>
                <w:sz w:val="24"/>
                <w:szCs w:val="24"/>
                <w:lang w:eastAsia="lv-LV"/>
              </w:rPr>
              <w:t>249173</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B77C17"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D0179"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B0612A" w:rsidP="00B0612A">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F27F8E"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AB66CD">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D0179" w:rsidP="00C66323">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w:t>
            </w:r>
            <w:r w:rsidR="00C66323">
              <w:rPr>
                <w:rFonts w:ascii="Times New Roman" w:hAnsi="Times New Roman" w:cs="Times New Roman"/>
                <w:sz w:val="24"/>
                <w:szCs w:val="24"/>
              </w:rPr>
              <w:t>490506</w:t>
            </w:r>
            <w:r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9E2380"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C66323">
              <w:rPr>
                <w:rFonts w:ascii="Times New Roman" w:eastAsia="Times New Roman" w:hAnsi="Times New Roman" w:cs="Times New Roman"/>
                <w:color w:val="414142"/>
                <w:sz w:val="24"/>
                <w:szCs w:val="24"/>
                <w:lang w:eastAsia="lv-LV"/>
              </w:rPr>
              <w:t>249173</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C66323"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- 249173</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F27F8E" w:rsidP="005C57CF">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AB66CD">
              <w:rPr>
                <w:rFonts w:ascii="Times New Roman" w:eastAsia="Times New Roman" w:hAnsi="Times New Roman" w:cs="Times New Roman"/>
                <w:color w:val="414142"/>
                <w:sz w:val="24"/>
                <w:szCs w:val="24"/>
                <w:lang w:eastAsia="lv-LV"/>
              </w:rPr>
              <w:t>49 90</w:t>
            </w:r>
            <w:r w:rsidR="005C57CF">
              <w:rPr>
                <w:rFonts w:ascii="Times New Roman" w:eastAsia="Times New Roman" w:hAnsi="Times New Roman" w:cs="Times New Roman"/>
                <w:color w:val="414142"/>
                <w:sz w:val="24"/>
                <w:szCs w:val="24"/>
                <w:lang w:eastAsia="lv-LV"/>
              </w:rPr>
              <w:t>8</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D0179" w:rsidP="00C66323">
            <w:pPr>
              <w:spacing w:after="0" w:line="240" w:lineRule="auto"/>
              <w:jc w:val="center"/>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w:t>
            </w:r>
            <w:r w:rsidR="00C66323">
              <w:rPr>
                <w:rFonts w:ascii="Times New Roman" w:hAnsi="Times New Roman" w:cs="Times New Roman"/>
                <w:sz w:val="24"/>
                <w:szCs w:val="24"/>
              </w:rPr>
              <w:t>490506</w:t>
            </w:r>
            <w:r w:rsidRPr="002D44AC">
              <w:rPr>
                <w:rFonts w:ascii="Times New Roman" w:hAnsi="Times New Roman" w:cs="Times New Roman"/>
                <w:sz w:val="24"/>
                <w:szCs w:val="24"/>
              </w:rPr>
              <w:t> </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C66323"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-249173</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C66323"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-249173</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CE4BDE">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A24E7D" w:rsidRPr="00894C55" w:rsidTr="00B11E2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tcPr>
          <w:p w:rsidR="00F27F8E" w:rsidRPr="00F27F8E" w:rsidRDefault="00F27F8E" w:rsidP="002D44AC">
            <w:pPr>
              <w:jc w:val="both"/>
              <w:rPr>
                <w:rFonts w:ascii="Times New Roman" w:hAnsi="Times New Roman" w:cs="Times New Roman"/>
                <w:b/>
                <w:sz w:val="24"/>
                <w:szCs w:val="24"/>
                <w:u w:val="single"/>
              </w:rPr>
            </w:pPr>
            <w:r w:rsidRPr="00F27F8E">
              <w:rPr>
                <w:rFonts w:ascii="Times New Roman" w:hAnsi="Times New Roman" w:cs="Times New Roman"/>
                <w:b/>
                <w:sz w:val="24"/>
                <w:szCs w:val="24"/>
                <w:u w:val="single"/>
              </w:rPr>
              <w:t>Uzņēmumu reģistrs</w:t>
            </w:r>
          </w:p>
          <w:p w:rsidR="002D44AC" w:rsidRPr="00F27F8E" w:rsidRDefault="002D44AC" w:rsidP="002D44AC">
            <w:pPr>
              <w:jc w:val="both"/>
              <w:rPr>
                <w:rFonts w:ascii="Times New Roman" w:hAnsi="Times New Roman" w:cs="Times New Roman"/>
                <w:sz w:val="24"/>
                <w:szCs w:val="24"/>
              </w:rPr>
            </w:pPr>
            <w:r w:rsidRPr="00F27F8E">
              <w:rPr>
                <w:rFonts w:ascii="Times New Roman" w:hAnsi="Times New Roman" w:cs="Times New Roman"/>
                <w:sz w:val="24"/>
                <w:szCs w:val="24"/>
              </w:rPr>
              <w:t xml:space="preserve">Pasākuma īstenošanas nodrošināšanai uz noteikto laiku </w:t>
            </w:r>
            <w:r w:rsidR="00CC6242" w:rsidRPr="00F27F8E">
              <w:rPr>
                <w:rFonts w:ascii="Times New Roman" w:hAnsi="Times New Roman" w:cs="Times New Roman"/>
                <w:sz w:val="24"/>
                <w:szCs w:val="24"/>
              </w:rPr>
              <w:t xml:space="preserve">Uzņēmumu reģistrā </w:t>
            </w:r>
            <w:r w:rsidRPr="00F27F8E">
              <w:rPr>
                <w:rFonts w:ascii="Times New Roman" w:hAnsi="Times New Roman" w:cs="Times New Roman"/>
                <w:sz w:val="24"/>
                <w:szCs w:val="24"/>
              </w:rPr>
              <w:t>tiks izveidota Projektu nodaļa ar 11 amata vietām (1 projektu vadītājs (nodaļas vadītājs), 2 biznesa sistēmu analītiķi, 2 sistēmanalītiķi, 6 programmētāji), savukārt informācijas sistēmu arhitekts un lietotāju saskarnes dizainers, ņemot vērā attiecīgo speciālistu iesaistes ilgumu, tiks piesaistīti, noslēdzot uzņēmuma līgumus:</w:t>
            </w:r>
          </w:p>
          <w:p w:rsidR="002D44AC" w:rsidRPr="00F27F8E" w:rsidRDefault="002D44AC" w:rsidP="002D44AC">
            <w:pPr>
              <w:ind w:left="57" w:right="57"/>
              <w:jc w:val="both"/>
              <w:rPr>
                <w:rFonts w:ascii="Times New Roman" w:hAnsi="Times New Roman" w:cs="Times New Roman"/>
                <w:b/>
                <w:i/>
                <w:sz w:val="24"/>
                <w:szCs w:val="24"/>
                <w:u w:val="single"/>
                <w:lang w:eastAsia="lv-LV"/>
              </w:rPr>
            </w:pPr>
            <w:r w:rsidRPr="00F27F8E">
              <w:rPr>
                <w:rFonts w:ascii="Times New Roman" w:hAnsi="Times New Roman" w:cs="Times New Roman"/>
                <w:sz w:val="24"/>
                <w:szCs w:val="24"/>
              </w:rPr>
              <w:t>2018. gadā nepieciešami 211 237 </w:t>
            </w:r>
            <w:r w:rsidRPr="00F27F8E">
              <w:rPr>
                <w:rFonts w:ascii="Times New Roman" w:hAnsi="Times New Roman" w:cs="Times New Roman"/>
                <w:i/>
                <w:sz w:val="24"/>
                <w:szCs w:val="24"/>
              </w:rPr>
              <w:t>euro</w:t>
            </w:r>
            <w:r w:rsidRPr="00F27F8E">
              <w:rPr>
                <w:rFonts w:ascii="Times New Roman" w:hAnsi="Times New Roman" w:cs="Times New Roman"/>
                <w:sz w:val="24"/>
                <w:szCs w:val="24"/>
              </w:rPr>
              <w:t>, lai nodrošinātu projekta turpināšanu un pilnīgu darbu pabeigšanu, kā arī veiktu informācijas sistēmas uzturēšanu.</w:t>
            </w:r>
            <w:r w:rsidRPr="00F27F8E">
              <w:rPr>
                <w:rFonts w:ascii="Times New Roman" w:eastAsia="SimSun" w:hAnsi="Times New Roman" w:cs="Times New Roman"/>
                <w:sz w:val="24"/>
                <w:szCs w:val="24"/>
                <w:lang w:eastAsia="lv-LV"/>
              </w:rPr>
              <w:t xml:space="preserve"> </w:t>
            </w:r>
            <w:r w:rsidRPr="00F27F8E">
              <w:rPr>
                <w:rFonts w:ascii="Times New Roman" w:hAnsi="Times New Roman" w:cs="Times New Roman"/>
                <w:b/>
                <w:sz w:val="24"/>
                <w:szCs w:val="24"/>
                <w:lang w:eastAsia="lv-LV"/>
              </w:rPr>
              <w:t>Izmaksas 2018. gadam (no 1. janvāra līdz 31. decembrim): 211 237 </w:t>
            </w:r>
            <w:r w:rsidRPr="00F27F8E">
              <w:rPr>
                <w:rFonts w:ascii="Times New Roman" w:hAnsi="Times New Roman" w:cs="Times New Roman"/>
                <w:b/>
                <w:i/>
                <w:sz w:val="24"/>
                <w:szCs w:val="24"/>
                <w:lang w:eastAsia="lv-LV"/>
              </w:rPr>
              <w:t>euro</w:t>
            </w:r>
          </w:p>
          <w:p w:rsidR="002D44AC" w:rsidRPr="00F27F8E" w:rsidRDefault="002D44AC" w:rsidP="002D44AC">
            <w:pPr>
              <w:ind w:left="57" w:right="57"/>
              <w:jc w:val="both"/>
              <w:rPr>
                <w:rFonts w:ascii="Times New Roman" w:hAnsi="Times New Roman" w:cs="Times New Roman"/>
                <w:sz w:val="24"/>
                <w:szCs w:val="24"/>
                <w:u w:val="single"/>
                <w:lang w:eastAsia="lv-LV"/>
              </w:rPr>
            </w:pPr>
            <w:r w:rsidRPr="00F27F8E">
              <w:rPr>
                <w:rFonts w:ascii="Times New Roman" w:hAnsi="Times New Roman" w:cs="Times New Roman"/>
                <w:sz w:val="24"/>
                <w:szCs w:val="24"/>
                <w:u w:val="single"/>
                <w:lang w:eastAsia="lv-LV"/>
              </w:rPr>
              <w:t>Izmaksas 2018. gadam (no 1. janvāra līdz 31. martam): 125 886 </w:t>
            </w:r>
            <w:r w:rsidRPr="00F27F8E">
              <w:rPr>
                <w:rFonts w:ascii="Times New Roman" w:hAnsi="Times New Roman" w:cs="Times New Roman"/>
                <w:i/>
                <w:sz w:val="24"/>
                <w:szCs w:val="24"/>
                <w:u w:val="single"/>
                <w:lang w:eastAsia="lv-LV"/>
              </w:rPr>
              <w:t>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 xml:space="preserve">Kopā: Atlīdzība (EKK 1000) – </w:t>
            </w:r>
            <w:r w:rsidRPr="00F27F8E">
              <w:rPr>
                <w:rFonts w:ascii="Times New Roman" w:hAnsi="Times New Roman" w:cs="Times New Roman"/>
                <w:b/>
                <w:sz w:val="24"/>
                <w:szCs w:val="24"/>
                <w:lang w:eastAsia="lv-LV"/>
              </w:rPr>
              <w:t>125 886 </w:t>
            </w:r>
            <w:r w:rsidRPr="00F27F8E">
              <w:rPr>
                <w:rFonts w:ascii="Times New Roman" w:hAnsi="Times New Roman" w:cs="Times New Roman"/>
                <w:b/>
                <w:i/>
                <w:sz w:val="24"/>
                <w:szCs w:val="24"/>
                <w:lang w:eastAsia="lv-LV"/>
              </w:rPr>
              <w:t>euro</w:t>
            </w:r>
            <w:r w:rsidRPr="00F27F8E">
              <w:rPr>
                <w:rFonts w:ascii="Times New Roman" w:hAnsi="Times New Roman" w:cs="Times New Roman"/>
                <w:sz w:val="24"/>
                <w:szCs w:val="24"/>
                <w:lang w:eastAsia="lv-LV"/>
              </w:rPr>
              <w:t xml:space="preserve"> (t.sk. atalgojums 101 858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VSAOI 23.59 %– 24 028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xml:space="preserve">): </w:t>
            </w:r>
          </w:p>
          <w:p w:rsidR="002D44AC" w:rsidRPr="00F27F8E" w:rsidRDefault="002D44AC" w:rsidP="002D44AC">
            <w:pPr>
              <w:spacing w:before="75" w:after="75"/>
              <w:ind w:left="57" w:right="57"/>
              <w:jc w:val="both"/>
              <w:rPr>
                <w:rFonts w:ascii="Times New Roman" w:hAnsi="Times New Roman" w:cs="Times New Roman"/>
                <w:sz w:val="24"/>
                <w:szCs w:val="24"/>
                <w:highlight w:val="yellow"/>
                <w:lang w:eastAsia="lv-LV"/>
              </w:rPr>
            </w:pPr>
            <w:r w:rsidRPr="00F27F8E">
              <w:rPr>
                <w:rFonts w:ascii="Times New Roman" w:hAnsi="Times New Roman" w:cs="Times New Roman"/>
                <w:sz w:val="24"/>
                <w:szCs w:val="24"/>
                <w:lang w:eastAsia="lv-LV"/>
              </w:rPr>
              <w:t>1. Atlīdzība (EKK 1000) 114 863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xml:space="preserve"> (t.sk. atalgojums 92 939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VSAOI 23.59 %</w:t>
            </w:r>
            <w:r w:rsidRPr="00F27F8E">
              <w:rPr>
                <w:rFonts w:ascii="Times New Roman" w:hAnsi="Times New Roman" w:cs="Times New Roman"/>
                <w:b/>
                <w:sz w:val="24"/>
                <w:szCs w:val="24"/>
                <w:lang w:eastAsia="lv-LV"/>
              </w:rPr>
              <w:t>-</w:t>
            </w:r>
            <w:r w:rsidRPr="00F27F8E">
              <w:rPr>
                <w:rFonts w:ascii="Times New Roman" w:hAnsi="Times New Roman" w:cs="Times New Roman"/>
                <w:sz w:val="24"/>
                <w:szCs w:val="24"/>
                <w:lang w:eastAsia="lv-LV"/>
              </w:rPr>
              <w:t xml:space="preserve"> 21 924 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1.1. Mēnešalga projektu vadītājam (nodaļas vadītājs) un 2 sistēmanalītiķiem (19.4. amatu saimes V līmeņa 13. mēnešalgu grupa, 3. kategorija) 1917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x 3 mēn.</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x 3 amata vietas = 17 253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1.1.1. Motivācijas piemaksa 40 % apmērā no plānotās mēnešalgu kopsummas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6901</w:t>
            </w:r>
            <w:r w:rsidRPr="00F27F8E">
              <w:rPr>
                <w:rFonts w:ascii="Times New Roman" w:hAnsi="Times New Roman" w:cs="Times New Roman"/>
                <w:i/>
                <w:sz w:val="24"/>
                <w:szCs w:val="24"/>
                <w:lang w:eastAsia="lv-LV"/>
              </w:rPr>
              <w:t> 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1.1.2. Neizmantotais atvaļinājums 100 % apmērā no plānotās mēnešalgas projektu vadītājam (ņemot vērā, ka nepieciešams paredzēt risku, ka darba apjoma dēļ projekta īstenošanas periodā nodarbinātais nevarēs doties ikgadējā atvaļinājumā) – 1917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Ņemot vērā, ka 2 sistēmanalītiķi turpinās darba saistības līdz 2018. gada 31. decembrim, šiem nodarbinātajiem plānots nodrošināt došanos ikgadējā atvaļinājumā jebkurā gadījumā un nav nepieciešams paredzēt neizmantotā atvaļinājuma risku.</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1.2. Mēnešalga 6 programmētājiem, 2 biznesa sistēmu analītiķiem (19.4. amatu saimes IV līmeņa 12. mēnešalgu grupa, 3. kategorija) 1647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x 3 mēn.</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x 8 amata vietas = 39 528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lastRenderedPageBreak/>
              <w:t>1.2.1. Motivācijas piemaksa 40 % apmērā no plānotās mēnešalgu kopsummas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15 811 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1.2.2. Neizmantotais atvaļinājums 100 % apmērā no plānotās mēnešalgas 5 programmētājiem un 2 biznesa sistēmu analītiķiem (ņemot vērā, ka nepieciešams paredzēt risku, ka darba apjoma dēļ projekta īstenošanas periodā nodarbinātie nevarēs doties ikgadējā atvaļinājumā) – 1647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xml:space="preserve"> x 7 amatu vietas = 11 529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Ņemot vērā, ka viens no programmētājiem turpinās darba saistības līdz 2018. gada 31. decembrim, šim nodarbinātajam plānots nodrošināt došanos ikgadējā atvaļinājumā jebkurā gadījumā un nav nepieciešams paredzēt neizmantotā atvaļinājuma risku.</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 Ņemot vērā, ka iesaistoties projekta īstenošanā papildus tiks noslogi esošie nodarbinātie, nepieciešams paredzēt piemaksu par papildu darbu esošajiem nodarbinātajiem 11 023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xml:space="preserve"> (t.sk. atalgojums 8919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VSAOI 23.59 %- 2104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1.3.1. galvenā valsts notāra vietnieks funkciju jautājumos (35. amatu saimes V līmeņa 13. mēnešalgu grupa): Piemaksa par papildu darbu 30 % apmērā no esošās mēnešalgas un Motivācijas piemaksa 30 % apmērā no esošās mēnešalgas (1435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mēn.) - 2584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1.3.2. Juridiskās nodaļas vadītāja (21. amatu saimes IV līmeņa 11. mēnešalgu grupa): Piemaksa par papildu darbu 30 % apmērā no esošās mēnešalgas (1164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mēn.)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1048 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1.3.3. Informācijas sistēmu attīstības un atbalsta nodaļas vadītājs (19.4. amatu saimes V līmeņa 13. mēnešalgu grupa): Piemaksa par papildu darbu 30 % apmērā no esošās mēnešalgas (1917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1725 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1.3.4. Informācijas sistēmu attīstības un atbalsta nodaļas sistēmanalītiķis - informācijas sistēmu drošības pārvaldnieks (19.4. amatu saimes IV līmeņa 12. mēnešalgu grupa): Piemaksa par papildu darbu 30 % apmērā no esošās mēnešalgas (1578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 1420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1.3.5. Funkciju vadības nodaļa vadītājas vietniece (35. amatu saimes III līmeņa 10. mēnešalgu grupa): Piemaksa par papildu darbu 30 % apmērā no esošās mēnešalgas (1287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 1158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1.3.6. Funkciju vadības nodaļa referents (35. amatu saimes II līmeņa 9. mēnešalgu grupa): Piemaksa par papildu darbu 30 % apmērā no esošās mēnešalgas (1093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 984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p>
          <w:p w:rsidR="002D44AC" w:rsidRPr="00F27F8E" w:rsidRDefault="002D44AC" w:rsidP="002D44AC">
            <w:pPr>
              <w:ind w:left="57" w:right="57"/>
              <w:jc w:val="both"/>
              <w:rPr>
                <w:rFonts w:ascii="Times New Roman" w:hAnsi="Times New Roman" w:cs="Times New Roman"/>
                <w:sz w:val="24"/>
                <w:szCs w:val="24"/>
                <w:u w:val="single"/>
                <w:lang w:eastAsia="lv-LV"/>
              </w:rPr>
            </w:pPr>
            <w:r w:rsidRPr="00F27F8E">
              <w:rPr>
                <w:rFonts w:ascii="Times New Roman" w:hAnsi="Times New Roman" w:cs="Times New Roman"/>
                <w:sz w:val="24"/>
                <w:szCs w:val="24"/>
                <w:u w:val="single"/>
                <w:lang w:eastAsia="lv-LV"/>
              </w:rPr>
              <w:t>Izmaksas 2018. gadam informācijas sistēmas uzturēšanai (no 1. aprīļa līdz 31. decembrim): 85 351 </w:t>
            </w:r>
            <w:r w:rsidRPr="00F27F8E">
              <w:rPr>
                <w:rFonts w:ascii="Times New Roman" w:hAnsi="Times New Roman" w:cs="Times New Roman"/>
                <w:i/>
                <w:sz w:val="24"/>
                <w:szCs w:val="24"/>
                <w:u w:val="single"/>
                <w:lang w:eastAsia="lv-LV"/>
              </w:rPr>
              <w:t xml:space="preserve">euro </w:t>
            </w:r>
          </w:p>
          <w:p w:rsidR="002D44AC" w:rsidRPr="00F27F8E" w:rsidRDefault="002D44AC" w:rsidP="002D44AC">
            <w:pPr>
              <w:spacing w:before="75" w:after="75"/>
              <w:ind w:left="57" w:right="57"/>
              <w:jc w:val="both"/>
              <w:rPr>
                <w:rFonts w:ascii="Times New Roman" w:hAnsi="Times New Roman" w:cs="Times New Roman"/>
                <w:sz w:val="24"/>
                <w:szCs w:val="24"/>
                <w:highlight w:val="yellow"/>
                <w:lang w:eastAsia="lv-LV"/>
              </w:rPr>
            </w:pPr>
            <w:r w:rsidRPr="00F27F8E">
              <w:rPr>
                <w:rFonts w:ascii="Times New Roman" w:hAnsi="Times New Roman" w:cs="Times New Roman"/>
                <w:sz w:val="24"/>
                <w:szCs w:val="24"/>
                <w:lang w:eastAsia="lv-LV"/>
              </w:rPr>
              <w:t xml:space="preserve">Kopā: Atlīdzība (EKK 1000) – </w:t>
            </w:r>
            <w:r w:rsidRPr="00F27F8E">
              <w:rPr>
                <w:rFonts w:ascii="Times New Roman" w:hAnsi="Times New Roman" w:cs="Times New Roman"/>
                <w:b/>
                <w:sz w:val="24"/>
                <w:szCs w:val="24"/>
                <w:lang w:eastAsia="lv-LV"/>
              </w:rPr>
              <w:t>85 351 </w:t>
            </w:r>
            <w:r w:rsidRPr="00F27F8E">
              <w:rPr>
                <w:rFonts w:ascii="Times New Roman" w:hAnsi="Times New Roman" w:cs="Times New Roman"/>
                <w:b/>
                <w:i/>
                <w:sz w:val="24"/>
                <w:szCs w:val="24"/>
                <w:lang w:eastAsia="lv-LV"/>
              </w:rPr>
              <w:t>euro</w:t>
            </w:r>
            <w:r w:rsidRPr="00F27F8E">
              <w:rPr>
                <w:rFonts w:ascii="Times New Roman" w:hAnsi="Times New Roman" w:cs="Times New Roman"/>
                <w:sz w:val="24"/>
                <w:szCs w:val="24"/>
                <w:lang w:eastAsia="lv-LV"/>
              </w:rPr>
              <w:t xml:space="preserve"> (t.sk. atalgojums 69 060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VSAOI 23.59 %– 16 291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 xml:space="preserve">): </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1.1. Mēnešalga 2 sistēmanalītiķiem (19.4. amatu saimes V līmeņa 13. mēnešalgu grupa, 3. kategorija) 1917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x 9 mēn.</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x 2 amata vietas = 34 506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sz w:val="24"/>
                <w:szCs w:val="24"/>
                <w:lang w:eastAsia="lv-LV"/>
              </w:rPr>
            </w:pPr>
            <w:r w:rsidRPr="00F27F8E">
              <w:rPr>
                <w:rFonts w:ascii="Times New Roman" w:hAnsi="Times New Roman" w:cs="Times New Roman"/>
                <w:sz w:val="24"/>
                <w:szCs w:val="24"/>
                <w:lang w:eastAsia="lv-LV"/>
              </w:rPr>
              <w:t>1.1.1. Motivācijas piemaksa 40 % apmērā no plānotās mēnešalgu kopsummas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13 802</w:t>
            </w:r>
            <w:r w:rsidRPr="00F27F8E">
              <w:rPr>
                <w:rFonts w:ascii="Times New Roman" w:hAnsi="Times New Roman" w:cs="Times New Roman"/>
                <w:i/>
                <w:sz w:val="24"/>
                <w:szCs w:val="24"/>
                <w:lang w:eastAsia="lv-LV"/>
              </w:rPr>
              <w:t> euro</w:t>
            </w:r>
            <w:r w:rsidRPr="00F27F8E">
              <w:rPr>
                <w:rFonts w:ascii="Times New Roman" w:hAnsi="Times New Roman" w:cs="Times New Roman"/>
                <w:sz w:val="24"/>
                <w:szCs w:val="24"/>
                <w:lang w:eastAsia="lv-LV"/>
              </w:rPr>
              <w:t xml:space="preserve"> </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1.2. Mēnešalga 1 programmētājam (19.4. amatu saimes IV līmeņa 10. mēnešalgu grupa, 3. kategorija) 1647 </w:t>
            </w:r>
            <w:r w:rsidRPr="00F27F8E">
              <w:rPr>
                <w:rFonts w:ascii="Times New Roman" w:hAnsi="Times New Roman" w:cs="Times New Roman"/>
                <w:i/>
                <w:sz w:val="24"/>
                <w:szCs w:val="24"/>
                <w:lang w:eastAsia="lv-LV"/>
              </w:rPr>
              <w:t>euro</w:t>
            </w:r>
            <w:r w:rsidRPr="00F27F8E">
              <w:rPr>
                <w:rFonts w:ascii="Times New Roman" w:hAnsi="Times New Roman" w:cs="Times New Roman"/>
                <w:sz w:val="24"/>
                <w:szCs w:val="24"/>
                <w:lang w:eastAsia="lv-LV"/>
              </w:rPr>
              <w:t>/mēn x 9 mēn.</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 14 823 </w:t>
            </w:r>
            <w:r w:rsidRPr="00F27F8E">
              <w:rPr>
                <w:rFonts w:ascii="Times New Roman" w:hAnsi="Times New Roman" w:cs="Times New Roman"/>
                <w:i/>
                <w:sz w:val="24"/>
                <w:szCs w:val="24"/>
                <w:lang w:eastAsia="lv-LV"/>
              </w:rPr>
              <w:t>euro</w:t>
            </w:r>
          </w:p>
          <w:p w:rsidR="002D44AC" w:rsidRPr="00F27F8E" w:rsidRDefault="002D44AC" w:rsidP="002D44AC">
            <w:pPr>
              <w:spacing w:before="75" w:after="75"/>
              <w:ind w:left="57" w:right="57"/>
              <w:jc w:val="both"/>
              <w:rPr>
                <w:rFonts w:ascii="Times New Roman" w:hAnsi="Times New Roman" w:cs="Times New Roman"/>
                <w:i/>
                <w:sz w:val="24"/>
                <w:szCs w:val="24"/>
                <w:lang w:eastAsia="lv-LV"/>
              </w:rPr>
            </w:pPr>
            <w:r w:rsidRPr="00F27F8E">
              <w:rPr>
                <w:rFonts w:ascii="Times New Roman" w:hAnsi="Times New Roman" w:cs="Times New Roman"/>
                <w:sz w:val="24"/>
                <w:szCs w:val="24"/>
                <w:lang w:eastAsia="lv-LV"/>
              </w:rPr>
              <w:t>1.2.1. Motivācijas piemaksa 40 % apmērā no plānotās mēnešalgu kopsummas –</w:t>
            </w:r>
            <w:r w:rsidRPr="00F27F8E">
              <w:rPr>
                <w:rFonts w:ascii="Times New Roman" w:hAnsi="Times New Roman" w:cs="Times New Roman"/>
                <w:i/>
                <w:sz w:val="24"/>
                <w:szCs w:val="24"/>
                <w:lang w:eastAsia="lv-LV"/>
              </w:rPr>
              <w:t xml:space="preserve"> </w:t>
            </w:r>
            <w:r w:rsidRPr="00F27F8E">
              <w:rPr>
                <w:rFonts w:ascii="Times New Roman" w:hAnsi="Times New Roman" w:cs="Times New Roman"/>
                <w:sz w:val="24"/>
                <w:szCs w:val="24"/>
                <w:lang w:eastAsia="lv-LV"/>
              </w:rPr>
              <w:t>5929 </w:t>
            </w:r>
            <w:r w:rsidRPr="00F27F8E">
              <w:rPr>
                <w:rFonts w:ascii="Times New Roman" w:hAnsi="Times New Roman" w:cs="Times New Roman"/>
                <w:i/>
                <w:sz w:val="24"/>
                <w:szCs w:val="24"/>
                <w:lang w:eastAsia="lv-LV"/>
              </w:rPr>
              <w:t>euro.</w:t>
            </w:r>
          </w:p>
          <w:p w:rsidR="00F27F8E" w:rsidRPr="00F27F8E" w:rsidRDefault="00F27F8E" w:rsidP="002D44AC">
            <w:pPr>
              <w:spacing w:before="75" w:after="75"/>
              <w:ind w:left="57" w:right="57"/>
              <w:jc w:val="both"/>
              <w:rPr>
                <w:rFonts w:ascii="Times New Roman" w:hAnsi="Times New Roman" w:cs="Times New Roman"/>
                <w:i/>
                <w:sz w:val="24"/>
                <w:szCs w:val="24"/>
                <w:lang w:eastAsia="lv-LV"/>
              </w:rPr>
            </w:pPr>
          </w:p>
          <w:p w:rsidR="00F27F8E" w:rsidRPr="00F27F8E" w:rsidRDefault="00F27F8E" w:rsidP="002D44AC">
            <w:pPr>
              <w:spacing w:before="75" w:after="75"/>
              <w:ind w:left="57" w:right="57"/>
              <w:jc w:val="both"/>
              <w:rPr>
                <w:rFonts w:ascii="Times New Roman" w:hAnsi="Times New Roman" w:cs="Times New Roman"/>
                <w:b/>
                <w:sz w:val="24"/>
                <w:szCs w:val="24"/>
                <w:u w:val="single"/>
                <w:lang w:eastAsia="lv-LV"/>
              </w:rPr>
            </w:pPr>
            <w:r w:rsidRPr="00F27F8E">
              <w:rPr>
                <w:rFonts w:ascii="Times New Roman" w:hAnsi="Times New Roman" w:cs="Times New Roman"/>
                <w:b/>
                <w:sz w:val="24"/>
                <w:szCs w:val="24"/>
                <w:u w:val="single"/>
                <w:lang w:eastAsia="lv-LV"/>
              </w:rPr>
              <w:t>Patērētāju tiesību aizsardzības centrs</w:t>
            </w:r>
          </w:p>
          <w:p w:rsidR="00F27F8E" w:rsidRPr="00F27F8E" w:rsidRDefault="00A71C4C" w:rsidP="00F27F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PTAC </w:t>
            </w:r>
            <w:r w:rsidR="00F27F8E" w:rsidRPr="00F27F8E">
              <w:rPr>
                <w:rFonts w:ascii="Times New Roman" w:hAnsi="Times New Roman" w:cs="Times New Roman"/>
                <w:sz w:val="24"/>
                <w:szCs w:val="24"/>
              </w:rPr>
              <w:t xml:space="preserve">papildu </w:t>
            </w:r>
            <w:r>
              <w:rPr>
                <w:rFonts w:ascii="Times New Roman" w:hAnsi="Times New Roman" w:cs="Times New Roman"/>
                <w:sz w:val="24"/>
                <w:szCs w:val="24"/>
              </w:rPr>
              <w:t xml:space="preserve">nepieciešamais finansējums </w:t>
            </w:r>
            <w:r w:rsidR="00F27F8E" w:rsidRPr="00F27F8E">
              <w:rPr>
                <w:rFonts w:ascii="Times New Roman" w:hAnsi="Times New Roman" w:cs="Times New Roman"/>
                <w:sz w:val="24"/>
                <w:szCs w:val="24"/>
              </w:rPr>
              <w:t>2017.gada 3 mēnešiem:</w:t>
            </w: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 Atlīdzība PTAC darbiniekiem- 31 </w:t>
            </w:r>
            <w:r w:rsidR="00AB66CD">
              <w:rPr>
                <w:rFonts w:ascii="Times New Roman" w:hAnsi="Times New Roman" w:cs="Times New Roman"/>
                <w:b/>
                <w:sz w:val="24"/>
                <w:szCs w:val="24"/>
              </w:rPr>
              <w:t>05</w:t>
            </w:r>
            <w:r w:rsidR="005C57CF">
              <w:rPr>
                <w:rFonts w:ascii="Times New Roman" w:hAnsi="Times New Roman" w:cs="Times New Roman"/>
                <w:b/>
                <w:sz w:val="24"/>
                <w:szCs w:val="24"/>
              </w:rPr>
              <w:t>8</w:t>
            </w:r>
            <w:r w:rsidR="00AB66CD" w:rsidRPr="00F27F8E">
              <w:rPr>
                <w:rFonts w:ascii="Times New Roman" w:hAnsi="Times New Roman" w:cs="Times New Roman"/>
                <w:b/>
                <w:sz w:val="24"/>
                <w:szCs w:val="24"/>
              </w:rPr>
              <w:t xml:space="preserve"> </w:t>
            </w:r>
            <w:r w:rsidRPr="00F27F8E">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u w:val="single"/>
              </w:rPr>
              <w:t>I.1. 26.3.saime, VI A līmenis, 13.mēnešalgu grupa (1 amata vieta)</w:t>
            </w: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sz w:val="24"/>
                <w:szCs w:val="24"/>
              </w:rPr>
              <w:t xml:space="preserve">1917 </w:t>
            </w:r>
            <w:r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3 +23,59%= </w:t>
            </w:r>
            <w:r w:rsidRPr="00F27F8E">
              <w:rPr>
                <w:rFonts w:ascii="Times New Roman" w:hAnsi="Times New Roman" w:cs="Times New Roman"/>
                <w:b/>
                <w:sz w:val="24"/>
                <w:szCs w:val="24"/>
              </w:rPr>
              <w:t>7 108</w:t>
            </w:r>
            <w:r w:rsidRPr="00F27F8E">
              <w:rPr>
                <w:rFonts w:ascii="Times New Roman" w:hAnsi="Times New Roman" w:cs="Times New Roman"/>
                <w:sz w:val="24"/>
                <w:szCs w:val="24"/>
              </w:rPr>
              <w:t xml:space="preserve">+ (atlīdzība/ 3 mēn.) + </w:t>
            </w:r>
            <w:r w:rsidRPr="00F27F8E">
              <w:rPr>
                <w:rFonts w:ascii="Times New Roman" w:hAnsi="Times New Roman" w:cs="Times New Roman"/>
                <w:b/>
                <w:sz w:val="24"/>
                <w:szCs w:val="24"/>
              </w:rPr>
              <w:t>711</w:t>
            </w:r>
            <w:r w:rsidRPr="00F27F8E">
              <w:rPr>
                <w:rFonts w:ascii="Times New Roman" w:hAnsi="Times New Roman" w:cs="Times New Roman"/>
                <w:sz w:val="24"/>
                <w:szCs w:val="24"/>
              </w:rPr>
              <w:t xml:space="preserve"> (10% prēmija+ 23,59%)= </w:t>
            </w:r>
            <w:r w:rsidR="00287686" w:rsidRPr="00F27F8E">
              <w:rPr>
                <w:rFonts w:ascii="Times New Roman" w:hAnsi="Times New Roman" w:cs="Times New Roman"/>
                <w:b/>
                <w:sz w:val="24"/>
                <w:szCs w:val="24"/>
              </w:rPr>
              <w:t>7</w:t>
            </w:r>
            <w:r w:rsidR="00287686">
              <w:rPr>
                <w:rFonts w:ascii="Times New Roman" w:hAnsi="Times New Roman" w:cs="Times New Roman"/>
                <w:b/>
                <w:sz w:val="24"/>
                <w:szCs w:val="24"/>
              </w:rPr>
              <w:t>8</w:t>
            </w:r>
            <w:r w:rsidR="00287686" w:rsidRPr="00F27F8E">
              <w:rPr>
                <w:rFonts w:ascii="Times New Roman" w:hAnsi="Times New Roman" w:cs="Times New Roman"/>
                <w:b/>
                <w:sz w:val="24"/>
                <w:szCs w:val="24"/>
              </w:rPr>
              <w:t>1</w:t>
            </w:r>
            <w:r w:rsidR="005C57CF">
              <w:rPr>
                <w:rFonts w:ascii="Times New Roman" w:hAnsi="Times New Roman" w:cs="Times New Roman"/>
                <w:b/>
                <w:sz w:val="24"/>
                <w:szCs w:val="24"/>
              </w:rPr>
              <w:t>9</w:t>
            </w:r>
            <w:r w:rsidR="00287686" w:rsidRPr="00F27F8E">
              <w:rPr>
                <w:rFonts w:ascii="Times New Roman" w:hAnsi="Times New Roman" w:cs="Times New Roman"/>
                <w:b/>
                <w:sz w:val="24"/>
                <w:szCs w:val="24"/>
              </w:rPr>
              <w:t xml:space="preserve"> </w:t>
            </w:r>
            <w:r w:rsidRPr="00F27F8E">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rPr>
            </w:pP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sz w:val="24"/>
                <w:szCs w:val="24"/>
                <w:u w:val="single"/>
              </w:rPr>
              <w:t>I.2. 26.3.saime, V līmenis, 12.mēnešalgu grupa (1 amata vieta)</w:t>
            </w: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sz w:val="24"/>
                <w:szCs w:val="24"/>
              </w:rPr>
              <w:t xml:space="preserve">1647 </w:t>
            </w:r>
            <w:r w:rsidR="000F46F7"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3 +23,59%= </w:t>
            </w:r>
            <w:r w:rsidRPr="00F27F8E">
              <w:rPr>
                <w:rFonts w:ascii="Times New Roman" w:hAnsi="Times New Roman" w:cs="Times New Roman"/>
                <w:b/>
                <w:sz w:val="24"/>
                <w:szCs w:val="24"/>
              </w:rPr>
              <w:t>6 107</w:t>
            </w:r>
            <w:r w:rsidRPr="00F27F8E">
              <w:rPr>
                <w:rFonts w:ascii="Times New Roman" w:hAnsi="Times New Roman" w:cs="Times New Roman"/>
                <w:sz w:val="24"/>
                <w:szCs w:val="24"/>
              </w:rPr>
              <w:t xml:space="preserve">+  (atlīdzība/ 3 mēn.) + </w:t>
            </w:r>
            <w:r w:rsidRPr="00F27F8E">
              <w:rPr>
                <w:rFonts w:ascii="Times New Roman" w:hAnsi="Times New Roman" w:cs="Times New Roman"/>
                <w:b/>
                <w:sz w:val="24"/>
                <w:szCs w:val="24"/>
              </w:rPr>
              <w:t>611</w:t>
            </w:r>
            <w:r w:rsidRPr="00F27F8E">
              <w:rPr>
                <w:rFonts w:ascii="Times New Roman" w:hAnsi="Times New Roman" w:cs="Times New Roman"/>
                <w:sz w:val="24"/>
                <w:szCs w:val="24"/>
              </w:rPr>
              <w:t xml:space="preserve"> (10% prēmija+ 23,59%)= </w:t>
            </w:r>
            <w:r w:rsidRPr="00F27F8E">
              <w:rPr>
                <w:rFonts w:ascii="Times New Roman" w:hAnsi="Times New Roman" w:cs="Times New Roman"/>
                <w:b/>
                <w:sz w:val="24"/>
                <w:szCs w:val="24"/>
              </w:rPr>
              <w:t xml:space="preserve">6 </w:t>
            </w:r>
            <w:r w:rsidR="00287686">
              <w:rPr>
                <w:rFonts w:ascii="Times New Roman" w:hAnsi="Times New Roman" w:cs="Times New Roman"/>
                <w:b/>
                <w:sz w:val="24"/>
                <w:szCs w:val="24"/>
              </w:rPr>
              <w:t>7</w:t>
            </w:r>
            <w:r w:rsidR="00287686" w:rsidRPr="00F27F8E">
              <w:rPr>
                <w:rFonts w:ascii="Times New Roman" w:hAnsi="Times New Roman" w:cs="Times New Roman"/>
                <w:b/>
                <w:sz w:val="24"/>
                <w:szCs w:val="24"/>
              </w:rPr>
              <w:t>1</w:t>
            </w:r>
            <w:r w:rsidR="00AB66CD">
              <w:rPr>
                <w:rFonts w:ascii="Times New Roman" w:hAnsi="Times New Roman" w:cs="Times New Roman"/>
                <w:b/>
                <w:sz w:val="24"/>
                <w:szCs w:val="24"/>
              </w:rPr>
              <w:t>8</w:t>
            </w:r>
            <w:r w:rsidR="00287686" w:rsidRPr="00F27F8E">
              <w:rPr>
                <w:rFonts w:ascii="Times New Roman" w:hAnsi="Times New Roman" w:cs="Times New Roman"/>
                <w:b/>
                <w:sz w:val="24"/>
                <w:szCs w:val="24"/>
              </w:rPr>
              <w:t xml:space="preserve"> </w:t>
            </w:r>
            <w:r w:rsidR="000F46F7" w:rsidRPr="000F46F7">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rPr>
            </w:pP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sz w:val="24"/>
                <w:szCs w:val="24"/>
                <w:u w:val="single"/>
              </w:rPr>
              <w:t>I.3. 26.3.saime, IV līmenis, 11.mēnešalgu grupa (2 amata vietas)</w:t>
            </w: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sz w:val="24"/>
                <w:szCs w:val="24"/>
              </w:rPr>
              <w:t xml:space="preserve">1382 </w:t>
            </w:r>
            <w:r w:rsidR="000F46F7"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3 +23,59%= </w:t>
            </w:r>
            <w:r w:rsidRPr="00F27F8E">
              <w:rPr>
                <w:rFonts w:ascii="Times New Roman" w:hAnsi="Times New Roman" w:cs="Times New Roman"/>
                <w:b/>
                <w:sz w:val="24"/>
                <w:szCs w:val="24"/>
              </w:rPr>
              <w:t>5 124</w:t>
            </w:r>
            <w:r w:rsidRPr="00F27F8E">
              <w:rPr>
                <w:rFonts w:ascii="Times New Roman" w:hAnsi="Times New Roman" w:cs="Times New Roman"/>
                <w:sz w:val="24"/>
                <w:szCs w:val="24"/>
              </w:rPr>
              <w:t xml:space="preserve">+  (atlīdzība/ 3 mēn.) + </w:t>
            </w:r>
            <w:r w:rsidRPr="00F27F8E">
              <w:rPr>
                <w:rFonts w:ascii="Times New Roman" w:hAnsi="Times New Roman" w:cs="Times New Roman"/>
                <w:b/>
                <w:sz w:val="24"/>
                <w:szCs w:val="24"/>
              </w:rPr>
              <w:t>512</w:t>
            </w:r>
            <w:r w:rsidRPr="00F27F8E">
              <w:rPr>
                <w:rFonts w:ascii="Times New Roman" w:hAnsi="Times New Roman" w:cs="Times New Roman"/>
                <w:sz w:val="24"/>
                <w:szCs w:val="24"/>
              </w:rPr>
              <w:t xml:space="preserve"> (10% prēmija+ 23,59%)= </w:t>
            </w:r>
            <w:r w:rsidRPr="00F27F8E">
              <w:rPr>
                <w:rFonts w:ascii="Times New Roman" w:hAnsi="Times New Roman" w:cs="Times New Roman"/>
                <w:b/>
                <w:sz w:val="24"/>
                <w:szCs w:val="24"/>
              </w:rPr>
              <w:t xml:space="preserve">5 </w:t>
            </w:r>
            <w:r w:rsidR="00287686">
              <w:rPr>
                <w:rFonts w:ascii="Times New Roman" w:hAnsi="Times New Roman" w:cs="Times New Roman"/>
                <w:b/>
                <w:sz w:val="24"/>
                <w:szCs w:val="24"/>
              </w:rPr>
              <w:t>6</w:t>
            </w:r>
            <w:r w:rsidR="00287686" w:rsidRPr="00F27F8E">
              <w:rPr>
                <w:rFonts w:ascii="Times New Roman" w:hAnsi="Times New Roman" w:cs="Times New Roman"/>
                <w:b/>
                <w:sz w:val="24"/>
                <w:szCs w:val="24"/>
              </w:rPr>
              <w:t xml:space="preserve">36 </w:t>
            </w:r>
            <w:r w:rsidR="000F46F7" w:rsidRPr="000F46F7">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Uz 2 amata vietām 2x 5 </w:t>
            </w:r>
            <w:r w:rsidR="00287686">
              <w:rPr>
                <w:rFonts w:ascii="Times New Roman" w:hAnsi="Times New Roman" w:cs="Times New Roman"/>
                <w:sz w:val="24"/>
                <w:szCs w:val="24"/>
              </w:rPr>
              <w:t>6</w:t>
            </w:r>
            <w:r w:rsidR="00287686" w:rsidRPr="00F27F8E">
              <w:rPr>
                <w:rFonts w:ascii="Times New Roman" w:hAnsi="Times New Roman" w:cs="Times New Roman"/>
                <w:sz w:val="24"/>
                <w:szCs w:val="24"/>
              </w:rPr>
              <w:t xml:space="preserve">36 </w:t>
            </w:r>
            <w:r w:rsidR="000F46F7" w:rsidRPr="00F27F8E">
              <w:rPr>
                <w:rFonts w:ascii="Times New Roman" w:hAnsi="Times New Roman" w:cs="Times New Roman"/>
                <w:i/>
                <w:sz w:val="24"/>
                <w:szCs w:val="24"/>
              </w:rPr>
              <w:t>euro</w:t>
            </w:r>
            <w:r w:rsidR="000F46F7" w:rsidRPr="00F27F8E">
              <w:rPr>
                <w:rFonts w:ascii="Times New Roman" w:hAnsi="Times New Roman" w:cs="Times New Roman"/>
                <w:b/>
                <w:sz w:val="24"/>
                <w:szCs w:val="24"/>
              </w:rPr>
              <w:t xml:space="preserve"> </w:t>
            </w:r>
            <w:r w:rsidRPr="00F27F8E">
              <w:rPr>
                <w:rFonts w:ascii="Times New Roman" w:hAnsi="Times New Roman" w:cs="Times New Roman"/>
                <w:b/>
                <w:sz w:val="24"/>
                <w:szCs w:val="24"/>
              </w:rPr>
              <w:t xml:space="preserve">= 11 </w:t>
            </w:r>
            <w:r w:rsidR="00287686">
              <w:rPr>
                <w:rFonts w:ascii="Times New Roman" w:hAnsi="Times New Roman" w:cs="Times New Roman"/>
                <w:b/>
                <w:sz w:val="24"/>
                <w:szCs w:val="24"/>
              </w:rPr>
              <w:t>2</w:t>
            </w:r>
            <w:r w:rsidR="00287686" w:rsidRPr="00F27F8E">
              <w:rPr>
                <w:rFonts w:ascii="Times New Roman" w:hAnsi="Times New Roman" w:cs="Times New Roman"/>
                <w:b/>
                <w:sz w:val="24"/>
                <w:szCs w:val="24"/>
              </w:rPr>
              <w:t xml:space="preserve">72 </w:t>
            </w:r>
            <w:r w:rsidR="000F46F7" w:rsidRPr="000F46F7">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u w:val="single"/>
              </w:rPr>
            </w:pP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sz w:val="24"/>
                <w:szCs w:val="24"/>
                <w:u w:val="single"/>
              </w:rPr>
              <w:t>26.3.saime, III.B līmenis, 10.mēnešalgu grupa (1 amata vietas)</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1287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3 +23,59%= </w:t>
            </w:r>
            <w:r w:rsidRPr="00F27F8E">
              <w:rPr>
                <w:rFonts w:ascii="Times New Roman" w:hAnsi="Times New Roman" w:cs="Times New Roman"/>
                <w:b/>
                <w:sz w:val="24"/>
                <w:szCs w:val="24"/>
              </w:rPr>
              <w:t>4 772</w:t>
            </w:r>
            <w:r w:rsidRPr="00F27F8E">
              <w:rPr>
                <w:rFonts w:ascii="Times New Roman" w:hAnsi="Times New Roman" w:cs="Times New Roman"/>
                <w:sz w:val="24"/>
                <w:szCs w:val="24"/>
              </w:rPr>
              <w:t xml:space="preserve">+ (atlīdzība/ 3 mēn.) + </w:t>
            </w:r>
            <w:r w:rsidRPr="00F27F8E">
              <w:rPr>
                <w:rFonts w:ascii="Times New Roman" w:hAnsi="Times New Roman" w:cs="Times New Roman"/>
                <w:b/>
                <w:sz w:val="24"/>
                <w:szCs w:val="24"/>
              </w:rPr>
              <w:t>477</w:t>
            </w:r>
            <w:r w:rsidRPr="00F27F8E">
              <w:rPr>
                <w:rFonts w:ascii="Times New Roman" w:hAnsi="Times New Roman" w:cs="Times New Roman"/>
                <w:sz w:val="24"/>
                <w:szCs w:val="24"/>
              </w:rPr>
              <w:t xml:space="preserve"> (10% prēmija+ 23,59%)= </w:t>
            </w:r>
            <w:r w:rsidRPr="00F27F8E">
              <w:rPr>
                <w:rFonts w:ascii="Times New Roman" w:hAnsi="Times New Roman" w:cs="Times New Roman"/>
                <w:b/>
                <w:sz w:val="24"/>
                <w:szCs w:val="24"/>
              </w:rPr>
              <w:t xml:space="preserve">5 </w:t>
            </w:r>
            <w:r w:rsidR="00287686">
              <w:rPr>
                <w:rFonts w:ascii="Times New Roman" w:hAnsi="Times New Roman" w:cs="Times New Roman"/>
                <w:b/>
                <w:sz w:val="24"/>
                <w:szCs w:val="24"/>
              </w:rPr>
              <w:t>2</w:t>
            </w:r>
            <w:r w:rsidR="00287686" w:rsidRPr="00F27F8E">
              <w:rPr>
                <w:rFonts w:ascii="Times New Roman" w:hAnsi="Times New Roman" w:cs="Times New Roman"/>
                <w:b/>
                <w:sz w:val="24"/>
                <w:szCs w:val="24"/>
              </w:rPr>
              <w:t xml:space="preserve">49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b/>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 1. Preču un pakalpojumu apmaksa PTAC darbiniekiem – 4800 </w:t>
            </w:r>
            <w:r w:rsidR="004655B3" w:rsidRPr="004655B3">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telpu noma – (120 m² x 10 eiro) x 3 mēn. = 3 600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telekomunikāciju pakalpojumi, internets, u.c. (25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12 mēn.) x 5 cilv. = 375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pasta pakalpojumi 5 cilv.x3 mēn. = 125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lastRenderedPageBreak/>
              <w:t xml:space="preserve">- darbinieku apmācība 125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5 cilv. = 625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komandējumi/ darba braucieni = 75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b/>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III. Kapitālās izmaksas PTAC – 14 050 </w:t>
            </w:r>
            <w:r w:rsidR="004655B3" w:rsidRPr="004655B3">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- 5 datori, monitori, u.c. x 1700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8 500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- 1 krāsainais tīkla printeris = 750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- 5 darba galdi x 800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4000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- 1 dokumentu skapji = 1 x 500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500 </w:t>
            </w:r>
            <w:r w:rsidR="004655B3" w:rsidRPr="00F27F8E">
              <w:rPr>
                <w:rFonts w:ascii="Times New Roman" w:hAnsi="Times New Roman" w:cs="Times New Roman"/>
                <w:i/>
                <w:sz w:val="24"/>
                <w:szCs w:val="24"/>
              </w:rPr>
              <w:t>euro</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- 1 zemi dokumentu skapji = 300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1 = 300 </w:t>
            </w:r>
            <w:r w:rsidR="004655B3" w:rsidRPr="00F27F8E">
              <w:rPr>
                <w:rFonts w:ascii="Times New Roman" w:hAnsi="Times New Roman" w:cs="Times New Roman"/>
                <w:i/>
                <w:sz w:val="24"/>
                <w:szCs w:val="24"/>
              </w:rPr>
              <w:t>euro</w:t>
            </w:r>
          </w:p>
          <w:p w:rsidR="00F27F8E" w:rsidRPr="00F27F8E" w:rsidRDefault="00F27F8E" w:rsidP="00F27F8E">
            <w:pPr>
              <w:spacing w:after="0" w:line="240" w:lineRule="auto"/>
              <w:rPr>
                <w:rFonts w:ascii="Times New Roman" w:hAnsi="Times New Roman" w:cs="Times New Roman"/>
                <w:b/>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KOPĀ</w:t>
            </w:r>
            <w:r w:rsidR="00A71C4C">
              <w:rPr>
                <w:rFonts w:ascii="Times New Roman" w:hAnsi="Times New Roman" w:cs="Times New Roman"/>
                <w:b/>
                <w:sz w:val="24"/>
                <w:szCs w:val="24"/>
              </w:rPr>
              <w:t xml:space="preserve"> 2017.gadam</w:t>
            </w:r>
            <w:r w:rsidRPr="00F27F8E">
              <w:rPr>
                <w:rFonts w:ascii="Times New Roman" w:hAnsi="Times New Roman" w:cs="Times New Roman"/>
                <w:b/>
                <w:sz w:val="24"/>
                <w:szCs w:val="24"/>
              </w:rPr>
              <w:t xml:space="preserve"> – </w:t>
            </w:r>
            <w:r w:rsidR="00287686">
              <w:rPr>
                <w:rFonts w:ascii="Times New Roman" w:hAnsi="Times New Roman" w:cs="Times New Roman"/>
                <w:b/>
                <w:sz w:val="24"/>
                <w:szCs w:val="24"/>
              </w:rPr>
              <w:t>  49 90</w:t>
            </w:r>
            <w:r w:rsidR="005C57CF">
              <w:rPr>
                <w:rFonts w:ascii="Times New Roman" w:hAnsi="Times New Roman" w:cs="Times New Roman"/>
                <w:b/>
                <w:sz w:val="24"/>
                <w:szCs w:val="24"/>
              </w:rPr>
              <w:t>8</w:t>
            </w:r>
            <w:r w:rsidRPr="00F27F8E">
              <w:rPr>
                <w:rFonts w:ascii="Times New Roman" w:hAnsi="Times New Roman" w:cs="Times New Roman"/>
                <w:b/>
                <w:sz w:val="24"/>
                <w:szCs w:val="24"/>
              </w:rPr>
              <w:t xml:space="preserve"> </w:t>
            </w:r>
            <w:r w:rsidR="004655B3" w:rsidRPr="004655B3">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A71C4C" w:rsidRDefault="00F27F8E" w:rsidP="00A71C4C">
            <w:pPr>
              <w:spacing w:before="75" w:after="75"/>
              <w:ind w:right="57"/>
              <w:jc w:val="both"/>
              <w:rPr>
                <w:rFonts w:ascii="Times New Roman" w:hAnsi="Times New Roman" w:cs="Times New Roman"/>
                <w:sz w:val="24"/>
                <w:szCs w:val="24"/>
                <w:lang w:eastAsia="lv-LV"/>
              </w:rPr>
            </w:pPr>
            <w:r w:rsidRPr="00A71C4C">
              <w:rPr>
                <w:rFonts w:ascii="Times New Roman" w:hAnsi="Times New Roman" w:cs="Times New Roman"/>
                <w:sz w:val="24"/>
                <w:szCs w:val="24"/>
                <w:lang w:eastAsia="lv-LV"/>
              </w:rPr>
              <w:t xml:space="preserve">PTAC </w:t>
            </w:r>
            <w:r w:rsidR="00A71C4C" w:rsidRPr="00A71C4C">
              <w:rPr>
                <w:rFonts w:ascii="Times New Roman" w:hAnsi="Times New Roman" w:cs="Times New Roman"/>
                <w:sz w:val="24"/>
                <w:szCs w:val="24"/>
                <w:lang w:eastAsia="lv-LV"/>
              </w:rPr>
              <w:t xml:space="preserve">papildu nepieciešamais finansējums </w:t>
            </w:r>
            <w:r w:rsidRPr="00A71C4C">
              <w:rPr>
                <w:rFonts w:ascii="Times New Roman" w:hAnsi="Times New Roman" w:cs="Times New Roman"/>
                <w:sz w:val="24"/>
                <w:szCs w:val="24"/>
                <w:lang w:eastAsia="lv-LV"/>
              </w:rPr>
              <w:t>2018.</w:t>
            </w:r>
            <w:r w:rsidR="00A77B63">
              <w:rPr>
                <w:rFonts w:ascii="Times New Roman" w:hAnsi="Times New Roman" w:cs="Times New Roman"/>
                <w:sz w:val="24"/>
                <w:szCs w:val="24"/>
                <w:lang w:eastAsia="lv-LV"/>
              </w:rPr>
              <w:t>, 2019.</w:t>
            </w:r>
            <w:r w:rsidRPr="00A71C4C">
              <w:rPr>
                <w:rFonts w:ascii="Times New Roman" w:hAnsi="Times New Roman" w:cs="Times New Roman"/>
                <w:sz w:val="24"/>
                <w:szCs w:val="24"/>
                <w:lang w:eastAsia="lv-LV"/>
              </w:rPr>
              <w:t>gadā</w:t>
            </w:r>
            <w:r w:rsidR="00A77B63">
              <w:rPr>
                <w:rFonts w:ascii="Times New Roman" w:hAnsi="Times New Roman" w:cs="Times New Roman"/>
                <w:sz w:val="24"/>
                <w:szCs w:val="24"/>
                <w:lang w:eastAsia="lv-LV"/>
              </w:rPr>
              <w:t xml:space="preserve"> un turpmākajos gados</w:t>
            </w:r>
            <w:r w:rsidRPr="00A71C4C">
              <w:rPr>
                <w:rFonts w:ascii="Times New Roman" w:hAnsi="Times New Roman" w:cs="Times New Roman"/>
                <w:sz w:val="24"/>
                <w:szCs w:val="24"/>
                <w:lang w:eastAsia="lv-LV"/>
              </w:rPr>
              <w:t>:</w:t>
            </w:r>
          </w:p>
          <w:p w:rsidR="00F27F8E" w:rsidRPr="00F27F8E" w:rsidRDefault="00F27F8E" w:rsidP="00F27F8E">
            <w:pPr>
              <w:spacing w:after="0" w:line="240" w:lineRule="auto"/>
              <w:rPr>
                <w:rFonts w:ascii="Times New Roman" w:hAnsi="Times New Roman" w:cs="Times New Roman"/>
                <w:b/>
                <w:color w:val="000000"/>
                <w:sz w:val="24"/>
                <w:szCs w:val="24"/>
              </w:rPr>
            </w:pPr>
            <w:r w:rsidRPr="00F27F8E">
              <w:rPr>
                <w:rFonts w:ascii="Times New Roman" w:hAnsi="Times New Roman" w:cs="Times New Roman"/>
                <w:b/>
                <w:sz w:val="24"/>
                <w:szCs w:val="24"/>
              </w:rPr>
              <w:t xml:space="preserve">I. Atlīdzība PTAC darbiniekiem- </w:t>
            </w:r>
            <w:r w:rsidR="00897156">
              <w:rPr>
                <w:rFonts w:ascii="Times New Roman" w:hAnsi="Times New Roman" w:cs="Times New Roman"/>
                <w:b/>
                <w:color w:val="000000"/>
                <w:sz w:val="24"/>
                <w:szCs w:val="24"/>
              </w:rPr>
              <w:t>197 349</w:t>
            </w:r>
            <w:r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rPr>
            </w:pPr>
            <w:r w:rsidRPr="00F27F8E">
              <w:rPr>
                <w:rFonts w:ascii="Times New Roman" w:hAnsi="Times New Roman" w:cs="Times New Roman"/>
                <w:color w:val="000000"/>
                <w:sz w:val="24"/>
                <w:szCs w:val="24"/>
                <w:u w:val="single"/>
              </w:rPr>
              <w:t>I.1. 26.3.saime, VI A līmenis, 13.mēnešalgu grupa (1 amata vieta)</w:t>
            </w:r>
          </w:p>
          <w:p w:rsidR="00F27F8E" w:rsidRPr="00F27F8E" w:rsidRDefault="00F27F8E" w:rsidP="00F27F8E">
            <w:pPr>
              <w:spacing w:after="0" w:line="240" w:lineRule="auto"/>
              <w:rPr>
                <w:rFonts w:ascii="Times New Roman" w:hAnsi="Times New Roman" w:cs="Times New Roman"/>
                <w:b/>
                <w:color w:val="000000"/>
                <w:sz w:val="24"/>
                <w:szCs w:val="24"/>
              </w:rPr>
            </w:pPr>
            <w:r w:rsidRPr="00F27F8E">
              <w:rPr>
                <w:rFonts w:ascii="Times New Roman" w:hAnsi="Times New Roman" w:cs="Times New Roman"/>
                <w:color w:val="000000"/>
                <w:sz w:val="24"/>
                <w:szCs w:val="24"/>
              </w:rPr>
              <w:t xml:space="preserve">1917 </w:t>
            </w:r>
            <w:r w:rsidR="004655B3" w:rsidRPr="00F27F8E">
              <w:rPr>
                <w:rFonts w:ascii="Times New Roman" w:hAnsi="Times New Roman" w:cs="Times New Roman"/>
                <w:i/>
                <w:sz w:val="24"/>
                <w:szCs w:val="24"/>
              </w:rPr>
              <w:t>euro</w:t>
            </w:r>
            <w:r w:rsidRPr="00F27F8E">
              <w:rPr>
                <w:rFonts w:ascii="Times New Roman" w:hAnsi="Times New Roman" w:cs="Times New Roman"/>
                <w:color w:val="000000"/>
                <w:sz w:val="24"/>
                <w:szCs w:val="24"/>
              </w:rPr>
              <w:t xml:space="preserve"> x 12 +23,59%= </w:t>
            </w:r>
            <w:r w:rsidRPr="00F27F8E">
              <w:rPr>
                <w:rFonts w:ascii="Times New Roman" w:hAnsi="Times New Roman" w:cs="Times New Roman"/>
                <w:b/>
                <w:color w:val="000000"/>
                <w:sz w:val="24"/>
                <w:szCs w:val="24"/>
              </w:rPr>
              <w:t>28 431</w:t>
            </w:r>
            <w:r w:rsidRPr="00F27F8E">
              <w:rPr>
                <w:rFonts w:ascii="Times New Roman" w:hAnsi="Times New Roman" w:cs="Times New Roman"/>
                <w:color w:val="000000"/>
                <w:sz w:val="24"/>
                <w:szCs w:val="24"/>
              </w:rPr>
              <w:t>+</w:t>
            </w:r>
            <w:r w:rsidR="00287686">
              <w:rPr>
                <w:rFonts w:ascii="Times New Roman" w:hAnsi="Times New Roman" w:cs="Times New Roman"/>
                <w:color w:val="000000"/>
                <w:sz w:val="24"/>
                <w:szCs w:val="24"/>
              </w:rPr>
              <w:t>1422 (5% sociālās garantijas,)</w:t>
            </w:r>
            <w:r w:rsidRPr="00F27F8E">
              <w:rPr>
                <w:rFonts w:ascii="Times New Roman" w:hAnsi="Times New Roman" w:cs="Times New Roman"/>
                <w:color w:val="000000"/>
                <w:sz w:val="24"/>
                <w:szCs w:val="24"/>
              </w:rPr>
              <w:t xml:space="preserve"> = </w:t>
            </w:r>
            <w:r w:rsidRPr="00F27F8E">
              <w:rPr>
                <w:rFonts w:ascii="Times New Roman" w:hAnsi="Times New Roman" w:cs="Times New Roman"/>
                <w:b/>
                <w:color w:val="000000"/>
                <w:sz w:val="24"/>
                <w:szCs w:val="24"/>
              </w:rPr>
              <w:t>29 </w:t>
            </w:r>
            <w:r w:rsidR="00287686">
              <w:rPr>
                <w:rFonts w:ascii="Times New Roman" w:hAnsi="Times New Roman" w:cs="Times New Roman"/>
                <w:b/>
                <w:color w:val="000000"/>
                <w:sz w:val="24"/>
                <w:szCs w:val="24"/>
              </w:rPr>
              <w:t>853</w:t>
            </w:r>
            <w:r w:rsidR="00287686"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(atlīdzība/ gads) + </w:t>
            </w:r>
            <w:r w:rsidRPr="00F27F8E">
              <w:rPr>
                <w:rFonts w:ascii="Times New Roman" w:hAnsi="Times New Roman" w:cs="Times New Roman"/>
                <w:b/>
                <w:color w:val="000000"/>
                <w:sz w:val="24"/>
                <w:szCs w:val="24"/>
              </w:rPr>
              <w:t>2843</w:t>
            </w:r>
            <w:r w:rsidRPr="00F27F8E">
              <w:rPr>
                <w:rFonts w:ascii="Times New Roman" w:hAnsi="Times New Roman" w:cs="Times New Roman"/>
                <w:color w:val="000000"/>
                <w:sz w:val="24"/>
                <w:szCs w:val="24"/>
              </w:rPr>
              <w:t xml:space="preserve"> (10% prēmija+ 23,59%)= </w:t>
            </w:r>
            <w:r w:rsidRPr="00F27F8E">
              <w:rPr>
                <w:rFonts w:ascii="Times New Roman" w:hAnsi="Times New Roman" w:cs="Times New Roman"/>
                <w:b/>
                <w:color w:val="000000"/>
                <w:sz w:val="24"/>
                <w:szCs w:val="24"/>
              </w:rPr>
              <w:t xml:space="preserve">32 </w:t>
            </w:r>
            <w:r w:rsidR="00105A69">
              <w:rPr>
                <w:rFonts w:ascii="Times New Roman" w:hAnsi="Times New Roman" w:cs="Times New Roman"/>
                <w:b/>
                <w:color w:val="000000"/>
                <w:sz w:val="24"/>
                <w:szCs w:val="24"/>
              </w:rPr>
              <w:t>696</w:t>
            </w:r>
            <w:r w:rsidR="00105A69"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rPr>
            </w:pP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color w:val="000000"/>
                <w:sz w:val="24"/>
                <w:szCs w:val="24"/>
                <w:u w:val="single"/>
              </w:rPr>
              <w:t>I.2. 26.3.saime, V līmenis, 12.mēnešalgu grupa (1 amata vieta)</w:t>
            </w:r>
          </w:p>
          <w:p w:rsidR="00F27F8E" w:rsidRPr="00F27F8E" w:rsidRDefault="00F27F8E" w:rsidP="00F27F8E">
            <w:pPr>
              <w:pStyle w:val="ListParagraph"/>
              <w:ind w:left="0"/>
              <w:rPr>
                <w:rFonts w:ascii="Times New Roman" w:hAnsi="Times New Roman" w:cs="Times New Roman"/>
                <w:b/>
                <w:color w:val="000000"/>
                <w:sz w:val="24"/>
                <w:szCs w:val="24"/>
              </w:rPr>
            </w:pPr>
            <w:r w:rsidRPr="00F27F8E">
              <w:rPr>
                <w:rFonts w:ascii="Times New Roman" w:hAnsi="Times New Roman" w:cs="Times New Roman"/>
                <w:color w:val="000000"/>
                <w:sz w:val="24"/>
                <w:szCs w:val="24"/>
              </w:rPr>
              <w:t xml:space="preserve">1647 </w:t>
            </w:r>
            <w:r w:rsidR="004655B3" w:rsidRPr="00F27F8E">
              <w:rPr>
                <w:rFonts w:ascii="Times New Roman" w:hAnsi="Times New Roman" w:cs="Times New Roman"/>
                <w:i/>
                <w:sz w:val="24"/>
                <w:szCs w:val="24"/>
              </w:rPr>
              <w:t>euro</w:t>
            </w:r>
            <w:r w:rsidRPr="00F27F8E">
              <w:rPr>
                <w:rFonts w:ascii="Times New Roman" w:hAnsi="Times New Roman" w:cs="Times New Roman"/>
                <w:color w:val="000000"/>
                <w:sz w:val="24"/>
                <w:szCs w:val="24"/>
              </w:rPr>
              <w:t xml:space="preserve"> x 12 +23,59%= </w:t>
            </w:r>
            <w:r w:rsidRPr="00F27F8E">
              <w:rPr>
                <w:rFonts w:ascii="Times New Roman" w:hAnsi="Times New Roman" w:cs="Times New Roman"/>
                <w:b/>
                <w:color w:val="000000"/>
                <w:sz w:val="24"/>
                <w:szCs w:val="24"/>
              </w:rPr>
              <w:t>24 426</w:t>
            </w:r>
            <w:r w:rsidRPr="00F27F8E">
              <w:rPr>
                <w:rFonts w:ascii="Times New Roman" w:hAnsi="Times New Roman" w:cs="Times New Roman"/>
                <w:color w:val="000000"/>
                <w:sz w:val="24"/>
                <w:szCs w:val="24"/>
              </w:rPr>
              <w:t xml:space="preserve">+ </w:t>
            </w:r>
            <w:r w:rsidR="00105A69">
              <w:rPr>
                <w:rFonts w:ascii="Times New Roman" w:hAnsi="Times New Roman" w:cs="Times New Roman"/>
                <w:b/>
                <w:color w:val="000000"/>
                <w:sz w:val="24"/>
                <w:szCs w:val="24"/>
              </w:rPr>
              <w:t>1221</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(5% </w:t>
            </w:r>
            <w:r w:rsidR="00105A69">
              <w:rPr>
                <w:rFonts w:ascii="Times New Roman" w:hAnsi="Times New Roman" w:cs="Times New Roman"/>
                <w:color w:val="000000"/>
                <w:sz w:val="24"/>
                <w:szCs w:val="24"/>
              </w:rPr>
              <w:t>sociālās garantijas</w:t>
            </w:r>
            <w:r w:rsidRPr="00F27F8E">
              <w:rPr>
                <w:rFonts w:ascii="Times New Roman" w:hAnsi="Times New Roman" w:cs="Times New Roman"/>
                <w:color w:val="000000"/>
                <w:sz w:val="24"/>
                <w:szCs w:val="24"/>
              </w:rPr>
              <w:t xml:space="preserve">)= </w:t>
            </w:r>
            <w:r w:rsidRPr="00F27F8E">
              <w:rPr>
                <w:rFonts w:ascii="Times New Roman" w:hAnsi="Times New Roman" w:cs="Times New Roman"/>
                <w:b/>
                <w:color w:val="000000"/>
                <w:sz w:val="24"/>
                <w:szCs w:val="24"/>
              </w:rPr>
              <w:t>25 </w:t>
            </w:r>
            <w:r w:rsidR="00105A69">
              <w:rPr>
                <w:rFonts w:ascii="Times New Roman" w:hAnsi="Times New Roman" w:cs="Times New Roman"/>
                <w:b/>
                <w:color w:val="000000"/>
                <w:sz w:val="24"/>
                <w:szCs w:val="24"/>
              </w:rPr>
              <w:t>64</w:t>
            </w:r>
            <w:r w:rsidR="00105A69" w:rsidRPr="00F27F8E">
              <w:rPr>
                <w:rFonts w:ascii="Times New Roman" w:hAnsi="Times New Roman" w:cs="Times New Roman"/>
                <w:b/>
                <w:color w:val="000000"/>
                <w:sz w:val="24"/>
                <w:szCs w:val="24"/>
              </w:rPr>
              <w:t>7</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(atlīdzība/ gads) + </w:t>
            </w:r>
            <w:r w:rsidRPr="00F27F8E">
              <w:rPr>
                <w:rFonts w:ascii="Times New Roman" w:hAnsi="Times New Roman" w:cs="Times New Roman"/>
                <w:b/>
                <w:color w:val="000000"/>
                <w:sz w:val="24"/>
                <w:szCs w:val="24"/>
              </w:rPr>
              <w:t>2443</w:t>
            </w:r>
            <w:r w:rsidRPr="00F27F8E">
              <w:rPr>
                <w:rFonts w:ascii="Times New Roman" w:hAnsi="Times New Roman" w:cs="Times New Roman"/>
                <w:color w:val="000000"/>
                <w:sz w:val="24"/>
                <w:szCs w:val="24"/>
              </w:rPr>
              <w:t xml:space="preserve"> (10% prēmija+ 23,59%)= </w:t>
            </w:r>
            <w:r w:rsidRPr="00F27F8E">
              <w:rPr>
                <w:rFonts w:ascii="Times New Roman" w:hAnsi="Times New Roman" w:cs="Times New Roman"/>
                <w:b/>
                <w:color w:val="000000"/>
                <w:sz w:val="24"/>
                <w:szCs w:val="24"/>
              </w:rPr>
              <w:t xml:space="preserve">28 </w:t>
            </w:r>
            <w:r w:rsidR="00105A69">
              <w:rPr>
                <w:rFonts w:ascii="Times New Roman" w:hAnsi="Times New Roman" w:cs="Times New Roman"/>
                <w:b/>
                <w:color w:val="000000"/>
                <w:sz w:val="24"/>
                <w:szCs w:val="24"/>
              </w:rPr>
              <w:t>09</w:t>
            </w:r>
            <w:r w:rsidR="00105A69" w:rsidRPr="00F27F8E">
              <w:rPr>
                <w:rFonts w:ascii="Times New Roman" w:hAnsi="Times New Roman" w:cs="Times New Roman"/>
                <w:b/>
                <w:color w:val="000000"/>
                <w:sz w:val="24"/>
                <w:szCs w:val="24"/>
              </w:rPr>
              <w:t xml:space="preserve">0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color w:val="000000"/>
                <w:sz w:val="24"/>
                <w:szCs w:val="24"/>
                <w:u w:val="single"/>
              </w:rPr>
              <w:t>I.3. 26.3.saime, IV līmenis, 11.mēnešalgu grupa (3 amata vietas)</w:t>
            </w: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color w:val="000000"/>
                <w:sz w:val="24"/>
                <w:szCs w:val="24"/>
              </w:rPr>
              <w:t xml:space="preserve">1382 </w:t>
            </w:r>
            <w:r w:rsidR="004655B3" w:rsidRPr="00F27F8E">
              <w:rPr>
                <w:rFonts w:ascii="Times New Roman" w:hAnsi="Times New Roman" w:cs="Times New Roman"/>
                <w:i/>
                <w:sz w:val="24"/>
                <w:szCs w:val="24"/>
              </w:rPr>
              <w:t>euro</w:t>
            </w:r>
            <w:r w:rsidRPr="00F27F8E">
              <w:rPr>
                <w:rFonts w:ascii="Times New Roman" w:hAnsi="Times New Roman" w:cs="Times New Roman"/>
                <w:color w:val="000000"/>
                <w:sz w:val="24"/>
                <w:szCs w:val="24"/>
              </w:rPr>
              <w:t xml:space="preserve"> x 12 +23,59%= </w:t>
            </w:r>
            <w:r w:rsidRPr="00F27F8E">
              <w:rPr>
                <w:rFonts w:ascii="Times New Roman" w:hAnsi="Times New Roman" w:cs="Times New Roman"/>
                <w:b/>
                <w:color w:val="000000"/>
                <w:sz w:val="24"/>
                <w:szCs w:val="24"/>
              </w:rPr>
              <w:t>20 496</w:t>
            </w:r>
            <w:r w:rsidRPr="00F27F8E">
              <w:rPr>
                <w:rFonts w:ascii="Times New Roman" w:hAnsi="Times New Roman" w:cs="Times New Roman"/>
                <w:color w:val="000000"/>
                <w:sz w:val="24"/>
                <w:szCs w:val="24"/>
              </w:rPr>
              <w:t xml:space="preserve">+ </w:t>
            </w:r>
            <w:r w:rsidR="00105A69" w:rsidRPr="005C57CF">
              <w:rPr>
                <w:rFonts w:ascii="Times New Roman" w:hAnsi="Times New Roman" w:cs="Times New Roman"/>
                <w:b/>
                <w:color w:val="000000"/>
                <w:sz w:val="24"/>
                <w:szCs w:val="24"/>
              </w:rPr>
              <w:t>1025</w:t>
            </w:r>
            <w:r w:rsidR="00105A69">
              <w:rPr>
                <w:rFonts w:ascii="Times New Roman" w:hAnsi="Times New Roman" w:cs="Times New Roman"/>
                <w:color w:val="000000"/>
                <w:sz w:val="24"/>
                <w:szCs w:val="24"/>
              </w:rPr>
              <w:t xml:space="preserve"> </w:t>
            </w:r>
            <w:r w:rsidR="00105A69" w:rsidRPr="005C57CF">
              <w:rPr>
                <w:rFonts w:ascii="Times New Roman" w:hAnsi="Times New Roman" w:cs="Times New Roman"/>
                <w:color w:val="000000"/>
                <w:sz w:val="24"/>
                <w:szCs w:val="24"/>
              </w:rPr>
              <w:t>(5% sociālās garantijas</w:t>
            </w:r>
            <w:r w:rsidRPr="00F27F8E">
              <w:rPr>
                <w:rFonts w:ascii="Times New Roman" w:hAnsi="Times New Roman" w:cs="Times New Roman"/>
                <w:color w:val="000000"/>
                <w:sz w:val="24"/>
                <w:szCs w:val="24"/>
              </w:rPr>
              <w:t xml:space="preserve">)= </w:t>
            </w:r>
            <w:r w:rsidRPr="00F27F8E">
              <w:rPr>
                <w:rFonts w:ascii="Times New Roman" w:hAnsi="Times New Roman" w:cs="Times New Roman"/>
                <w:b/>
                <w:color w:val="000000"/>
                <w:sz w:val="24"/>
                <w:szCs w:val="24"/>
              </w:rPr>
              <w:t xml:space="preserve">21 </w:t>
            </w:r>
            <w:r w:rsidR="00105A69">
              <w:rPr>
                <w:rFonts w:ascii="Times New Roman" w:hAnsi="Times New Roman" w:cs="Times New Roman"/>
                <w:b/>
                <w:color w:val="000000"/>
                <w:sz w:val="24"/>
                <w:szCs w:val="24"/>
              </w:rPr>
              <w:t>521</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(atlīdzība/ gads) + </w:t>
            </w:r>
            <w:r w:rsidRPr="00F27F8E">
              <w:rPr>
                <w:rFonts w:ascii="Times New Roman" w:hAnsi="Times New Roman" w:cs="Times New Roman"/>
                <w:b/>
                <w:color w:val="000000"/>
                <w:sz w:val="24"/>
                <w:szCs w:val="24"/>
              </w:rPr>
              <w:t>2050</w:t>
            </w:r>
            <w:r w:rsidRPr="00F27F8E">
              <w:rPr>
                <w:rFonts w:ascii="Times New Roman" w:hAnsi="Times New Roman" w:cs="Times New Roman"/>
                <w:color w:val="000000"/>
                <w:sz w:val="24"/>
                <w:szCs w:val="24"/>
              </w:rPr>
              <w:t xml:space="preserve"> (10% prēmija+ 23,59%)= </w:t>
            </w:r>
            <w:r w:rsidRPr="00F27F8E">
              <w:rPr>
                <w:rFonts w:ascii="Times New Roman" w:hAnsi="Times New Roman" w:cs="Times New Roman"/>
                <w:b/>
                <w:color w:val="000000"/>
                <w:sz w:val="24"/>
                <w:szCs w:val="24"/>
              </w:rPr>
              <w:t>23 </w:t>
            </w:r>
            <w:r w:rsidR="00105A69">
              <w:rPr>
                <w:rFonts w:ascii="Times New Roman" w:hAnsi="Times New Roman" w:cs="Times New Roman"/>
                <w:b/>
                <w:color w:val="000000"/>
                <w:sz w:val="24"/>
                <w:szCs w:val="24"/>
              </w:rPr>
              <w:t>571</w:t>
            </w:r>
            <w:r w:rsidR="00105A69"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rPr>
            </w:pPr>
            <w:r w:rsidRPr="00F27F8E">
              <w:rPr>
                <w:rFonts w:ascii="Times New Roman" w:hAnsi="Times New Roman" w:cs="Times New Roman"/>
                <w:color w:val="000000"/>
                <w:sz w:val="24"/>
                <w:szCs w:val="24"/>
              </w:rPr>
              <w:t>Uz 3 amata vietām 3x 23 </w:t>
            </w:r>
            <w:r w:rsidR="00105A69">
              <w:rPr>
                <w:rFonts w:ascii="Times New Roman" w:hAnsi="Times New Roman" w:cs="Times New Roman"/>
                <w:color w:val="000000"/>
                <w:sz w:val="24"/>
                <w:szCs w:val="24"/>
              </w:rPr>
              <w:t>571</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eiro</w:t>
            </w:r>
            <w:r w:rsidRPr="00F27F8E">
              <w:rPr>
                <w:rFonts w:ascii="Times New Roman" w:hAnsi="Times New Roman" w:cs="Times New Roman"/>
                <w:b/>
                <w:color w:val="000000"/>
                <w:sz w:val="24"/>
                <w:szCs w:val="24"/>
              </w:rPr>
              <w:t xml:space="preserve">= </w:t>
            </w:r>
            <w:r w:rsidR="00105A69">
              <w:rPr>
                <w:rFonts w:ascii="Times New Roman" w:hAnsi="Times New Roman" w:cs="Times New Roman"/>
                <w:b/>
                <w:color w:val="000000"/>
                <w:sz w:val="24"/>
                <w:szCs w:val="24"/>
              </w:rPr>
              <w:t>70 713</w:t>
            </w:r>
            <w:r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u w:val="single"/>
              </w:rPr>
            </w:pPr>
          </w:p>
          <w:p w:rsidR="00F27F8E" w:rsidRPr="00F27F8E" w:rsidRDefault="00F27F8E" w:rsidP="00F27F8E">
            <w:pPr>
              <w:spacing w:after="0" w:line="240" w:lineRule="auto"/>
              <w:rPr>
                <w:rFonts w:ascii="Times New Roman" w:hAnsi="Times New Roman" w:cs="Times New Roman"/>
                <w:sz w:val="24"/>
                <w:szCs w:val="24"/>
                <w:u w:val="single"/>
              </w:rPr>
            </w:pPr>
            <w:r w:rsidRPr="00F27F8E">
              <w:rPr>
                <w:rFonts w:ascii="Times New Roman" w:hAnsi="Times New Roman" w:cs="Times New Roman"/>
                <w:color w:val="000000"/>
                <w:sz w:val="24"/>
                <w:szCs w:val="24"/>
                <w:u w:val="single"/>
              </w:rPr>
              <w:t>26.3.saime, III.B līmenis, 10.mēnešalgu grupa (3 amata vietas)</w:t>
            </w:r>
          </w:p>
          <w:p w:rsidR="00F27F8E" w:rsidRPr="00F27F8E" w:rsidRDefault="00F27F8E" w:rsidP="00F27F8E">
            <w:pPr>
              <w:spacing w:after="0" w:line="240" w:lineRule="auto"/>
              <w:rPr>
                <w:rFonts w:ascii="Times New Roman" w:hAnsi="Times New Roman" w:cs="Times New Roman"/>
                <w:color w:val="000000"/>
                <w:sz w:val="24"/>
                <w:szCs w:val="24"/>
              </w:rPr>
            </w:pPr>
            <w:r w:rsidRPr="00F27F8E">
              <w:rPr>
                <w:rFonts w:ascii="Times New Roman" w:hAnsi="Times New Roman" w:cs="Times New Roman"/>
                <w:color w:val="000000"/>
                <w:sz w:val="24"/>
                <w:szCs w:val="24"/>
              </w:rPr>
              <w:t xml:space="preserve">1287 </w:t>
            </w:r>
            <w:r w:rsidR="004655B3" w:rsidRPr="00F27F8E">
              <w:rPr>
                <w:rFonts w:ascii="Times New Roman" w:hAnsi="Times New Roman" w:cs="Times New Roman"/>
                <w:i/>
                <w:sz w:val="24"/>
                <w:szCs w:val="24"/>
              </w:rPr>
              <w:t>euro</w:t>
            </w:r>
            <w:r w:rsidRPr="00F27F8E">
              <w:rPr>
                <w:rFonts w:ascii="Times New Roman" w:hAnsi="Times New Roman" w:cs="Times New Roman"/>
                <w:color w:val="000000"/>
                <w:sz w:val="24"/>
                <w:szCs w:val="24"/>
              </w:rPr>
              <w:t xml:space="preserve"> x 12 +23,59%= </w:t>
            </w:r>
            <w:r w:rsidRPr="00F27F8E">
              <w:rPr>
                <w:rFonts w:ascii="Times New Roman" w:hAnsi="Times New Roman" w:cs="Times New Roman"/>
                <w:b/>
                <w:color w:val="000000"/>
                <w:sz w:val="24"/>
                <w:szCs w:val="24"/>
              </w:rPr>
              <w:t>19 087</w:t>
            </w:r>
            <w:r w:rsidRPr="00F27F8E">
              <w:rPr>
                <w:rFonts w:ascii="Times New Roman" w:hAnsi="Times New Roman" w:cs="Times New Roman"/>
                <w:color w:val="000000"/>
                <w:sz w:val="24"/>
                <w:szCs w:val="24"/>
              </w:rPr>
              <w:t xml:space="preserve">+ </w:t>
            </w:r>
            <w:r w:rsidR="00105A69">
              <w:rPr>
                <w:rFonts w:ascii="Times New Roman" w:hAnsi="Times New Roman" w:cs="Times New Roman"/>
                <w:b/>
                <w:color w:val="000000"/>
                <w:sz w:val="24"/>
                <w:szCs w:val="24"/>
              </w:rPr>
              <w:t>954</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(5% </w:t>
            </w:r>
            <w:r w:rsidR="00105A69">
              <w:rPr>
                <w:rFonts w:ascii="Times New Roman" w:hAnsi="Times New Roman" w:cs="Times New Roman"/>
                <w:color w:val="000000"/>
                <w:sz w:val="24"/>
                <w:szCs w:val="24"/>
              </w:rPr>
              <w:t xml:space="preserve">sociālās garantijas </w:t>
            </w:r>
            <w:r w:rsidRPr="00F27F8E">
              <w:rPr>
                <w:rFonts w:ascii="Times New Roman" w:hAnsi="Times New Roman" w:cs="Times New Roman"/>
                <w:color w:val="000000"/>
                <w:sz w:val="24"/>
                <w:szCs w:val="24"/>
              </w:rPr>
              <w:t xml:space="preserve">= </w:t>
            </w:r>
            <w:r w:rsidRPr="00F27F8E">
              <w:rPr>
                <w:rFonts w:ascii="Times New Roman" w:hAnsi="Times New Roman" w:cs="Times New Roman"/>
                <w:b/>
                <w:color w:val="000000"/>
                <w:sz w:val="24"/>
                <w:szCs w:val="24"/>
              </w:rPr>
              <w:t xml:space="preserve">20 </w:t>
            </w:r>
            <w:r w:rsidR="00105A69">
              <w:rPr>
                <w:rFonts w:ascii="Times New Roman" w:hAnsi="Times New Roman" w:cs="Times New Roman"/>
                <w:b/>
                <w:color w:val="000000"/>
                <w:sz w:val="24"/>
                <w:szCs w:val="24"/>
              </w:rPr>
              <w:t>041</w:t>
            </w:r>
            <w:r w:rsidR="00105A69" w:rsidRPr="00F27F8E">
              <w:rPr>
                <w:rFonts w:ascii="Times New Roman" w:hAnsi="Times New Roman" w:cs="Times New Roman"/>
                <w:color w:val="000000"/>
                <w:sz w:val="24"/>
                <w:szCs w:val="24"/>
              </w:rPr>
              <w:t xml:space="preserve"> </w:t>
            </w:r>
            <w:r w:rsidRPr="00F27F8E">
              <w:rPr>
                <w:rFonts w:ascii="Times New Roman" w:hAnsi="Times New Roman" w:cs="Times New Roman"/>
                <w:color w:val="000000"/>
                <w:sz w:val="24"/>
                <w:szCs w:val="24"/>
              </w:rPr>
              <w:t xml:space="preserve">(atlīdzība/ gads) + </w:t>
            </w:r>
            <w:r w:rsidRPr="00F27F8E">
              <w:rPr>
                <w:rFonts w:ascii="Times New Roman" w:hAnsi="Times New Roman" w:cs="Times New Roman"/>
                <w:b/>
                <w:color w:val="000000"/>
                <w:sz w:val="24"/>
                <w:szCs w:val="24"/>
              </w:rPr>
              <w:t>1909</w:t>
            </w:r>
            <w:r w:rsidRPr="00F27F8E">
              <w:rPr>
                <w:rFonts w:ascii="Times New Roman" w:hAnsi="Times New Roman" w:cs="Times New Roman"/>
                <w:color w:val="000000"/>
                <w:sz w:val="24"/>
                <w:szCs w:val="24"/>
              </w:rPr>
              <w:t xml:space="preserve"> (10% prēmija+ 23,59%)= </w:t>
            </w:r>
            <w:r w:rsidR="00105A69">
              <w:rPr>
                <w:rFonts w:ascii="Times New Roman" w:hAnsi="Times New Roman" w:cs="Times New Roman"/>
                <w:b/>
                <w:color w:val="000000"/>
                <w:sz w:val="24"/>
                <w:szCs w:val="24"/>
              </w:rPr>
              <w:t>  21 950</w:t>
            </w:r>
            <w:r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rPr>
            </w:pPr>
            <w:r w:rsidRPr="00F27F8E">
              <w:rPr>
                <w:rFonts w:ascii="Times New Roman" w:hAnsi="Times New Roman" w:cs="Times New Roman"/>
                <w:color w:val="000000"/>
                <w:sz w:val="24"/>
                <w:szCs w:val="24"/>
              </w:rPr>
              <w:t xml:space="preserve">Uz 3 amata vietām 3x </w:t>
            </w:r>
            <w:r w:rsidR="00105A69">
              <w:rPr>
                <w:rFonts w:ascii="Times New Roman" w:hAnsi="Times New Roman" w:cs="Times New Roman"/>
                <w:color w:val="000000"/>
                <w:sz w:val="24"/>
                <w:szCs w:val="24"/>
              </w:rPr>
              <w:t xml:space="preserve">21 950 </w:t>
            </w:r>
            <w:r w:rsidRPr="00F27F8E">
              <w:rPr>
                <w:rFonts w:ascii="Times New Roman" w:hAnsi="Times New Roman" w:cs="Times New Roman"/>
                <w:color w:val="000000"/>
                <w:sz w:val="24"/>
                <w:szCs w:val="24"/>
              </w:rPr>
              <w:t xml:space="preserve"> eiro</w:t>
            </w:r>
            <w:r w:rsidRPr="00F27F8E">
              <w:rPr>
                <w:rFonts w:ascii="Times New Roman" w:hAnsi="Times New Roman" w:cs="Times New Roman"/>
                <w:b/>
                <w:color w:val="000000"/>
                <w:sz w:val="24"/>
                <w:szCs w:val="24"/>
              </w:rPr>
              <w:t xml:space="preserve">= </w:t>
            </w:r>
            <w:r w:rsidR="00105A69">
              <w:rPr>
                <w:rFonts w:ascii="Times New Roman" w:hAnsi="Times New Roman" w:cs="Times New Roman"/>
                <w:b/>
                <w:color w:val="000000"/>
                <w:sz w:val="24"/>
                <w:szCs w:val="24"/>
              </w:rPr>
              <w:t>65 850</w:t>
            </w:r>
            <w:r w:rsidRPr="00F27F8E">
              <w:rPr>
                <w:rFonts w:ascii="Times New Roman" w:hAnsi="Times New Roman" w:cs="Times New Roman"/>
                <w:b/>
                <w:color w:val="000000"/>
                <w:sz w:val="24"/>
                <w:szCs w:val="24"/>
              </w:rPr>
              <w:t xml:space="preserve"> </w:t>
            </w:r>
            <w:r w:rsidR="004655B3" w:rsidRPr="004655B3">
              <w:rPr>
                <w:rFonts w:ascii="Times New Roman" w:hAnsi="Times New Roman" w:cs="Times New Roman"/>
                <w:b/>
                <w:i/>
                <w:sz w:val="24"/>
                <w:szCs w:val="24"/>
              </w:rPr>
              <w:t>euro</w:t>
            </w:r>
          </w:p>
          <w:p w:rsidR="00F27F8E" w:rsidRPr="00F27F8E" w:rsidRDefault="00F27F8E" w:rsidP="00F27F8E">
            <w:pPr>
              <w:spacing w:after="0" w:line="240" w:lineRule="auto"/>
              <w:rPr>
                <w:rFonts w:ascii="Times New Roman" w:hAnsi="Times New Roman" w:cs="Times New Roman"/>
                <w:color w:val="000000"/>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II. 1. Preču un pakalpojumu apmaksa PTAC darbiniekiem – 69 920 </w:t>
            </w:r>
            <w:r w:rsidR="004655B3" w:rsidRPr="004655B3">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telpu noma – (120 m² x 10 eiro) x 12 mēn. = 14 400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telekomunikāciju pakalpojumi, internets, u.c. (25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12 mēn.) x 8 cilv. = 2400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pasta pakalpojumi 100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8 cilv. = 800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darbinieku apmācība 500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8 cilv. = 4 000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komandējumi = 5120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tai skaitā:</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w:t>
            </w:r>
            <w:r w:rsidRPr="00F27F8E">
              <w:rPr>
                <w:rFonts w:ascii="Times New Roman" w:hAnsi="Times New Roman" w:cs="Times New Roman"/>
                <w:sz w:val="24"/>
                <w:szCs w:val="24"/>
                <w:u w:val="single"/>
              </w:rPr>
              <w:t>Latvija</w:t>
            </w:r>
            <w:r w:rsidRPr="00F27F8E">
              <w:rPr>
                <w:rFonts w:ascii="Times New Roman" w:hAnsi="Times New Roman" w:cs="Times New Roman"/>
                <w:sz w:val="24"/>
                <w:szCs w:val="24"/>
              </w:rPr>
              <w:t xml:space="preserve"> 8 reizes gadā x 140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140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8 cilv. =1 120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lastRenderedPageBreak/>
              <w:t xml:space="preserve">- </w:t>
            </w:r>
            <w:r w:rsidRPr="00F27F8E">
              <w:rPr>
                <w:rFonts w:ascii="Times New Roman" w:hAnsi="Times New Roman" w:cs="Times New Roman"/>
                <w:sz w:val="24"/>
                <w:szCs w:val="24"/>
                <w:u w:val="single"/>
              </w:rPr>
              <w:t>Ārvalstis</w:t>
            </w:r>
            <w:r w:rsidRPr="00F27F8E">
              <w:rPr>
                <w:rFonts w:ascii="Times New Roman" w:hAnsi="Times New Roman" w:cs="Times New Roman"/>
                <w:sz w:val="24"/>
                <w:szCs w:val="24"/>
              </w:rPr>
              <w:t xml:space="preserve"> 1 reize gadā 4 cilv. (apmācības, semināri kvalifikācijas celšanai, lietu virzība, pieredzes apmaiņa): 1000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(dienas nauda - 3 dienas x 60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180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viesnīca - 2 naktis x160 </w:t>
            </w:r>
            <w:r w:rsidR="004655B3" w:rsidRPr="00F27F8E">
              <w:rPr>
                <w:rFonts w:ascii="Times New Roman" w:hAnsi="Times New Roman" w:cs="Times New Roman"/>
                <w:i/>
                <w:sz w:val="24"/>
                <w:szCs w:val="24"/>
              </w:rPr>
              <w:t>euro</w:t>
            </w:r>
            <w:r w:rsidR="004655B3" w:rsidRPr="00F27F8E">
              <w:rPr>
                <w:rFonts w:ascii="Times New Roman" w:hAnsi="Times New Roman" w:cs="Times New Roman"/>
                <w:sz w:val="24"/>
                <w:szCs w:val="24"/>
              </w:rPr>
              <w:t xml:space="preserve"> </w:t>
            </w:r>
            <w:r w:rsidRPr="00F27F8E">
              <w:rPr>
                <w:rFonts w:ascii="Times New Roman" w:hAnsi="Times New Roman" w:cs="Times New Roman"/>
                <w:sz w:val="24"/>
                <w:szCs w:val="24"/>
              </w:rPr>
              <w:t xml:space="preserve">= 320 </w:t>
            </w:r>
            <w:r w:rsidR="004655B3"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transports - 500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4 cilv.= 4000 </w:t>
            </w:r>
            <w:r w:rsidR="00F47F70" w:rsidRPr="00F27F8E">
              <w:rPr>
                <w:rFonts w:ascii="Times New Roman" w:hAnsi="Times New Roman" w:cs="Times New Roman"/>
                <w:i/>
                <w:sz w:val="24"/>
                <w:szCs w:val="24"/>
              </w:rPr>
              <w:t>euro</w:t>
            </w:r>
          </w:p>
          <w:p w:rsid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Informācijas sistēmas izstrāde/ datu bāzes pilnveidošana – 40 000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(lai nodrošinātu lietu uzskaites un datu analīzi- izvērtējumu / sistēmas nodrošināšanas nepieciešamo licenču iegādes izmaksas/ datu bāzes pilnveide) </w:t>
            </w:r>
          </w:p>
          <w:p w:rsidR="00A71C4C" w:rsidRPr="00F27F8E" w:rsidRDefault="00A71C4C" w:rsidP="00F27F8E">
            <w:pPr>
              <w:spacing w:after="0" w:line="240" w:lineRule="auto"/>
              <w:rPr>
                <w:rFonts w:ascii="Times New Roman" w:hAnsi="Times New Roman" w:cs="Times New Roman"/>
                <w:sz w:val="24"/>
                <w:szCs w:val="24"/>
              </w:rPr>
            </w:pPr>
          </w:p>
          <w:p w:rsidR="00F27F8E" w:rsidRPr="00A71C4C" w:rsidRDefault="00F27F8E" w:rsidP="00F27F8E">
            <w:pPr>
              <w:spacing w:after="0" w:line="240" w:lineRule="auto"/>
              <w:rPr>
                <w:rFonts w:ascii="Times New Roman" w:hAnsi="Times New Roman" w:cs="Times New Roman"/>
                <w:sz w:val="24"/>
                <w:szCs w:val="24"/>
                <w:u w:val="single"/>
              </w:rPr>
            </w:pPr>
            <w:r w:rsidRPr="00A71C4C">
              <w:rPr>
                <w:rFonts w:ascii="Times New Roman" w:hAnsi="Times New Roman" w:cs="Times New Roman"/>
                <w:sz w:val="24"/>
                <w:szCs w:val="24"/>
                <w:u w:val="single"/>
              </w:rPr>
              <w:t xml:space="preserve">2019.gadā un turpmākajos gados – 20 000 </w:t>
            </w:r>
            <w:r w:rsidR="00F47F70" w:rsidRPr="00F27F8E">
              <w:rPr>
                <w:rFonts w:ascii="Times New Roman" w:hAnsi="Times New Roman" w:cs="Times New Roman"/>
                <w:i/>
                <w:sz w:val="24"/>
                <w:szCs w:val="24"/>
              </w:rPr>
              <w:t>euro</w:t>
            </w:r>
            <w:r w:rsidRPr="00A71C4C">
              <w:rPr>
                <w:rFonts w:ascii="Times New Roman" w:hAnsi="Times New Roman" w:cs="Times New Roman"/>
                <w:sz w:val="24"/>
                <w:szCs w:val="24"/>
                <w:u w:val="single"/>
              </w:rPr>
              <w:t>.</w:t>
            </w:r>
          </w:p>
          <w:p w:rsidR="00F27F8E" w:rsidRPr="00F27F8E" w:rsidRDefault="00F27F8E" w:rsidP="00F27F8E">
            <w:pPr>
              <w:spacing w:after="0" w:line="240" w:lineRule="auto"/>
              <w:rPr>
                <w:rFonts w:ascii="Times New Roman" w:hAnsi="Times New Roman" w:cs="Times New Roman"/>
                <w:b/>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II.2. Materiālais nodrošinājums PTAC darbiniekiem – 3 200 </w:t>
            </w:r>
            <w:r w:rsidR="00F47F70" w:rsidRPr="00F47F70">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biroja tehnikas uzturēšana – kopētāju kasetes, lāzerprinteru kasetes u.c. uz 1 darbinieku – 100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100 x8 = 800 </w:t>
            </w:r>
            <w:r w:rsidR="00F47F70" w:rsidRPr="00F27F8E">
              <w:rPr>
                <w:rFonts w:ascii="Times New Roman" w:hAnsi="Times New Roman" w:cs="Times New Roman"/>
                <w:i/>
                <w:sz w:val="24"/>
                <w:szCs w:val="24"/>
              </w:rPr>
              <w:t>euro</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kancelejas piederumi – (11,50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12 mēn.) x 8 cilv. = 1104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- 8 darba krēsli 150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8 = 1200 </w:t>
            </w:r>
            <w:r w:rsidR="00F47F70" w:rsidRPr="00F27F8E">
              <w:rPr>
                <w:rFonts w:ascii="Times New Roman" w:hAnsi="Times New Roman" w:cs="Times New Roman"/>
                <w:i/>
                <w:sz w:val="24"/>
                <w:szCs w:val="24"/>
              </w:rPr>
              <w:t>euro</w:t>
            </w:r>
          </w:p>
          <w:p w:rsid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drēbju pakaramais = 96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A71C4C" w:rsidRPr="00F27F8E" w:rsidRDefault="00A71C4C" w:rsidP="00F27F8E">
            <w:pPr>
              <w:spacing w:after="0" w:line="240" w:lineRule="auto"/>
              <w:rPr>
                <w:rFonts w:ascii="Times New Roman" w:hAnsi="Times New Roman" w:cs="Times New Roman"/>
                <w:sz w:val="24"/>
                <w:szCs w:val="24"/>
              </w:rPr>
            </w:pPr>
          </w:p>
          <w:p w:rsidR="00F27F8E" w:rsidRPr="00A71C4C" w:rsidRDefault="00F27F8E" w:rsidP="00F27F8E">
            <w:pPr>
              <w:spacing w:after="0" w:line="240" w:lineRule="auto"/>
              <w:rPr>
                <w:rFonts w:ascii="Times New Roman" w:hAnsi="Times New Roman" w:cs="Times New Roman"/>
                <w:sz w:val="24"/>
                <w:szCs w:val="24"/>
                <w:u w:val="single"/>
              </w:rPr>
            </w:pPr>
            <w:r w:rsidRPr="00A71C4C">
              <w:rPr>
                <w:rFonts w:ascii="Times New Roman" w:hAnsi="Times New Roman" w:cs="Times New Roman"/>
                <w:sz w:val="24"/>
                <w:szCs w:val="24"/>
                <w:u w:val="single"/>
              </w:rPr>
              <w:t xml:space="preserve">2019.gadā </w:t>
            </w:r>
            <w:r w:rsidR="009E411C" w:rsidRPr="009E411C">
              <w:rPr>
                <w:rFonts w:ascii="Times New Roman" w:hAnsi="Times New Roman" w:cs="Times New Roman"/>
                <w:sz w:val="24"/>
                <w:szCs w:val="24"/>
                <w:u w:val="single"/>
              </w:rPr>
              <w:t xml:space="preserve">un turpmākajos gados </w:t>
            </w:r>
            <w:r w:rsidRPr="00A71C4C">
              <w:rPr>
                <w:rFonts w:ascii="Times New Roman" w:hAnsi="Times New Roman" w:cs="Times New Roman"/>
                <w:sz w:val="24"/>
                <w:szCs w:val="24"/>
                <w:u w:val="single"/>
              </w:rPr>
              <w:t>– 1</w:t>
            </w:r>
            <w:r w:rsidR="00A71C4C">
              <w:rPr>
                <w:rFonts w:ascii="Times New Roman" w:hAnsi="Times New Roman" w:cs="Times New Roman"/>
                <w:sz w:val="24"/>
                <w:szCs w:val="24"/>
                <w:u w:val="single"/>
              </w:rPr>
              <w:t xml:space="preserve"> </w:t>
            </w:r>
            <w:r w:rsidRPr="00A71C4C">
              <w:rPr>
                <w:rFonts w:ascii="Times New Roman" w:hAnsi="Times New Roman" w:cs="Times New Roman"/>
                <w:sz w:val="24"/>
                <w:szCs w:val="24"/>
                <w:u w:val="single"/>
              </w:rPr>
              <w:t xml:space="preserve">904 </w:t>
            </w:r>
            <w:r w:rsidR="00F47F70" w:rsidRPr="00F27F8E">
              <w:rPr>
                <w:rFonts w:ascii="Times New Roman" w:hAnsi="Times New Roman" w:cs="Times New Roman"/>
                <w:i/>
                <w:sz w:val="24"/>
                <w:szCs w:val="24"/>
              </w:rPr>
              <w:t>euro</w:t>
            </w:r>
            <w:r w:rsidRPr="00A71C4C">
              <w:rPr>
                <w:rFonts w:ascii="Times New Roman" w:hAnsi="Times New Roman" w:cs="Times New Roman"/>
                <w:sz w:val="24"/>
                <w:szCs w:val="24"/>
                <w:u w:val="single"/>
              </w:rPr>
              <w:t>.</w:t>
            </w:r>
          </w:p>
          <w:p w:rsidR="00F27F8E" w:rsidRPr="00F27F8E" w:rsidRDefault="00F27F8E" w:rsidP="00F27F8E">
            <w:pPr>
              <w:spacing w:after="0" w:line="240" w:lineRule="auto"/>
              <w:rPr>
                <w:rFonts w:ascii="Times New Roman" w:hAnsi="Times New Roman" w:cs="Times New Roman"/>
                <w:b/>
                <w:sz w:val="24"/>
                <w:szCs w:val="24"/>
              </w:rPr>
            </w:pPr>
          </w:p>
          <w:p w:rsidR="00F27F8E"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 xml:space="preserve">III. Kapitālās izmaksas PTAC –8 800 </w:t>
            </w:r>
            <w:r w:rsidR="00F47F70" w:rsidRPr="00F47F70">
              <w:rPr>
                <w:rFonts w:ascii="Times New Roman" w:hAnsi="Times New Roman" w:cs="Times New Roman"/>
                <w:b/>
                <w:i/>
                <w:sz w:val="24"/>
                <w:szCs w:val="24"/>
              </w:rPr>
              <w:t>euro</w:t>
            </w:r>
            <w:r w:rsidRPr="00F27F8E">
              <w:rPr>
                <w:rFonts w:ascii="Times New Roman" w:hAnsi="Times New Roman" w:cs="Times New Roman"/>
                <w:b/>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- 3 datori, monitori, u.c. x 1700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5 100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- 3 darba galdi x 800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2 400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- 2 dokumentu skapji = 1 x 500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 1000 </w:t>
            </w:r>
            <w:r w:rsidR="00F47F70" w:rsidRPr="00F27F8E">
              <w:rPr>
                <w:rFonts w:ascii="Times New Roman" w:hAnsi="Times New Roman" w:cs="Times New Roman"/>
                <w:i/>
                <w:sz w:val="24"/>
                <w:szCs w:val="24"/>
              </w:rPr>
              <w:t>euro</w:t>
            </w:r>
          </w:p>
          <w:p w:rsidR="00F27F8E" w:rsidRPr="00F27F8E" w:rsidRDefault="00F27F8E" w:rsidP="00F27F8E">
            <w:pPr>
              <w:spacing w:after="0" w:line="240" w:lineRule="auto"/>
              <w:rPr>
                <w:rFonts w:ascii="Times New Roman" w:hAnsi="Times New Roman" w:cs="Times New Roman"/>
                <w:sz w:val="24"/>
                <w:szCs w:val="24"/>
              </w:rPr>
            </w:pPr>
            <w:r w:rsidRPr="00F27F8E">
              <w:rPr>
                <w:rFonts w:ascii="Times New Roman" w:hAnsi="Times New Roman" w:cs="Times New Roman"/>
                <w:sz w:val="24"/>
                <w:szCs w:val="24"/>
              </w:rPr>
              <w:t xml:space="preserve">- 1 zems dokumentu skapis = 300 </w:t>
            </w:r>
            <w:r w:rsidR="00F47F70" w:rsidRPr="00F27F8E">
              <w:rPr>
                <w:rFonts w:ascii="Times New Roman" w:hAnsi="Times New Roman" w:cs="Times New Roman"/>
                <w:i/>
                <w:sz w:val="24"/>
                <w:szCs w:val="24"/>
              </w:rPr>
              <w:t>euro</w:t>
            </w:r>
            <w:r w:rsidRPr="00F27F8E">
              <w:rPr>
                <w:rFonts w:ascii="Times New Roman" w:hAnsi="Times New Roman" w:cs="Times New Roman"/>
                <w:sz w:val="24"/>
                <w:szCs w:val="24"/>
              </w:rPr>
              <w:t xml:space="preserve"> x 1 = 300 </w:t>
            </w:r>
            <w:r w:rsidR="00F47F70" w:rsidRPr="00F27F8E">
              <w:rPr>
                <w:rFonts w:ascii="Times New Roman" w:hAnsi="Times New Roman" w:cs="Times New Roman"/>
                <w:i/>
                <w:sz w:val="24"/>
                <w:szCs w:val="24"/>
              </w:rPr>
              <w:t>euro</w:t>
            </w:r>
          </w:p>
          <w:p w:rsidR="00F27F8E" w:rsidRPr="00F27F8E" w:rsidRDefault="00F27F8E" w:rsidP="00F27F8E">
            <w:pPr>
              <w:spacing w:after="0" w:line="240" w:lineRule="auto"/>
              <w:rPr>
                <w:rFonts w:ascii="Times New Roman" w:hAnsi="Times New Roman" w:cs="Times New Roman"/>
                <w:sz w:val="24"/>
                <w:szCs w:val="24"/>
              </w:rPr>
            </w:pPr>
          </w:p>
          <w:p w:rsidR="00B140C0" w:rsidRPr="00F27F8E" w:rsidRDefault="00F27F8E" w:rsidP="00F27F8E">
            <w:pPr>
              <w:spacing w:after="0" w:line="240" w:lineRule="auto"/>
              <w:rPr>
                <w:rFonts w:ascii="Times New Roman" w:hAnsi="Times New Roman" w:cs="Times New Roman"/>
                <w:b/>
                <w:sz w:val="24"/>
                <w:szCs w:val="24"/>
              </w:rPr>
            </w:pPr>
            <w:r w:rsidRPr="00F27F8E">
              <w:rPr>
                <w:rFonts w:ascii="Times New Roman" w:hAnsi="Times New Roman" w:cs="Times New Roman"/>
                <w:b/>
                <w:sz w:val="24"/>
                <w:szCs w:val="24"/>
              </w:rPr>
              <w:t>KOPĀ 2018.gadam</w:t>
            </w:r>
            <w:r w:rsidR="00B140C0">
              <w:rPr>
                <w:rFonts w:ascii="Times New Roman" w:hAnsi="Times New Roman" w:cs="Times New Roman"/>
                <w:b/>
                <w:sz w:val="24"/>
                <w:szCs w:val="24"/>
              </w:rPr>
              <w:t xml:space="preserve"> </w:t>
            </w:r>
            <w:r w:rsidR="005C57CF">
              <w:rPr>
                <w:rFonts w:ascii="Times New Roman" w:hAnsi="Times New Roman" w:cs="Times New Roman"/>
                <w:b/>
                <w:sz w:val="24"/>
                <w:szCs w:val="24"/>
              </w:rPr>
              <w:t>–</w:t>
            </w:r>
            <w:r w:rsidRPr="00F27F8E">
              <w:rPr>
                <w:rFonts w:ascii="Times New Roman" w:hAnsi="Times New Roman" w:cs="Times New Roman"/>
                <w:b/>
                <w:sz w:val="24"/>
                <w:szCs w:val="24"/>
              </w:rPr>
              <w:t xml:space="preserve"> </w:t>
            </w:r>
            <w:r w:rsidR="005C57CF">
              <w:rPr>
                <w:rFonts w:ascii="Times New Roman" w:hAnsi="Times New Roman" w:cs="Times New Roman"/>
                <w:b/>
                <w:sz w:val="24"/>
                <w:szCs w:val="24"/>
              </w:rPr>
              <w:t>279 269</w:t>
            </w:r>
            <w:r w:rsidRPr="00F27F8E">
              <w:rPr>
                <w:rFonts w:ascii="Times New Roman" w:hAnsi="Times New Roman" w:cs="Times New Roman"/>
                <w:b/>
                <w:sz w:val="24"/>
                <w:szCs w:val="24"/>
              </w:rPr>
              <w:t xml:space="preserve"> </w:t>
            </w:r>
            <w:r w:rsidR="00F47F70" w:rsidRPr="00F47F70">
              <w:rPr>
                <w:rFonts w:ascii="Times New Roman" w:hAnsi="Times New Roman" w:cs="Times New Roman"/>
                <w:b/>
                <w:i/>
                <w:sz w:val="24"/>
                <w:szCs w:val="24"/>
              </w:rPr>
              <w:t>euro</w:t>
            </w:r>
            <w:r w:rsidRPr="00F27F8E">
              <w:rPr>
                <w:rFonts w:ascii="Times New Roman" w:hAnsi="Times New Roman" w:cs="Times New Roman"/>
                <w:b/>
                <w:sz w:val="24"/>
                <w:szCs w:val="24"/>
              </w:rPr>
              <w:t xml:space="preserve">. </w:t>
            </w:r>
          </w:p>
          <w:p w:rsidR="00767697" w:rsidRPr="00A71C4C" w:rsidRDefault="00A71C4C" w:rsidP="005C57CF">
            <w:pPr>
              <w:spacing w:before="75" w:after="75"/>
              <w:ind w:right="57"/>
              <w:jc w:val="both"/>
              <w:rPr>
                <w:rFonts w:ascii="Times New Roman" w:hAnsi="Times New Roman" w:cs="Times New Roman"/>
                <w:sz w:val="24"/>
                <w:szCs w:val="24"/>
                <w:u w:val="single"/>
                <w:lang w:eastAsia="lv-LV"/>
              </w:rPr>
            </w:pPr>
            <w:r w:rsidRPr="00A71C4C">
              <w:rPr>
                <w:rFonts w:ascii="Times New Roman" w:hAnsi="Times New Roman" w:cs="Times New Roman"/>
                <w:sz w:val="24"/>
                <w:szCs w:val="24"/>
              </w:rPr>
              <w:t xml:space="preserve">PTAC papildu nepieciešamais finansējums </w:t>
            </w:r>
            <w:r w:rsidR="00F27F8E" w:rsidRPr="00A71C4C">
              <w:rPr>
                <w:rFonts w:ascii="Times New Roman" w:hAnsi="Times New Roman" w:cs="Times New Roman"/>
                <w:sz w:val="24"/>
                <w:szCs w:val="24"/>
              </w:rPr>
              <w:t xml:space="preserve">2019.gadā un turpmākajos gados – </w:t>
            </w:r>
            <w:r w:rsidR="005C57CF">
              <w:rPr>
                <w:rFonts w:ascii="Times New Roman" w:hAnsi="Times New Roman" w:cs="Times New Roman"/>
                <w:sz w:val="24"/>
                <w:szCs w:val="24"/>
              </w:rPr>
              <w:t>249 173</w:t>
            </w:r>
            <w:r w:rsidR="00F27F8E" w:rsidRPr="00A71C4C">
              <w:rPr>
                <w:rFonts w:ascii="Times New Roman" w:hAnsi="Times New Roman" w:cs="Times New Roman"/>
                <w:sz w:val="24"/>
                <w:szCs w:val="24"/>
              </w:rPr>
              <w:t xml:space="preserve"> </w:t>
            </w:r>
            <w:r w:rsidR="00F47F70" w:rsidRPr="00F27F8E">
              <w:rPr>
                <w:rFonts w:ascii="Times New Roman" w:hAnsi="Times New Roman" w:cs="Times New Roman"/>
                <w:i/>
                <w:sz w:val="24"/>
                <w:szCs w:val="24"/>
              </w:rPr>
              <w:t>euro</w:t>
            </w:r>
            <w:r w:rsidR="00F27F8E" w:rsidRPr="00A71C4C">
              <w:rPr>
                <w:rFonts w:ascii="Times New Roman" w:hAnsi="Times New Roman" w:cs="Times New Roman"/>
                <w:sz w:val="24"/>
                <w:szCs w:val="24"/>
              </w:rPr>
              <w:t>.</w:t>
            </w:r>
          </w:p>
        </w:tc>
      </w:tr>
      <w:tr w:rsidR="00A24E7D" w:rsidRPr="00894C55"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24E7D" w:rsidRPr="002D44AC" w:rsidRDefault="00A24E7D" w:rsidP="002D44AC">
            <w:pPr>
              <w:spacing w:after="0" w:line="240" w:lineRule="auto"/>
              <w:jc w:val="both"/>
              <w:rPr>
                <w:rFonts w:ascii="Times New Roman" w:eastAsia="Times New Roman" w:hAnsi="Times New Roman" w:cs="Times New Roman"/>
                <w:color w:val="414142"/>
                <w:sz w:val="24"/>
                <w:szCs w:val="24"/>
                <w:lang w:eastAsia="lv-LV"/>
              </w:rPr>
            </w:pPr>
          </w:p>
        </w:tc>
      </w:tr>
      <w:tr w:rsidR="00A24E7D" w:rsidRPr="00894C55"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24E7D" w:rsidRPr="002D44AC" w:rsidRDefault="00A24E7D" w:rsidP="002D44AC">
            <w:pPr>
              <w:spacing w:after="0" w:line="240" w:lineRule="auto"/>
              <w:jc w:val="both"/>
              <w:rPr>
                <w:rFonts w:ascii="Times New Roman" w:eastAsia="Times New Roman" w:hAnsi="Times New Roman" w:cs="Times New Roman"/>
                <w:color w:val="414142"/>
                <w:sz w:val="24"/>
                <w:szCs w:val="24"/>
                <w:lang w:eastAsia="lv-LV"/>
              </w:rPr>
            </w:pPr>
          </w:p>
        </w:tc>
      </w:tr>
      <w:tr w:rsidR="00A24E7D" w:rsidRPr="00894C55"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A24E7D" w:rsidRPr="00894C55" w:rsidRDefault="00A24E7D" w:rsidP="00A24E7D">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A71C4C" w:rsidRPr="00A71C4C" w:rsidRDefault="00A71C4C" w:rsidP="00A71C4C">
            <w:pPr>
              <w:jc w:val="both"/>
              <w:rPr>
                <w:rFonts w:ascii="Times New Roman" w:hAnsi="Times New Roman" w:cs="Times New Roman"/>
                <w:b/>
                <w:sz w:val="24"/>
                <w:szCs w:val="24"/>
                <w:u w:val="single"/>
              </w:rPr>
            </w:pPr>
            <w:r w:rsidRPr="00F27F8E">
              <w:rPr>
                <w:rFonts w:ascii="Times New Roman" w:hAnsi="Times New Roman" w:cs="Times New Roman"/>
                <w:b/>
                <w:sz w:val="24"/>
                <w:szCs w:val="24"/>
                <w:u w:val="single"/>
              </w:rPr>
              <w:t>Uzņēmumu reģistrs</w:t>
            </w:r>
          </w:p>
          <w:p w:rsidR="00AB43BB" w:rsidRPr="002D44AC" w:rsidRDefault="00AB43BB" w:rsidP="00AB43BB">
            <w:pPr>
              <w:snapToGrid w:val="0"/>
              <w:jc w:val="both"/>
              <w:rPr>
                <w:rFonts w:ascii="Times New Roman" w:hAnsi="Times New Roman" w:cs="Times New Roman"/>
                <w:sz w:val="24"/>
                <w:szCs w:val="24"/>
              </w:rPr>
            </w:pPr>
            <w:r w:rsidRPr="002D44AC">
              <w:rPr>
                <w:rFonts w:ascii="Times New Roman" w:hAnsi="Times New Roman" w:cs="Times New Roman"/>
                <w:sz w:val="24"/>
                <w:szCs w:val="24"/>
              </w:rPr>
              <w:t>2017. gadam papildus nepieciešamos izdevumus</w:t>
            </w:r>
            <w:r>
              <w:rPr>
                <w:rFonts w:ascii="Times New Roman" w:hAnsi="Times New Roman" w:cs="Times New Roman"/>
                <w:sz w:val="24"/>
                <w:szCs w:val="24"/>
              </w:rPr>
              <w:t xml:space="preserve"> 372 277 </w:t>
            </w:r>
            <w:r w:rsidR="00F47F70" w:rsidRPr="00F27F8E">
              <w:rPr>
                <w:rFonts w:ascii="Times New Roman" w:hAnsi="Times New Roman" w:cs="Times New Roman"/>
                <w:i/>
                <w:sz w:val="24"/>
                <w:szCs w:val="24"/>
              </w:rPr>
              <w:t>euro</w:t>
            </w:r>
            <w:r>
              <w:rPr>
                <w:rFonts w:ascii="Times New Roman" w:hAnsi="Times New Roman" w:cs="Times New Roman"/>
                <w:sz w:val="24"/>
                <w:szCs w:val="24"/>
              </w:rPr>
              <w:t xml:space="preserve"> apmērā atbilstoši Ministru kabineta </w:t>
            </w:r>
            <w:r w:rsidRPr="00546D77">
              <w:rPr>
                <w:rFonts w:ascii="Times New Roman" w:hAnsi="Times New Roman" w:cs="Times New Roman"/>
                <w:sz w:val="24"/>
                <w:szCs w:val="24"/>
              </w:rPr>
              <w:t>2017.gada 28.martā (sēdes protokols Nr.16 46.§)</w:t>
            </w:r>
            <w:r w:rsidRPr="002D44AC">
              <w:rPr>
                <w:rFonts w:ascii="Times New Roman" w:hAnsi="Times New Roman" w:cs="Times New Roman"/>
                <w:sz w:val="24"/>
                <w:szCs w:val="24"/>
              </w:rPr>
              <w:t xml:space="preserve"> </w:t>
            </w:r>
            <w:r>
              <w:rPr>
                <w:rFonts w:ascii="Times New Roman" w:hAnsi="Times New Roman" w:cs="Times New Roman"/>
                <w:sz w:val="24"/>
                <w:szCs w:val="24"/>
              </w:rPr>
              <w:t xml:space="preserve">lemtajam </w:t>
            </w:r>
            <w:r w:rsidRPr="00AB43BB">
              <w:rPr>
                <w:rFonts w:ascii="Times New Roman" w:hAnsi="Times New Roman" w:cs="Times New Roman"/>
                <w:sz w:val="24"/>
                <w:szCs w:val="24"/>
              </w:rPr>
              <w:t xml:space="preserve">un Finanšu ministrijas 2017.gada 6.aprīļa rīkojumam Nr.152  </w:t>
            </w:r>
            <w:r w:rsidRPr="002D44AC">
              <w:rPr>
                <w:rFonts w:ascii="Times New Roman" w:hAnsi="Times New Roman" w:cs="Times New Roman"/>
                <w:sz w:val="24"/>
                <w:szCs w:val="24"/>
              </w:rPr>
              <w:t>sedz no valsts budžeta programmas 02.00.00 "Līdzekļi neparedzētiem gadījumiem".</w:t>
            </w:r>
          </w:p>
          <w:p w:rsidR="00546D77" w:rsidRDefault="002D44AC" w:rsidP="002D44AC">
            <w:pPr>
              <w:jc w:val="both"/>
              <w:rPr>
                <w:rFonts w:ascii="Times New Roman" w:hAnsi="Times New Roman" w:cs="Times New Roman"/>
                <w:sz w:val="24"/>
                <w:szCs w:val="24"/>
              </w:rPr>
            </w:pPr>
            <w:r w:rsidRPr="002D44AC">
              <w:rPr>
                <w:rFonts w:ascii="Times New Roman" w:hAnsi="Times New Roman" w:cs="Times New Roman"/>
                <w:sz w:val="24"/>
                <w:szCs w:val="24"/>
              </w:rPr>
              <w:t>Jautājumu par papildus nepieciešamo finansējumu 2018. gadam</w:t>
            </w:r>
            <w:r w:rsidR="00546D77">
              <w:rPr>
                <w:rFonts w:ascii="Times New Roman" w:hAnsi="Times New Roman" w:cs="Times New Roman"/>
                <w:sz w:val="24"/>
                <w:szCs w:val="24"/>
              </w:rPr>
              <w:t xml:space="preserve"> 211 237 </w:t>
            </w:r>
            <w:r w:rsidR="00F47F70" w:rsidRPr="00F27F8E">
              <w:rPr>
                <w:rFonts w:ascii="Times New Roman" w:hAnsi="Times New Roman" w:cs="Times New Roman"/>
                <w:i/>
                <w:sz w:val="24"/>
                <w:szCs w:val="24"/>
              </w:rPr>
              <w:t>euro</w:t>
            </w:r>
            <w:r w:rsidR="00546D77">
              <w:rPr>
                <w:rFonts w:ascii="Times New Roman" w:hAnsi="Times New Roman" w:cs="Times New Roman"/>
                <w:sz w:val="24"/>
                <w:szCs w:val="24"/>
              </w:rPr>
              <w:t xml:space="preserve"> apmērā atbilstoši </w:t>
            </w:r>
            <w:r w:rsidR="00546D77" w:rsidRPr="00546D77">
              <w:rPr>
                <w:rFonts w:ascii="Times New Roman" w:hAnsi="Times New Roman" w:cs="Times New Roman"/>
                <w:sz w:val="24"/>
                <w:szCs w:val="24"/>
              </w:rPr>
              <w:t>2017.gada 28.martā (sēdes protokols Nr.16 46.§)</w:t>
            </w:r>
            <w:r w:rsidR="00546D77" w:rsidRPr="002D44AC">
              <w:rPr>
                <w:rFonts w:ascii="Times New Roman" w:hAnsi="Times New Roman" w:cs="Times New Roman"/>
                <w:sz w:val="24"/>
                <w:szCs w:val="24"/>
              </w:rPr>
              <w:t xml:space="preserve"> </w:t>
            </w:r>
            <w:r w:rsidR="00546D77">
              <w:rPr>
                <w:rFonts w:ascii="Times New Roman" w:hAnsi="Times New Roman" w:cs="Times New Roman"/>
                <w:sz w:val="24"/>
                <w:szCs w:val="24"/>
              </w:rPr>
              <w:t>lemtajam</w:t>
            </w:r>
            <w:r w:rsidRPr="002D44AC">
              <w:rPr>
                <w:rFonts w:ascii="Times New Roman" w:hAnsi="Times New Roman" w:cs="Times New Roman"/>
                <w:sz w:val="24"/>
                <w:szCs w:val="24"/>
              </w:rPr>
              <w:t>, risināt likumprojekta "Par valsts budžetu 2018. gadam" un likumprojekta "Par vidēja termiņa budžeta ietvaru 2018., 2019. un 2020. gadam" izstrādāšanas laikā.</w:t>
            </w:r>
            <w:r w:rsidR="008D3F6D">
              <w:rPr>
                <w:rFonts w:ascii="Times New Roman" w:hAnsi="Times New Roman" w:cs="Times New Roman"/>
                <w:sz w:val="24"/>
                <w:szCs w:val="24"/>
              </w:rPr>
              <w:t xml:space="preserve"> </w:t>
            </w:r>
            <w:r w:rsidR="008D3F6D" w:rsidRPr="008D3F6D">
              <w:rPr>
                <w:rFonts w:ascii="Times New Roman" w:hAnsi="Times New Roman" w:cs="Times New Roman"/>
                <w:sz w:val="24"/>
                <w:szCs w:val="24"/>
              </w:rPr>
              <w:t xml:space="preserve">Finanšu ministrijai iekļaus Tieslietu ministrijai (Uzņēmumu reģistram) 2018.gadam papildu nepieciešamo finansējumu starpnozaru prioritārajā pasākumā Pasākumu plāna noziedzīgi iegūtu </w:t>
            </w:r>
            <w:r w:rsidR="008D3F6D" w:rsidRPr="008D3F6D">
              <w:rPr>
                <w:rFonts w:ascii="Times New Roman" w:hAnsi="Times New Roman" w:cs="Times New Roman"/>
                <w:sz w:val="24"/>
                <w:szCs w:val="24"/>
              </w:rPr>
              <w:lastRenderedPageBreak/>
              <w:t>līdzekļu legalizācijas un terorisma finansēšanas risku ierobežošanai 2017. – 2019.gadam īstenošanai.</w:t>
            </w:r>
          </w:p>
          <w:p w:rsidR="00C360F4" w:rsidRPr="00F27F8E" w:rsidRDefault="00C360F4" w:rsidP="00C360F4">
            <w:pPr>
              <w:spacing w:before="75" w:after="75"/>
              <w:ind w:left="57" w:right="57"/>
              <w:jc w:val="both"/>
              <w:rPr>
                <w:rFonts w:ascii="Times New Roman" w:hAnsi="Times New Roman" w:cs="Times New Roman"/>
                <w:b/>
                <w:sz w:val="24"/>
                <w:szCs w:val="24"/>
                <w:u w:val="single"/>
                <w:lang w:eastAsia="lv-LV"/>
              </w:rPr>
            </w:pPr>
            <w:r w:rsidRPr="00F27F8E">
              <w:rPr>
                <w:rFonts w:ascii="Times New Roman" w:hAnsi="Times New Roman" w:cs="Times New Roman"/>
                <w:b/>
                <w:sz w:val="24"/>
                <w:szCs w:val="24"/>
                <w:u w:val="single"/>
                <w:lang w:eastAsia="lv-LV"/>
              </w:rPr>
              <w:t>Patērētāju tiesību aizsardzības centrs</w:t>
            </w:r>
          </w:p>
          <w:p w:rsidR="00C360F4" w:rsidRDefault="00C360F4" w:rsidP="00C360F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2017.gadam papildu finansējuma piešķiršanai Ekonomikas ministrijai , lai stiprinātu Patērētāju tiesību aizsardzības centra kapacitāti patērētāju kreditētāju uzraudzības jomā, Finanšu ministrija 2017.gada valsts budžeta izpildes gaitā sniegs priekšlikumus par iespējamajiem finanšu resursiem, lai nodrošinātu papildu finansējumu. </w:t>
            </w:r>
          </w:p>
          <w:p w:rsidR="00497AB2" w:rsidRPr="00497AB2" w:rsidRDefault="00407319" w:rsidP="00497AB2">
            <w:pPr>
              <w:jc w:val="both"/>
              <w:rPr>
                <w:rFonts w:ascii="Times New Roman" w:hAnsi="Times New Roman" w:cs="Times New Roman"/>
                <w:sz w:val="24"/>
                <w:szCs w:val="24"/>
              </w:rPr>
            </w:pPr>
            <w:r>
              <w:rPr>
                <w:rFonts w:ascii="Times New Roman" w:hAnsi="Times New Roman" w:cs="Times New Roman"/>
                <w:sz w:val="24"/>
                <w:szCs w:val="24"/>
              </w:rPr>
              <w:t>Atbalstoši š.g. 3.maijā Ministru kabinetā izskatītajām rīkojuma projektam “</w:t>
            </w:r>
            <w:r w:rsidRPr="00407319">
              <w:rPr>
                <w:rFonts w:ascii="Times New Roman" w:hAnsi="Times New Roman" w:cs="Times New Roman"/>
                <w:sz w:val="24"/>
                <w:szCs w:val="24"/>
              </w:rPr>
              <w:t>Par Pasākumu plānu noziedzīgi iegūtu līdzekļu legalizācijas un terorisma finansēšanas risku ierobežošanai 2017. – 2019.gadam”</w:t>
            </w:r>
            <w:r>
              <w:rPr>
                <w:rFonts w:ascii="Times New Roman" w:hAnsi="Times New Roman" w:cs="Times New Roman"/>
                <w:sz w:val="24"/>
                <w:szCs w:val="24"/>
              </w:rPr>
              <w:t>, Finanšu ministrija sagatavos</w:t>
            </w:r>
            <w:r w:rsidRPr="00407319">
              <w:rPr>
                <w:rFonts w:ascii="Times New Roman" w:hAnsi="Times New Roman" w:cs="Times New Roman"/>
                <w:sz w:val="24"/>
                <w:szCs w:val="24"/>
              </w:rPr>
              <w:t xml:space="preserve"> priekšlikumu starpnozaru prioritārajam pasākumam par </w:t>
            </w:r>
            <w:r>
              <w:rPr>
                <w:rFonts w:ascii="Times New Roman" w:hAnsi="Times New Roman" w:cs="Times New Roman"/>
                <w:sz w:val="24"/>
                <w:szCs w:val="24"/>
              </w:rPr>
              <w:t>Ekonomikas ministrijai</w:t>
            </w:r>
            <w:r w:rsidRPr="00407319">
              <w:rPr>
                <w:rFonts w:ascii="Times New Roman" w:hAnsi="Times New Roman" w:cs="Times New Roman"/>
                <w:sz w:val="24"/>
                <w:szCs w:val="24"/>
              </w:rPr>
              <w:t xml:space="preserve"> </w:t>
            </w:r>
            <w:r w:rsidR="000365B8">
              <w:rPr>
                <w:rFonts w:ascii="Times New Roman" w:hAnsi="Times New Roman" w:cs="Times New Roman"/>
                <w:sz w:val="24"/>
                <w:szCs w:val="24"/>
              </w:rPr>
              <w:t>(</w:t>
            </w:r>
            <w:r w:rsidR="000365B8" w:rsidRPr="000365B8">
              <w:rPr>
                <w:rFonts w:ascii="Times New Roman" w:hAnsi="Times New Roman" w:cs="Times New Roman"/>
                <w:sz w:val="24"/>
                <w:szCs w:val="24"/>
              </w:rPr>
              <w:t>Patērētāju tiesību aizsardzības centra</w:t>
            </w:r>
            <w:r w:rsidR="000365B8">
              <w:rPr>
                <w:rFonts w:ascii="Times New Roman" w:hAnsi="Times New Roman" w:cs="Times New Roman"/>
                <w:sz w:val="24"/>
                <w:szCs w:val="24"/>
              </w:rPr>
              <w:t>m)</w:t>
            </w:r>
            <w:r w:rsidR="000365B8" w:rsidRPr="000365B8">
              <w:rPr>
                <w:rFonts w:ascii="Times New Roman" w:hAnsi="Times New Roman" w:cs="Times New Roman"/>
                <w:sz w:val="24"/>
                <w:szCs w:val="24"/>
              </w:rPr>
              <w:t xml:space="preserve"> </w:t>
            </w:r>
            <w:r w:rsidRPr="00407319">
              <w:rPr>
                <w:rFonts w:ascii="Times New Roman" w:hAnsi="Times New Roman" w:cs="Times New Roman"/>
                <w:sz w:val="24"/>
                <w:szCs w:val="24"/>
              </w:rPr>
              <w:t>papildu nepieciešamo finansējumu</w:t>
            </w:r>
            <w:r>
              <w:rPr>
                <w:rFonts w:ascii="Times New Roman" w:hAnsi="Times New Roman" w:cs="Times New Roman"/>
                <w:sz w:val="24"/>
                <w:szCs w:val="24"/>
              </w:rPr>
              <w:t xml:space="preserve"> 2018. un turpmākajos gados.</w:t>
            </w:r>
            <w:r w:rsidRPr="00407319">
              <w:rPr>
                <w:rFonts w:ascii="Times New Roman" w:hAnsi="Times New Roman" w:cs="Times New Roman"/>
                <w:sz w:val="24"/>
                <w:szCs w:val="24"/>
              </w:rPr>
              <w:t xml:space="preserve"> </w:t>
            </w:r>
            <w:r w:rsidR="00C360F4" w:rsidRPr="002E6D13">
              <w:rPr>
                <w:rFonts w:ascii="Times New Roman" w:hAnsi="Times New Roman" w:cs="Times New Roman"/>
                <w:sz w:val="24"/>
                <w:szCs w:val="24"/>
              </w:rPr>
              <w:t>Jautājumu par papildus nepieciešamo finansējumu 2018. gadam</w:t>
            </w:r>
            <w:r w:rsidR="00C360F4">
              <w:rPr>
                <w:rFonts w:ascii="Times New Roman" w:hAnsi="Times New Roman" w:cs="Times New Roman"/>
                <w:sz w:val="24"/>
                <w:szCs w:val="24"/>
              </w:rPr>
              <w:t xml:space="preserve"> un turpmākajiem gadiem</w:t>
            </w:r>
            <w:r w:rsidR="00C360F4" w:rsidRPr="002E6D13">
              <w:rPr>
                <w:rFonts w:ascii="Times New Roman" w:hAnsi="Times New Roman" w:cs="Times New Roman"/>
                <w:sz w:val="24"/>
                <w:szCs w:val="24"/>
              </w:rPr>
              <w:t xml:space="preserve">, risināt likumprojekta "Par valsts budžetu 2018. gadam" un likumprojekta "Par vidēja termiņa budžeta ietvaru 2018., 2019. un 2020. gadam" </w:t>
            </w:r>
            <w:r w:rsidR="00C360F4">
              <w:rPr>
                <w:rFonts w:ascii="Times New Roman" w:hAnsi="Times New Roman" w:cs="Times New Roman"/>
                <w:sz w:val="24"/>
                <w:szCs w:val="24"/>
              </w:rPr>
              <w:t>un likumprojekta “Par valsts budžet 2018.gadam”izstrādāšanas laikā</w:t>
            </w:r>
            <w:r w:rsidR="00C360F4" w:rsidRPr="002E6D13">
              <w:rPr>
                <w:rFonts w:ascii="Times New Roman" w:hAnsi="Times New Roman" w:cs="Times New Roman"/>
                <w:sz w:val="24"/>
                <w:szCs w:val="24"/>
              </w:rPr>
              <w:t>.</w:t>
            </w:r>
          </w:p>
          <w:p w:rsidR="00546D77" w:rsidRPr="002D44AC" w:rsidRDefault="00497AB2" w:rsidP="002D44AC">
            <w:pPr>
              <w:jc w:val="both"/>
              <w:rPr>
                <w:rFonts w:ascii="Times New Roman" w:hAnsi="Times New Roman" w:cs="Times New Roman"/>
                <w:color w:val="000000" w:themeColor="text1"/>
                <w:sz w:val="24"/>
                <w:szCs w:val="24"/>
              </w:rPr>
            </w:pPr>
            <w:r>
              <w:rPr>
                <w:rFonts w:ascii="Times New Roman" w:hAnsi="Times New Roman" w:cs="Times New Roman"/>
                <w:sz w:val="24"/>
                <w:szCs w:val="24"/>
              </w:rPr>
              <w:t>L</w:t>
            </w:r>
            <w:r w:rsidRPr="00497AB2">
              <w:rPr>
                <w:rFonts w:ascii="Times New Roman" w:hAnsi="Times New Roman" w:cs="Times New Roman"/>
                <w:sz w:val="24"/>
                <w:szCs w:val="24"/>
              </w:rPr>
              <w:t>ikumprojekta īstenošana tiks nodrošināta, nepalielinot Ekonomikas ministrijas resora kopējo amata vietu skaitu.</w:t>
            </w:r>
          </w:p>
        </w:tc>
      </w:tr>
    </w:tbl>
    <w:p w:rsidR="00DE6E37" w:rsidRPr="00894C55" w:rsidRDefault="00DE6E37"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EA450C" w:rsidRDefault="00A65DB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 xml:space="preserve">Grozījumi nepieciešami šādos likumos: Komerclikums, Azartspēļu un izložu likums, </w:t>
            </w:r>
            <w:r w:rsidR="009073F9">
              <w:rPr>
                <w:rFonts w:ascii="Times New Roman" w:eastAsia="Times New Roman" w:hAnsi="Times New Roman" w:cs="Times New Roman"/>
                <w:color w:val="414142"/>
                <w:sz w:val="24"/>
                <w:szCs w:val="24"/>
                <w:lang w:eastAsia="lv-LV"/>
              </w:rPr>
              <w:t>Latv</w:t>
            </w:r>
            <w:r w:rsidR="00D222D6">
              <w:rPr>
                <w:rFonts w:ascii="Times New Roman" w:eastAsia="Times New Roman" w:hAnsi="Times New Roman" w:cs="Times New Roman"/>
                <w:color w:val="414142"/>
                <w:sz w:val="24"/>
                <w:szCs w:val="24"/>
                <w:lang w:eastAsia="lv-LV"/>
              </w:rPr>
              <w:t xml:space="preserve">ijas </w:t>
            </w:r>
            <w:r w:rsidR="005343ED">
              <w:rPr>
                <w:rFonts w:ascii="Times New Roman" w:eastAsia="Times New Roman" w:hAnsi="Times New Roman" w:cs="Times New Roman"/>
                <w:color w:val="414142"/>
                <w:sz w:val="24"/>
                <w:szCs w:val="24"/>
                <w:lang w:eastAsia="lv-LV"/>
              </w:rPr>
              <w:t>A</w:t>
            </w:r>
            <w:r w:rsidR="00D222D6">
              <w:rPr>
                <w:rFonts w:ascii="Times New Roman" w:eastAsia="Times New Roman" w:hAnsi="Times New Roman" w:cs="Times New Roman"/>
                <w:color w:val="414142"/>
                <w:sz w:val="24"/>
                <w:szCs w:val="24"/>
                <w:lang w:eastAsia="lv-LV"/>
              </w:rPr>
              <w:t>dministratīvo pārkāpum</w:t>
            </w:r>
            <w:r w:rsidR="005343ED">
              <w:rPr>
                <w:rFonts w:ascii="Times New Roman" w:eastAsia="Times New Roman" w:hAnsi="Times New Roman" w:cs="Times New Roman"/>
                <w:color w:val="414142"/>
                <w:sz w:val="24"/>
                <w:szCs w:val="24"/>
                <w:lang w:eastAsia="lv-LV"/>
              </w:rPr>
              <w:t>u</w:t>
            </w:r>
            <w:r w:rsidR="009073F9">
              <w:rPr>
                <w:rFonts w:ascii="Times New Roman" w:eastAsia="Times New Roman" w:hAnsi="Times New Roman" w:cs="Times New Roman"/>
                <w:color w:val="414142"/>
                <w:sz w:val="24"/>
                <w:szCs w:val="24"/>
                <w:lang w:eastAsia="lv-LV"/>
              </w:rPr>
              <w:t xml:space="preserve"> kodekss, </w:t>
            </w:r>
            <w:r w:rsidR="00216583">
              <w:rPr>
                <w:rFonts w:ascii="Times New Roman" w:eastAsia="Times New Roman" w:hAnsi="Times New Roman" w:cs="Times New Roman"/>
                <w:color w:val="414142"/>
                <w:sz w:val="24"/>
                <w:szCs w:val="24"/>
                <w:lang w:eastAsia="lv-LV"/>
              </w:rPr>
              <w:t>Maksājumu pakalpojumu un elektroniskās naudas likums,</w:t>
            </w:r>
            <w:r w:rsidR="00F07332">
              <w:rPr>
                <w:rFonts w:ascii="Times New Roman" w:eastAsia="Times New Roman" w:hAnsi="Times New Roman" w:cs="Times New Roman"/>
                <w:color w:val="414142"/>
                <w:sz w:val="24"/>
                <w:szCs w:val="24"/>
                <w:lang w:eastAsia="lv-LV"/>
              </w:rPr>
              <w:t xml:space="preserve"> </w:t>
            </w:r>
            <w:r w:rsidR="004C42E7">
              <w:rPr>
                <w:rFonts w:ascii="Times New Roman" w:eastAsia="Times New Roman" w:hAnsi="Times New Roman" w:cs="Times New Roman"/>
                <w:color w:val="414142"/>
                <w:sz w:val="24"/>
                <w:szCs w:val="24"/>
                <w:lang w:eastAsia="lv-LV"/>
              </w:rPr>
              <w:t xml:space="preserve">Kredītiestāžu likums, </w:t>
            </w:r>
            <w:r w:rsidR="00793EC5">
              <w:rPr>
                <w:rFonts w:ascii="Times New Roman" w:eastAsia="Times New Roman" w:hAnsi="Times New Roman" w:cs="Times New Roman"/>
                <w:color w:val="414142"/>
                <w:sz w:val="24"/>
                <w:szCs w:val="24"/>
                <w:lang w:eastAsia="lv-LV"/>
              </w:rPr>
              <w:t xml:space="preserve">Latvijas Republikas Advakatūras likums, </w:t>
            </w:r>
            <w:r w:rsidR="00924E52">
              <w:rPr>
                <w:rFonts w:ascii="Times New Roman" w:eastAsia="Times New Roman" w:hAnsi="Times New Roman" w:cs="Times New Roman"/>
                <w:color w:val="414142"/>
                <w:sz w:val="24"/>
                <w:szCs w:val="24"/>
                <w:lang w:eastAsia="lv-LV"/>
              </w:rPr>
              <w:t xml:space="preserve">Notariāta likums, </w:t>
            </w:r>
            <w:r w:rsidR="00F07332">
              <w:rPr>
                <w:rFonts w:ascii="Times New Roman" w:eastAsia="Times New Roman" w:hAnsi="Times New Roman" w:cs="Times New Roman"/>
                <w:color w:val="414142"/>
                <w:sz w:val="24"/>
                <w:szCs w:val="24"/>
                <w:lang w:eastAsia="lv-LV"/>
              </w:rPr>
              <w:t>kā arī saisto</w:t>
            </w:r>
            <w:r w:rsidR="00A30825">
              <w:rPr>
                <w:rFonts w:ascii="Times New Roman" w:eastAsia="Times New Roman" w:hAnsi="Times New Roman" w:cs="Times New Roman"/>
                <w:color w:val="414142"/>
                <w:sz w:val="24"/>
                <w:szCs w:val="24"/>
                <w:lang w:eastAsia="lv-LV"/>
              </w:rPr>
              <w:t>šajos NILLTFNL pakārtotajos</w:t>
            </w:r>
            <w:r w:rsidR="00F07332">
              <w:rPr>
                <w:rFonts w:ascii="Times New Roman" w:eastAsia="Times New Roman" w:hAnsi="Times New Roman" w:cs="Times New Roman"/>
                <w:color w:val="414142"/>
                <w:sz w:val="24"/>
                <w:szCs w:val="24"/>
                <w:lang w:eastAsia="lv-LV"/>
              </w:rPr>
              <w:t xml:space="preserve"> normatīvajos aktos.</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4700A3"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un Tieslietu ministrija.</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2773C4"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DE6E37" w:rsidRPr="00894C55" w:rsidRDefault="00DE6E37"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590230"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izstrādāts, lai nodrošinātu atbilstību Eiropas Parlamenta un Padomes 2015.gada 20.maija Direktīvas (ES) </w:t>
            </w:r>
            <w:r w:rsidR="009B7470">
              <w:rPr>
                <w:rFonts w:ascii="Times New Roman" w:eastAsia="Times New Roman" w:hAnsi="Times New Roman" w:cs="Times New Roman"/>
                <w:color w:val="414142"/>
                <w:sz w:val="24"/>
                <w:szCs w:val="24"/>
                <w:lang w:eastAsia="lv-LV"/>
              </w:rPr>
              <w:t>2015/849 par to, lai nepieļautu finanšu sistēmas izmantošanu nelikumīgi iegūtu līdzekļu legalizēšanai vai teroris</w:t>
            </w:r>
            <w:r w:rsidR="00D84B2F">
              <w:rPr>
                <w:rFonts w:ascii="Times New Roman" w:eastAsia="Times New Roman" w:hAnsi="Times New Roman" w:cs="Times New Roman"/>
                <w:color w:val="414142"/>
                <w:sz w:val="24"/>
                <w:szCs w:val="24"/>
                <w:lang w:eastAsia="lv-LV"/>
              </w:rPr>
              <w:t>tu</w:t>
            </w:r>
            <w:r w:rsidR="009B7470">
              <w:rPr>
                <w:rFonts w:ascii="Times New Roman" w:eastAsia="Times New Roman" w:hAnsi="Times New Roman" w:cs="Times New Roman"/>
                <w:color w:val="414142"/>
                <w:sz w:val="24"/>
                <w:szCs w:val="24"/>
                <w:lang w:eastAsia="lv-LV"/>
              </w:rPr>
              <w:t xml:space="preserve"> finansēšanai</w:t>
            </w:r>
            <w:r w:rsidR="00CA52BA">
              <w:rPr>
                <w:rFonts w:ascii="Times New Roman" w:eastAsia="Times New Roman" w:hAnsi="Times New Roman" w:cs="Times New Roman"/>
                <w:color w:val="414142"/>
                <w:sz w:val="24"/>
                <w:szCs w:val="24"/>
                <w:lang w:eastAsia="lv-LV"/>
              </w:rPr>
              <w:t>, un ar ko groza Eiropas Parlamenta un Padomes Regulu (ES)</w:t>
            </w:r>
            <w:r w:rsidR="007126F0">
              <w:rPr>
                <w:rFonts w:ascii="Times New Roman" w:eastAsia="Times New Roman" w:hAnsi="Times New Roman" w:cs="Times New Roman"/>
                <w:color w:val="414142"/>
                <w:sz w:val="24"/>
                <w:szCs w:val="24"/>
                <w:lang w:eastAsia="lv-LV"/>
              </w:rPr>
              <w:t xml:space="preserve"> Nr.</w:t>
            </w:r>
            <w:r w:rsidR="000F29B8">
              <w:rPr>
                <w:rFonts w:ascii="Times New Roman" w:eastAsia="Times New Roman" w:hAnsi="Times New Roman" w:cs="Times New Roman"/>
                <w:color w:val="414142"/>
                <w:sz w:val="24"/>
                <w:szCs w:val="24"/>
                <w:lang w:eastAsia="lv-LV"/>
              </w:rPr>
              <w:t xml:space="preserve">684/2012 un atceļ Eiropas Parlamenta un Padomes Direktīvu 2005/60/EK un Komisijas Direktīvu </w:t>
            </w:r>
            <w:r w:rsidR="000F29B8">
              <w:rPr>
                <w:rFonts w:ascii="Times New Roman" w:eastAsia="Times New Roman" w:hAnsi="Times New Roman" w:cs="Times New Roman"/>
                <w:color w:val="414142"/>
                <w:sz w:val="24"/>
                <w:szCs w:val="24"/>
                <w:lang w:eastAsia="lv-LV"/>
              </w:rPr>
              <w:lastRenderedPageBreak/>
              <w:t>2006/70/EK</w:t>
            </w:r>
            <w:r w:rsidR="00D84B2F">
              <w:rPr>
                <w:rFonts w:ascii="Times New Roman" w:eastAsia="Times New Roman" w:hAnsi="Times New Roman" w:cs="Times New Roman"/>
                <w:color w:val="414142"/>
                <w:sz w:val="24"/>
                <w:szCs w:val="24"/>
                <w:lang w:eastAsia="lv-LV"/>
              </w:rPr>
              <w:t xml:space="preserve"> prasībām,</w:t>
            </w:r>
            <w:r w:rsidR="000F29B8">
              <w:rPr>
                <w:rFonts w:ascii="Times New Roman" w:eastAsia="Times New Roman" w:hAnsi="Times New Roman" w:cs="Times New Roman"/>
                <w:color w:val="414142"/>
                <w:sz w:val="24"/>
                <w:szCs w:val="24"/>
                <w:lang w:eastAsia="lv-LV"/>
              </w:rPr>
              <w:t xml:space="preserve"> kuru pienākums transponēt līdz 2017.gada 26.jūnijam.</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A14EE8"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w:t>
            </w:r>
            <w:r w:rsidR="002A7AC5">
              <w:rPr>
                <w:rFonts w:ascii="Times New Roman" w:eastAsia="Times New Roman" w:hAnsi="Times New Roman" w:cs="Times New Roman"/>
                <w:color w:val="414142"/>
                <w:sz w:val="24"/>
                <w:szCs w:val="24"/>
                <w:lang w:eastAsia="lv-LV"/>
              </w:rPr>
              <w:t>s izstrādāts, lai nodrošinātu atbilstību FATF 2012.gada februārī apstiprinātajām rekomendācijām.</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985391" w:rsidP="00D9362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Likumprojektā iekļaut</w:t>
            </w:r>
            <w:r w:rsidR="006C5926">
              <w:rPr>
                <w:rFonts w:ascii="Times New Roman" w:eastAsia="Times New Roman" w:hAnsi="Times New Roman" w:cs="Times New Roman"/>
                <w:color w:val="414142"/>
                <w:sz w:val="24"/>
                <w:szCs w:val="24"/>
                <w:lang w:eastAsia="lv-LV"/>
              </w:rPr>
              <w:t xml:space="preserve">i </w:t>
            </w:r>
            <w:r w:rsidR="00D9362A">
              <w:rPr>
                <w:rFonts w:ascii="Times New Roman" w:eastAsia="Times New Roman" w:hAnsi="Times New Roman" w:cs="Times New Roman"/>
                <w:color w:val="414142"/>
                <w:sz w:val="24"/>
                <w:szCs w:val="24"/>
                <w:lang w:eastAsia="lv-LV"/>
              </w:rPr>
              <w:t xml:space="preserve">grozījumi, kas paredz atsevišķu </w:t>
            </w:r>
            <w:r w:rsidR="006C5926" w:rsidRPr="00F73807">
              <w:rPr>
                <w:rFonts w:ascii="Times New Roman" w:eastAsia="Times New Roman" w:hAnsi="Times New Roman" w:cs="Times New Roman"/>
                <w:color w:val="414142"/>
                <w:sz w:val="24"/>
                <w:szCs w:val="24"/>
                <w:lang w:eastAsia="lv-LV"/>
              </w:rPr>
              <w:t>AML IV direktīvas grozījum</w:t>
            </w:r>
            <w:r w:rsidR="00D9362A">
              <w:rPr>
                <w:rFonts w:ascii="Times New Roman" w:eastAsia="Times New Roman" w:hAnsi="Times New Roman" w:cs="Times New Roman"/>
                <w:color w:val="414142"/>
                <w:sz w:val="24"/>
                <w:szCs w:val="24"/>
                <w:lang w:eastAsia="lv-LV"/>
              </w:rPr>
              <w:t>u</w:t>
            </w:r>
            <w:r w:rsidR="006C5926" w:rsidRPr="00F73807">
              <w:rPr>
                <w:rFonts w:ascii="Times New Roman" w:eastAsia="Times New Roman" w:hAnsi="Times New Roman" w:cs="Times New Roman"/>
                <w:color w:val="414142"/>
                <w:sz w:val="24"/>
                <w:szCs w:val="24"/>
                <w:lang w:eastAsia="lv-LV"/>
              </w:rPr>
              <w:t xml:space="preserve"> priekšlikum</w:t>
            </w:r>
            <w:r w:rsidR="00D9362A">
              <w:rPr>
                <w:rFonts w:ascii="Times New Roman" w:eastAsia="Times New Roman" w:hAnsi="Times New Roman" w:cs="Times New Roman"/>
                <w:color w:val="414142"/>
                <w:sz w:val="24"/>
                <w:szCs w:val="24"/>
                <w:lang w:eastAsia="lv-LV"/>
              </w:rPr>
              <w:t>ā</w:t>
            </w:r>
            <w:r w:rsidR="006C5926" w:rsidRPr="00F73807">
              <w:rPr>
                <w:rFonts w:ascii="Times New Roman" w:eastAsia="Times New Roman" w:hAnsi="Times New Roman" w:cs="Times New Roman"/>
                <w:color w:val="414142"/>
                <w:sz w:val="24"/>
                <w:szCs w:val="24"/>
                <w:lang w:eastAsia="lv-LV"/>
              </w:rPr>
              <w:t>2016/0208 (COD)</w:t>
            </w:r>
            <w:r w:rsidR="00D9362A">
              <w:rPr>
                <w:rFonts w:ascii="Times New Roman" w:eastAsia="Times New Roman" w:hAnsi="Times New Roman" w:cs="Times New Roman"/>
                <w:color w:val="414142"/>
                <w:sz w:val="24"/>
                <w:szCs w:val="24"/>
                <w:lang w:eastAsia="lv-LV"/>
              </w:rPr>
              <w:t xml:space="preserve"> paredzēto normu savlaicīgu pārņemšanu.</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1992"/>
        <w:gridCol w:w="2535"/>
        <w:gridCol w:w="2445"/>
      </w:tblGrid>
      <w:tr w:rsidR="00894C55"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94C55" w:rsidRPr="00894C55" w:rsidRDefault="00702CB8" w:rsidP="00A57EE4">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Direktīva 2015/849/ES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Aizpilda, ja ar projektu tiek pārņemts vai ieviests vairāk nekā viens ES tiesību akts, – jānorāda tā pati informācija, kas prasīta instrukcijas 55.1.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apakšpunktā un jau tikusi norādīta arī V sadaļas 1.</w:t>
            </w:r>
            <w:r w:rsidR="003E0791">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punktā</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A ailē minētās ES tiesību akta vienības tiek pārņemtas vai ieviestas pilnībā vai daļēji.</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B ailē minētās projekta vienības paredz stingrākas prasības nekā šīs tabulas A ailē minētās ES tiesību akta vienības.</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projekts satur stingrākas prasības nekā attiecīgais ES tiesību akts, norāda pamatojumu un samērīgumu.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0638B" w:rsidRDefault="0060638B"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Preambulas 50.punkts</w:t>
            </w:r>
          </w:p>
        </w:tc>
        <w:tc>
          <w:tcPr>
            <w:tcW w:w="1100" w:type="pct"/>
            <w:tcBorders>
              <w:top w:val="outset" w:sz="6" w:space="0" w:color="414142"/>
              <w:left w:val="outset" w:sz="6" w:space="0" w:color="414142"/>
              <w:bottom w:val="outset" w:sz="6" w:space="0" w:color="414142"/>
              <w:right w:val="outset" w:sz="6" w:space="0" w:color="414142"/>
            </w:tcBorders>
          </w:tcPr>
          <w:p w:rsidR="0060638B" w:rsidRDefault="0060638B"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2</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.pants NILLTFNL 47.panta 2¹.daļa</w:t>
            </w:r>
          </w:p>
        </w:tc>
        <w:tc>
          <w:tcPr>
            <w:tcW w:w="1400" w:type="pct"/>
            <w:tcBorders>
              <w:top w:val="outset" w:sz="6" w:space="0" w:color="414142"/>
              <w:left w:val="outset" w:sz="6" w:space="0" w:color="414142"/>
              <w:bottom w:val="outset" w:sz="6" w:space="0" w:color="414142"/>
              <w:right w:val="outset" w:sz="6" w:space="0" w:color="414142"/>
            </w:tcBorders>
          </w:tcPr>
          <w:p w:rsidR="0060638B" w:rsidRDefault="0060638B"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0638B" w:rsidRDefault="0060638B"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23B30" w:rsidRDefault="00723B30"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2.pants </w:t>
            </w:r>
            <w:r w:rsidR="003531D9">
              <w:rPr>
                <w:rFonts w:ascii="Times New Roman" w:eastAsia="Times New Roman" w:hAnsi="Times New Roman" w:cs="Times New Roman"/>
                <w:color w:val="414142"/>
                <w:sz w:val="24"/>
                <w:szCs w:val="24"/>
                <w:lang w:eastAsia="lv-LV"/>
              </w:rPr>
              <w:t xml:space="preserve">1.punkts 3) apakšpunkta </w:t>
            </w:r>
            <w:r>
              <w:rPr>
                <w:rFonts w:ascii="Times New Roman" w:eastAsia="Times New Roman" w:hAnsi="Times New Roman" w:cs="Times New Roman"/>
                <w:color w:val="414142"/>
                <w:sz w:val="24"/>
                <w:szCs w:val="24"/>
                <w:lang w:eastAsia="lv-LV"/>
              </w:rPr>
              <w:t xml:space="preserve">b) </w:t>
            </w:r>
            <w:r>
              <w:rPr>
                <w:rFonts w:ascii="Times New Roman" w:eastAsia="Times New Roman" w:hAnsi="Times New Roman" w:cs="Times New Roman"/>
                <w:color w:val="414142"/>
                <w:sz w:val="24"/>
                <w:szCs w:val="24"/>
                <w:lang w:eastAsia="lv-LV"/>
              </w:rPr>
              <w:lastRenderedPageBreak/>
              <w:t xml:space="preserve">punkta </w:t>
            </w:r>
            <w:r w:rsidR="0060638B">
              <w:rPr>
                <w:rFonts w:ascii="Times New Roman" w:eastAsia="Times New Roman" w:hAnsi="Times New Roman" w:cs="Times New Roman"/>
                <w:color w:val="414142"/>
                <w:sz w:val="24"/>
                <w:szCs w:val="24"/>
                <w:lang w:eastAsia="lv-LV"/>
              </w:rPr>
              <w:t xml:space="preserve">iv) un </w:t>
            </w:r>
            <w:r w:rsidR="007567A9">
              <w:rPr>
                <w:rFonts w:ascii="Times New Roman" w:eastAsia="Times New Roman" w:hAnsi="Times New Roman" w:cs="Times New Roman"/>
                <w:color w:val="414142"/>
                <w:sz w:val="24"/>
                <w:szCs w:val="24"/>
                <w:lang w:eastAsia="lv-LV"/>
              </w:rPr>
              <w:t>v) ap</w:t>
            </w:r>
            <w:r w:rsidR="00273F22">
              <w:rPr>
                <w:rFonts w:ascii="Times New Roman" w:eastAsia="Times New Roman" w:hAnsi="Times New Roman" w:cs="Times New Roman"/>
                <w:color w:val="414142"/>
                <w:sz w:val="24"/>
                <w:szCs w:val="24"/>
                <w:lang w:eastAsia="lv-LV"/>
              </w:rPr>
              <w:t>ak</w:t>
            </w:r>
            <w:r w:rsidR="007567A9">
              <w:rPr>
                <w:rFonts w:ascii="Times New Roman" w:eastAsia="Times New Roman" w:hAnsi="Times New Roman" w:cs="Times New Roman"/>
                <w:color w:val="414142"/>
                <w:sz w:val="24"/>
                <w:szCs w:val="24"/>
                <w:lang w:eastAsia="lv-LV"/>
              </w:rPr>
              <w:t>špunkts</w:t>
            </w:r>
          </w:p>
        </w:tc>
        <w:tc>
          <w:tcPr>
            <w:tcW w:w="1100" w:type="pct"/>
            <w:tcBorders>
              <w:top w:val="outset" w:sz="6" w:space="0" w:color="414142"/>
              <w:left w:val="outset" w:sz="6" w:space="0" w:color="414142"/>
              <w:bottom w:val="outset" w:sz="6" w:space="0" w:color="414142"/>
              <w:right w:val="outset" w:sz="6" w:space="0" w:color="414142"/>
            </w:tcBorders>
          </w:tcPr>
          <w:p w:rsidR="00723B30" w:rsidRDefault="007567A9"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Likumprojekta </w:t>
            </w:r>
            <w:r w:rsidR="00273F22">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w:t>
            </w:r>
            <w:r w:rsidR="00273F22">
              <w:rPr>
                <w:rFonts w:ascii="Times New Roman" w:eastAsia="Times New Roman" w:hAnsi="Times New Roman" w:cs="Times New Roman"/>
                <w:color w:val="414142"/>
                <w:sz w:val="24"/>
                <w:szCs w:val="24"/>
                <w:lang w:eastAsia="lv-LV"/>
              </w:rPr>
              <w:t xml:space="preserve">pantā NILLTFNL 3.panta pirmās </w:t>
            </w:r>
            <w:r w:rsidR="00273F22">
              <w:rPr>
                <w:rFonts w:ascii="Times New Roman" w:eastAsia="Times New Roman" w:hAnsi="Times New Roman" w:cs="Times New Roman"/>
                <w:color w:val="414142"/>
                <w:sz w:val="24"/>
                <w:szCs w:val="24"/>
                <w:lang w:eastAsia="lv-LV"/>
              </w:rPr>
              <w:lastRenderedPageBreak/>
              <w:t>daļas 4.punkta d) apakšpunkts</w:t>
            </w:r>
          </w:p>
        </w:tc>
        <w:tc>
          <w:tcPr>
            <w:tcW w:w="1400" w:type="pct"/>
            <w:tcBorders>
              <w:top w:val="outset" w:sz="6" w:space="0" w:color="414142"/>
              <w:left w:val="outset" w:sz="6" w:space="0" w:color="414142"/>
              <w:bottom w:val="outset" w:sz="6" w:space="0" w:color="414142"/>
              <w:right w:val="outset" w:sz="6" w:space="0" w:color="414142"/>
            </w:tcBorders>
          </w:tcPr>
          <w:p w:rsidR="00723B30" w:rsidRDefault="005D0A80"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Ieviests pilnībā</w:t>
            </w:r>
          </w:p>
        </w:tc>
        <w:tc>
          <w:tcPr>
            <w:tcW w:w="1350" w:type="pct"/>
            <w:tcBorders>
              <w:top w:val="outset" w:sz="6" w:space="0" w:color="414142"/>
              <w:left w:val="outset" w:sz="6" w:space="0" w:color="414142"/>
              <w:bottom w:val="outset" w:sz="6" w:space="0" w:color="414142"/>
              <w:right w:val="outset" w:sz="6" w:space="0" w:color="414142"/>
            </w:tcBorders>
          </w:tcPr>
          <w:p w:rsidR="00723B30" w:rsidRDefault="005D0A80"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w:t>
            </w:r>
            <w:r w:rsidR="00DB7414">
              <w:rPr>
                <w:rFonts w:ascii="Times New Roman" w:eastAsia="Times New Roman" w:hAnsi="Times New Roman" w:cs="Times New Roman"/>
                <w:color w:val="414142"/>
                <w:sz w:val="24"/>
                <w:szCs w:val="24"/>
                <w:lang w:eastAsia="lv-LV"/>
              </w:rPr>
              <w:t xml:space="preserve">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1441D" w:rsidRDefault="00791E4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2.pants </w:t>
            </w:r>
            <w:r w:rsidR="003531D9">
              <w:rPr>
                <w:rFonts w:ascii="Times New Roman" w:eastAsia="Times New Roman" w:hAnsi="Times New Roman" w:cs="Times New Roman"/>
                <w:color w:val="414142"/>
                <w:sz w:val="24"/>
                <w:szCs w:val="24"/>
                <w:lang w:eastAsia="lv-LV"/>
              </w:rPr>
              <w:t xml:space="preserve">1.punkts 3) apakšpunkta </w:t>
            </w:r>
            <w:r>
              <w:rPr>
                <w:rFonts w:ascii="Times New Roman" w:eastAsia="Times New Roman" w:hAnsi="Times New Roman" w:cs="Times New Roman"/>
                <w:color w:val="414142"/>
                <w:sz w:val="24"/>
                <w:szCs w:val="24"/>
                <w:lang w:eastAsia="lv-LV"/>
              </w:rPr>
              <w:t>c) punkts</w:t>
            </w:r>
          </w:p>
        </w:tc>
        <w:tc>
          <w:tcPr>
            <w:tcW w:w="1100" w:type="pct"/>
            <w:tcBorders>
              <w:top w:val="outset" w:sz="6" w:space="0" w:color="414142"/>
              <w:left w:val="outset" w:sz="6" w:space="0" w:color="414142"/>
              <w:bottom w:val="outset" w:sz="6" w:space="0" w:color="414142"/>
              <w:right w:val="outset" w:sz="6" w:space="0" w:color="414142"/>
            </w:tcBorders>
          </w:tcPr>
          <w:p w:rsidR="0011441D" w:rsidRDefault="00791E45"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2.pantā NILLTFNL</w:t>
            </w:r>
            <w:r w:rsidR="005D0A80">
              <w:rPr>
                <w:rFonts w:ascii="Times New Roman" w:eastAsia="Times New Roman" w:hAnsi="Times New Roman" w:cs="Times New Roman"/>
                <w:color w:val="414142"/>
                <w:sz w:val="24"/>
                <w:szCs w:val="24"/>
                <w:lang w:eastAsia="lv-LV"/>
              </w:rPr>
              <w:t xml:space="preserve"> 3.panta pirmās daļas 5.punkts</w:t>
            </w:r>
            <w:r>
              <w:rPr>
                <w:rFonts w:ascii="Times New Roman" w:eastAsia="Times New Roman" w:hAnsi="Times New Roman" w:cs="Times New Roman"/>
                <w:color w:val="414142"/>
                <w:sz w:val="24"/>
                <w:szCs w:val="24"/>
                <w:lang w:eastAsia="lv-LV"/>
              </w:rPr>
              <w:t xml:space="preserve">  </w:t>
            </w:r>
          </w:p>
        </w:tc>
        <w:tc>
          <w:tcPr>
            <w:tcW w:w="1400" w:type="pct"/>
            <w:tcBorders>
              <w:top w:val="outset" w:sz="6" w:space="0" w:color="414142"/>
              <w:left w:val="outset" w:sz="6" w:space="0" w:color="414142"/>
              <w:bottom w:val="outset" w:sz="6" w:space="0" w:color="414142"/>
              <w:right w:val="outset" w:sz="6" w:space="0" w:color="414142"/>
            </w:tcBorders>
          </w:tcPr>
          <w:p w:rsidR="0011441D" w:rsidRDefault="005D0A80" w:rsidP="005D0A8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1441D" w:rsidRDefault="005D0A80"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w:t>
            </w:r>
            <w:r w:rsidR="00DB7414">
              <w:rPr>
                <w:rFonts w:ascii="Times New Roman" w:eastAsia="Times New Roman" w:hAnsi="Times New Roman" w:cs="Times New Roman"/>
                <w:color w:val="414142"/>
                <w:sz w:val="24"/>
                <w:szCs w:val="24"/>
                <w:lang w:eastAsia="lv-LV"/>
              </w:rPr>
              <w:t xml:space="preserve">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75F63" w:rsidRDefault="00775F63"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2.pants </w:t>
            </w:r>
            <w:r w:rsidR="00D8282A">
              <w:rPr>
                <w:rFonts w:ascii="Times New Roman" w:eastAsia="Times New Roman" w:hAnsi="Times New Roman" w:cs="Times New Roman"/>
                <w:color w:val="414142"/>
                <w:sz w:val="24"/>
                <w:szCs w:val="24"/>
                <w:lang w:eastAsia="lv-LV"/>
              </w:rPr>
              <w:t xml:space="preserve">1.punkta 3) apakšpunkta </w:t>
            </w:r>
            <w:r>
              <w:rPr>
                <w:rFonts w:ascii="Times New Roman" w:eastAsia="Times New Roman" w:hAnsi="Times New Roman" w:cs="Times New Roman"/>
                <w:color w:val="414142"/>
                <w:sz w:val="24"/>
                <w:szCs w:val="24"/>
                <w:lang w:eastAsia="lv-LV"/>
              </w:rPr>
              <w:t>e) punkts</w:t>
            </w:r>
          </w:p>
        </w:tc>
        <w:tc>
          <w:tcPr>
            <w:tcW w:w="1100" w:type="pct"/>
            <w:tcBorders>
              <w:top w:val="outset" w:sz="6" w:space="0" w:color="414142"/>
              <w:left w:val="outset" w:sz="6" w:space="0" w:color="414142"/>
              <w:bottom w:val="outset" w:sz="6" w:space="0" w:color="414142"/>
              <w:right w:val="outset" w:sz="6" w:space="0" w:color="414142"/>
            </w:tcBorders>
          </w:tcPr>
          <w:p w:rsidR="00775F63" w:rsidRDefault="00775F63"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2.pants NILLTFNL 3.panta pirmās daļas 9.punkts</w:t>
            </w:r>
          </w:p>
        </w:tc>
        <w:tc>
          <w:tcPr>
            <w:tcW w:w="1400" w:type="pct"/>
            <w:tcBorders>
              <w:top w:val="outset" w:sz="6" w:space="0" w:color="414142"/>
              <w:left w:val="outset" w:sz="6" w:space="0" w:color="414142"/>
              <w:bottom w:val="outset" w:sz="6" w:space="0" w:color="414142"/>
              <w:right w:val="outset" w:sz="6" w:space="0" w:color="414142"/>
            </w:tcBorders>
          </w:tcPr>
          <w:p w:rsidR="00775F63" w:rsidRDefault="00775F63" w:rsidP="005D0A8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Ieviests pilnībā </w:t>
            </w:r>
          </w:p>
        </w:tc>
        <w:tc>
          <w:tcPr>
            <w:tcW w:w="1350" w:type="pct"/>
            <w:tcBorders>
              <w:top w:val="outset" w:sz="6" w:space="0" w:color="414142"/>
              <w:left w:val="outset" w:sz="6" w:space="0" w:color="414142"/>
              <w:bottom w:val="outset" w:sz="6" w:space="0" w:color="414142"/>
              <w:right w:val="outset" w:sz="6" w:space="0" w:color="414142"/>
            </w:tcBorders>
          </w:tcPr>
          <w:p w:rsidR="00775F63" w:rsidRPr="007C4C2B" w:rsidRDefault="00114191"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7C4C2B">
              <w:rPr>
                <w:rFonts w:ascii="Times New Roman" w:eastAsia="Times New Roman" w:hAnsi="Times New Roman" w:cs="Times New Roman"/>
                <w:color w:val="414142"/>
                <w:sz w:val="24"/>
                <w:szCs w:val="24"/>
                <w:lang w:eastAsia="lv-LV"/>
              </w:rPr>
              <w:t xml:space="preserve">Likumprojekts </w:t>
            </w:r>
            <w:r w:rsidR="00775F63" w:rsidRPr="007C4C2B">
              <w:rPr>
                <w:rFonts w:ascii="Times New Roman" w:eastAsia="Times New Roman" w:hAnsi="Times New Roman" w:cs="Times New Roman"/>
                <w:color w:val="414142"/>
                <w:sz w:val="24"/>
                <w:szCs w:val="24"/>
                <w:lang w:eastAsia="lv-LV"/>
              </w:rPr>
              <w:t>nosaka stingrākas prasības</w:t>
            </w:r>
            <w:r w:rsidR="00DB7414" w:rsidRPr="007C4C2B">
              <w:rPr>
                <w:rFonts w:ascii="Times New Roman" w:eastAsia="Times New Roman" w:hAnsi="Times New Roman" w:cs="Times New Roman"/>
                <w:color w:val="414142"/>
                <w:sz w:val="24"/>
                <w:szCs w:val="24"/>
                <w:lang w:eastAsia="lv-LV"/>
              </w:rPr>
              <w:t xml:space="preserve"> kā ES tiesību akts</w:t>
            </w:r>
            <w:r w:rsidR="007D2A20" w:rsidRPr="007C4C2B">
              <w:rPr>
                <w:rFonts w:ascii="Times New Roman" w:eastAsia="Times New Roman" w:hAnsi="Times New Roman" w:cs="Times New Roman"/>
                <w:color w:val="414142"/>
                <w:sz w:val="24"/>
                <w:szCs w:val="24"/>
                <w:lang w:eastAsia="lv-LV"/>
              </w:rPr>
              <w:t xml:space="preserve">, jo </w:t>
            </w:r>
            <w:r w:rsidR="00776A27" w:rsidRPr="007C4C2B">
              <w:rPr>
                <w:rFonts w:ascii="Times New Roman" w:eastAsia="Times New Roman" w:hAnsi="Times New Roman" w:cs="Times New Roman"/>
                <w:color w:val="414142"/>
                <w:sz w:val="24"/>
                <w:szCs w:val="24"/>
                <w:lang w:eastAsia="lv-LV"/>
              </w:rPr>
              <w:t xml:space="preserve">robežvērtība tiek noteikta atbilstoši </w:t>
            </w:r>
            <w:r w:rsidR="007C4C2B" w:rsidRPr="007C4C2B">
              <w:rPr>
                <w:rFonts w:ascii="Times New Roman" w:hAnsi="Times New Roman" w:cs="Times New Roman"/>
                <w:sz w:val="24"/>
                <w:szCs w:val="24"/>
              </w:rPr>
              <w:t>AML IV direktīvas grozījumu priekšlikumam 2016/0208 (COD).</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393CF9" w:rsidRDefault="00393CF9"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3.panta 2.punkts b) apakšpunkts</w:t>
            </w:r>
          </w:p>
        </w:tc>
        <w:tc>
          <w:tcPr>
            <w:tcW w:w="1100" w:type="pct"/>
            <w:tcBorders>
              <w:top w:val="outset" w:sz="6" w:space="0" w:color="414142"/>
              <w:left w:val="outset" w:sz="6" w:space="0" w:color="414142"/>
              <w:bottom w:val="outset" w:sz="6" w:space="0" w:color="414142"/>
              <w:right w:val="outset" w:sz="6" w:space="0" w:color="414142"/>
            </w:tcBorders>
          </w:tcPr>
          <w:p w:rsidR="00393CF9" w:rsidRDefault="00393CF9"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1.pants NILLTFNL 1.panta 7.punkta a) apakšpunkts</w:t>
            </w:r>
          </w:p>
        </w:tc>
        <w:tc>
          <w:tcPr>
            <w:tcW w:w="1400" w:type="pct"/>
            <w:tcBorders>
              <w:top w:val="outset" w:sz="6" w:space="0" w:color="414142"/>
              <w:left w:val="outset" w:sz="6" w:space="0" w:color="414142"/>
              <w:bottom w:val="outset" w:sz="6" w:space="0" w:color="414142"/>
              <w:right w:val="outset" w:sz="6" w:space="0" w:color="414142"/>
            </w:tcBorders>
          </w:tcPr>
          <w:p w:rsidR="00393CF9" w:rsidRDefault="00393CF9" w:rsidP="005D0A8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393CF9" w:rsidRDefault="00393CF9"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94C55" w:rsidRPr="00894C55" w:rsidRDefault="00543774"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3.panta </w:t>
            </w:r>
            <w:r w:rsidR="00702CB8">
              <w:rPr>
                <w:rFonts w:ascii="Times New Roman" w:eastAsia="Times New Roman" w:hAnsi="Times New Roman" w:cs="Times New Roman"/>
                <w:color w:val="414142"/>
                <w:sz w:val="24"/>
                <w:szCs w:val="24"/>
                <w:lang w:eastAsia="lv-LV"/>
              </w:rPr>
              <w:t>6.punkts</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894C55" w:rsidRDefault="00677A7A" w:rsidP="00723B3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1.pant</w:t>
            </w:r>
            <w:r w:rsidR="00723B30">
              <w:rPr>
                <w:rFonts w:ascii="Times New Roman" w:eastAsia="Times New Roman" w:hAnsi="Times New Roman" w:cs="Times New Roman"/>
                <w:color w:val="414142"/>
                <w:sz w:val="24"/>
                <w:szCs w:val="24"/>
                <w:lang w:eastAsia="lv-LV"/>
              </w:rPr>
              <w:t xml:space="preserve">ā NILLTFNL </w:t>
            </w:r>
            <w:r w:rsidR="001A28E2">
              <w:rPr>
                <w:rFonts w:ascii="Times New Roman" w:eastAsia="Times New Roman" w:hAnsi="Times New Roman" w:cs="Times New Roman"/>
                <w:color w:val="414142"/>
                <w:sz w:val="24"/>
                <w:szCs w:val="24"/>
                <w:lang w:eastAsia="lv-LV"/>
              </w:rPr>
              <w:t>1.panta 5.punkts</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894C55" w:rsidRDefault="00677A7A"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hideMark/>
          </w:tcPr>
          <w:p w:rsidR="00894C55" w:rsidRPr="00894C55" w:rsidRDefault="00677A7A"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w:t>
            </w:r>
            <w:r w:rsidR="00DB7414">
              <w:rPr>
                <w:rFonts w:ascii="Times New Roman" w:eastAsia="Times New Roman" w:hAnsi="Times New Roman" w:cs="Times New Roman"/>
                <w:color w:val="414142"/>
                <w:sz w:val="24"/>
                <w:szCs w:val="24"/>
                <w:lang w:eastAsia="lv-LV"/>
              </w:rPr>
              <w:t xml:space="preserve">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4785D" w:rsidRDefault="0014785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3.panta 15.punkts</w:t>
            </w:r>
          </w:p>
        </w:tc>
        <w:tc>
          <w:tcPr>
            <w:tcW w:w="1100" w:type="pct"/>
            <w:tcBorders>
              <w:top w:val="outset" w:sz="6" w:space="0" w:color="414142"/>
              <w:left w:val="outset" w:sz="6" w:space="0" w:color="414142"/>
              <w:bottom w:val="outset" w:sz="6" w:space="0" w:color="414142"/>
              <w:right w:val="outset" w:sz="6" w:space="0" w:color="414142"/>
            </w:tcBorders>
          </w:tcPr>
          <w:p w:rsidR="0014785D" w:rsidRDefault="0014785D" w:rsidP="00723B3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1.pantā NILLTFNL 1.panta 2¹.punkts</w:t>
            </w:r>
          </w:p>
        </w:tc>
        <w:tc>
          <w:tcPr>
            <w:tcW w:w="1400" w:type="pct"/>
            <w:tcBorders>
              <w:top w:val="outset" w:sz="6" w:space="0" w:color="414142"/>
              <w:left w:val="outset" w:sz="6" w:space="0" w:color="414142"/>
              <w:bottom w:val="outset" w:sz="6" w:space="0" w:color="414142"/>
              <w:right w:val="outset" w:sz="6" w:space="0" w:color="414142"/>
            </w:tcBorders>
          </w:tcPr>
          <w:p w:rsidR="0014785D" w:rsidRDefault="0014785D"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4785D" w:rsidRDefault="0014785D"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77A7A" w:rsidRPr="00963F1D" w:rsidRDefault="008C7383" w:rsidP="00894C55">
            <w:pPr>
              <w:spacing w:after="0" w:line="240" w:lineRule="auto"/>
              <w:rPr>
                <w:rFonts w:ascii="Times New Roman" w:eastAsia="Times New Roman" w:hAnsi="Times New Roman" w:cs="Times New Roman"/>
                <w:color w:val="414142"/>
                <w:sz w:val="24"/>
                <w:szCs w:val="24"/>
                <w:lang w:eastAsia="lv-LV"/>
              </w:rPr>
            </w:pPr>
            <w:r w:rsidRPr="00963F1D">
              <w:rPr>
                <w:rFonts w:ascii="Times New Roman" w:eastAsia="Times New Roman" w:hAnsi="Times New Roman" w:cs="Times New Roman"/>
                <w:color w:val="414142"/>
                <w:sz w:val="24"/>
                <w:szCs w:val="24"/>
                <w:lang w:eastAsia="lv-LV"/>
              </w:rPr>
              <w:t>9.pants</w:t>
            </w:r>
          </w:p>
        </w:tc>
        <w:tc>
          <w:tcPr>
            <w:tcW w:w="1100" w:type="pct"/>
            <w:tcBorders>
              <w:top w:val="outset" w:sz="6" w:space="0" w:color="414142"/>
              <w:left w:val="outset" w:sz="6" w:space="0" w:color="414142"/>
              <w:bottom w:val="outset" w:sz="6" w:space="0" w:color="414142"/>
              <w:right w:val="outset" w:sz="6" w:space="0" w:color="414142"/>
            </w:tcBorders>
          </w:tcPr>
          <w:p w:rsidR="00677A7A" w:rsidRDefault="008C7383"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1.pantā NILLTFNL 1. panta 12¹.punkts</w:t>
            </w:r>
          </w:p>
        </w:tc>
        <w:tc>
          <w:tcPr>
            <w:tcW w:w="1400" w:type="pct"/>
            <w:tcBorders>
              <w:top w:val="outset" w:sz="6" w:space="0" w:color="414142"/>
              <w:left w:val="outset" w:sz="6" w:space="0" w:color="414142"/>
              <w:bottom w:val="outset" w:sz="6" w:space="0" w:color="414142"/>
              <w:right w:val="outset" w:sz="6" w:space="0" w:color="414142"/>
            </w:tcBorders>
          </w:tcPr>
          <w:p w:rsidR="00677A7A" w:rsidRDefault="008C7383"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77A7A" w:rsidRDefault="008C7383"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w:t>
            </w:r>
            <w:r w:rsidR="00DB7414">
              <w:rPr>
                <w:rFonts w:ascii="Times New Roman" w:eastAsia="Times New Roman" w:hAnsi="Times New Roman" w:cs="Times New Roman"/>
                <w:color w:val="414142"/>
                <w:sz w:val="24"/>
                <w:szCs w:val="24"/>
                <w:lang w:eastAsia="lv-LV"/>
              </w:rPr>
              <w:t xml:space="preserve"> kā ES tiesību akts</w:t>
            </w:r>
          </w:p>
        </w:tc>
      </w:tr>
      <w:tr w:rsidR="00281BB9" w:rsidRPr="00894C55" w:rsidTr="00963F1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643B4B" w:rsidRPr="00963F1D" w:rsidRDefault="00963F1D"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11.pants a) punkts</w:t>
            </w:r>
          </w:p>
        </w:tc>
        <w:tc>
          <w:tcPr>
            <w:tcW w:w="1100" w:type="pct"/>
            <w:tcBorders>
              <w:top w:val="outset" w:sz="6" w:space="0" w:color="414142"/>
              <w:left w:val="outset" w:sz="6" w:space="0" w:color="414142"/>
              <w:bottom w:val="outset" w:sz="6" w:space="0" w:color="414142"/>
              <w:right w:val="outset" w:sz="6" w:space="0" w:color="414142"/>
            </w:tcBorders>
          </w:tcPr>
          <w:p w:rsidR="00643B4B" w:rsidRPr="00963F1D" w:rsidRDefault="00963F1D" w:rsidP="00F57B0C">
            <w:pPr>
              <w:spacing w:after="0" w:line="240" w:lineRule="auto"/>
              <w:rPr>
                <w:rFonts w:ascii="Times New Roman" w:eastAsia="Times New Roman" w:hAnsi="Times New Roman" w:cs="Times New Roman"/>
                <w:color w:val="000000" w:themeColor="text1"/>
                <w:sz w:val="24"/>
                <w:szCs w:val="24"/>
                <w:highlight w:val="yellow"/>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C31">
              <w:rPr>
                <w:rFonts w:ascii="Times New Roman" w:eastAsia="Times New Roman" w:hAnsi="Times New Roman" w:cs="Times New Roman"/>
                <w:color w:val="414142"/>
                <w:sz w:val="24"/>
                <w:szCs w:val="24"/>
                <w:lang w:eastAsia="lv-LV"/>
              </w:rPr>
              <w:t>Likumprojekta 7.pants NILLTFNL 11.pant</w:t>
            </w:r>
            <w:r w:rsidR="00D84B2F">
              <w:rPr>
                <w:rFonts w:ascii="Times New Roman" w:eastAsia="Times New Roman" w:hAnsi="Times New Roman" w:cs="Times New Roman"/>
                <w:color w:val="414142"/>
                <w:sz w:val="24"/>
                <w:szCs w:val="24"/>
                <w:lang w:eastAsia="lv-LV"/>
              </w:rPr>
              <w:t>a</w:t>
            </w:r>
            <w:r w:rsidRPr="00240C31">
              <w:rPr>
                <w:rFonts w:ascii="Times New Roman" w:eastAsia="Times New Roman" w:hAnsi="Times New Roman" w:cs="Times New Roman"/>
                <w:color w:val="414142"/>
                <w:sz w:val="24"/>
                <w:szCs w:val="24"/>
                <w:lang w:eastAsia="lv-LV"/>
              </w:rPr>
              <w:t xml:space="preserve"> pirmās daļas 1.punkts</w:t>
            </w:r>
            <w:r>
              <w:rPr>
                <w:rFonts w:ascii="Times New Roman" w:eastAsia="Times New Roman" w:hAnsi="Times New Roman" w:cs="Times New Roman"/>
                <w:sz w:val="24"/>
                <w:szCs w:val="24"/>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400" w:type="pct"/>
            <w:tcBorders>
              <w:top w:val="outset" w:sz="6" w:space="0" w:color="414142"/>
              <w:left w:val="outset" w:sz="6" w:space="0" w:color="414142"/>
              <w:bottom w:val="outset" w:sz="6" w:space="0" w:color="414142"/>
              <w:right w:val="outset" w:sz="6" w:space="0" w:color="414142"/>
            </w:tcBorders>
          </w:tcPr>
          <w:p w:rsidR="00643B4B" w:rsidRPr="008B4DAB" w:rsidRDefault="00963F1D" w:rsidP="00F57B0C">
            <w:pPr>
              <w:spacing w:before="100" w:beforeAutospacing="1" w:after="100" w:afterAutospacing="1" w:line="293" w:lineRule="atLeast"/>
              <w:rPr>
                <w:rFonts w:ascii="Times New Roman" w:eastAsia="Times New Roman" w:hAnsi="Times New Roman" w:cs="Times New Roman"/>
                <w:color w:val="414142"/>
                <w:sz w:val="24"/>
                <w:szCs w:val="24"/>
                <w:highlight w:val="yellow"/>
                <w:lang w:eastAsia="lv-LV"/>
              </w:rPr>
            </w:pPr>
            <w:r w:rsidRPr="00963F1D">
              <w:rPr>
                <w:rFonts w:ascii="Times New Roman" w:eastAsia="Times New Roman" w:hAnsi="Times New Roman" w:cs="Times New Roman"/>
                <w:color w:val="414142"/>
                <w:sz w:val="24"/>
                <w:szCs w:val="24"/>
                <w:lang w:eastAsia="lv-LV"/>
              </w:rPr>
              <w:t>Ieviest pilnībā</w:t>
            </w:r>
          </w:p>
        </w:tc>
        <w:tc>
          <w:tcPr>
            <w:tcW w:w="1350" w:type="pct"/>
            <w:tcBorders>
              <w:top w:val="outset" w:sz="6" w:space="0" w:color="414142"/>
              <w:left w:val="outset" w:sz="6" w:space="0" w:color="414142"/>
              <w:bottom w:val="outset" w:sz="6" w:space="0" w:color="414142"/>
              <w:right w:val="outset" w:sz="6" w:space="0" w:color="414142"/>
            </w:tcBorders>
          </w:tcPr>
          <w:p w:rsidR="00643B4B" w:rsidRPr="008B4DAB" w:rsidRDefault="007B3E75" w:rsidP="00F57B0C">
            <w:pPr>
              <w:spacing w:before="100" w:beforeAutospacing="1" w:after="100" w:afterAutospacing="1" w:line="293" w:lineRule="atLeast"/>
              <w:rPr>
                <w:rFonts w:ascii="Times New Roman" w:eastAsia="Times New Roman" w:hAnsi="Times New Roman" w:cs="Times New Roman"/>
                <w:color w:val="414142"/>
                <w:sz w:val="24"/>
                <w:szCs w:val="24"/>
                <w:highlight w:val="yellow"/>
                <w:lang w:eastAsia="lv-LV"/>
              </w:rPr>
            </w:pPr>
            <w:r w:rsidRPr="00963F1D">
              <w:rPr>
                <w:rFonts w:ascii="Times New Roman" w:eastAsia="Times New Roman" w:hAnsi="Times New Roman" w:cs="Times New Roman"/>
                <w:color w:val="414142"/>
                <w:sz w:val="24"/>
                <w:szCs w:val="24"/>
                <w:lang w:eastAsia="lv-LV"/>
              </w:rPr>
              <w:t>Likumprojekts nenosaka stingrākas prasības kā ES tiesību akts</w:t>
            </w:r>
          </w:p>
        </w:tc>
      </w:tr>
      <w:tr w:rsidR="00281BB9" w:rsidRPr="00894C55" w:rsidTr="00963F1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C662CA" w:rsidRDefault="00C662CA"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11.pants b) punkts</w:t>
            </w:r>
          </w:p>
        </w:tc>
        <w:tc>
          <w:tcPr>
            <w:tcW w:w="1100" w:type="pct"/>
            <w:tcBorders>
              <w:top w:val="outset" w:sz="6" w:space="0" w:color="414142"/>
              <w:left w:val="outset" w:sz="6" w:space="0" w:color="414142"/>
              <w:bottom w:val="outset" w:sz="6" w:space="0" w:color="414142"/>
              <w:right w:val="outset" w:sz="6" w:space="0" w:color="414142"/>
            </w:tcBorders>
          </w:tcPr>
          <w:p w:rsidR="00C662CA" w:rsidRPr="00963F1D" w:rsidRDefault="00C662CA" w:rsidP="00F57B0C">
            <w:pPr>
              <w:spacing w:after="0" w:line="240" w:lineRule="auto"/>
              <w:rPr>
                <w:rFonts w:ascii="Times New Roman" w:eastAsia="Times New Roman" w:hAnsi="Times New Roman" w:cs="Times New Roman"/>
                <w:sz w:val="24"/>
                <w:szCs w:val="24"/>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C31">
              <w:rPr>
                <w:rFonts w:ascii="Times New Roman" w:eastAsia="Times New Roman" w:hAnsi="Times New Roman" w:cs="Times New Roman"/>
                <w:color w:val="414142"/>
                <w:sz w:val="24"/>
                <w:szCs w:val="24"/>
                <w:lang w:eastAsia="lv-LV"/>
              </w:rPr>
              <w:t>Likumprojekta 7.pants NILLTFNL 11.pant</w:t>
            </w:r>
            <w:r w:rsidR="00D84B2F">
              <w:rPr>
                <w:rFonts w:ascii="Times New Roman" w:eastAsia="Times New Roman" w:hAnsi="Times New Roman" w:cs="Times New Roman"/>
                <w:color w:val="414142"/>
                <w:sz w:val="24"/>
                <w:szCs w:val="24"/>
                <w:lang w:eastAsia="lv-LV"/>
              </w:rPr>
              <w:t>a</w:t>
            </w:r>
            <w:r w:rsidRPr="00240C31">
              <w:rPr>
                <w:rFonts w:ascii="Times New Roman" w:eastAsia="Times New Roman" w:hAnsi="Times New Roman" w:cs="Times New Roman"/>
                <w:color w:val="414142"/>
                <w:sz w:val="24"/>
                <w:szCs w:val="24"/>
                <w:lang w:eastAsia="lv-LV"/>
              </w:rPr>
              <w:t xml:space="preserve"> pirmās daļas 2.punkts</w:t>
            </w:r>
          </w:p>
        </w:tc>
        <w:tc>
          <w:tcPr>
            <w:tcW w:w="1400" w:type="pct"/>
            <w:tcBorders>
              <w:top w:val="outset" w:sz="6" w:space="0" w:color="414142"/>
              <w:left w:val="outset" w:sz="6" w:space="0" w:color="414142"/>
              <w:bottom w:val="outset" w:sz="6" w:space="0" w:color="414142"/>
              <w:right w:val="outset" w:sz="6" w:space="0" w:color="414142"/>
            </w:tcBorders>
          </w:tcPr>
          <w:p w:rsidR="00C662CA" w:rsidRPr="00963F1D" w:rsidRDefault="00C662CA"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C662CA" w:rsidRPr="00963F1D" w:rsidRDefault="00C662CA"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akti</w:t>
            </w:r>
          </w:p>
        </w:tc>
      </w:tr>
      <w:tr w:rsidR="00281BB9" w:rsidRPr="00894C55" w:rsidTr="00963F1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C662CA" w:rsidRDefault="00D025D6"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11.pants b) punkts ii) apakšpunkts</w:t>
            </w:r>
          </w:p>
        </w:tc>
        <w:tc>
          <w:tcPr>
            <w:tcW w:w="1100" w:type="pct"/>
            <w:tcBorders>
              <w:top w:val="outset" w:sz="6" w:space="0" w:color="414142"/>
              <w:left w:val="outset" w:sz="6" w:space="0" w:color="414142"/>
              <w:bottom w:val="outset" w:sz="6" w:space="0" w:color="414142"/>
              <w:right w:val="outset" w:sz="6" w:space="0" w:color="414142"/>
            </w:tcBorders>
          </w:tcPr>
          <w:p w:rsidR="00C662CA" w:rsidRPr="00240C31" w:rsidRDefault="00D025D6" w:rsidP="00F57B0C">
            <w:pPr>
              <w:spacing w:after="0" w:line="240" w:lineRule="auto"/>
              <w:rPr>
                <w:rFonts w:ascii="Times New Roman" w:eastAsia="Times New Roman" w:hAnsi="Times New Roman" w:cs="Times New Roman"/>
                <w:color w:val="414142"/>
                <w:sz w:val="24"/>
                <w:szCs w:val="24"/>
                <w:lang w:eastAsia="lv-LV"/>
              </w:rPr>
            </w:pPr>
            <w:r w:rsidRPr="00240C31">
              <w:rPr>
                <w:rFonts w:ascii="Times New Roman" w:eastAsia="Times New Roman" w:hAnsi="Times New Roman" w:cs="Times New Roman"/>
                <w:color w:val="414142"/>
                <w:sz w:val="24"/>
                <w:szCs w:val="24"/>
                <w:lang w:eastAsia="lv-LV"/>
              </w:rPr>
              <w:t>Likumprojekta 7.pants NILLTFNL 11.pant</w:t>
            </w:r>
            <w:r w:rsidR="00D84B2F">
              <w:rPr>
                <w:rFonts w:ascii="Times New Roman" w:eastAsia="Times New Roman" w:hAnsi="Times New Roman" w:cs="Times New Roman"/>
                <w:color w:val="414142"/>
                <w:sz w:val="24"/>
                <w:szCs w:val="24"/>
                <w:lang w:eastAsia="lv-LV"/>
              </w:rPr>
              <w:t>a</w:t>
            </w:r>
            <w:r w:rsidRPr="00240C31">
              <w:rPr>
                <w:rFonts w:ascii="Times New Roman" w:eastAsia="Times New Roman" w:hAnsi="Times New Roman" w:cs="Times New Roman"/>
                <w:color w:val="414142"/>
                <w:sz w:val="24"/>
                <w:szCs w:val="24"/>
                <w:lang w:eastAsia="lv-LV"/>
              </w:rPr>
              <w:t xml:space="preserve"> </w:t>
            </w:r>
            <w:r w:rsidR="00CB62E5" w:rsidRPr="00240C31">
              <w:rPr>
                <w:rFonts w:ascii="Times New Roman" w:eastAsia="Times New Roman" w:hAnsi="Times New Roman" w:cs="Times New Roman"/>
                <w:color w:val="414142"/>
                <w:sz w:val="24"/>
                <w:szCs w:val="24"/>
                <w:lang w:eastAsia="lv-LV"/>
              </w:rPr>
              <w:t xml:space="preserve">pirmās daļas </w:t>
            </w:r>
            <w:r w:rsidR="009B2D94" w:rsidRPr="00240C31">
              <w:rPr>
                <w:rFonts w:ascii="Times New Roman" w:eastAsia="Times New Roman" w:hAnsi="Times New Roman" w:cs="Times New Roman"/>
                <w:color w:val="414142"/>
                <w:sz w:val="24"/>
                <w:szCs w:val="24"/>
                <w:lang w:eastAsia="lv-LV"/>
              </w:rPr>
              <w:t>2.punkta b) apakšpunkts</w:t>
            </w:r>
          </w:p>
        </w:tc>
        <w:tc>
          <w:tcPr>
            <w:tcW w:w="1400" w:type="pct"/>
            <w:tcBorders>
              <w:top w:val="outset" w:sz="6" w:space="0" w:color="414142"/>
              <w:left w:val="outset" w:sz="6" w:space="0" w:color="414142"/>
              <w:bottom w:val="outset" w:sz="6" w:space="0" w:color="414142"/>
              <w:right w:val="outset" w:sz="6" w:space="0" w:color="414142"/>
            </w:tcBorders>
          </w:tcPr>
          <w:p w:rsidR="00C662CA" w:rsidRDefault="009B2D94"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C662CA" w:rsidRDefault="009B2D94"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akti</w:t>
            </w:r>
          </w:p>
        </w:tc>
      </w:tr>
      <w:tr w:rsidR="00281BB9" w:rsidRPr="00894C55" w:rsidTr="00963F1D">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auto"/>
          </w:tcPr>
          <w:p w:rsidR="00CB62E5" w:rsidRDefault="00CB62E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11.pants c) punkts</w:t>
            </w:r>
          </w:p>
        </w:tc>
        <w:tc>
          <w:tcPr>
            <w:tcW w:w="1100" w:type="pct"/>
            <w:tcBorders>
              <w:top w:val="outset" w:sz="6" w:space="0" w:color="414142"/>
              <w:left w:val="outset" w:sz="6" w:space="0" w:color="414142"/>
              <w:bottom w:val="outset" w:sz="6" w:space="0" w:color="414142"/>
              <w:right w:val="outset" w:sz="6" w:space="0" w:color="414142"/>
            </w:tcBorders>
          </w:tcPr>
          <w:p w:rsidR="00CB62E5" w:rsidRPr="00240C31" w:rsidRDefault="00CB62E5" w:rsidP="00F57B0C">
            <w:pPr>
              <w:spacing w:after="0" w:line="240" w:lineRule="auto"/>
              <w:rPr>
                <w:rFonts w:ascii="Times New Roman" w:eastAsia="Times New Roman" w:hAnsi="Times New Roman" w:cs="Times New Roman"/>
                <w:color w:val="414142"/>
                <w:sz w:val="24"/>
                <w:szCs w:val="24"/>
                <w:lang w:eastAsia="lv-LV"/>
              </w:rPr>
            </w:pPr>
            <w:r w:rsidRPr="00240C31">
              <w:rPr>
                <w:rFonts w:ascii="Times New Roman" w:eastAsia="Times New Roman" w:hAnsi="Times New Roman" w:cs="Times New Roman"/>
                <w:color w:val="414142"/>
                <w:sz w:val="24"/>
                <w:szCs w:val="24"/>
                <w:lang w:eastAsia="lv-LV"/>
              </w:rPr>
              <w:t>Likumprojekta 7.pants NILLTFNL 11.pant</w:t>
            </w:r>
            <w:r w:rsidR="00D84B2F">
              <w:rPr>
                <w:rFonts w:ascii="Times New Roman" w:eastAsia="Times New Roman" w:hAnsi="Times New Roman" w:cs="Times New Roman"/>
                <w:color w:val="414142"/>
                <w:sz w:val="24"/>
                <w:szCs w:val="24"/>
                <w:lang w:eastAsia="lv-LV"/>
              </w:rPr>
              <w:t>a</w:t>
            </w:r>
            <w:r w:rsidRPr="00240C31">
              <w:rPr>
                <w:rFonts w:ascii="Times New Roman" w:eastAsia="Times New Roman" w:hAnsi="Times New Roman" w:cs="Times New Roman"/>
                <w:color w:val="414142"/>
                <w:sz w:val="24"/>
                <w:szCs w:val="24"/>
                <w:lang w:eastAsia="lv-LV"/>
              </w:rPr>
              <w:t xml:space="preserve"> pirmās daļas 3.punkts</w:t>
            </w:r>
          </w:p>
        </w:tc>
        <w:tc>
          <w:tcPr>
            <w:tcW w:w="1400" w:type="pct"/>
            <w:tcBorders>
              <w:top w:val="outset" w:sz="6" w:space="0" w:color="414142"/>
              <w:left w:val="outset" w:sz="6" w:space="0" w:color="414142"/>
              <w:bottom w:val="outset" w:sz="6" w:space="0" w:color="414142"/>
              <w:right w:val="outset" w:sz="6" w:space="0" w:color="414142"/>
            </w:tcBorders>
          </w:tcPr>
          <w:p w:rsidR="00CB62E5" w:rsidRDefault="00CB62E5"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CB62E5" w:rsidRDefault="00CB62E5"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norma tiek paplašināta ar personām, kas sniedz starpniecības pakalpojumus un cita veida pakalpojumus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AC3C4E" w:rsidRDefault="00AC3C4E"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11.pants d) punkts</w:t>
            </w:r>
          </w:p>
        </w:tc>
        <w:tc>
          <w:tcPr>
            <w:tcW w:w="1100" w:type="pct"/>
            <w:tcBorders>
              <w:top w:val="outset" w:sz="6" w:space="0" w:color="414142"/>
              <w:left w:val="outset" w:sz="6" w:space="0" w:color="414142"/>
              <w:bottom w:val="outset" w:sz="6" w:space="0" w:color="414142"/>
              <w:right w:val="outset" w:sz="6" w:space="0" w:color="414142"/>
            </w:tcBorders>
          </w:tcPr>
          <w:p w:rsidR="00AC3C4E" w:rsidRDefault="00AC3C4E"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3615F1">
              <w:rPr>
                <w:rFonts w:ascii="Times New Roman" w:eastAsia="Times New Roman" w:hAnsi="Times New Roman" w:cs="Times New Roman"/>
                <w:color w:val="414142"/>
                <w:sz w:val="24"/>
                <w:szCs w:val="24"/>
                <w:lang w:eastAsia="lv-LV"/>
              </w:rPr>
              <w:t>7.pants NILLTFNL 11.pant</w:t>
            </w:r>
            <w:r w:rsidR="00D84B2F">
              <w:rPr>
                <w:rFonts w:ascii="Times New Roman" w:eastAsia="Times New Roman" w:hAnsi="Times New Roman" w:cs="Times New Roman"/>
                <w:color w:val="414142"/>
                <w:sz w:val="24"/>
                <w:szCs w:val="24"/>
                <w:lang w:eastAsia="lv-LV"/>
              </w:rPr>
              <w:t>a</w:t>
            </w:r>
            <w:r w:rsidR="003615F1">
              <w:rPr>
                <w:rFonts w:ascii="Times New Roman" w:eastAsia="Times New Roman" w:hAnsi="Times New Roman" w:cs="Times New Roman"/>
                <w:color w:val="414142"/>
                <w:sz w:val="24"/>
                <w:szCs w:val="24"/>
                <w:lang w:eastAsia="lv-LV"/>
              </w:rPr>
              <w:t xml:space="preserve"> pirmās</w:t>
            </w:r>
            <w:r>
              <w:rPr>
                <w:rFonts w:ascii="Times New Roman" w:eastAsia="Times New Roman" w:hAnsi="Times New Roman" w:cs="Times New Roman"/>
                <w:color w:val="414142"/>
                <w:sz w:val="24"/>
                <w:szCs w:val="24"/>
                <w:lang w:eastAsia="lv-LV"/>
              </w:rPr>
              <w:t xml:space="preserve"> daļas </w:t>
            </w:r>
            <w:r w:rsidR="00D9551B">
              <w:rPr>
                <w:rFonts w:ascii="Times New Roman" w:eastAsia="Times New Roman" w:hAnsi="Times New Roman" w:cs="Times New Roman"/>
                <w:color w:val="414142"/>
                <w:sz w:val="24"/>
                <w:szCs w:val="24"/>
                <w:lang w:eastAsia="lv-LV"/>
              </w:rPr>
              <w:t>4.punkts</w:t>
            </w:r>
          </w:p>
        </w:tc>
        <w:tc>
          <w:tcPr>
            <w:tcW w:w="1400" w:type="pct"/>
            <w:tcBorders>
              <w:top w:val="outset" w:sz="6" w:space="0" w:color="414142"/>
              <w:left w:val="outset" w:sz="6" w:space="0" w:color="414142"/>
              <w:bottom w:val="outset" w:sz="6" w:space="0" w:color="414142"/>
              <w:right w:val="outset" w:sz="6" w:space="0" w:color="414142"/>
            </w:tcBorders>
          </w:tcPr>
          <w:p w:rsidR="00AC3C4E" w:rsidRDefault="00D9551B"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AC3C4E" w:rsidRDefault="00D9551B"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281BB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F375A9" w:rsidRDefault="003615F1"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11.pants f) punkts</w:t>
            </w:r>
          </w:p>
        </w:tc>
        <w:tc>
          <w:tcPr>
            <w:tcW w:w="1100" w:type="pct"/>
            <w:tcBorders>
              <w:top w:val="outset" w:sz="6" w:space="0" w:color="414142"/>
              <w:left w:val="outset" w:sz="6" w:space="0" w:color="414142"/>
              <w:bottom w:val="outset" w:sz="6" w:space="0" w:color="414142"/>
              <w:right w:val="outset" w:sz="6" w:space="0" w:color="414142"/>
            </w:tcBorders>
          </w:tcPr>
          <w:p w:rsidR="00F375A9" w:rsidRDefault="003615F1"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7.pants NILLTFNL 11.pant</w:t>
            </w:r>
            <w:r w:rsidR="00D84B2F">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pirmās daļas 6.punkts</w:t>
            </w:r>
          </w:p>
        </w:tc>
        <w:tc>
          <w:tcPr>
            <w:tcW w:w="1400" w:type="pct"/>
            <w:tcBorders>
              <w:top w:val="outset" w:sz="6" w:space="0" w:color="414142"/>
              <w:left w:val="outset" w:sz="6" w:space="0" w:color="414142"/>
              <w:bottom w:val="outset" w:sz="6" w:space="0" w:color="414142"/>
              <w:right w:val="outset" w:sz="6" w:space="0" w:color="414142"/>
            </w:tcBorders>
          </w:tcPr>
          <w:p w:rsidR="00F375A9" w:rsidRDefault="003615F1"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F375A9" w:rsidRDefault="003615F1"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F11A5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F11A5C" w:rsidRDefault="00F11A5C" w:rsidP="00F11A5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pirmā daļa</w:t>
            </w:r>
          </w:p>
        </w:tc>
        <w:tc>
          <w:tcPr>
            <w:tcW w:w="1100" w:type="pct"/>
            <w:tcBorders>
              <w:top w:val="outset" w:sz="6" w:space="0" w:color="414142"/>
              <w:left w:val="outset" w:sz="6" w:space="0" w:color="414142"/>
              <w:bottom w:val="outset" w:sz="6" w:space="0" w:color="414142"/>
              <w:right w:val="outset" w:sz="6" w:space="0" w:color="414142"/>
            </w:tcBorders>
          </w:tcPr>
          <w:p w:rsidR="00F11A5C" w:rsidRDefault="00F11A5C"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A920F4">
              <w:rPr>
                <w:rFonts w:ascii="Times New Roman" w:eastAsia="Times New Roman" w:hAnsi="Times New Roman" w:cs="Times New Roman"/>
                <w:color w:val="414142"/>
                <w:sz w:val="24"/>
                <w:szCs w:val="24"/>
                <w:lang w:eastAsia="lv-LV"/>
              </w:rPr>
              <w:t>1</w:t>
            </w:r>
            <w:r w:rsidR="00D84B2F">
              <w:rPr>
                <w:rFonts w:ascii="Times New Roman" w:eastAsia="Times New Roman" w:hAnsi="Times New Roman" w:cs="Times New Roman"/>
                <w:color w:val="414142"/>
                <w:sz w:val="24"/>
                <w:szCs w:val="24"/>
                <w:lang w:eastAsia="lv-LV"/>
              </w:rPr>
              <w:t>8</w:t>
            </w:r>
            <w:r w:rsidR="00A920F4">
              <w:rPr>
                <w:rFonts w:ascii="Times New Roman" w:eastAsia="Times New Roman" w:hAnsi="Times New Roman" w:cs="Times New Roman"/>
                <w:color w:val="414142"/>
                <w:sz w:val="24"/>
                <w:szCs w:val="24"/>
                <w:lang w:eastAsia="lv-LV"/>
              </w:rPr>
              <w:t xml:space="preserve">.pants </w:t>
            </w:r>
            <w:r w:rsidR="00BC48AC">
              <w:rPr>
                <w:rFonts w:ascii="Times New Roman" w:eastAsia="Times New Roman" w:hAnsi="Times New Roman" w:cs="Times New Roman"/>
                <w:color w:val="414142"/>
                <w:sz w:val="24"/>
                <w:szCs w:val="24"/>
                <w:lang w:eastAsia="lv-LV"/>
              </w:rPr>
              <w:t xml:space="preserve">NILLTFNL </w:t>
            </w:r>
            <w:r w:rsidR="008D4066">
              <w:rPr>
                <w:rFonts w:ascii="Times New Roman" w:eastAsia="Times New Roman" w:hAnsi="Times New Roman" w:cs="Times New Roman"/>
                <w:color w:val="414142"/>
                <w:sz w:val="24"/>
                <w:szCs w:val="24"/>
                <w:lang w:eastAsia="lv-LV"/>
              </w:rPr>
              <w:t>26.pant</w:t>
            </w:r>
            <w:r w:rsidR="00D84B2F">
              <w:rPr>
                <w:rFonts w:ascii="Times New Roman" w:eastAsia="Times New Roman" w:hAnsi="Times New Roman" w:cs="Times New Roman"/>
                <w:color w:val="414142"/>
                <w:sz w:val="24"/>
                <w:szCs w:val="24"/>
                <w:lang w:eastAsia="lv-LV"/>
              </w:rPr>
              <w:t>a sestā</w:t>
            </w:r>
            <w:r w:rsidR="00BC48AC">
              <w:rPr>
                <w:rFonts w:ascii="Times New Roman" w:eastAsia="Times New Roman" w:hAnsi="Times New Roman" w:cs="Times New Roman"/>
                <w:color w:val="414142"/>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F11A5C" w:rsidRDefault="0066662F"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F11A5C" w:rsidRDefault="0066662F"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w:t>
            </w:r>
            <w:r w:rsidR="006678D2">
              <w:rPr>
                <w:rFonts w:ascii="Times New Roman" w:eastAsia="Times New Roman" w:hAnsi="Times New Roman" w:cs="Times New Roman"/>
                <w:color w:val="414142"/>
                <w:sz w:val="24"/>
                <w:szCs w:val="24"/>
                <w:lang w:eastAsia="lv-LV"/>
              </w:rPr>
              <w:t>ību akts</w:t>
            </w:r>
          </w:p>
        </w:tc>
      </w:tr>
      <w:tr w:rsidR="006678D2"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678D2" w:rsidRDefault="006678D2" w:rsidP="00F11A5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a) apakšpunkts</w:t>
            </w:r>
          </w:p>
        </w:tc>
        <w:tc>
          <w:tcPr>
            <w:tcW w:w="1100" w:type="pct"/>
            <w:tcBorders>
              <w:top w:val="outset" w:sz="6" w:space="0" w:color="414142"/>
              <w:left w:val="outset" w:sz="6" w:space="0" w:color="414142"/>
              <w:bottom w:val="outset" w:sz="6" w:space="0" w:color="414142"/>
              <w:right w:val="outset" w:sz="6" w:space="0" w:color="414142"/>
            </w:tcBorders>
          </w:tcPr>
          <w:p w:rsidR="006678D2" w:rsidRDefault="006678D2"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xml:space="preserve">.pants NILLTFNL </w:t>
            </w:r>
            <w:r w:rsidR="00D84B2F">
              <w:rPr>
                <w:rFonts w:ascii="Times New Roman" w:eastAsia="Times New Roman" w:hAnsi="Times New Roman" w:cs="Times New Roman"/>
                <w:color w:val="414142"/>
                <w:sz w:val="24"/>
                <w:szCs w:val="24"/>
                <w:lang w:eastAsia="lv-LV"/>
              </w:rPr>
              <w:t xml:space="preserve">26.panta sestās </w:t>
            </w:r>
            <w:r>
              <w:rPr>
                <w:rFonts w:ascii="Times New Roman" w:eastAsia="Times New Roman" w:hAnsi="Times New Roman" w:cs="Times New Roman"/>
                <w:color w:val="414142"/>
                <w:sz w:val="24"/>
                <w:szCs w:val="24"/>
                <w:lang w:eastAsia="lv-LV"/>
              </w:rPr>
              <w:t>daļas 1.punkts</w:t>
            </w:r>
          </w:p>
        </w:tc>
        <w:tc>
          <w:tcPr>
            <w:tcW w:w="1400" w:type="pct"/>
            <w:tcBorders>
              <w:top w:val="outset" w:sz="6" w:space="0" w:color="414142"/>
              <w:left w:val="outset" w:sz="6" w:space="0" w:color="414142"/>
              <w:bottom w:val="outset" w:sz="6" w:space="0" w:color="414142"/>
              <w:right w:val="outset" w:sz="6" w:space="0" w:color="414142"/>
            </w:tcBorders>
          </w:tcPr>
          <w:p w:rsidR="006678D2" w:rsidRDefault="006678D2"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678D2" w:rsidRDefault="006678D2"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nosaka stingrākas prasības kā ES tiesību akts, </w:t>
            </w:r>
            <w:r w:rsidR="00D22DCC" w:rsidRPr="007C4C2B">
              <w:rPr>
                <w:rFonts w:ascii="Times New Roman" w:eastAsia="Times New Roman" w:hAnsi="Times New Roman" w:cs="Times New Roman"/>
                <w:color w:val="414142"/>
                <w:sz w:val="24"/>
                <w:szCs w:val="24"/>
                <w:lang w:eastAsia="lv-LV"/>
              </w:rPr>
              <w:t xml:space="preserve">jo robežvērtība tiek noteikta atbilstoši </w:t>
            </w:r>
            <w:r w:rsidR="00D22DCC" w:rsidRPr="007C4C2B">
              <w:rPr>
                <w:rFonts w:ascii="Times New Roman" w:hAnsi="Times New Roman" w:cs="Times New Roman"/>
                <w:sz w:val="24"/>
                <w:szCs w:val="24"/>
              </w:rPr>
              <w:t>AML IV direktīvas grozījumu priekšlikumam 2016/0208 (COD).</w:t>
            </w:r>
          </w:p>
        </w:tc>
      </w:tr>
      <w:tr w:rsidR="006678D2"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678D2" w:rsidRDefault="006678D2" w:rsidP="00F11A5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b) apakšpunkts</w:t>
            </w:r>
          </w:p>
        </w:tc>
        <w:tc>
          <w:tcPr>
            <w:tcW w:w="1100" w:type="pct"/>
            <w:tcBorders>
              <w:top w:val="outset" w:sz="6" w:space="0" w:color="414142"/>
              <w:left w:val="outset" w:sz="6" w:space="0" w:color="414142"/>
              <w:bottom w:val="outset" w:sz="6" w:space="0" w:color="414142"/>
              <w:right w:val="outset" w:sz="6" w:space="0" w:color="414142"/>
            </w:tcBorders>
          </w:tcPr>
          <w:p w:rsidR="006678D2" w:rsidRDefault="006678D2"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xml:space="preserve">.pants NILLTFNL </w:t>
            </w:r>
            <w:r w:rsidR="00D84B2F">
              <w:rPr>
                <w:rFonts w:ascii="Times New Roman" w:eastAsia="Times New Roman" w:hAnsi="Times New Roman" w:cs="Times New Roman"/>
                <w:color w:val="414142"/>
                <w:sz w:val="24"/>
                <w:szCs w:val="24"/>
                <w:lang w:eastAsia="lv-LV"/>
              </w:rPr>
              <w:t xml:space="preserve">26.panta sestās </w:t>
            </w:r>
            <w:r>
              <w:rPr>
                <w:rFonts w:ascii="Times New Roman" w:eastAsia="Times New Roman" w:hAnsi="Times New Roman" w:cs="Times New Roman"/>
                <w:color w:val="414142"/>
                <w:sz w:val="24"/>
                <w:szCs w:val="24"/>
                <w:lang w:eastAsia="lv-LV"/>
              </w:rPr>
              <w:t>daļas 2.punkts</w:t>
            </w:r>
          </w:p>
        </w:tc>
        <w:tc>
          <w:tcPr>
            <w:tcW w:w="1400" w:type="pct"/>
            <w:tcBorders>
              <w:top w:val="outset" w:sz="6" w:space="0" w:color="414142"/>
              <w:left w:val="outset" w:sz="6" w:space="0" w:color="414142"/>
              <w:bottom w:val="outset" w:sz="6" w:space="0" w:color="414142"/>
              <w:right w:val="outset" w:sz="6" w:space="0" w:color="414142"/>
            </w:tcBorders>
          </w:tcPr>
          <w:p w:rsidR="006678D2" w:rsidRDefault="006678D2"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678D2" w:rsidRDefault="00757AC3"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nosaka stingrākas prasības kā ES tiesību akts, </w:t>
            </w:r>
            <w:r w:rsidR="00D22DCC" w:rsidRPr="007C4C2B">
              <w:rPr>
                <w:rFonts w:ascii="Times New Roman" w:eastAsia="Times New Roman" w:hAnsi="Times New Roman" w:cs="Times New Roman"/>
                <w:color w:val="414142"/>
                <w:sz w:val="24"/>
                <w:szCs w:val="24"/>
                <w:lang w:eastAsia="lv-LV"/>
              </w:rPr>
              <w:t xml:space="preserve">jo robežvērtība tiek noteikta atbilstoši </w:t>
            </w:r>
            <w:r w:rsidR="00D22DCC" w:rsidRPr="007C4C2B">
              <w:rPr>
                <w:rFonts w:ascii="Times New Roman" w:hAnsi="Times New Roman" w:cs="Times New Roman"/>
                <w:sz w:val="24"/>
                <w:szCs w:val="24"/>
              </w:rPr>
              <w:t>AML IV direktīvas grozījumu priekšlikumam 2016/0208 (COD).</w:t>
            </w:r>
          </w:p>
        </w:tc>
      </w:tr>
      <w:tr w:rsidR="00EF565A"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c) apakšpunkts</w:t>
            </w:r>
          </w:p>
        </w:tc>
        <w:tc>
          <w:tcPr>
            <w:tcW w:w="110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xml:space="preserve">.pants NILLTFNL </w:t>
            </w:r>
            <w:r w:rsidR="00D84B2F">
              <w:rPr>
                <w:rFonts w:ascii="Times New Roman" w:eastAsia="Times New Roman" w:hAnsi="Times New Roman" w:cs="Times New Roman"/>
                <w:color w:val="414142"/>
                <w:sz w:val="24"/>
                <w:szCs w:val="24"/>
                <w:lang w:eastAsia="lv-LV"/>
              </w:rPr>
              <w:t xml:space="preserve">26.panta sestās </w:t>
            </w:r>
            <w:r>
              <w:rPr>
                <w:rFonts w:ascii="Times New Roman" w:eastAsia="Times New Roman" w:hAnsi="Times New Roman" w:cs="Times New Roman"/>
                <w:color w:val="414142"/>
                <w:sz w:val="24"/>
                <w:szCs w:val="24"/>
                <w:lang w:eastAsia="lv-LV"/>
              </w:rPr>
              <w:t>daļas 3.punkts</w:t>
            </w:r>
          </w:p>
        </w:tc>
        <w:tc>
          <w:tcPr>
            <w:tcW w:w="140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EF565A"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d) apakšpunkts</w:t>
            </w:r>
          </w:p>
        </w:tc>
        <w:tc>
          <w:tcPr>
            <w:tcW w:w="1100" w:type="pct"/>
            <w:tcBorders>
              <w:top w:val="outset" w:sz="6" w:space="0" w:color="414142"/>
              <w:left w:val="outset" w:sz="6" w:space="0" w:color="414142"/>
              <w:bottom w:val="outset" w:sz="6" w:space="0" w:color="414142"/>
              <w:right w:val="outset" w:sz="6" w:space="0" w:color="414142"/>
            </w:tcBorders>
          </w:tcPr>
          <w:p w:rsidR="00EF565A" w:rsidRDefault="00EF56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 xml:space="preserve">.pants NILLTFNL </w:t>
            </w:r>
            <w:r w:rsidR="00D84B2F">
              <w:rPr>
                <w:rFonts w:ascii="Times New Roman" w:eastAsia="Times New Roman" w:hAnsi="Times New Roman" w:cs="Times New Roman"/>
                <w:color w:val="414142"/>
                <w:sz w:val="24"/>
                <w:szCs w:val="24"/>
                <w:lang w:eastAsia="lv-LV"/>
              </w:rPr>
              <w:t xml:space="preserve">26.panta sestās </w:t>
            </w:r>
            <w:r>
              <w:rPr>
                <w:rFonts w:ascii="Times New Roman" w:eastAsia="Times New Roman" w:hAnsi="Times New Roman" w:cs="Times New Roman"/>
                <w:color w:val="414142"/>
                <w:sz w:val="24"/>
                <w:szCs w:val="24"/>
                <w:lang w:eastAsia="lv-LV"/>
              </w:rPr>
              <w:t>daļas 4.punkts</w:t>
            </w:r>
          </w:p>
        </w:tc>
        <w:tc>
          <w:tcPr>
            <w:tcW w:w="140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EF565A" w:rsidRDefault="00EF565A" w:rsidP="00EF56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12.pants 1.punkts e)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1</w:t>
            </w:r>
            <w:r w:rsidR="00D84B2F">
              <w:rPr>
                <w:rFonts w:ascii="Times New Roman" w:eastAsia="Times New Roman" w:hAnsi="Times New Roman" w:cs="Times New Roman"/>
                <w:color w:val="414142"/>
                <w:sz w:val="24"/>
                <w:szCs w:val="24"/>
                <w:lang w:eastAsia="lv-LV"/>
              </w:rPr>
              <w:t>8</w:t>
            </w:r>
            <w:r>
              <w:rPr>
                <w:rFonts w:ascii="Times New Roman" w:eastAsia="Times New Roman" w:hAnsi="Times New Roman" w:cs="Times New Roman"/>
                <w:color w:val="414142"/>
                <w:sz w:val="24"/>
                <w:szCs w:val="24"/>
                <w:lang w:eastAsia="lv-LV"/>
              </w:rPr>
              <w:t>.pants NILLTFNL 26.pant</w:t>
            </w:r>
            <w:r w:rsidR="00D84B2F">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septītā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1.punkts a)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66C3B"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pirmā</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1. 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13.pants 1.punkts b)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w:t>
            </w:r>
            <w:r w:rsidR="002F3FAF">
              <w:rPr>
                <w:rFonts w:ascii="Times New Roman" w:eastAsia="Times New Roman" w:hAnsi="Times New Roman" w:cs="Times New Roman"/>
                <w:color w:val="414142"/>
                <w:sz w:val="24"/>
                <w:szCs w:val="24"/>
                <w:lang w:eastAsia="lv-LV"/>
              </w:rPr>
              <w:t>mprojekta</w:t>
            </w:r>
            <w:r>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pirmā</w:t>
            </w:r>
            <w:r w:rsidR="00592064">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2.punkts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1.punkts c)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pirmā</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3.punkts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1.punkts d)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pirmā</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4.punkts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1.punkts beigu daļa</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9.pants NILLTFNL 12.pant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piektā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3.punkts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8.punkts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otrā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4.punkts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trešā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5.punkts 1.daļa</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sestā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5.punkts a)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sestā</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1.punkts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5.punkts b)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sestā</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daļa</w:t>
            </w:r>
            <w:r w:rsidR="00592064">
              <w:rPr>
                <w:rFonts w:ascii="Times New Roman" w:eastAsia="Times New Roman" w:hAnsi="Times New Roman" w:cs="Times New Roman"/>
                <w:color w:val="414142"/>
                <w:sz w:val="24"/>
                <w:szCs w:val="24"/>
                <w:lang w:eastAsia="lv-LV"/>
              </w:rPr>
              <w:t>s</w:t>
            </w:r>
            <w:r w:rsidR="00BC5C70">
              <w:rPr>
                <w:rFonts w:ascii="Times New Roman" w:eastAsia="Times New Roman" w:hAnsi="Times New Roman" w:cs="Times New Roman"/>
                <w:color w:val="414142"/>
                <w:sz w:val="24"/>
                <w:szCs w:val="24"/>
                <w:lang w:eastAsia="lv-LV"/>
              </w:rPr>
              <w:t xml:space="preserve"> 2.punkts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5.punkts 2.daļa</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septītā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13.pants 6.punkts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8.pants NILLTFNL 11¹.pant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astotā daļa </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14.pants 2.punkts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7.pants NILLTFNL 11.pant</w:t>
            </w:r>
            <w:r w:rsidR="00592064">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 daļa un piektās daļas 1.punkts</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Ieviests pilnībā </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14.pants 4.punkta 2.daļa</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7.pants NILLTFNL 11.pant</w:t>
            </w:r>
            <w:r w:rsidR="00592064">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piektā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14.pants 5.punkts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8.pants NILLTFNL 11¹.pant</w:t>
            </w:r>
            <w:r w:rsidR="00592064">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piektā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18.pants 3.punkts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w:t>
            </w:r>
            <w:r w:rsidR="002F3FAF">
              <w:rPr>
                <w:rFonts w:ascii="Times New Roman" w:eastAsia="Times New Roman" w:hAnsi="Times New Roman" w:cs="Times New Roman"/>
                <w:color w:val="414142"/>
                <w:sz w:val="24"/>
                <w:szCs w:val="24"/>
                <w:lang w:eastAsia="lv-LV"/>
              </w:rPr>
              <w:t>rojekta</w:t>
            </w:r>
            <w:r>
              <w:rPr>
                <w:rFonts w:ascii="Times New Roman" w:eastAsia="Times New Roman" w:hAnsi="Times New Roman" w:cs="Times New Roman"/>
                <w:color w:val="414142"/>
                <w:sz w:val="24"/>
                <w:szCs w:val="24"/>
                <w:lang w:eastAsia="lv-LV"/>
              </w:rPr>
              <w:t xml:space="preserve"> 15.pants NILLTFNL 22.pants </w:t>
            </w:r>
            <w:r w:rsidR="00592064">
              <w:rPr>
                <w:rFonts w:ascii="Times New Roman" w:eastAsia="Times New Roman" w:hAnsi="Times New Roman" w:cs="Times New Roman"/>
                <w:color w:val="414142"/>
                <w:sz w:val="24"/>
                <w:szCs w:val="24"/>
                <w:lang w:eastAsia="lv-LV"/>
              </w:rPr>
              <w:t xml:space="preserve">trešā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19.pants a)-e)</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15.pants NILLTFNL 22.pant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otrās daļas 3.punkts un likumprojekt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1</w:t>
            </w:r>
            <w:r w:rsidR="00592064">
              <w:rPr>
                <w:rFonts w:ascii="Times New Roman" w:eastAsia="Times New Roman" w:hAnsi="Times New Roman" w:cs="Times New Roman"/>
                <w:color w:val="414142"/>
                <w:sz w:val="24"/>
                <w:szCs w:val="24"/>
                <w:lang w:eastAsia="lv-LV"/>
              </w:rPr>
              <w:t>6</w:t>
            </w:r>
            <w:r w:rsidR="00BC5C70">
              <w:rPr>
                <w:rFonts w:ascii="Times New Roman" w:eastAsia="Times New Roman" w:hAnsi="Times New Roman" w:cs="Times New Roman"/>
                <w:color w:val="414142"/>
                <w:sz w:val="24"/>
                <w:szCs w:val="24"/>
                <w:lang w:eastAsia="lv-LV"/>
              </w:rPr>
              <w:t>.pant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NILLTFNL 24.pant</w:t>
            </w:r>
            <w:r w:rsidR="00592064">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pirmā daļa </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 jo paredz padziļinātā izpēte attiecas uz jebkurām korespondentattiecībām.</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20.panta 1.daļa</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1</w:t>
            </w:r>
            <w:r w:rsidR="004041BF">
              <w:rPr>
                <w:rFonts w:ascii="Times New Roman" w:eastAsia="Times New Roman" w:hAnsi="Times New Roman" w:cs="Times New Roman"/>
                <w:color w:val="414142"/>
                <w:sz w:val="24"/>
                <w:szCs w:val="24"/>
                <w:lang w:eastAsia="lv-LV"/>
              </w:rPr>
              <w:t>7</w:t>
            </w:r>
            <w:r w:rsidR="00BC5C70">
              <w:rPr>
                <w:rFonts w:ascii="Times New Roman" w:eastAsia="Times New Roman" w:hAnsi="Times New Roman" w:cs="Times New Roman"/>
                <w:color w:val="414142"/>
                <w:sz w:val="24"/>
                <w:szCs w:val="24"/>
                <w:lang w:eastAsia="lv-LV"/>
              </w:rPr>
              <w:t>.pants NILLTFNL 25.pant</w:t>
            </w:r>
            <w:r w:rsidR="004041BF">
              <w:rPr>
                <w:rFonts w:ascii="Times New Roman" w:eastAsia="Times New Roman" w:hAnsi="Times New Roman" w:cs="Times New Roman"/>
                <w:color w:val="414142"/>
                <w:sz w:val="24"/>
                <w:szCs w:val="24"/>
                <w:lang w:eastAsia="lv-LV"/>
              </w:rPr>
              <w:t xml:space="preserve">a </w:t>
            </w:r>
            <w:r w:rsidR="00BC5C70">
              <w:rPr>
                <w:rFonts w:ascii="Times New Roman" w:eastAsia="Times New Roman" w:hAnsi="Times New Roman" w:cs="Times New Roman"/>
                <w:color w:val="414142"/>
                <w:sz w:val="24"/>
                <w:szCs w:val="24"/>
                <w:lang w:eastAsia="lv-LV"/>
              </w:rPr>
              <w:t>trešā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24.pants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1</w:t>
            </w:r>
            <w:r w:rsidR="004041BF">
              <w:rPr>
                <w:rFonts w:ascii="Times New Roman" w:eastAsia="Times New Roman" w:hAnsi="Times New Roman" w:cs="Times New Roman"/>
                <w:color w:val="414142"/>
                <w:sz w:val="24"/>
                <w:szCs w:val="24"/>
                <w:lang w:eastAsia="lv-LV"/>
              </w:rPr>
              <w:t>6</w:t>
            </w:r>
            <w:r w:rsidR="00BC5C70">
              <w:rPr>
                <w:rFonts w:ascii="Times New Roman" w:eastAsia="Times New Roman" w:hAnsi="Times New Roman" w:cs="Times New Roman"/>
                <w:color w:val="414142"/>
                <w:sz w:val="24"/>
                <w:szCs w:val="24"/>
                <w:lang w:eastAsia="lv-LV"/>
              </w:rPr>
              <w:t>.pants NILLTFNL 24.pant</w:t>
            </w:r>
            <w:r w:rsidR="004041BF">
              <w:rPr>
                <w:rFonts w:ascii="Times New Roman" w:eastAsia="Times New Roman" w:hAnsi="Times New Roman" w:cs="Times New Roman"/>
                <w:color w:val="414142"/>
                <w:sz w:val="24"/>
                <w:szCs w:val="24"/>
                <w:lang w:eastAsia="lv-LV"/>
              </w:rPr>
              <w:t>a</w:t>
            </w:r>
            <w:r w:rsidR="00BC5C70">
              <w:rPr>
                <w:rFonts w:ascii="Times New Roman" w:eastAsia="Times New Roman" w:hAnsi="Times New Roman" w:cs="Times New Roman"/>
                <w:color w:val="414142"/>
                <w:sz w:val="24"/>
                <w:szCs w:val="24"/>
                <w:lang w:eastAsia="lv-LV"/>
              </w:rPr>
              <w:t xml:space="preserve"> otrā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25.pants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E40225">
              <w:rPr>
                <w:rFonts w:ascii="Times New Roman" w:eastAsia="Times New Roman" w:hAnsi="Times New Roman" w:cs="Times New Roman"/>
                <w:color w:val="414142"/>
                <w:sz w:val="24"/>
                <w:szCs w:val="24"/>
                <w:lang w:eastAsia="lv-LV"/>
              </w:rPr>
              <w:t xml:space="preserve"> 1</w:t>
            </w:r>
            <w:r w:rsidR="004041BF">
              <w:rPr>
                <w:rFonts w:ascii="Times New Roman" w:eastAsia="Times New Roman" w:hAnsi="Times New Roman" w:cs="Times New Roman"/>
                <w:color w:val="414142"/>
                <w:sz w:val="24"/>
                <w:szCs w:val="24"/>
                <w:lang w:eastAsia="lv-LV"/>
              </w:rPr>
              <w:t>7</w:t>
            </w:r>
            <w:r w:rsidR="00E40225">
              <w:rPr>
                <w:rFonts w:ascii="Times New Roman" w:eastAsia="Times New Roman" w:hAnsi="Times New Roman" w:cs="Times New Roman"/>
                <w:color w:val="414142"/>
                <w:sz w:val="24"/>
                <w:szCs w:val="24"/>
                <w:lang w:eastAsia="lv-LV"/>
              </w:rPr>
              <w:t>.pants NILLTFNL 25.pant</w:t>
            </w:r>
            <w:r w:rsidR="004041BF">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2</w:t>
            </w:r>
            <w:r w:rsidR="004041BF">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¹</w:t>
            </w:r>
            <w:r w:rsidR="00BC5C70">
              <w:rPr>
                <w:rFonts w:ascii="Times New Roman" w:eastAsia="Times New Roman" w:hAnsi="Times New Roman" w:cs="Times New Roman"/>
                <w:color w:val="414142"/>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C5C7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30.pants 2.punkts un 5.punkts a) un b) apakšpunkts</w:t>
            </w:r>
          </w:p>
        </w:tc>
        <w:tc>
          <w:tcPr>
            <w:tcW w:w="1100" w:type="pct"/>
            <w:tcBorders>
              <w:top w:val="outset" w:sz="6" w:space="0" w:color="414142"/>
              <w:left w:val="outset" w:sz="6" w:space="0" w:color="414142"/>
              <w:bottom w:val="outset" w:sz="6" w:space="0" w:color="414142"/>
              <w:right w:val="outset" w:sz="6" w:space="0" w:color="414142"/>
            </w:tcBorders>
          </w:tcPr>
          <w:p w:rsidR="00BC5C7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C5C70">
              <w:rPr>
                <w:rFonts w:ascii="Times New Roman" w:eastAsia="Times New Roman" w:hAnsi="Times New Roman" w:cs="Times New Roman"/>
                <w:color w:val="414142"/>
                <w:sz w:val="24"/>
                <w:szCs w:val="24"/>
                <w:lang w:eastAsia="lv-LV"/>
              </w:rPr>
              <w:t xml:space="preserve"> 11.pants NILLTFNL 18.pan</w:t>
            </w:r>
            <w:r w:rsidR="004041BF">
              <w:rPr>
                <w:rFonts w:ascii="Times New Roman" w:eastAsia="Times New Roman" w:hAnsi="Times New Roman" w:cs="Times New Roman"/>
                <w:color w:val="414142"/>
                <w:sz w:val="24"/>
                <w:szCs w:val="24"/>
                <w:lang w:eastAsia="lv-LV"/>
              </w:rPr>
              <w:t>ta</w:t>
            </w:r>
            <w:r w:rsidR="00BC5C70">
              <w:rPr>
                <w:rFonts w:ascii="Times New Roman" w:eastAsia="Times New Roman" w:hAnsi="Times New Roman" w:cs="Times New Roman"/>
                <w:color w:val="414142"/>
                <w:sz w:val="24"/>
                <w:szCs w:val="24"/>
                <w:lang w:eastAsia="lv-LV"/>
              </w:rPr>
              <w:t xml:space="preserve"> astotā daļa</w:t>
            </w:r>
          </w:p>
        </w:tc>
        <w:tc>
          <w:tcPr>
            <w:tcW w:w="1400" w:type="pct"/>
            <w:tcBorders>
              <w:top w:val="outset" w:sz="6" w:space="0" w:color="414142"/>
              <w:left w:val="outset" w:sz="6" w:space="0" w:color="414142"/>
              <w:bottom w:val="outset" w:sz="6" w:space="0" w:color="414142"/>
              <w:right w:val="outset" w:sz="6" w:space="0" w:color="414142"/>
            </w:tcBorders>
          </w:tcPr>
          <w:p w:rsidR="00BC5C7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795F60" w:rsidRDefault="00BC5C70"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795F6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95F60" w:rsidRDefault="00795F60"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30.pants 1. un 3.punkts</w:t>
            </w:r>
          </w:p>
        </w:tc>
        <w:tc>
          <w:tcPr>
            <w:tcW w:w="1100" w:type="pct"/>
            <w:tcBorders>
              <w:top w:val="outset" w:sz="6" w:space="0" w:color="414142"/>
              <w:left w:val="outset" w:sz="6" w:space="0" w:color="414142"/>
              <w:bottom w:val="outset" w:sz="6" w:space="0" w:color="414142"/>
              <w:right w:val="outset" w:sz="6" w:space="0" w:color="414142"/>
            </w:tcBorders>
          </w:tcPr>
          <w:p w:rsidR="00795F60" w:rsidRDefault="002F3FAF" w:rsidP="00BC5C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795F60">
              <w:rPr>
                <w:rFonts w:ascii="Times New Roman" w:eastAsia="Times New Roman" w:hAnsi="Times New Roman" w:cs="Times New Roman"/>
                <w:color w:val="414142"/>
                <w:sz w:val="24"/>
                <w:szCs w:val="24"/>
                <w:lang w:eastAsia="lv-LV"/>
              </w:rPr>
              <w:t xml:space="preserve"> 2</w:t>
            </w:r>
            <w:r w:rsidR="004041BF">
              <w:rPr>
                <w:rFonts w:ascii="Times New Roman" w:eastAsia="Times New Roman" w:hAnsi="Times New Roman" w:cs="Times New Roman"/>
                <w:color w:val="414142"/>
                <w:sz w:val="24"/>
                <w:szCs w:val="24"/>
                <w:lang w:eastAsia="lv-LV"/>
              </w:rPr>
              <w:t>5</w:t>
            </w:r>
            <w:r w:rsidR="00795F60">
              <w:rPr>
                <w:rFonts w:ascii="Times New Roman" w:eastAsia="Times New Roman" w:hAnsi="Times New Roman" w:cs="Times New Roman"/>
                <w:color w:val="414142"/>
                <w:sz w:val="24"/>
                <w:szCs w:val="24"/>
                <w:lang w:eastAsia="lv-LV"/>
              </w:rPr>
              <w:t xml:space="preserve">.pants NILLTFNL </w:t>
            </w:r>
            <w:r w:rsidR="00E40225">
              <w:rPr>
                <w:rFonts w:ascii="Times New Roman" w:eastAsia="Times New Roman" w:hAnsi="Times New Roman" w:cs="Times New Roman"/>
                <w:color w:val="414142"/>
                <w:sz w:val="24"/>
                <w:szCs w:val="24"/>
                <w:lang w:eastAsia="lv-LV"/>
              </w:rPr>
              <w:t>41.pant</w:t>
            </w:r>
            <w:r w:rsidR="009A4E80">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2</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sidR="004E3551">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795F60" w:rsidRDefault="004E3551"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795F60" w:rsidRDefault="004E3551" w:rsidP="00BC5C7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3C1E5A"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3C1E5A" w:rsidRDefault="003C1E5A" w:rsidP="003C1E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32.pants 5.punkts</w:t>
            </w:r>
          </w:p>
        </w:tc>
        <w:tc>
          <w:tcPr>
            <w:tcW w:w="1100" w:type="pct"/>
            <w:tcBorders>
              <w:top w:val="outset" w:sz="6" w:space="0" w:color="414142"/>
              <w:left w:val="outset" w:sz="6" w:space="0" w:color="414142"/>
              <w:bottom w:val="outset" w:sz="6" w:space="0" w:color="414142"/>
              <w:right w:val="outset" w:sz="6" w:space="0" w:color="414142"/>
            </w:tcBorders>
          </w:tcPr>
          <w:p w:rsidR="003C1E5A" w:rsidRDefault="002F3FAF" w:rsidP="003C1E5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3C1E5A">
              <w:rPr>
                <w:rFonts w:ascii="Times New Roman" w:eastAsia="Times New Roman" w:hAnsi="Times New Roman" w:cs="Times New Roman"/>
                <w:color w:val="414142"/>
                <w:sz w:val="24"/>
                <w:szCs w:val="24"/>
                <w:lang w:eastAsia="lv-LV"/>
              </w:rPr>
              <w:t xml:space="preserve"> 3</w:t>
            </w:r>
            <w:r w:rsidR="004041BF">
              <w:rPr>
                <w:rFonts w:ascii="Times New Roman" w:eastAsia="Times New Roman" w:hAnsi="Times New Roman" w:cs="Times New Roman"/>
                <w:color w:val="414142"/>
                <w:sz w:val="24"/>
                <w:szCs w:val="24"/>
                <w:lang w:eastAsia="lv-LV"/>
              </w:rPr>
              <w:t>1</w:t>
            </w:r>
            <w:r w:rsidR="003C1E5A">
              <w:rPr>
                <w:rFonts w:ascii="Times New Roman" w:eastAsia="Times New Roman" w:hAnsi="Times New Roman" w:cs="Times New Roman"/>
                <w:color w:val="414142"/>
                <w:sz w:val="24"/>
                <w:szCs w:val="24"/>
                <w:lang w:eastAsia="lv-LV"/>
              </w:rPr>
              <w:t>.pants NILLTFNL 56.pant</w:t>
            </w:r>
            <w:r w:rsidR="009A4E80">
              <w:rPr>
                <w:rFonts w:ascii="Times New Roman" w:eastAsia="Times New Roman" w:hAnsi="Times New Roman" w:cs="Times New Roman"/>
                <w:color w:val="414142"/>
                <w:sz w:val="24"/>
                <w:szCs w:val="24"/>
                <w:lang w:eastAsia="lv-LV"/>
              </w:rPr>
              <w:t>a</w:t>
            </w:r>
            <w:r w:rsidR="003C1E5A">
              <w:rPr>
                <w:rFonts w:ascii="Times New Roman" w:eastAsia="Times New Roman" w:hAnsi="Times New Roman" w:cs="Times New Roman"/>
                <w:color w:val="414142"/>
                <w:sz w:val="24"/>
                <w:szCs w:val="24"/>
                <w:lang w:eastAsia="lv-LV"/>
              </w:rPr>
              <w:t xml:space="preserve"> ceturtā daļa</w:t>
            </w:r>
          </w:p>
        </w:tc>
        <w:tc>
          <w:tcPr>
            <w:tcW w:w="1400" w:type="pct"/>
            <w:tcBorders>
              <w:top w:val="outset" w:sz="6" w:space="0" w:color="414142"/>
              <w:left w:val="outset" w:sz="6" w:space="0" w:color="414142"/>
              <w:bottom w:val="outset" w:sz="6" w:space="0" w:color="414142"/>
              <w:right w:val="outset" w:sz="6" w:space="0" w:color="414142"/>
            </w:tcBorders>
          </w:tcPr>
          <w:p w:rsidR="003C1E5A" w:rsidRDefault="003C1E5A" w:rsidP="003C1E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3C1E5A" w:rsidRDefault="003C1E5A" w:rsidP="003C1E5A">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0F6D5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32.panta 6.punkts</w:t>
            </w:r>
          </w:p>
        </w:tc>
        <w:tc>
          <w:tcPr>
            <w:tcW w:w="1100" w:type="pct"/>
            <w:tcBorders>
              <w:top w:val="outset" w:sz="6" w:space="0" w:color="414142"/>
              <w:left w:val="outset" w:sz="6" w:space="0" w:color="414142"/>
              <w:bottom w:val="outset" w:sz="6" w:space="0" w:color="414142"/>
              <w:right w:val="outset" w:sz="6" w:space="0" w:color="414142"/>
            </w:tcBorders>
          </w:tcPr>
          <w:p w:rsidR="000F6D59" w:rsidRDefault="002F3FAF"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0F6D59">
              <w:rPr>
                <w:rFonts w:ascii="Times New Roman" w:eastAsia="Times New Roman" w:hAnsi="Times New Roman" w:cs="Times New Roman"/>
                <w:color w:val="414142"/>
                <w:sz w:val="24"/>
                <w:szCs w:val="24"/>
                <w:lang w:eastAsia="lv-LV"/>
              </w:rPr>
              <w:t xml:space="preserve"> 3</w:t>
            </w:r>
            <w:r w:rsidR="004041BF">
              <w:rPr>
                <w:rFonts w:ascii="Times New Roman" w:eastAsia="Times New Roman" w:hAnsi="Times New Roman" w:cs="Times New Roman"/>
                <w:color w:val="414142"/>
                <w:sz w:val="24"/>
                <w:szCs w:val="24"/>
                <w:lang w:eastAsia="lv-LV"/>
              </w:rPr>
              <w:t>2</w:t>
            </w:r>
            <w:r w:rsidR="000F6D59">
              <w:rPr>
                <w:rFonts w:ascii="Times New Roman" w:eastAsia="Times New Roman" w:hAnsi="Times New Roman" w:cs="Times New Roman"/>
                <w:color w:val="414142"/>
                <w:sz w:val="24"/>
                <w:szCs w:val="24"/>
                <w:lang w:eastAsia="lv-LV"/>
              </w:rPr>
              <w:t>.pants NILLTFNL 58.pant</w:t>
            </w:r>
            <w:r w:rsidR="009A4E80">
              <w:rPr>
                <w:rFonts w:ascii="Times New Roman" w:eastAsia="Times New Roman" w:hAnsi="Times New Roman" w:cs="Times New Roman"/>
                <w:color w:val="414142"/>
                <w:sz w:val="24"/>
                <w:szCs w:val="24"/>
                <w:lang w:eastAsia="lv-LV"/>
              </w:rPr>
              <w:t>a</w:t>
            </w:r>
            <w:r w:rsidR="000F6D59">
              <w:rPr>
                <w:rFonts w:ascii="Times New Roman" w:eastAsia="Times New Roman" w:hAnsi="Times New Roman" w:cs="Times New Roman"/>
                <w:color w:val="414142"/>
                <w:sz w:val="24"/>
                <w:szCs w:val="24"/>
                <w:lang w:eastAsia="lv-LV"/>
              </w:rPr>
              <w:t xml:space="preserve"> trešā daļa</w:t>
            </w:r>
          </w:p>
        </w:tc>
        <w:tc>
          <w:tcPr>
            <w:tcW w:w="140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0F6D5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40.pants 1.punkts a) apakšpunkts</w:t>
            </w:r>
          </w:p>
        </w:tc>
        <w:tc>
          <w:tcPr>
            <w:tcW w:w="110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w:t>
            </w:r>
            <w:r w:rsidR="002F3FAF">
              <w:rPr>
                <w:rFonts w:ascii="Times New Roman" w:eastAsia="Times New Roman" w:hAnsi="Times New Roman" w:cs="Times New Roman"/>
                <w:color w:val="414142"/>
                <w:sz w:val="24"/>
                <w:szCs w:val="24"/>
                <w:lang w:eastAsia="lv-LV"/>
              </w:rPr>
              <w:t>ta</w:t>
            </w:r>
            <w:r>
              <w:rPr>
                <w:rFonts w:ascii="Times New Roman" w:eastAsia="Times New Roman" w:hAnsi="Times New Roman" w:cs="Times New Roman"/>
                <w:color w:val="414142"/>
                <w:sz w:val="24"/>
                <w:szCs w:val="24"/>
                <w:lang w:eastAsia="lv-LV"/>
              </w:rPr>
              <w:t xml:space="preserve"> 2</w:t>
            </w:r>
            <w:r w:rsidR="004041BF">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.pants NILLTFNL 37.pant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otrā daļa</w:t>
            </w:r>
          </w:p>
        </w:tc>
        <w:tc>
          <w:tcPr>
            <w:tcW w:w="140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nenosaka stingrākas prasības kā ES tiesību akts </w:t>
            </w:r>
          </w:p>
        </w:tc>
      </w:tr>
      <w:tr w:rsidR="000F6D5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40.pants 1.punkts b) apakšpunkts</w:t>
            </w:r>
          </w:p>
        </w:tc>
        <w:tc>
          <w:tcPr>
            <w:tcW w:w="1100" w:type="pct"/>
            <w:tcBorders>
              <w:top w:val="outset" w:sz="6" w:space="0" w:color="414142"/>
              <w:left w:val="outset" w:sz="6" w:space="0" w:color="414142"/>
              <w:bottom w:val="outset" w:sz="6" w:space="0" w:color="414142"/>
              <w:right w:val="outset" w:sz="6" w:space="0" w:color="414142"/>
            </w:tcBorders>
          </w:tcPr>
          <w:p w:rsidR="000F6D59" w:rsidRDefault="002F3FAF"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0F6D59">
              <w:rPr>
                <w:rFonts w:ascii="Times New Roman" w:eastAsia="Times New Roman" w:hAnsi="Times New Roman" w:cs="Times New Roman"/>
                <w:color w:val="414142"/>
                <w:sz w:val="24"/>
                <w:szCs w:val="24"/>
                <w:lang w:eastAsia="lv-LV"/>
              </w:rPr>
              <w:t xml:space="preserve"> 2</w:t>
            </w:r>
            <w:r w:rsidR="004041BF">
              <w:rPr>
                <w:rFonts w:ascii="Times New Roman" w:eastAsia="Times New Roman" w:hAnsi="Times New Roman" w:cs="Times New Roman"/>
                <w:color w:val="414142"/>
                <w:sz w:val="24"/>
                <w:szCs w:val="24"/>
                <w:lang w:eastAsia="lv-LV"/>
              </w:rPr>
              <w:t>3</w:t>
            </w:r>
            <w:r w:rsidR="000F6D59">
              <w:rPr>
                <w:rFonts w:ascii="Times New Roman" w:eastAsia="Times New Roman" w:hAnsi="Times New Roman" w:cs="Times New Roman"/>
                <w:color w:val="414142"/>
                <w:sz w:val="24"/>
                <w:szCs w:val="24"/>
                <w:lang w:eastAsia="lv-LV"/>
              </w:rPr>
              <w:t>.pants NILLTFNL 37.pant</w:t>
            </w:r>
            <w:r w:rsidR="009A4E80">
              <w:rPr>
                <w:rFonts w:ascii="Times New Roman" w:eastAsia="Times New Roman" w:hAnsi="Times New Roman" w:cs="Times New Roman"/>
                <w:color w:val="414142"/>
                <w:sz w:val="24"/>
                <w:szCs w:val="24"/>
                <w:lang w:eastAsia="lv-LV"/>
              </w:rPr>
              <w:t>a</w:t>
            </w:r>
            <w:r w:rsidR="000F6D59">
              <w:rPr>
                <w:rFonts w:ascii="Times New Roman" w:eastAsia="Times New Roman" w:hAnsi="Times New Roman" w:cs="Times New Roman"/>
                <w:color w:val="414142"/>
                <w:sz w:val="24"/>
                <w:szCs w:val="24"/>
                <w:lang w:eastAsia="lv-LV"/>
              </w:rPr>
              <w:t xml:space="preserve"> otrā</w:t>
            </w:r>
            <w:r w:rsidR="009A4E80">
              <w:rPr>
                <w:rFonts w:ascii="Times New Roman" w:eastAsia="Times New Roman" w:hAnsi="Times New Roman" w:cs="Times New Roman"/>
                <w:color w:val="414142"/>
                <w:sz w:val="24"/>
                <w:szCs w:val="24"/>
                <w:lang w:eastAsia="lv-LV"/>
              </w:rPr>
              <w:t>s</w:t>
            </w:r>
            <w:r w:rsidR="000F6D59">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sidR="000F6D59">
              <w:rPr>
                <w:rFonts w:ascii="Times New Roman" w:eastAsia="Times New Roman" w:hAnsi="Times New Roman" w:cs="Times New Roman"/>
                <w:color w:val="414142"/>
                <w:sz w:val="24"/>
                <w:szCs w:val="24"/>
                <w:lang w:eastAsia="lv-LV"/>
              </w:rPr>
              <w:t xml:space="preserve"> 6.punkts</w:t>
            </w:r>
          </w:p>
        </w:tc>
        <w:tc>
          <w:tcPr>
            <w:tcW w:w="140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0F6D5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40.pants 1.punkts otrā daļa</w:t>
            </w:r>
          </w:p>
        </w:tc>
        <w:tc>
          <w:tcPr>
            <w:tcW w:w="1100" w:type="pct"/>
            <w:tcBorders>
              <w:top w:val="outset" w:sz="6" w:space="0" w:color="414142"/>
              <w:left w:val="outset" w:sz="6" w:space="0" w:color="414142"/>
              <w:bottom w:val="outset" w:sz="6" w:space="0" w:color="414142"/>
              <w:right w:val="outset" w:sz="6" w:space="0" w:color="414142"/>
            </w:tcBorders>
          </w:tcPr>
          <w:p w:rsidR="000F6D59" w:rsidRDefault="002F3FAF" w:rsidP="000F6D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E40225">
              <w:rPr>
                <w:rFonts w:ascii="Times New Roman" w:eastAsia="Times New Roman" w:hAnsi="Times New Roman" w:cs="Times New Roman"/>
                <w:color w:val="414142"/>
                <w:sz w:val="24"/>
                <w:szCs w:val="24"/>
                <w:lang w:eastAsia="lv-LV"/>
              </w:rPr>
              <w:t xml:space="preserve"> 2</w:t>
            </w:r>
            <w:r w:rsidR="004041BF">
              <w:rPr>
                <w:rFonts w:ascii="Times New Roman" w:eastAsia="Times New Roman" w:hAnsi="Times New Roman" w:cs="Times New Roman"/>
                <w:color w:val="414142"/>
                <w:sz w:val="24"/>
                <w:szCs w:val="24"/>
                <w:lang w:eastAsia="lv-LV"/>
              </w:rPr>
              <w:t>3</w:t>
            </w:r>
            <w:r w:rsidR="00E40225">
              <w:rPr>
                <w:rFonts w:ascii="Times New Roman" w:eastAsia="Times New Roman" w:hAnsi="Times New Roman" w:cs="Times New Roman"/>
                <w:color w:val="414142"/>
                <w:sz w:val="24"/>
                <w:szCs w:val="24"/>
                <w:lang w:eastAsia="lv-LV"/>
              </w:rPr>
              <w:t>.pants NILLTFNL 37.pant</w:t>
            </w:r>
            <w:r w:rsidR="009A4E80">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2</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sidR="000F6D59">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0F6D59" w:rsidRDefault="000F6D59" w:rsidP="000F6D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41.pants 4.punkts</w:t>
            </w:r>
          </w:p>
          <w:p w:rsidR="00156F6A" w:rsidRDefault="00156F6A"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un 43.pants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3</w:t>
            </w:r>
            <w:r w:rsidR="004041BF">
              <w:rPr>
                <w:rFonts w:ascii="Times New Roman" w:eastAsia="Times New Roman" w:hAnsi="Times New Roman" w:cs="Times New Roman"/>
                <w:color w:val="414142"/>
                <w:sz w:val="24"/>
                <w:szCs w:val="24"/>
                <w:lang w:eastAsia="lv-LV"/>
              </w:rPr>
              <w:t>0</w:t>
            </w:r>
            <w:r>
              <w:rPr>
                <w:rFonts w:ascii="Times New Roman" w:eastAsia="Times New Roman" w:hAnsi="Times New Roman" w:cs="Times New Roman"/>
                <w:color w:val="414142"/>
                <w:sz w:val="24"/>
                <w:szCs w:val="24"/>
                <w:lang w:eastAsia="lv-LV"/>
              </w:rPr>
              <w:t>.pants NILLTFNL 53.pant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 daļa</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628FC" w:rsidRDefault="00156F6A"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w:t>
            </w:r>
            <w:r w:rsidR="009628FC">
              <w:rPr>
                <w:rFonts w:ascii="Times New Roman" w:eastAsia="Times New Roman" w:hAnsi="Times New Roman" w:cs="Times New Roman"/>
                <w:color w:val="414142"/>
                <w:sz w:val="24"/>
                <w:szCs w:val="24"/>
                <w:lang w:eastAsia="lv-LV"/>
              </w:rPr>
              <w:t>nosaka stingrākas prasības kā ES tiesību akts</w:t>
            </w:r>
            <w:r>
              <w:rPr>
                <w:rFonts w:ascii="Times New Roman" w:eastAsia="Times New Roman" w:hAnsi="Times New Roman" w:cs="Times New Roman"/>
                <w:color w:val="414142"/>
                <w:sz w:val="24"/>
                <w:szCs w:val="24"/>
                <w:lang w:eastAsia="lv-LV"/>
              </w:rPr>
              <w:t>, jo paredz datu subjektiem liegumu piekļūt saviem datiem visos gadījumos, nevis daļēji.</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1.punkts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2.panta NILLTFNL  3.panta otrā daļa</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2.punkts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2.pants NILLTFNL 3.panta trešā daļa </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Ieviests pilnībā </w:t>
            </w:r>
          </w:p>
        </w:tc>
        <w:tc>
          <w:tcPr>
            <w:tcW w:w="13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3.punkts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w:t>
            </w:r>
            <w:r w:rsidR="00E40225">
              <w:rPr>
                <w:rFonts w:ascii="Times New Roman" w:eastAsia="Times New Roman" w:hAnsi="Times New Roman" w:cs="Times New Roman"/>
                <w:color w:val="414142"/>
                <w:sz w:val="24"/>
                <w:szCs w:val="24"/>
                <w:lang w:eastAsia="lv-LV"/>
              </w:rPr>
              <w:t>kta 2.pants NILLTFNL 3.panta 3</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5.punkts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w:t>
            </w:r>
            <w:r w:rsidR="00E40225">
              <w:rPr>
                <w:rFonts w:ascii="Times New Roman" w:eastAsia="Times New Roman" w:hAnsi="Times New Roman" w:cs="Times New Roman"/>
                <w:color w:val="414142"/>
                <w:sz w:val="24"/>
                <w:szCs w:val="24"/>
                <w:lang w:eastAsia="lv-LV"/>
              </w:rPr>
              <w:t>kta 2.pants NILLTFNL 3.panta 3</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²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9628FC"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8.punkts</w:t>
            </w:r>
          </w:p>
        </w:tc>
        <w:tc>
          <w:tcPr>
            <w:tcW w:w="11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2</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38.pant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otrā daļa</w:t>
            </w:r>
          </w:p>
        </w:tc>
        <w:tc>
          <w:tcPr>
            <w:tcW w:w="140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628FC" w:rsidRDefault="009628FC" w:rsidP="009628F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9972D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45.pants 9.punkts</w:t>
            </w:r>
          </w:p>
        </w:tc>
        <w:tc>
          <w:tcPr>
            <w:tcW w:w="110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w:t>
            </w:r>
            <w:r w:rsidR="00E40225">
              <w:rPr>
                <w:rFonts w:ascii="Times New Roman" w:eastAsia="Times New Roman" w:hAnsi="Times New Roman" w:cs="Times New Roman"/>
                <w:color w:val="414142"/>
                <w:sz w:val="24"/>
                <w:szCs w:val="24"/>
                <w:lang w:eastAsia="lv-LV"/>
              </w:rPr>
              <w:t>a 2</w:t>
            </w:r>
            <w:r w:rsidR="004041BF">
              <w:rPr>
                <w:rFonts w:ascii="Times New Roman" w:eastAsia="Times New Roman" w:hAnsi="Times New Roman" w:cs="Times New Roman"/>
                <w:color w:val="414142"/>
                <w:sz w:val="24"/>
                <w:szCs w:val="24"/>
                <w:lang w:eastAsia="lv-LV"/>
              </w:rPr>
              <w:t>8</w:t>
            </w:r>
            <w:r w:rsidR="00E40225">
              <w:rPr>
                <w:rFonts w:ascii="Times New Roman" w:eastAsia="Times New Roman" w:hAnsi="Times New Roman" w:cs="Times New Roman"/>
                <w:color w:val="414142"/>
                <w:sz w:val="24"/>
                <w:szCs w:val="24"/>
                <w:lang w:eastAsia="lv-LV"/>
              </w:rPr>
              <w:t>.pants NILLTFNL 47.pant</w:t>
            </w:r>
            <w:r w:rsidR="009A4E80">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2</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9972D9"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46.pants 4.punkts</w:t>
            </w:r>
          </w:p>
        </w:tc>
        <w:tc>
          <w:tcPr>
            <w:tcW w:w="110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F210A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.pants NILLTFNL 10.panta otrā daļa</w:t>
            </w:r>
          </w:p>
        </w:tc>
        <w:tc>
          <w:tcPr>
            <w:tcW w:w="140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Ieviests pilnībā </w:t>
            </w:r>
          </w:p>
        </w:tc>
        <w:tc>
          <w:tcPr>
            <w:tcW w:w="1350" w:type="pct"/>
            <w:tcBorders>
              <w:top w:val="outset" w:sz="6" w:space="0" w:color="414142"/>
              <w:left w:val="outset" w:sz="6" w:space="0" w:color="414142"/>
              <w:bottom w:val="outset" w:sz="6" w:space="0" w:color="414142"/>
              <w:right w:val="outset" w:sz="6" w:space="0" w:color="414142"/>
            </w:tcBorders>
          </w:tcPr>
          <w:p w:rsidR="009972D9" w:rsidRDefault="009972D9" w:rsidP="009972D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nenosaka stingrākas prasības kā ES tiesību </w:t>
            </w:r>
          </w:p>
        </w:tc>
      </w:tr>
      <w:tr w:rsidR="006B50B8"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B50B8" w:rsidRDefault="006B50B8" w:rsidP="006B50B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54.pants </w:t>
            </w:r>
          </w:p>
        </w:tc>
        <w:tc>
          <w:tcPr>
            <w:tcW w:w="1100" w:type="pct"/>
            <w:tcBorders>
              <w:top w:val="outset" w:sz="6" w:space="0" w:color="414142"/>
              <w:left w:val="outset" w:sz="6" w:space="0" w:color="414142"/>
              <w:bottom w:val="outset" w:sz="6" w:space="0" w:color="414142"/>
              <w:right w:val="outset" w:sz="6" w:space="0" w:color="414142"/>
            </w:tcBorders>
          </w:tcPr>
          <w:p w:rsidR="006B50B8" w:rsidRDefault="006B50B8" w:rsidP="006B50B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.pants NILLTFNL 58.pant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otrā daļa</w:t>
            </w:r>
          </w:p>
        </w:tc>
        <w:tc>
          <w:tcPr>
            <w:tcW w:w="1400" w:type="pct"/>
            <w:tcBorders>
              <w:top w:val="outset" w:sz="6" w:space="0" w:color="414142"/>
              <w:left w:val="outset" w:sz="6" w:space="0" w:color="414142"/>
              <w:bottom w:val="outset" w:sz="6" w:space="0" w:color="414142"/>
              <w:right w:val="outset" w:sz="6" w:space="0" w:color="414142"/>
            </w:tcBorders>
          </w:tcPr>
          <w:p w:rsidR="006B50B8" w:rsidRDefault="006B50B8" w:rsidP="006B50B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B50B8" w:rsidRDefault="006B50B8" w:rsidP="006B50B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7B46D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B46D1" w:rsidRDefault="007B46D1" w:rsidP="007B46D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56.pants</w:t>
            </w:r>
          </w:p>
        </w:tc>
        <w:tc>
          <w:tcPr>
            <w:tcW w:w="1100" w:type="pct"/>
            <w:tcBorders>
              <w:top w:val="outset" w:sz="6" w:space="0" w:color="414142"/>
              <w:left w:val="outset" w:sz="6" w:space="0" w:color="414142"/>
              <w:bottom w:val="outset" w:sz="6" w:space="0" w:color="414142"/>
              <w:right w:val="outset" w:sz="6" w:space="0" w:color="414142"/>
            </w:tcBorders>
          </w:tcPr>
          <w:p w:rsidR="007B46D1" w:rsidRDefault="007B46D1" w:rsidP="007B46D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4041BF">
              <w:rPr>
                <w:rFonts w:ascii="Times New Roman" w:eastAsia="Times New Roman" w:hAnsi="Times New Roman" w:cs="Times New Roman"/>
                <w:color w:val="414142"/>
                <w:sz w:val="24"/>
                <w:szCs w:val="24"/>
                <w:lang w:eastAsia="lv-LV"/>
              </w:rPr>
              <w:t>29</w:t>
            </w:r>
            <w:r>
              <w:rPr>
                <w:rFonts w:ascii="Times New Roman" w:eastAsia="Times New Roman" w:hAnsi="Times New Roman" w:cs="Times New Roman"/>
                <w:color w:val="414142"/>
                <w:sz w:val="24"/>
                <w:szCs w:val="24"/>
                <w:lang w:eastAsia="lv-LV"/>
              </w:rPr>
              <w:t>.pants NILLTFNL 51.pant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otrā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9.punkts</w:t>
            </w:r>
          </w:p>
        </w:tc>
        <w:tc>
          <w:tcPr>
            <w:tcW w:w="1400" w:type="pct"/>
            <w:tcBorders>
              <w:top w:val="outset" w:sz="6" w:space="0" w:color="414142"/>
              <w:left w:val="outset" w:sz="6" w:space="0" w:color="414142"/>
              <w:bottom w:val="outset" w:sz="6" w:space="0" w:color="414142"/>
              <w:right w:val="outset" w:sz="6" w:space="0" w:color="414142"/>
            </w:tcBorders>
          </w:tcPr>
          <w:p w:rsidR="007B46D1" w:rsidRDefault="007B46D1" w:rsidP="007B46D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7B46D1" w:rsidRDefault="007B46D1" w:rsidP="007B46D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625CFF"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625CFF" w:rsidRDefault="00625CFF" w:rsidP="00625CF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58.pants 3.punkts</w:t>
            </w:r>
          </w:p>
        </w:tc>
        <w:tc>
          <w:tcPr>
            <w:tcW w:w="1100" w:type="pct"/>
            <w:tcBorders>
              <w:top w:val="outset" w:sz="6" w:space="0" w:color="414142"/>
              <w:left w:val="outset" w:sz="6" w:space="0" w:color="414142"/>
              <w:bottom w:val="outset" w:sz="6" w:space="0" w:color="414142"/>
              <w:right w:val="outset" w:sz="6" w:space="0" w:color="414142"/>
            </w:tcBorders>
          </w:tcPr>
          <w:p w:rsidR="00625CFF" w:rsidRDefault="00625CFF" w:rsidP="00625CF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otrās daļas 2.punkts</w:t>
            </w:r>
          </w:p>
        </w:tc>
        <w:tc>
          <w:tcPr>
            <w:tcW w:w="1400" w:type="pct"/>
            <w:tcBorders>
              <w:top w:val="outset" w:sz="6" w:space="0" w:color="414142"/>
              <w:left w:val="outset" w:sz="6" w:space="0" w:color="414142"/>
              <w:bottom w:val="outset" w:sz="6" w:space="0" w:color="414142"/>
              <w:right w:val="outset" w:sz="6" w:space="0" w:color="414142"/>
            </w:tcBorders>
          </w:tcPr>
          <w:p w:rsidR="00625CFF" w:rsidRDefault="00625CFF" w:rsidP="00625CFF">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25CFF" w:rsidRDefault="00625CFF" w:rsidP="00625CFF">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7516EE"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516EE" w:rsidRDefault="007516EE" w:rsidP="007516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2.punkts a) apakšpunkts</w:t>
            </w:r>
          </w:p>
        </w:tc>
        <w:tc>
          <w:tcPr>
            <w:tcW w:w="1100" w:type="pct"/>
            <w:tcBorders>
              <w:top w:val="outset" w:sz="6" w:space="0" w:color="414142"/>
              <w:left w:val="outset" w:sz="6" w:space="0" w:color="414142"/>
              <w:bottom w:val="outset" w:sz="6" w:space="0" w:color="414142"/>
              <w:right w:val="outset" w:sz="6" w:space="0" w:color="414142"/>
            </w:tcBorders>
          </w:tcPr>
          <w:p w:rsidR="007516EE" w:rsidRDefault="007516EE" w:rsidP="007516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pirmās daļas 1.punkts</w:t>
            </w:r>
          </w:p>
        </w:tc>
        <w:tc>
          <w:tcPr>
            <w:tcW w:w="1400" w:type="pct"/>
            <w:tcBorders>
              <w:top w:val="outset" w:sz="6" w:space="0" w:color="414142"/>
              <w:left w:val="outset" w:sz="6" w:space="0" w:color="414142"/>
              <w:bottom w:val="outset" w:sz="6" w:space="0" w:color="414142"/>
              <w:right w:val="outset" w:sz="6" w:space="0" w:color="414142"/>
            </w:tcBorders>
          </w:tcPr>
          <w:p w:rsidR="007516EE" w:rsidRDefault="007516EE" w:rsidP="007516E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7516EE" w:rsidRDefault="007516EE" w:rsidP="007516E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1920E2" w:rsidRPr="00894C55" w:rsidTr="00B22A59">
        <w:trPr>
          <w:jc w:val="center"/>
        </w:trPr>
        <w:tc>
          <w:tcPr>
            <w:tcW w:w="1150" w:type="pct"/>
            <w:tcBorders>
              <w:top w:val="outset" w:sz="6" w:space="0" w:color="414142"/>
              <w:left w:val="outset" w:sz="6" w:space="0" w:color="414142"/>
              <w:bottom w:val="outset" w:sz="6" w:space="0" w:color="414142"/>
              <w:right w:val="outset" w:sz="6" w:space="0" w:color="414142"/>
            </w:tcBorders>
          </w:tcPr>
          <w:p w:rsidR="001920E2" w:rsidRDefault="001920E2"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2.punkts b) apakšpunkts</w:t>
            </w:r>
          </w:p>
        </w:tc>
        <w:tc>
          <w:tcPr>
            <w:tcW w:w="1100" w:type="pct"/>
            <w:tcBorders>
              <w:top w:val="outset" w:sz="6" w:space="0" w:color="414142"/>
              <w:left w:val="outset" w:sz="6" w:space="0" w:color="414142"/>
              <w:bottom w:val="outset" w:sz="6" w:space="0" w:color="414142"/>
              <w:right w:val="outset" w:sz="6" w:space="0" w:color="414142"/>
            </w:tcBorders>
          </w:tcPr>
          <w:p w:rsidR="001920E2" w:rsidRDefault="001920E2"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pirmās daļas 6.punkts</w:t>
            </w:r>
          </w:p>
        </w:tc>
        <w:tc>
          <w:tcPr>
            <w:tcW w:w="1400" w:type="pct"/>
            <w:tcBorders>
              <w:top w:val="outset" w:sz="6" w:space="0" w:color="414142"/>
              <w:left w:val="outset" w:sz="6" w:space="0" w:color="414142"/>
              <w:bottom w:val="outset" w:sz="6" w:space="0" w:color="414142"/>
              <w:right w:val="outset" w:sz="6" w:space="0" w:color="414142"/>
            </w:tcBorders>
          </w:tcPr>
          <w:p w:rsidR="001920E2" w:rsidRDefault="001920E2"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20E2" w:rsidRDefault="001920E2"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 jo nosaka pienākumu ne tikai atturēties no darbības, bet arī veikt darbību.</w:t>
            </w:r>
          </w:p>
        </w:tc>
      </w:tr>
      <w:tr w:rsidR="008D40DD" w:rsidRPr="00894C55" w:rsidTr="00B22A59">
        <w:trPr>
          <w:jc w:val="center"/>
        </w:trPr>
        <w:tc>
          <w:tcPr>
            <w:tcW w:w="1150" w:type="pct"/>
            <w:tcBorders>
              <w:top w:val="outset" w:sz="6" w:space="0" w:color="414142"/>
              <w:left w:val="outset" w:sz="6" w:space="0" w:color="414142"/>
              <w:bottom w:val="outset" w:sz="6" w:space="0" w:color="414142"/>
              <w:right w:val="outset" w:sz="6" w:space="0" w:color="414142"/>
            </w:tcBorders>
          </w:tcPr>
          <w:p w:rsidR="008D40DD" w:rsidRDefault="008D40DD"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2.punkts c) apakšpunkts</w:t>
            </w:r>
          </w:p>
        </w:tc>
        <w:tc>
          <w:tcPr>
            <w:tcW w:w="1100" w:type="pct"/>
            <w:tcBorders>
              <w:top w:val="outset" w:sz="6" w:space="0" w:color="414142"/>
              <w:left w:val="outset" w:sz="6" w:space="0" w:color="414142"/>
              <w:bottom w:val="outset" w:sz="6" w:space="0" w:color="414142"/>
              <w:right w:val="outset" w:sz="6" w:space="0" w:color="414142"/>
            </w:tcBorders>
          </w:tcPr>
          <w:p w:rsidR="008D40DD" w:rsidRDefault="008D40DD"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pirmās daļas 4.punkts</w:t>
            </w:r>
          </w:p>
        </w:tc>
        <w:tc>
          <w:tcPr>
            <w:tcW w:w="1400" w:type="pct"/>
            <w:tcBorders>
              <w:top w:val="outset" w:sz="6" w:space="0" w:color="414142"/>
              <w:left w:val="outset" w:sz="6" w:space="0" w:color="414142"/>
              <w:bottom w:val="outset" w:sz="6" w:space="0" w:color="414142"/>
              <w:right w:val="outset" w:sz="6" w:space="0" w:color="414142"/>
            </w:tcBorders>
          </w:tcPr>
          <w:p w:rsidR="008D40DD" w:rsidRDefault="008D40DD"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8D40DD" w:rsidRDefault="008D40DD"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AD06A9" w:rsidRPr="00894C55" w:rsidTr="00B22A59">
        <w:trPr>
          <w:jc w:val="center"/>
        </w:trPr>
        <w:tc>
          <w:tcPr>
            <w:tcW w:w="1150" w:type="pct"/>
            <w:tcBorders>
              <w:top w:val="outset" w:sz="6" w:space="0" w:color="414142"/>
              <w:left w:val="outset" w:sz="6" w:space="0" w:color="414142"/>
              <w:bottom w:val="outset" w:sz="6" w:space="0" w:color="414142"/>
              <w:right w:val="outset" w:sz="6" w:space="0" w:color="414142"/>
            </w:tcBorders>
          </w:tcPr>
          <w:p w:rsidR="00AD06A9" w:rsidRDefault="00AD06A9"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2.punkts d) apakšpunkts</w:t>
            </w:r>
          </w:p>
        </w:tc>
        <w:tc>
          <w:tcPr>
            <w:tcW w:w="1100" w:type="pct"/>
            <w:tcBorders>
              <w:top w:val="outset" w:sz="6" w:space="0" w:color="414142"/>
              <w:left w:val="outset" w:sz="6" w:space="0" w:color="414142"/>
              <w:bottom w:val="outset" w:sz="6" w:space="0" w:color="414142"/>
              <w:right w:val="outset" w:sz="6" w:space="0" w:color="414142"/>
            </w:tcBorders>
          </w:tcPr>
          <w:p w:rsidR="00AD06A9" w:rsidRDefault="00AD06A9"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pirmās da</w:t>
            </w:r>
            <w:r w:rsidR="0066641C">
              <w:rPr>
                <w:rFonts w:ascii="Times New Roman" w:eastAsia="Times New Roman" w:hAnsi="Times New Roman" w:cs="Times New Roman"/>
                <w:color w:val="414142"/>
                <w:sz w:val="24"/>
                <w:szCs w:val="24"/>
                <w:lang w:eastAsia="lv-LV"/>
              </w:rPr>
              <w:t>ļas 3</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AD06A9" w:rsidRDefault="00AD06A9"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AD06A9" w:rsidRDefault="00AD06A9"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66641C" w:rsidRPr="00894C55" w:rsidTr="00B22A59">
        <w:trPr>
          <w:jc w:val="center"/>
        </w:trPr>
        <w:tc>
          <w:tcPr>
            <w:tcW w:w="1150" w:type="pct"/>
            <w:tcBorders>
              <w:top w:val="outset" w:sz="6" w:space="0" w:color="414142"/>
              <w:left w:val="outset" w:sz="6" w:space="0" w:color="414142"/>
              <w:bottom w:val="outset" w:sz="6" w:space="0" w:color="414142"/>
              <w:right w:val="outset" w:sz="6" w:space="0" w:color="414142"/>
            </w:tcBorders>
          </w:tcPr>
          <w:p w:rsidR="0066641C" w:rsidRDefault="00E1714C"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2.punkts e</w:t>
            </w:r>
            <w:r w:rsidR="0066641C">
              <w:rPr>
                <w:rFonts w:ascii="Times New Roman" w:eastAsia="Times New Roman" w:hAnsi="Times New Roman" w:cs="Times New Roman"/>
                <w:color w:val="414142"/>
                <w:sz w:val="24"/>
                <w:szCs w:val="24"/>
                <w:lang w:eastAsia="lv-LV"/>
              </w:rPr>
              <w:t>) apakšpunkts</w:t>
            </w:r>
          </w:p>
        </w:tc>
        <w:tc>
          <w:tcPr>
            <w:tcW w:w="1100" w:type="pct"/>
            <w:tcBorders>
              <w:top w:val="outset" w:sz="6" w:space="0" w:color="414142"/>
              <w:left w:val="outset" w:sz="6" w:space="0" w:color="414142"/>
              <w:bottom w:val="outset" w:sz="6" w:space="0" w:color="414142"/>
              <w:right w:val="outset" w:sz="6" w:space="0" w:color="414142"/>
            </w:tcBorders>
          </w:tcPr>
          <w:p w:rsidR="0066641C" w:rsidRDefault="0066641C"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78.panta pirmās da</w:t>
            </w:r>
            <w:r w:rsidR="00E1714C">
              <w:rPr>
                <w:rFonts w:ascii="Times New Roman" w:eastAsia="Times New Roman" w:hAnsi="Times New Roman" w:cs="Times New Roman"/>
                <w:color w:val="414142"/>
                <w:sz w:val="24"/>
                <w:szCs w:val="24"/>
                <w:lang w:eastAsia="lv-LV"/>
              </w:rPr>
              <w:t>ļas 3</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66641C" w:rsidRDefault="00244E25"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66641C" w:rsidRDefault="00B476A7"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nosaka stingrākas prasības kā ES tiesību akts. </w:t>
            </w:r>
            <w:r w:rsidR="0066641C">
              <w:rPr>
                <w:rFonts w:ascii="Times New Roman" w:eastAsia="Times New Roman" w:hAnsi="Times New Roman" w:cs="Times New Roman"/>
                <w:color w:val="414142"/>
                <w:sz w:val="24"/>
                <w:szCs w:val="24"/>
                <w:lang w:eastAsia="lv-LV"/>
              </w:rPr>
              <w:t xml:space="preserve">Likumprojekts </w:t>
            </w:r>
            <w:r w:rsidR="006C6234">
              <w:rPr>
                <w:rFonts w:ascii="Times New Roman" w:eastAsia="Times New Roman" w:hAnsi="Times New Roman" w:cs="Times New Roman"/>
                <w:color w:val="414142"/>
                <w:sz w:val="24"/>
                <w:szCs w:val="24"/>
                <w:lang w:eastAsia="lv-LV"/>
              </w:rPr>
              <w:t>neparedz piemērot sodu divkārša gūtās peļņas apmērā, kas varētu būt maz</w:t>
            </w:r>
            <w:r w:rsidR="0052433D">
              <w:rPr>
                <w:rFonts w:ascii="Times New Roman" w:eastAsia="Times New Roman" w:hAnsi="Times New Roman" w:cs="Times New Roman"/>
                <w:color w:val="414142"/>
                <w:sz w:val="24"/>
                <w:szCs w:val="24"/>
                <w:lang w:eastAsia="lv-LV"/>
              </w:rPr>
              <w:t>āk par 1 milj. kā paredzēts ES tiesību akta prasībās.</w:t>
            </w:r>
          </w:p>
        </w:tc>
      </w:tr>
      <w:tr w:rsidR="00567CB0" w:rsidRPr="00894C55" w:rsidTr="00B22A59">
        <w:trPr>
          <w:jc w:val="center"/>
        </w:trPr>
        <w:tc>
          <w:tcPr>
            <w:tcW w:w="1150" w:type="pct"/>
            <w:tcBorders>
              <w:top w:val="outset" w:sz="6" w:space="0" w:color="414142"/>
              <w:left w:val="outset" w:sz="6" w:space="0" w:color="414142"/>
              <w:bottom w:val="outset" w:sz="6" w:space="0" w:color="414142"/>
              <w:right w:val="outset" w:sz="6" w:space="0" w:color="414142"/>
            </w:tcBorders>
          </w:tcPr>
          <w:p w:rsidR="00567CB0" w:rsidRDefault="00567CB0"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3.punkts pirmā daļa</w:t>
            </w:r>
          </w:p>
        </w:tc>
        <w:tc>
          <w:tcPr>
            <w:tcW w:w="1100" w:type="pct"/>
            <w:tcBorders>
              <w:top w:val="outset" w:sz="6" w:space="0" w:color="414142"/>
              <w:left w:val="outset" w:sz="6" w:space="0" w:color="414142"/>
              <w:bottom w:val="outset" w:sz="6" w:space="0" w:color="414142"/>
              <w:right w:val="outset" w:sz="6" w:space="0" w:color="414142"/>
            </w:tcBorders>
          </w:tcPr>
          <w:p w:rsidR="00567CB0" w:rsidRDefault="00567CB0" w:rsidP="00B22A5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78.</w:t>
            </w:r>
            <w:r w:rsidRPr="00DE6E37">
              <w:rPr>
                <w:rFonts w:ascii="Times New Roman" w:eastAsia="Times New Roman" w:hAnsi="Times New Roman" w:cs="Times New Roman"/>
                <w:sz w:val="24"/>
                <w:szCs w:val="24"/>
                <w:lang w:eastAsia="lv-LV"/>
              </w:rPr>
              <w:t>panta pirmās daļas otrā daļa</w:t>
            </w:r>
          </w:p>
        </w:tc>
        <w:tc>
          <w:tcPr>
            <w:tcW w:w="1400" w:type="pct"/>
            <w:tcBorders>
              <w:top w:val="outset" w:sz="6" w:space="0" w:color="414142"/>
              <w:left w:val="outset" w:sz="6" w:space="0" w:color="414142"/>
              <w:bottom w:val="outset" w:sz="6" w:space="0" w:color="414142"/>
              <w:right w:val="outset" w:sz="6" w:space="0" w:color="414142"/>
            </w:tcBorders>
          </w:tcPr>
          <w:p w:rsidR="00567CB0" w:rsidRDefault="00567CB0"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567CB0" w:rsidRDefault="00567CB0" w:rsidP="00B22A59">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7516EE"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7516EE" w:rsidRDefault="000E7F0C" w:rsidP="007516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59.pants 3.punkts b) apakšpunkts</w:t>
            </w:r>
          </w:p>
        </w:tc>
        <w:tc>
          <w:tcPr>
            <w:tcW w:w="1100" w:type="pct"/>
            <w:tcBorders>
              <w:top w:val="outset" w:sz="6" w:space="0" w:color="414142"/>
              <w:left w:val="outset" w:sz="6" w:space="0" w:color="414142"/>
              <w:bottom w:val="outset" w:sz="6" w:space="0" w:color="414142"/>
              <w:right w:val="outset" w:sz="6" w:space="0" w:color="414142"/>
            </w:tcBorders>
          </w:tcPr>
          <w:p w:rsidR="007516EE" w:rsidRDefault="00244E25" w:rsidP="007516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0E7F0C">
              <w:rPr>
                <w:rFonts w:ascii="Times New Roman" w:eastAsia="Times New Roman" w:hAnsi="Times New Roman" w:cs="Times New Roman"/>
                <w:color w:val="414142"/>
                <w:sz w:val="24"/>
                <w:szCs w:val="24"/>
                <w:lang w:eastAsia="lv-LV"/>
              </w:rPr>
              <w:t xml:space="preserve"> 3</w:t>
            </w:r>
            <w:r w:rsidR="004041BF">
              <w:rPr>
                <w:rFonts w:ascii="Times New Roman" w:eastAsia="Times New Roman" w:hAnsi="Times New Roman" w:cs="Times New Roman"/>
                <w:color w:val="414142"/>
                <w:sz w:val="24"/>
                <w:szCs w:val="24"/>
                <w:lang w:eastAsia="lv-LV"/>
              </w:rPr>
              <w:t>4</w:t>
            </w:r>
            <w:r w:rsidR="000E7F0C">
              <w:rPr>
                <w:rFonts w:ascii="Times New Roman" w:eastAsia="Times New Roman" w:hAnsi="Times New Roman" w:cs="Times New Roman"/>
                <w:color w:val="414142"/>
                <w:sz w:val="24"/>
                <w:szCs w:val="24"/>
                <w:lang w:eastAsia="lv-LV"/>
              </w:rPr>
              <w:t xml:space="preserve">.pants </w:t>
            </w:r>
            <w:r w:rsidR="000E7F0C">
              <w:rPr>
                <w:rFonts w:ascii="Times New Roman" w:eastAsia="Times New Roman" w:hAnsi="Times New Roman" w:cs="Times New Roman"/>
                <w:color w:val="414142"/>
                <w:sz w:val="24"/>
                <w:szCs w:val="24"/>
                <w:lang w:eastAsia="lv-LV"/>
              </w:rPr>
              <w:lastRenderedPageBreak/>
              <w:t>NILLTFNL 78.pants otrās daļas 1.punkts un trešā daļa</w:t>
            </w:r>
          </w:p>
        </w:tc>
        <w:tc>
          <w:tcPr>
            <w:tcW w:w="1400" w:type="pct"/>
            <w:tcBorders>
              <w:top w:val="outset" w:sz="6" w:space="0" w:color="414142"/>
              <w:left w:val="outset" w:sz="6" w:space="0" w:color="414142"/>
              <w:bottom w:val="outset" w:sz="6" w:space="0" w:color="414142"/>
              <w:right w:val="outset" w:sz="6" w:space="0" w:color="414142"/>
            </w:tcBorders>
          </w:tcPr>
          <w:p w:rsidR="007516EE" w:rsidRDefault="00244E25" w:rsidP="007516E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Ieviests pilnībā</w:t>
            </w:r>
          </w:p>
        </w:tc>
        <w:tc>
          <w:tcPr>
            <w:tcW w:w="1350" w:type="pct"/>
            <w:tcBorders>
              <w:top w:val="outset" w:sz="6" w:space="0" w:color="414142"/>
              <w:left w:val="outset" w:sz="6" w:space="0" w:color="414142"/>
              <w:bottom w:val="outset" w:sz="6" w:space="0" w:color="414142"/>
              <w:right w:val="outset" w:sz="6" w:space="0" w:color="414142"/>
            </w:tcBorders>
          </w:tcPr>
          <w:p w:rsidR="007516EE" w:rsidRDefault="00244E25" w:rsidP="007516E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nosaka stingrākas prasības kā </w:t>
            </w:r>
            <w:r>
              <w:rPr>
                <w:rFonts w:ascii="Times New Roman" w:eastAsia="Times New Roman" w:hAnsi="Times New Roman" w:cs="Times New Roman"/>
                <w:color w:val="414142"/>
                <w:sz w:val="24"/>
                <w:szCs w:val="24"/>
                <w:lang w:eastAsia="lv-LV"/>
              </w:rPr>
              <w:lastRenderedPageBreak/>
              <w:t>ES tiesību akts.</w:t>
            </w:r>
            <w:r w:rsidR="00B476A7">
              <w:rPr>
                <w:rFonts w:ascii="Times New Roman" w:eastAsia="Times New Roman" w:hAnsi="Times New Roman" w:cs="Times New Roman"/>
                <w:color w:val="414142"/>
                <w:sz w:val="24"/>
                <w:szCs w:val="24"/>
                <w:lang w:eastAsia="lv-LV"/>
              </w:rPr>
              <w:t xml:space="preserve"> </w:t>
            </w:r>
            <w:r w:rsidR="000E7F0C">
              <w:rPr>
                <w:rFonts w:ascii="Times New Roman" w:eastAsia="Times New Roman" w:hAnsi="Times New Roman" w:cs="Times New Roman"/>
                <w:color w:val="414142"/>
                <w:sz w:val="24"/>
                <w:szCs w:val="24"/>
                <w:lang w:eastAsia="lv-LV"/>
              </w:rPr>
              <w:t>Likumprojekts paredz sodu 10% no kopējā gada apgrozījuma apmērā, bet ja, tie ir mazāk par 5 milj., tad 5.milj., ES tiesību akts paredz sodu 10% no kopējā gada apgrozījuma vai vismaz 5 milj.</w:t>
            </w:r>
          </w:p>
        </w:tc>
      </w:tr>
      <w:tr w:rsidR="0019619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59.pants 3.punkts b) apakšpunkts</w:t>
            </w:r>
          </w:p>
        </w:tc>
        <w:tc>
          <w:tcPr>
            <w:tcW w:w="1100" w:type="pct"/>
            <w:tcBorders>
              <w:top w:val="outset" w:sz="6" w:space="0" w:color="414142"/>
              <w:left w:val="outset" w:sz="6" w:space="0" w:color="414142"/>
              <w:bottom w:val="outset" w:sz="6" w:space="0" w:color="414142"/>
              <w:right w:val="outset" w:sz="6" w:space="0" w:color="414142"/>
            </w:tcBorders>
          </w:tcPr>
          <w:p w:rsidR="00196190" w:rsidRDefault="00244E25"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196190">
              <w:rPr>
                <w:rFonts w:ascii="Times New Roman" w:eastAsia="Times New Roman" w:hAnsi="Times New Roman" w:cs="Times New Roman"/>
                <w:color w:val="414142"/>
                <w:sz w:val="24"/>
                <w:szCs w:val="24"/>
                <w:lang w:eastAsia="lv-LV"/>
              </w:rPr>
              <w:t xml:space="preserve"> 3</w:t>
            </w:r>
            <w:r w:rsidR="004041BF">
              <w:rPr>
                <w:rFonts w:ascii="Times New Roman" w:eastAsia="Times New Roman" w:hAnsi="Times New Roman" w:cs="Times New Roman"/>
                <w:color w:val="414142"/>
                <w:sz w:val="24"/>
                <w:szCs w:val="24"/>
                <w:lang w:eastAsia="lv-LV"/>
              </w:rPr>
              <w:t>4</w:t>
            </w:r>
            <w:r w:rsidR="00196190">
              <w:rPr>
                <w:rFonts w:ascii="Times New Roman" w:eastAsia="Times New Roman" w:hAnsi="Times New Roman" w:cs="Times New Roman"/>
                <w:color w:val="414142"/>
                <w:sz w:val="24"/>
                <w:szCs w:val="24"/>
                <w:lang w:eastAsia="lv-LV"/>
              </w:rPr>
              <w:t>.pants NILLTFNL 78.pant</w:t>
            </w:r>
            <w:r w:rsidR="009A4E80">
              <w:rPr>
                <w:rFonts w:ascii="Times New Roman" w:eastAsia="Times New Roman" w:hAnsi="Times New Roman" w:cs="Times New Roman"/>
                <w:color w:val="414142"/>
                <w:sz w:val="24"/>
                <w:szCs w:val="24"/>
                <w:lang w:eastAsia="lv-LV"/>
              </w:rPr>
              <w:t>a</w:t>
            </w:r>
            <w:r w:rsidR="00196190">
              <w:rPr>
                <w:rFonts w:ascii="Times New Roman" w:eastAsia="Times New Roman" w:hAnsi="Times New Roman" w:cs="Times New Roman"/>
                <w:color w:val="414142"/>
                <w:sz w:val="24"/>
                <w:szCs w:val="24"/>
                <w:lang w:eastAsia="lv-LV"/>
              </w:rPr>
              <w:t xml:space="preserve"> otrā</w:t>
            </w:r>
            <w:r w:rsidR="009A4E80">
              <w:rPr>
                <w:rFonts w:ascii="Times New Roman" w:eastAsia="Times New Roman" w:hAnsi="Times New Roman" w:cs="Times New Roman"/>
                <w:color w:val="414142"/>
                <w:sz w:val="24"/>
                <w:szCs w:val="24"/>
                <w:lang w:eastAsia="lv-LV"/>
              </w:rPr>
              <w:t>s</w:t>
            </w:r>
            <w:r w:rsidR="00196190">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sidR="00196190">
              <w:rPr>
                <w:rFonts w:ascii="Times New Roman" w:eastAsia="Times New Roman" w:hAnsi="Times New Roman" w:cs="Times New Roman"/>
                <w:color w:val="414142"/>
                <w:sz w:val="24"/>
                <w:szCs w:val="24"/>
                <w:lang w:eastAsia="lv-LV"/>
              </w:rPr>
              <w:t xml:space="preserve"> 2.punkts</w:t>
            </w:r>
          </w:p>
        </w:tc>
        <w:tc>
          <w:tcPr>
            <w:tcW w:w="14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19619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1.punkts pirmā daļa</w:t>
            </w:r>
          </w:p>
        </w:tc>
        <w:tc>
          <w:tcPr>
            <w:tcW w:w="11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w:t>
            </w:r>
            <w:r w:rsidR="00E40225">
              <w:rPr>
                <w:rFonts w:ascii="Times New Roman" w:eastAsia="Times New Roman" w:hAnsi="Times New Roman" w:cs="Times New Roman"/>
                <w:color w:val="414142"/>
                <w:sz w:val="24"/>
                <w:szCs w:val="24"/>
                <w:lang w:eastAsia="lv-LV"/>
              </w:rPr>
              <w:t>a 2</w:t>
            </w:r>
            <w:r w:rsidR="004041BF">
              <w:rPr>
                <w:rFonts w:ascii="Times New Roman" w:eastAsia="Times New Roman" w:hAnsi="Times New Roman" w:cs="Times New Roman"/>
                <w:color w:val="414142"/>
                <w:sz w:val="24"/>
                <w:szCs w:val="24"/>
                <w:lang w:eastAsia="lv-LV"/>
              </w:rPr>
              <w:t>7</w:t>
            </w:r>
            <w:r w:rsidR="00E40225">
              <w:rPr>
                <w:rFonts w:ascii="Times New Roman" w:eastAsia="Times New Roman" w:hAnsi="Times New Roman" w:cs="Times New Roman"/>
                <w:color w:val="414142"/>
                <w:sz w:val="24"/>
                <w:szCs w:val="24"/>
                <w:lang w:eastAsia="lv-LV"/>
              </w:rPr>
              <w:t>.pants NILLTFNL 46.pant</w:t>
            </w:r>
            <w:r w:rsidR="009A4E80">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1</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19619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1.punkta otrā daļa un b) apakšpunkts</w:t>
            </w:r>
          </w:p>
        </w:tc>
        <w:tc>
          <w:tcPr>
            <w:tcW w:w="1100" w:type="pct"/>
            <w:tcBorders>
              <w:top w:val="outset" w:sz="6" w:space="0" w:color="414142"/>
              <w:left w:val="outset" w:sz="6" w:space="0" w:color="414142"/>
              <w:bottom w:val="outset" w:sz="6" w:space="0" w:color="414142"/>
              <w:right w:val="outset" w:sz="6" w:space="0" w:color="414142"/>
            </w:tcBorders>
          </w:tcPr>
          <w:p w:rsidR="00196190" w:rsidRDefault="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w:t>
            </w:r>
            <w:r w:rsidR="009A4E80">
              <w:rPr>
                <w:rFonts w:ascii="Times New Roman" w:eastAsia="Times New Roman" w:hAnsi="Times New Roman" w:cs="Times New Roman"/>
                <w:color w:val="414142"/>
                <w:sz w:val="24"/>
                <w:szCs w:val="24"/>
                <w:lang w:eastAsia="lv-LV"/>
              </w:rPr>
              <w:t>r</w:t>
            </w:r>
            <w:r>
              <w:rPr>
                <w:rFonts w:ascii="Times New Roman" w:eastAsia="Times New Roman" w:hAnsi="Times New Roman" w:cs="Times New Roman"/>
                <w:color w:val="414142"/>
                <w:sz w:val="24"/>
                <w:szCs w:val="24"/>
                <w:lang w:eastAsia="lv-LV"/>
              </w:rPr>
              <w:t>ojekta 2</w:t>
            </w:r>
            <w:r w:rsidR="004041BF">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.pa</w:t>
            </w:r>
            <w:r w:rsidR="00E40225">
              <w:rPr>
                <w:rFonts w:ascii="Times New Roman" w:eastAsia="Times New Roman" w:hAnsi="Times New Roman" w:cs="Times New Roman"/>
                <w:color w:val="414142"/>
                <w:sz w:val="24"/>
                <w:szCs w:val="24"/>
                <w:lang w:eastAsia="lv-LV"/>
              </w:rPr>
              <w:t>nts NILLTFNL 46.pant</w:t>
            </w:r>
            <w:r w:rsidR="009A4E80">
              <w:rPr>
                <w:rFonts w:ascii="Times New Roman" w:eastAsia="Times New Roman" w:hAnsi="Times New Roman" w:cs="Times New Roman"/>
                <w:color w:val="414142"/>
                <w:sz w:val="24"/>
                <w:szCs w:val="24"/>
                <w:lang w:eastAsia="lv-LV"/>
              </w:rPr>
              <w:t>a</w:t>
            </w:r>
            <w:r w:rsidR="00E40225">
              <w:rPr>
                <w:rFonts w:ascii="Times New Roman" w:eastAsia="Times New Roman" w:hAnsi="Times New Roman" w:cs="Times New Roman"/>
                <w:color w:val="414142"/>
                <w:sz w:val="24"/>
                <w:szCs w:val="24"/>
                <w:lang w:eastAsia="lv-LV"/>
              </w:rPr>
              <w:t xml:space="preserve"> 1</w:t>
            </w:r>
            <w:r w:rsidR="009A4E80">
              <w:rPr>
                <w:rFonts w:ascii="Times New Roman" w:eastAsia="Times New Roman" w:hAnsi="Times New Roman" w:cs="Times New Roman"/>
                <w:color w:val="414142"/>
                <w:sz w:val="24"/>
                <w:szCs w:val="24"/>
                <w:lang w:eastAsia="lv-LV"/>
              </w:rPr>
              <w:t>.</w:t>
            </w:r>
            <w:r w:rsidR="00E40225">
              <w:rPr>
                <w:rFonts w:ascii="Times New Roman" w:eastAsia="Times New Roman" w:hAnsi="Times New Roman" w:cs="Times New Roman"/>
                <w:color w:val="414142"/>
                <w:sz w:val="24"/>
                <w:szCs w:val="24"/>
                <w:lang w:eastAsia="lv-LV"/>
              </w:rPr>
              <w:t xml:space="preserve">¹ </w:t>
            </w:r>
            <w:r>
              <w:rPr>
                <w:rFonts w:ascii="Times New Roman" w:eastAsia="Times New Roman" w:hAnsi="Times New Roman" w:cs="Times New Roman"/>
                <w:color w:val="414142"/>
                <w:sz w:val="24"/>
                <w:szCs w:val="24"/>
                <w:lang w:eastAsia="lv-LV"/>
              </w:rPr>
              <w:t>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2. un 3. punkts</w:t>
            </w:r>
          </w:p>
        </w:tc>
        <w:tc>
          <w:tcPr>
            <w:tcW w:w="14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19619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2.punkts</w:t>
            </w:r>
          </w:p>
        </w:tc>
        <w:tc>
          <w:tcPr>
            <w:tcW w:w="11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w:t>
            </w:r>
            <w:r w:rsidR="002036A6">
              <w:rPr>
                <w:rFonts w:ascii="Times New Roman" w:eastAsia="Times New Roman" w:hAnsi="Times New Roman" w:cs="Times New Roman"/>
                <w:color w:val="414142"/>
                <w:sz w:val="24"/>
                <w:szCs w:val="24"/>
                <w:lang w:eastAsia="lv-LV"/>
              </w:rPr>
              <w:t>a 2</w:t>
            </w:r>
            <w:r w:rsidR="004041BF">
              <w:rPr>
                <w:rFonts w:ascii="Times New Roman" w:eastAsia="Times New Roman" w:hAnsi="Times New Roman" w:cs="Times New Roman"/>
                <w:color w:val="414142"/>
                <w:sz w:val="24"/>
                <w:szCs w:val="24"/>
                <w:lang w:eastAsia="lv-LV"/>
              </w:rPr>
              <w:t>7</w:t>
            </w:r>
            <w:r w:rsidR="002036A6">
              <w:rPr>
                <w:rFonts w:ascii="Times New Roman" w:eastAsia="Times New Roman" w:hAnsi="Times New Roman" w:cs="Times New Roman"/>
                <w:color w:val="414142"/>
                <w:sz w:val="24"/>
                <w:szCs w:val="24"/>
                <w:lang w:eastAsia="lv-LV"/>
              </w:rPr>
              <w:t>.pants NILLTFNL 46.pant</w:t>
            </w:r>
            <w:r w:rsidR="009A4E80">
              <w:rPr>
                <w:rFonts w:ascii="Times New Roman" w:eastAsia="Times New Roman" w:hAnsi="Times New Roman" w:cs="Times New Roman"/>
                <w:color w:val="414142"/>
                <w:sz w:val="24"/>
                <w:szCs w:val="24"/>
                <w:lang w:eastAsia="lv-LV"/>
              </w:rPr>
              <w:t>a</w:t>
            </w:r>
            <w:r w:rsidR="002036A6">
              <w:rPr>
                <w:rFonts w:ascii="Times New Roman" w:eastAsia="Times New Roman" w:hAnsi="Times New Roman" w:cs="Times New Roman"/>
                <w:color w:val="414142"/>
                <w:sz w:val="24"/>
                <w:szCs w:val="24"/>
                <w:lang w:eastAsia="lv-LV"/>
              </w:rPr>
              <w:t xml:space="preserve"> 1</w:t>
            </w:r>
            <w:r w:rsidR="009A4E80">
              <w:rPr>
                <w:rFonts w:ascii="Times New Roman" w:eastAsia="Times New Roman" w:hAnsi="Times New Roman" w:cs="Times New Roman"/>
                <w:color w:val="414142"/>
                <w:sz w:val="24"/>
                <w:szCs w:val="24"/>
                <w:lang w:eastAsia="lv-LV"/>
              </w:rPr>
              <w:t>.</w:t>
            </w:r>
            <w:r w:rsidR="002036A6">
              <w:rPr>
                <w:rFonts w:ascii="Times New Roman" w:eastAsia="Times New Roman" w:hAnsi="Times New Roman" w:cs="Times New Roman"/>
                <w:color w:val="414142"/>
                <w:sz w:val="24"/>
                <w:szCs w:val="24"/>
                <w:lang w:eastAsia="lv-LV"/>
              </w:rPr>
              <w:t xml:space="preserve">¹ </w:t>
            </w:r>
            <w:r>
              <w:rPr>
                <w:rFonts w:ascii="Times New Roman" w:eastAsia="Times New Roman" w:hAnsi="Times New Roman" w:cs="Times New Roman"/>
                <w:color w:val="414142"/>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19619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3.punkts</w:t>
            </w:r>
          </w:p>
        </w:tc>
        <w:tc>
          <w:tcPr>
            <w:tcW w:w="11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w:t>
            </w:r>
            <w:r w:rsidR="006956D9">
              <w:rPr>
                <w:rFonts w:ascii="Times New Roman" w:eastAsia="Times New Roman" w:hAnsi="Times New Roman" w:cs="Times New Roman"/>
                <w:color w:val="414142"/>
                <w:sz w:val="24"/>
                <w:szCs w:val="24"/>
                <w:lang w:eastAsia="lv-LV"/>
              </w:rPr>
              <w:t>ta 3</w:t>
            </w:r>
            <w:r w:rsidR="004041BF">
              <w:rPr>
                <w:rFonts w:ascii="Times New Roman" w:eastAsia="Times New Roman" w:hAnsi="Times New Roman" w:cs="Times New Roman"/>
                <w:color w:val="414142"/>
                <w:sz w:val="24"/>
                <w:szCs w:val="24"/>
                <w:lang w:eastAsia="lv-LV"/>
              </w:rPr>
              <w:t>4</w:t>
            </w:r>
            <w:r w:rsidR="006956D9">
              <w:rPr>
                <w:rFonts w:ascii="Times New Roman" w:eastAsia="Times New Roman" w:hAnsi="Times New Roman" w:cs="Times New Roman"/>
                <w:color w:val="414142"/>
                <w:sz w:val="24"/>
                <w:szCs w:val="24"/>
                <w:lang w:eastAsia="lv-LV"/>
              </w:rPr>
              <w:t>.pants NILLTFNL 78.pant</w:t>
            </w:r>
            <w:r w:rsidR="009A4E80">
              <w:rPr>
                <w:rFonts w:ascii="Times New Roman" w:eastAsia="Times New Roman" w:hAnsi="Times New Roman" w:cs="Times New Roman"/>
                <w:color w:val="414142"/>
                <w:sz w:val="24"/>
                <w:szCs w:val="24"/>
                <w:lang w:eastAsia="lv-LV"/>
              </w:rPr>
              <w:t>a</w:t>
            </w:r>
            <w:r w:rsidR="006956D9">
              <w:rPr>
                <w:rFonts w:ascii="Times New Roman" w:eastAsia="Times New Roman" w:hAnsi="Times New Roman" w:cs="Times New Roman"/>
                <w:color w:val="414142"/>
                <w:sz w:val="24"/>
                <w:szCs w:val="24"/>
                <w:lang w:eastAsia="lv-LV"/>
              </w:rPr>
              <w:t xml:space="preserve"> septītā</w:t>
            </w:r>
            <w:r w:rsidR="002036A6">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daļa </w:t>
            </w:r>
          </w:p>
        </w:tc>
        <w:tc>
          <w:tcPr>
            <w:tcW w:w="140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196190" w:rsidRDefault="00196190" w:rsidP="0019619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w:t>
            </w:r>
            <w:r w:rsidR="005A463A">
              <w:rPr>
                <w:rFonts w:ascii="Times New Roman" w:eastAsia="Times New Roman" w:hAnsi="Times New Roman" w:cs="Times New Roman"/>
                <w:color w:val="414142"/>
                <w:sz w:val="24"/>
                <w:szCs w:val="24"/>
                <w:lang w:eastAsia="lv-LV"/>
              </w:rPr>
              <w:t>as prasības kā ES tiesību akts</w:t>
            </w:r>
          </w:p>
        </w:tc>
      </w:tr>
      <w:tr w:rsidR="005634B3"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pirmā daļa</w:t>
            </w:r>
          </w:p>
        </w:tc>
        <w:tc>
          <w:tcPr>
            <w:tcW w:w="11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w:t>
            </w:r>
            <w:r w:rsidR="002036A6">
              <w:rPr>
                <w:rFonts w:ascii="Times New Roman" w:eastAsia="Times New Roman" w:hAnsi="Times New Roman" w:cs="Times New Roman"/>
                <w:color w:val="414142"/>
                <w:sz w:val="24"/>
                <w:szCs w:val="24"/>
                <w:lang w:eastAsia="lv-LV"/>
              </w:rPr>
              <w:t>ta 3</w:t>
            </w:r>
            <w:r w:rsidR="004041BF">
              <w:rPr>
                <w:rFonts w:ascii="Times New Roman" w:eastAsia="Times New Roman" w:hAnsi="Times New Roman" w:cs="Times New Roman"/>
                <w:color w:val="414142"/>
                <w:sz w:val="24"/>
                <w:szCs w:val="24"/>
                <w:lang w:eastAsia="lv-LV"/>
              </w:rPr>
              <w:t>4</w:t>
            </w:r>
            <w:r w:rsidR="002036A6">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sidR="002036A6">
              <w:rPr>
                <w:rFonts w:ascii="Times New Roman" w:eastAsia="Times New Roman" w:hAnsi="Times New Roman" w:cs="Times New Roman"/>
                <w:color w:val="414142"/>
                <w:sz w:val="24"/>
                <w:szCs w:val="24"/>
                <w:lang w:eastAsia="lv-LV"/>
              </w:rPr>
              <w:t xml:space="preserve"> trešā </w:t>
            </w:r>
            <w:r>
              <w:rPr>
                <w:rFonts w:ascii="Times New Roman" w:eastAsia="Times New Roman" w:hAnsi="Times New Roman" w:cs="Times New Roman"/>
                <w:color w:val="414142"/>
                <w:sz w:val="24"/>
                <w:szCs w:val="24"/>
                <w:lang w:eastAsia="lv-LV"/>
              </w:rPr>
              <w:t xml:space="preserve">daļa </w:t>
            </w:r>
          </w:p>
        </w:tc>
        <w:tc>
          <w:tcPr>
            <w:tcW w:w="14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5634B3"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a) apakšpunkts</w:t>
            </w:r>
          </w:p>
        </w:tc>
        <w:tc>
          <w:tcPr>
            <w:tcW w:w="11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5634B3"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b) apakšpunkts</w:t>
            </w:r>
          </w:p>
        </w:tc>
        <w:tc>
          <w:tcPr>
            <w:tcW w:w="1100" w:type="pct"/>
            <w:tcBorders>
              <w:top w:val="outset" w:sz="6" w:space="0" w:color="414142"/>
              <w:left w:val="outset" w:sz="6" w:space="0" w:color="414142"/>
              <w:bottom w:val="outset" w:sz="6" w:space="0" w:color="414142"/>
              <w:right w:val="outset" w:sz="6" w:space="0" w:color="414142"/>
            </w:tcBorders>
          </w:tcPr>
          <w:p w:rsidR="005634B3" w:rsidRDefault="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5634B3"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60.pants 4.punkts c) apakšpunkts</w:t>
            </w:r>
          </w:p>
        </w:tc>
        <w:tc>
          <w:tcPr>
            <w:tcW w:w="1100" w:type="pct"/>
            <w:tcBorders>
              <w:top w:val="outset" w:sz="6" w:space="0" w:color="414142"/>
              <w:left w:val="outset" w:sz="6" w:space="0" w:color="414142"/>
              <w:bottom w:val="outset" w:sz="6" w:space="0" w:color="414142"/>
              <w:right w:val="outset" w:sz="6" w:space="0" w:color="414142"/>
            </w:tcBorders>
          </w:tcPr>
          <w:p w:rsidR="005634B3" w:rsidRDefault="005634B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 xml:space="preserve">s </w:t>
            </w:r>
            <w:r>
              <w:rPr>
                <w:rFonts w:ascii="Times New Roman" w:eastAsia="Times New Roman" w:hAnsi="Times New Roman" w:cs="Times New Roman"/>
                <w:color w:val="414142"/>
                <w:sz w:val="24"/>
                <w:szCs w:val="24"/>
                <w:lang w:eastAsia="lv-LV"/>
              </w:rPr>
              <w:t>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5634B3" w:rsidRDefault="005634B3" w:rsidP="005634B3">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EA0BBE"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EA0BBE" w:rsidRDefault="00EA0BBE" w:rsidP="00EA0BB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d) apakšpunkts</w:t>
            </w:r>
          </w:p>
        </w:tc>
        <w:tc>
          <w:tcPr>
            <w:tcW w:w="1100" w:type="pct"/>
            <w:tcBorders>
              <w:top w:val="outset" w:sz="6" w:space="0" w:color="414142"/>
              <w:left w:val="outset" w:sz="6" w:space="0" w:color="414142"/>
              <w:bottom w:val="outset" w:sz="6" w:space="0" w:color="414142"/>
              <w:right w:val="outset" w:sz="6" w:space="0" w:color="414142"/>
            </w:tcBorders>
          </w:tcPr>
          <w:p w:rsidR="00EA0BBE" w:rsidRDefault="00EA0BB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EA0BBE" w:rsidRDefault="00EA0BBE" w:rsidP="00EA0BB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EA0BBE" w:rsidRDefault="00EA0BBE" w:rsidP="00EA0BBE">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FA4320"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FA4320" w:rsidRDefault="00FA4320" w:rsidP="00FA432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e) apakšpunkts</w:t>
            </w:r>
          </w:p>
        </w:tc>
        <w:tc>
          <w:tcPr>
            <w:tcW w:w="1100" w:type="pct"/>
            <w:tcBorders>
              <w:top w:val="outset" w:sz="6" w:space="0" w:color="414142"/>
              <w:left w:val="outset" w:sz="6" w:space="0" w:color="414142"/>
              <w:bottom w:val="outset" w:sz="6" w:space="0" w:color="414142"/>
              <w:right w:val="outset" w:sz="6" w:space="0" w:color="414142"/>
            </w:tcBorders>
          </w:tcPr>
          <w:p w:rsidR="00FA4320" w:rsidRDefault="00FA432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FA4320" w:rsidRDefault="00FA4320" w:rsidP="00FA432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FA4320" w:rsidRDefault="00FA4320" w:rsidP="00FA4320">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f)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6.</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60.pants 4.punkts g)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3</w:t>
            </w:r>
            <w:r w:rsidR="004041BF">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.pants NILLTFNL 77.pant</w:t>
            </w:r>
            <w:r w:rsidR="009A4E80">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trešā</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w:t>
            </w:r>
            <w:r w:rsidR="00103942">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nenosaka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61.pants 3.punkts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3.pants NILLTFNL 7.pant</w:t>
            </w:r>
            <w:r w:rsidR="009A4E80">
              <w:rPr>
                <w:rFonts w:ascii="Times New Roman" w:eastAsia="Times New Roman" w:hAnsi="Times New Roman" w:cs="Times New Roman"/>
                <w:color w:val="414142"/>
                <w:sz w:val="24"/>
                <w:szCs w:val="24"/>
                <w:lang w:eastAsia="lv-LV"/>
              </w:rPr>
              <w:t>a</w:t>
            </w:r>
            <w:r w:rsidR="00B35B21">
              <w:rPr>
                <w:rFonts w:ascii="Times New Roman" w:eastAsia="Times New Roman" w:hAnsi="Times New Roman" w:cs="Times New Roman"/>
                <w:color w:val="414142"/>
                <w:sz w:val="24"/>
                <w:szCs w:val="24"/>
                <w:lang w:eastAsia="lv-LV"/>
              </w:rPr>
              <w:t xml:space="preserve"> pirmās daļas 9.punkts  </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 jo papildus paredz anonīmo iekšējo ziņu izvērtēšanu.</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 pielikums i) 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8.pants NILLTFNL 11¹.pan</w:t>
            </w:r>
            <w:r w:rsidR="009A4E80">
              <w:rPr>
                <w:rFonts w:ascii="Times New Roman" w:eastAsia="Times New Roman" w:hAnsi="Times New Roman" w:cs="Times New Roman"/>
                <w:color w:val="414142"/>
                <w:sz w:val="24"/>
                <w:szCs w:val="24"/>
                <w:lang w:eastAsia="lv-LV"/>
              </w:rPr>
              <w:t>ta</w:t>
            </w:r>
            <w:r w:rsidR="00B35B21">
              <w:rPr>
                <w:rFonts w:ascii="Times New Roman" w:eastAsia="Times New Roman" w:hAnsi="Times New Roman" w:cs="Times New Roman"/>
                <w:color w:val="414142"/>
                <w:sz w:val="24"/>
                <w:szCs w:val="24"/>
                <w:lang w:eastAsia="lv-LV"/>
              </w:rPr>
              <w:t xml:space="preserve"> otrā</w:t>
            </w:r>
            <w:r w:rsidR="009A4E80">
              <w:rPr>
                <w:rFonts w:ascii="Times New Roman" w:eastAsia="Times New Roman" w:hAnsi="Times New Roman" w:cs="Times New Roman"/>
                <w:color w:val="414142"/>
                <w:sz w:val="24"/>
                <w:szCs w:val="24"/>
                <w:lang w:eastAsia="lv-LV"/>
              </w:rPr>
              <w:t>s</w:t>
            </w:r>
            <w:r w:rsidR="00B35B21">
              <w:rPr>
                <w:rFonts w:ascii="Times New Roman" w:eastAsia="Times New Roman" w:hAnsi="Times New Roman" w:cs="Times New Roman"/>
                <w:color w:val="414142"/>
                <w:sz w:val="24"/>
                <w:szCs w:val="24"/>
                <w:lang w:eastAsia="lv-LV"/>
              </w:rPr>
              <w:t xml:space="preserve"> daļa</w:t>
            </w:r>
            <w:r w:rsidR="009A4E80">
              <w:rPr>
                <w:rFonts w:ascii="Times New Roman" w:eastAsia="Times New Roman" w:hAnsi="Times New Roman" w:cs="Times New Roman"/>
                <w:color w:val="414142"/>
                <w:sz w:val="24"/>
                <w:szCs w:val="24"/>
                <w:lang w:eastAsia="lv-LV"/>
              </w:rPr>
              <w:t>s</w:t>
            </w:r>
            <w:r w:rsidR="00B35B21">
              <w:rPr>
                <w:rFonts w:ascii="Times New Roman" w:eastAsia="Times New Roman" w:hAnsi="Times New Roman" w:cs="Times New Roman"/>
                <w:color w:val="414142"/>
                <w:sz w:val="24"/>
                <w:szCs w:val="24"/>
                <w:lang w:eastAsia="lv-LV"/>
              </w:rPr>
              <w:t xml:space="preserve"> 1.punkts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 pielikums ii) 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8.pants NILLTFNL </w:t>
            </w:r>
            <w:r w:rsidR="00AE6CA1">
              <w:rPr>
                <w:rFonts w:ascii="Times New Roman" w:eastAsia="Times New Roman" w:hAnsi="Times New Roman" w:cs="Times New Roman"/>
                <w:color w:val="414142"/>
                <w:sz w:val="24"/>
                <w:szCs w:val="24"/>
                <w:lang w:eastAsia="lv-LV"/>
              </w:rPr>
              <w:t xml:space="preserve">11¹.panta </w:t>
            </w:r>
            <w:r w:rsidR="00B35B21" w:rsidRPr="00DE6E37">
              <w:rPr>
                <w:rFonts w:ascii="Times New Roman" w:eastAsia="Times New Roman" w:hAnsi="Times New Roman" w:cs="Times New Roman"/>
                <w:sz w:val="24"/>
                <w:szCs w:val="24"/>
                <w:lang w:eastAsia="lv-LV"/>
              </w:rPr>
              <w:t>otrās daļas 2.punkts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 pielikums iii)</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8.pants NILLTFNL </w:t>
            </w:r>
            <w:r w:rsidR="00AE6CA1">
              <w:rPr>
                <w:rFonts w:ascii="Times New Roman" w:eastAsia="Times New Roman" w:hAnsi="Times New Roman" w:cs="Times New Roman"/>
                <w:color w:val="414142"/>
                <w:sz w:val="24"/>
                <w:szCs w:val="24"/>
                <w:lang w:eastAsia="lv-LV"/>
              </w:rPr>
              <w:t xml:space="preserve">11¹.panta </w:t>
            </w:r>
            <w:r w:rsidR="00B35B21" w:rsidRPr="00DE6E37">
              <w:rPr>
                <w:rFonts w:ascii="Times New Roman" w:eastAsia="Times New Roman" w:hAnsi="Times New Roman" w:cs="Times New Roman"/>
                <w:sz w:val="24"/>
                <w:szCs w:val="24"/>
                <w:lang w:eastAsia="lv-LV"/>
              </w:rPr>
              <w:t>otrās daļas 3.punkts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1.punkts a)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w:t>
            </w:r>
            <w:r w:rsidR="00FA3B87">
              <w:rPr>
                <w:rFonts w:ascii="Times New Roman" w:eastAsia="Times New Roman" w:hAnsi="Times New Roman" w:cs="Times New Roman"/>
                <w:color w:val="414142"/>
                <w:sz w:val="24"/>
                <w:szCs w:val="24"/>
                <w:lang w:eastAsia="lv-LV"/>
              </w:rPr>
              <w:t>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Pr>
                <w:rFonts w:ascii="Times New Roman" w:eastAsia="Times New Roman" w:hAnsi="Times New Roman" w:cs="Times New Roman"/>
                <w:color w:val="414142"/>
                <w:sz w:val="24"/>
                <w:szCs w:val="24"/>
                <w:lang w:eastAsia="lv-LV"/>
              </w:rPr>
              <w:t>daļas 1.punkts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III pielikums 1.punkts c)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trešās</w:t>
            </w:r>
            <w:r w:rsidR="00D23520">
              <w:rPr>
                <w:rFonts w:ascii="Times New Roman" w:eastAsia="Times New Roman" w:hAnsi="Times New Roman" w:cs="Times New Roman"/>
                <w:color w:val="414142"/>
                <w:sz w:val="24"/>
                <w:szCs w:val="24"/>
                <w:lang w:eastAsia="lv-LV"/>
              </w:rPr>
              <w:t xml:space="preserve"> </w:t>
            </w:r>
            <w:r w:rsidR="00B35B21">
              <w:rPr>
                <w:rFonts w:ascii="Times New Roman" w:eastAsia="Times New Roman" w:hAnsi="Times New Roman" w:cs="Times New Roman"/>
                <w:color w:val="414142"/>
                <w:sz w:val="24"/>
                <w:szCs w:val="24"/>
                <w:lang w:eastAsia="lv-LV"/>
              </w:rPr>
              <w:t>daļas 3.punkts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1.punkts d)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4.punkts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1.punkts e)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5.punkts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1.punkts f)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6.punkts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2.punkts a)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w:t>
            </w:r>
            <w:r w:rsidR="00D23520">
              <w:rPr>
                <w:rFonts w:ascii="Times New Roman" w:eastAsia="Times New Roman" w:hAnsi="Times New Roman" w:cs="Times New Roman"/>
                <w:color w:val="414142"/>
                <w:sz w:val="24"/>
                <w:szCs w:val="24"/>
                <w:lang w:eastAsia="lv-LV"/>
              </w:rPr>
              <w:t>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7.punkts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2.punkts b)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8.punkts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2.punkts d)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10.punkts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2.punkts e)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11.punkts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3.punkts b)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2.punkt</w:t>
            </w:r>
            <w:r w:rsidR="009A4E80">
              <w:rPr>
                <w:rFonts w:ascii="Times New Roman" w:eastAsia="Times New Roman" w:hAnsi="Times New Roman" w:cs="Times New Roman"/>
                <w:color w:val="414142"/>
                <w:sz w:val="24"/>
                <w:szCs w:val="24"/>
                <w:lang w:eastAsia="lv-LV"/>
              </w:rPr>
              <w:t>a</w:t>
            </w:r>
            <w:r w:rsidR="00B35B21">
              <w:rPr>
                <w:rFonts w:ascii="Times New Roman" w:eastAsia="Times New Roman" w:hAnsi="Times New Roman" w:cs="Times New Roman"/>
                <w:color w:val="414142"/>
                <w:sz w:val="24"/>
                <w:szCs w:val="24"/>
                <w:lang w:eastAsia="lv-LV"/>
              </w:rPr>
              <w:t xml:space="preserve"> b) un c) apakšpunkts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3.punkts c)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B35B21">
              <w:rPr>
                <w:rFonts w:ascii="Times New Roman" w:eastAsia="Times New Roman" w:hAnsi="Times New Roman" w:cs="Times New Roman"/>
                <w:color w:val="414142"/>
                <w:sz w:val="24"/>
                <w:szCs w:val="24"/>
                <w:lang w:eastAsia="lv-LV"/>
              </w:rPr>
              <w:t xml:space="preserve"> 15.pants NILLTFN</w:t>
            </w:r>
            <w:r w:rsidR="00D23520">
              <w:rPr>
                <w:rFonts w:ascii="Times New Roman" w:eastAsia="Times New Roman" w:hAnsi="Times New Roman" w:cs="Times New Roman"/>
                <w:color w:val="414142"/>
                <w:sz w:val="24"/>
                <w:szCs w:val="24"/>
                <w:lang w:eastAsia="lv-LV"/>
              </w:rPr>
              <w:t xml:space="preserve">L </w:t>
            </w:r>
            <w:r w:rsidR="00D23520">
              <w:rPr>
                <w:rFonts w:ascii="Times New Roman" w:eastAsia="Times New Roman" w:hAnsi="Times New Roman" w:cs="Times New Roman"/>
                <w:color w:val="414142"/>
                <w:sz w:val="24"/>
                <w:szCs w:val="24"/>
                <w:lang w:eastAsia="lv-LV"/>
              </w:rPr>
              <w:lastRenderedPageBreak/>
              <w:t>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2.punkt</w:t>
            </w:r>
            <w:r w:rsidR="009A4E80">
              <w:rPr>
                <w:rFonts w:ascii="Times New Roman" w:eastAsia="Times New Roman" w:hAnsi="Times New Roman" w:cs="Times New Roman"/>
                <w:color w:val="414142"/>
                <w:sz w:val="24"/>
                <w:szCs w:val="24"/>
                <w:lang w:eastAsia="lv-LV"/>
              </w:rPr>
              <w:t>a</w:t>
            </w:r>
            <w:r w:rsidR="00B35B21">
              <w:rPr>
                <w:rFonts w:ascii="Times New Roman" w:eastAsia="Times New Roman" w:hAnsi="Times New Roman" w:cs="Times New Roman"/>
                <w:color w:val="414142"/>
                <w:sz w:val="24"/>
                <w:szCs w:val="24"/>
                <w:lang w:eastAsia="lv-LV"/>
              </w:rPr>
              <w:t xml:space="preserve"> d) apakšpunkts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DC1196">
        <w:trPr>
          <w:jc w:val="center"/>
        </w:trPr>
        <w:tc>
          <w:tcPr>
            <w:tcW w:w="11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III pielikums 3.punkts d) apakšpunkts</w:t>
            </w:r>
          </w:p>
        </w:tc>
        <w:tc>
          <w:tcPr>
            <w:tcW w:w="1100" w:type="pct"/>
            <w:tcBorders>
              <w:top w:val="outset" w:sz="6" w:space="0" w:color="414142"/>
              <w:left w:val="outset" w:sz="6" w:space="0" w:color="414142"/>
              <w:bottom w:val="outset" w:sz="6" w:space="0" w:color="414142"/>
              <w:right w:val="outset" w:sz="6" w:space="0" w:color="414142"/>
            </w:tcBorders>
          </w:tcPr>
          <w:p w:rsidR="00B35B21" w:rsidRDefault="00FA3B87"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w:t>
            </w:r>
            <w:r w:rsidR="00D23520">
              <w:rPr>
                <w:rFonts w:ascii="Times New Roman" w:eastAsia="Times New Roman" w:hAnsi="Times New Roman" w:cs="Times New Roman"/>
                <w:color w:val="414142"/>
                <w:sz w:val="24"/>
                <w:szCs w:val="24"/>
                <w:lang w:eastAsia="lv-LV"/>
              </w:rPr>
              <w:t xml:space="preserve"> 15.pants NILLTFNL 22.pant</w:t>
            </w:r>
            <w:r w:rsidR="009A4E80">
              <w:rPr>
                <w:rFonts w:ascii="Times New Roman" w:eastAsia="Times New Roman" w:hAnsi="Times New Roman" w:cs="Times New Roman"/>
                <w:color w:val="414142"/>
                <w:sz w:val="24"/>
                <w:szCs w:val="24"/>
                <w:lang w:eastAsia="lv-LV"/>
              </w:rPr>
              <w:t>a</w:t>
            </w:r>
            <w:r w:rsidR="00D23520">
              <w:rPr>
                <w:rFonts w:ascii="Times New Roman" w:eastAsia="Times New Roman" w:hAnsi="Times New Roman" w:cs="Times New Roman"/>
                <w:color w:val="414142"/>
                <w:sz w:val="24"/>
                <w:szCs w:val="24"/>
                <w:lang w:eastAsia="lv-LV"/>
              </w:rPr>
              <w:t xml:space="preserve"> </w:t>
            </w:r>
            <w:r w:rsidR="005539D2">
              <w:rPr>
                <w:rFonts w:ascii="Times New Roman" w:eastAsia="Times New Roman" w:hAnsi="Times New Roman" w:cs="Times New Roman"/>
                <w:color w:val="414142"/>
                <w:sz w:val="24"/>
                <w:szCs w:val="24"/>
                <w:lang w:eastAsia="lv-LV"/>
              </w:rPr>
              <w:t xml:space="preserve">trešās </w:t>
            </w:r>
            <w:r w:rsidR="00B35B21">
              <w:rPr>
                <w:rFonts w:ascii="Times New Roman" w:eastAsia="Times New Roman" w:hAnsi="Times New Roman" w:cs="Times New Roman"/>
                <w:color w:val="414142"/>
                <w:sz w:val="24"/>
                <w:szCs w:val="24"/>
                <w:lang w:eastAsia="lv-LV"/>
              </w:rPr>
              <w:t>daļas 2.punkt</w:t>
            </w:r>
            <w:r w:rsidR="009A4E80">
              <w:rPr>
                <w:rFonts w:ascii="Times New Roman" w:eastAsia="Times New Roman" w:hAnsi="Times New Roman" w:cs="Times New Roman"/>
                <w:color w:val="414142"/>
                <w:sz w:val="24"/>
                <w:szCs w:val="24"/>
                <w:lang w:eastAsia="lv-LV"/>
              </w:rPr>
              <w:t>a</w:t>
            </w:r>
            <w:r w:rsidR="00B35B21">
              <w:rPr>
                <w:rFonts w:ascii="Times New Roman" w:eastAsia="Times New Roman" w:hAnsi="Times New Roman" w:cs="Times New Roman"/>
                <w:color w:val="414142"/>
                <w:sz w:val="24"/>
                <w:szCs w:val="24"/>
                <w:lang w:eastAsia="lv-LV"/>
              </w:rPr>
              <w:t xml:space="preserve"> e) apakšpunkts</w:t>
            </w:r>
          </w:p>
        </w:tc>
        <w:tc>
          <w:tcPr>
            <w:tcW w:w="140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 pilnībā</w:t>
            </w:r>
          </w:p>
        </w:tc>
        <w:tc>
          <w:tcPr>
            <w:tcW w:w="1350" w:type="pct"/>
            <w:tcBorders>
              <w:top w:val="outset" w:sz="6" w:space="0" w:color="414142"/>
              <w:left w:val="outset" w:sz="6" w:space="0" w:color="414142"/>
              <w:bottom w:val="outset" w:sz="6" w:space="0" w:color="414142"/>
              <w:right w:val="outset" w:sz="6" w:space="0" w:color="414142"/>
            </w:tcBorders>
          </w:tcPr>
          <w:p w:rsidR="00B35B21" w:rsidRDefault="00B35B21"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nosaka stingrākas prasības kā ES tiesību akts</w:t>
            </w:r>
          </w:p>
        </w:tc>
      </w:tr>
      <w:tr w:rsidR="00B35B21" w:rsidRPr="00894C55"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35B21" w:rsidRPr="00894C55" w:rsidRDefault="00B35B21" w:rsidP="00B35B2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35B21" w:rsidRPr="00894C55" w:rsidRDefault="00E3207E"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Gadījumos, kur ir izvēles iespēja, atbilstoši dalībvalsts izvēles tiesībām ir izdarīta izvēle pārņemt direktīvas prasības nacionālajā normatīvajā regulējumā, lai nodrošinātu efektīvu tirgus dalībnieku uzraudzību.</w:t>
            </w:r>
          </w:p>
        </w:tc>
      </w:tr>
      <w:tr w:rsidR="00B35B21" w:rsidRPr="00894C55"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35B21" w:rsidRPr="00894C55" w:rsidRDefault="00B35B21" w:rsidP="00B35B2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35B21" w:rsidRPr="00894C55" w:rsidRDefault="00E3207E" w:rsidP="00B35B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B35B21" w:rsidRPr="00894C55"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35B21" w:rsidRPr="00894C55" w:rsidRDefault="00B35B21" w:rsidP="00B35B2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35B21" w:rsidRPr="00894C55" w:rsidRDefault="00C17C37" w:rsidP="00B35B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DE6E37" w:rsidRPr="00894C55" w:rsidRDefault="00DE6E37"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Default="00081C23"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w:t>
            </w:r>
            <w:r w:rsidR="00DC5A12">
              <w:rPr>
                <w:rFonts w:ascii="Times New Roman" w:eastAsia="Times New Roman" w:hAnsi="Times New Roman" w:cs="Times New Roman"/>
                <w:color w:val="414142"/>
                <w:sz w:val="24"/>
                <w:szCs w:val="24"/>
                <w:lang w:eastAsia="lv-LV"/>
              </w:rPr>
              <w:t>ikumprojekta izstrāde notika</w:t>
            </w:r>
            <w:r w:rsidR="00D9362A">
              <w:rPr>
                <w:rFonts w:ascii="Times New Roman" w:eastAsia="Times New Roman" w:hAnsi="Times New Roman" w:cs="Times New Roman"/>
                <w:color w:val="414142"/>
                <w:sz w:val="24"/>
                <w:szCs w:val="24"/>
                <w:lang w:eastAsia="lv-LV"/>
              </w:rPr>
              <w:t>,</w:t>
            </w:r>
            <w:r w:rsidR="00DC5A12">
              <w:rPr>
                <w:rFonts w:ascii="Times New Roman" w:eastAsia="Times New Roman" w:hAnsi="Times New Roman" w:cs="Times New Roman"/>
                <w:color w:val="414142"/>
                <w:sz w:val="24"/>
                <w:szCs w:val="24"/>
                <w:lang w:eastAsia="lv-LV"/>
              </w:rPr>
              <w:t xml:space="preserve"> konsultējoties ar Tieslietu ministriju, Finanšu un kapitāla </w:t>
            </w:r>
            <w:r w:rsidR="007A0E2B">
              <w:rPr>
                <w:rFonts w:ascii="Times New Roman" w:eastAsia="Times New Roman" w:hAnsi="Times New Roman" w:cs="Times New Roman"/>
                <w:color w:val="414142"/>
                <w:sz w:val="24"/>
                <w:szCs w:val="24"/>
                <w:lang w:eastAsia="lv-LV"/>
              </w:rPr>
              <w:t xml:space="preserve">tirgus komisiju, Latvijas Banku, </w:t>
            </w:r>
            <w:r w:rsidR="00E95690">
              <w:rPr>
                <w:rFonts w:ascii="Times New Roman" w:eastAsia="Times New Roman" w:hAnsi="Times New Roman" w:cs="Times New Roman"/>
                <w:color w:val="414142"/>
                <w:sz w:val="24"/>
                <w:szCs w:val="24"/>
                <w:lang w:eastAsia="lv-LV"/>
              </w:rPr>
              <w:t>Noziedzīgi iegūtu līdzekļu legalizācijas novēršanas dienestu.</w:t>
            </w:r>
          </w:p>
          <w:p w:rsidR="008061B7" w:rsidRDefault="000E508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Vienlaikus uzziņa par likumprojekta izstrādi 2016.gada 27.maijā tika publicēta Finanšu ministrijas mājaslapas sadaļā “Sabiedrības līdzdalība”.</w:t>
            </w:r>
          </w:p>
          <w:p w:rsidR="00D61AED" w:rsidRPr="00894C55" w:rsidRDefault="00BB23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w:t>
            </w:r>
            <w:r w:rsidR="00D61AED">
              <w:rPr>
                <w:rFonts w:ascii="Times New Roman" w:eastAsia="Times New Roman" w:hAnsi="Times New Roman" w:cs="Times New Roman"/>
                <w:color w:val="414142"/>
                <w:sz w:val="24"/>
                <w:szCs w:val="24"/>
                <w:lang w:eastAsia="lv-LV"/>
              </w:rPr>
              <w:t xml:space="preserve"> izsludināts 2017.gada 23.marta Valsts sekretāru sanāksmē, VSS-309</w:t>
            </w:r>
            <w:r>
              <w:rPr>
                <w:rFonts w:ascii="Times New Roman" w:eastAsia="Times New Roman" w:hAnsi="Times New Roman" w:cs="Times New Roman"/>
                <w:color w:val="414142"/>
                <w:sz w:val="24"/>
                <w:szCs w:val="24"/>
                <w:lang w:eastAsia="lv-LV"/>
              </w:rPr>
              <w:t>.</w:t>
            </w:r>
          </w:p>
        </w:tc>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E5081" w:rsidRPr="00894C55" w:rsidRDefault="00C221C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Pirms izsludinā</w:t>
            </w:r>
            <w:r w:rsidR="00740D27">
              <w:rPr>
                <w:rFonts w:ascii="Times New Roman" w:eastAsia="Times New Roman" w:hAnsi="Times New Roman" w:cs="Times New Roman"/>
                <w:color w:val="414142"/>
                <w:sz w:val="24"/>
                <w:szCs w:val="24"/>
                <w:lang w:eastAsia="lv-LV"/>
              </w:rPr>
              <w:t xml:space="preserve">šanas </w:t>
            </w:r>
            <w:r w:rsidR="00E831DF">
              <w:rPr>
                <w:rFonts w:ascii="Times New Roman" w:eastAsia="Times New Roman" w:hAnsi="Times New Roman" w:cs="Times New Roman"/>
                <w:color w:val="414142"/>
                <w:sz w:val="24"/>
                <w:szCs w:val="24"/>
                <w:lang w:eastAsia="lv-LV"/>
              </w:rPr>
              <w:t>V</w:t>
            </w:r>
            <w:r>
              <w:rPr>
                <w:rFonts w:ascii="Times New Roman" w:eastAsia="Times New Roman" w:hAnsi="Times New Roman" w:cs="Times New Roman"/>
                <w:color w:val="414142"/>
                <w:sz w:val="24"/>
                <w:szCs w:val="24"/>
                <w:lang w:eastAsia="lv-LV"/>
              </w:rPr>
              <w:t>alsts sekretāru sanāksmē</w:t>
            </w:r>
            <w:r w:rsidR="009C0BA1">
              <w:rPr>
                <w:rFonts w:ascii="Times New Roman" w:eastAsia="Times New Roman" w:hAnsi="Times New Roman" w:cs="Times New Roman"/>
                <w:color w:val="414142"/>
                <w:sz w:val="24"/>
                <w:szCs w:val="24"/>
                <w:lang w:eastAsia="lv-LV"/>
              </w:rPr>
              <w:t xml:space="preserve"> </w:t>
            </w:r>
            <w:r w:rsidR="007F6463">
              <w:rPr>
                <w:rFonts w:ascii="Times New Roman" w:eastAsia="Times New Roman" w:hAnsi="Times New Roman" w:cs="Times New Roman"/>
                <w:color w:val="414142"/>
                <w:sz w:val="24"/>
                <w:szCs w:val="24"/>
                <w:lang w:eastAsia="lv-LV"/>
              </w:rPr>
              <w:t xml:space="preserve">likumprojekts tika nosūtīts </w:t>
            </w:r>
            <w:r w:rsidR="008061B7">
              <w:rPr>
                <w:rFonts w:ascii="Times New Roman" w:eastAsia="Times New Roman" w:hAnsi="Times New Roman" w:cs="Times New Roman"/>
                <w:color w:val="414142"/>
                <w:sz w:val="24"/>
                <w:szCs w:val="24"/>
                <w:lang w:eastAsia="lv-LV"/>
              </w:rPr>
              <w:t xml:space="preserve">saskaņošanai </w:t>
            </w:r>
            <w:r w:rsidR="00ED2C71">
              <w:rPr>
                <w:rFonts w:ascii="Times New Roman" w:eastAsia="Times New Roman" w:hAnsi="Times New Roman" w:cs="Times New Roman"/>
                <w:color w:val="414142"/>
                <w:sz w:val="24"/>
                <w:szCs w:val="24"/>
                <w:lang w:eastAsia="lv-LV"/>
              </w:rPr>
              <w:t xml:space="preserve">Uzņēmumu reģistram, Valsts ieņēmumu dienestam, Satiksmes ministrijai, </w:t>
            </w:r>
            <w:r w:rsidR="00B35358">
              <w:rPr>
                <w:rFonts w:ascii="Times New Roman" w:eastAsia="Times New Roman" w:hAnsi="Times New Roman" w:cs="Times New Roman"/>
                <w:color w:val="414142"/>
                <w:sz w:val="24"/>
                <w:szCs w:val="24"/>
                <w:lang w:eastAsia="lv-LV"/>
              </w:rPr>
              <w:t xml:space="preserve">VAS “Latvijas Pasts”, </w:t>
            </w:r>
            <w:r w:rsidR="00FE4C63">
              <w:rPr>
                <w:rFonts w:ascii="Times New Roman" w:eastAsia="Times New Roman" w:hAnsi="Times New Roman" w:cs="Times New Roman"/>
                <w:color w:val="414142"/>
                <w:sz w:val="24"/>
                <w:szCs w:val="24"/>
                <w:lang w:eastAsia="lv-LV"/>
              </w:rPr>
              <w:t>P</w:t>
            </w:r>
            <w:r w:rsidR="00C22FC4">
              <w:rPr>
                <w:rFonts w:ascii="Times New Roman" w:eastAsia="Times New Roman" w:hAnsi="Times New Roman" w:cs="Times New Roman"/>
                <w:color w:val="414142"/>
                <w:sz w:val="24"/>
                <w:szCs w:val="24"/>
                <w:lang w:eastAsia="lv-LV"/>
              </w:rPr>
              <w:t>a</w:t>
            </w:r>
            <w:r w:rsidR="00FE4C63">
              <w:rPr>
                <w:rFonts w:ascii="Times New Roman" w:eastAsia="Times New Roman" w:hAnsi="Times New Roman" w:cs="Times New Roman"/>
                <w:color w:val="414142"/>
                <w:sz w:val="24"/>
                <w:szCs w:val="24"/>
                <w:lang w:eastAsia="lv-LV"/>
              </w:rPr>
              <w:t xml:space="preserve">tērētāju tiesību </w:t>
            </w:r>
            <w:r w:rsidR="00FE4C63">
              <w:rPr>
                <w:rFonts w:ascii="Times New Roman" w:eastAsia="Times New Roman" w:hAnsi="Times New Roman" w:cs="Times New Roman"/>
                <w:color w:val="414142"/>
                <w:sz w:val="24"/>
                <w:szCs w:val="24"/>
                <w:lang w:eastAsia="lv-LV"/>
              </w:rPr>
              <w:lastRenderedPageBreak/>
              <w:t>aizsardzības centr</w:t>
            </w:r>
            <w:r w:rsidR="008061B7">
              <w:rPr>
                <w:rFonts w:ascii="Times New Roman" w:eastAsia="Times New Roman" w:hAnsi="Times New Roman" w:cs="Times New Roman"/>
                <w:color w:val="414142"/>
                <w:sz w:val="24"/>
                <w:szCs w:val="24"/>
                <w:lang w:eastAsia="lv-LV"/>
              </w:rPr>
              <w:t>am</w:t>
            </w:r>
            <w:r w:rsidR="00FE4C63">
              <w:rPr>
                <w:rFonts w:ascii="Times New Roman" w:eastAsia="Times New Roman" w:hAnsi="Times New Roman" w:cs="Times New Roman"/>
                <w:color w:val="414142"/>
                <w:sz w:val="24"/>
                <w:szCs w:val="24"/>
                <w:lang w:eastAsia="lv-LV"/>
              </w:rPr>
              <w:t xml:space="preserve">, </w:t>
            </w:r>
            <w:r w:rsidR="007F6463">
              <w:rPr>
                <w:rFonts w:ascii="Times New Roman" w:eastAsia="Times New Roman" w:hAnsi="Times New Roman" w:cs="Times New Roman"/>
                <w:color w:val="414142"/>
                <w:sz w:val="24"/>
                <w:szCs w:val="24"/>
                <w:lang w:eastAsia="lv-LV"/>
              </w:rPr>
              <w:t xml:space="preserve">Latvijas </w:t>
            </w:r>
            <w:r w:rsidR="008061B7">
              <w:rPr>
                <w:rFonts w:ascii="Times New Roman" w:eastAsia="Times New Roman" w:hAnsi="Times New Roman" w:cs="Times New Roman"/>
                <w:color w:val="414142"/>
                <w:sz w:val="24"/>
                <w:szCs w:val="24"/>
                <w:lang w:eastAsia="lv-LV"/>
              </w:rPr>
              <w:t>K</w:t>
            </w:r>
            <w:r w:rsidR="007F6463">
              <w:rPr>
                <w:rFonts w:ascii="Times New Roman" w:eastAsia="Times New Roman" w:hAnsi="Times New Roman" w:cs="Times New Roman"/>
                <w:color w:val="414142"/>
                <w:sz w:val="24"/>
                <w:szCs w:val="24"/>
                <w:lang w:eastAsia="lv-LV"/>
              </w:rPr>
              <w:t xml:space="preserve">omercbanku asociācijai, </w:t>
            </w:r>
            <w:r w:rsidR="00C22FC4">
              <w:rPr>
                <w:rFonts w:ascii="Times New Roman" w:eastAsia="Times New Roman" w:hAnsi="Times New Roman" w:cs="Times New Roman"/>
                <w:color w:val="414142"/>
                <w:sz w:val="24"/>
                <w:szCs w:val="24"/>
                <w:lang w:eastAsia="lv-LV"/>
              </w:rPr>
              <w:t>Latvijas Tirdzniecības un rūpniecības kamer</w:t>
            </w:r>
            <w:r w:rsidR="008061B7">
              <w:rPr>
                <w:rFonts w:ascii="Times New Roman" w:eastAsia="Times New Roman" w:hAnsi="Times New Roman" w:cs="Times New Roman"/>
                <w:color w:val="414142"/>
                <w:sz w:val="24"/>
                <w:szCs w:val="24"/>
                <w:lang w:eastAsia="lv-LV"/>
              </w:rPr>
              <w:t>ai</w:t>
            </w:r>
            <w:r w:rsidR="00C22FC4">
              <w:rPr>
                <w:rFonts w:ascii="Times New Roman" w:eastAsia="Times New Roman" w:hAnsi="Times New Roman" w:cs="Times New Roman"/>
                <w:color w:val="414142"/>
                <w:sz w:val="24"/>
                <w:szCs w:val="24"/>
                <w:lang w:eastAsia="lv-LV"/>
              </w:rPr>
              <w:t xml:space="preserve">, </w:t>
            </w:r>
            <w:r w:rsidR="007F6463">
              <w:rPr>
                <w:rFonts w:ascii="Times New Roman" w:eastAsia="Times New Roman" w:hAnsi="Times New Roman" w:cs="Times New Roman"/>
                <w:color w:val="414142"/>
                <w:sz w:val="24"/>
                <w:szCs w:val="24"/>
                <w:lang w:eastAsia="lv-LV"/>
              </w:rPr>
              <w:t>Izložu un azartspēļu uzraudzības inspekcijai, Latvijas Zvērinātu</w:t>
            </w:r>
            <w:r w:rsidR="00C31EA3">
              <w:rPr>
                <w:rFonts w:ascii="Times New Roman" w:eastAsia="Times New Roman" w:hAnsi="Times New Roman" w:cs="Times New Roman"/>
                <w:color w:val="414142"/>
                <w:sz w:val="24"/>
                <w:szCs w:val="24"/>
                <w:lang w:eastAsia="lv-LV"/>
              </w:rPr>
              <w:t xml:space="preserve"> </w:t>
            </w:r>
            <w:r w:rsidR="007F6463">
              <w:rPr>
                <w:rFonts w:ascii="Times New Roman" w:eastAsia="Times New Roman" w:hAnsi="Times New Roman" w:cs="Times New Roman"/>
                <w:color w:val="414142"/>
                <w:sz w:val="24"/>
                <w:szCs w:val="24"/>
                <w:lang w:eastAsia="lv-LV"/>
              </w:rPr>
              <w:t xml:space="preserve">revidentu asociācijai, Valsts kultūras pieminekļu aizsardzības inspekcijai, </w:t>
            </w:r>
            <w:r w:rsidR="00BC0B5D">
              <w:rPr>
                <w:rFonts w:ascii="Times New Roman" w:eastAsia="Times New Roman" w:hAnsi="Times New Roman" w:cs="Times New Roman"/>
                <w:color w:val="414142"/>
                <w:sz w:val="24"/>
                <w:szCs w:val="24"/>
                <w:lang w:eastAsia="lv-LV"/>
              </w:rPr>
              <w:t xml:space="preserve">Latvijas Apdrošinātāju asociācijai, </w:t>
            </w:r>
            <w:r w:rsidR="003F38DE">
              <w:rPr>
                <w:rFonts w:ascii="Times New Roman" w:eastAsia="Times New Roman" w:hAnsi="Times New Roman" w:cs="Times New Roman"/>
                <w:color w:val="414142"/>
                <w:sz w:val="24"/>
                <w:szCs w:val="24"/>
                <w:lang w:eastAsia="lv-LV"/>
              </w:rPr>
              <w:t xml:space="preserve">Latvijas profesionālo apdrošināšanas brokeru asociācijai, </w:t>
            </w:r>
            <w:r w:rsidR="00FB7C07">
              <w:rPr>
                <w:rFonts w:ascii="Times New Roman" w:eastAsia="Times New Roman" w:hAnsi="Times New Roman" w:cs="Times New Roman"/>
                <w:color w:val="414142"/>
                <w:sz w:val="24"/>
                <w:szCs w:val="24"/>
                <w:lang w:eastAsia="lv-LV"/>
              </w:rPr>
              <w:t xml:space="preserve">Latvijas Zvērinātu advokātu padomei, </w:t>
            </w:r>
            <w:r w:rsidR="0027697A">
              <w:rPr>
                <w:rFonts w:ascii="Times New Roman" w:eastAsia="Times New Roman" w:hAnsi="Times New Roman" w:cs="Times New Roman"/>
                <w:color w:val="414142"/>
                <w:sz w:val="24"/>
                <w:szCs w:val="24"/>
                <w:lang w:eastAsia="lv-LV"/>
              </w:rPr>
              <w:t xml:space="preserve">Latvijas Zvērinātu notāru padomei, </w:t>
            </w:r>
            <w:r w:rsidR="004E6C7E">
              <w:rPr>
                <w:rFonts w:ascii="Times New Roman" w:eastAsia="Times New Roman" w:hAnsi="Times New Roman" w:cs="Times New Roman"/>
                <w:color w:val="414142"/>
                <w:sz w:val="24"/>
                <w:szCs w:val="24"/>
                <w:lang w:eastAsia="lv-LV"/>
              </w:rPr>
              <w:t>Latvijas Līzingu devēju asociācij</w:t>
            </w:r>
            <w:r w:rsidR="00D9362A">
              <w:rPr>
                <w:rFonts w:ascii="Times New Roman" w:eastAsia="Times New Roman" w:hAnsi="Times New Roman" w:cs="Times New Roman"/>
                <w:color w:val="414142"/>
                <w:sz w:val="24"/>
                <w:szCs w:val="24"/>
                <w:lang w:eastAsia="lv-LV"/>
              </w:rPr>
              <w:t>ai</w:t>
            </w:r>
            <w:r w:rsidR="004E6C7E">
              <w:rPr>
                <w:rFonts w:ascii="Times New Roman" w:eastAsia="Times New Roman" w:hAnsi="Times New Roman" w:cs="Times New Roman"/>
                <w:color w:val="414142"/>
                <w:sz w:val="24"/>
                <w:szCs w:val="24"/>
                <w:lang w:eastAsia="lv-LV"/>
              </w:rPr>
              <w:t xml:space="preserve">, </w:t>
            </w:r>
            <w:r w:rsidR="0004365D">
              <w:rPr>
                <w:rFonts w:ascii="Times New Roman" w:eastAsia="Times New Roman" w:hAnsi="Times New Roman" w:cs="Times New Roman"/>
                <w:color w:val="414142"/>
                <w:sz w:val="24"/>
                <w:szCs w:val="24"/>
                <w:lang w:eastAsia="lv-LV"/>
              </w:rPr>
              <w:t>Latvijas Alternatīvo finanšu pakalpojumu asociācij</w:t>
            </w:r>
            <w:r w:rsidR="00D9362A">
              <w:rPr>
                <w:rFonts w:ascii="Times New Roman" w:eastAsia="Times New Roman" w:hAnsi="Times New Roman" w:cs="Times New Roman"/>
                <w:color w:val="414142"/>
                <w:sz w:val="24"/>
                <w:szCs w:val="24"/>
                <w:lang w:eastAsia="lv-LV"/>
              </w:rPr>
              <w:t>ai</w:t>
            </w:r>
            <w:r w:rsidR="0004365D">
              <w:rPr>
                <w:rFonts w:ascii="Times New Roman" w:eastAsia="Times New Roman" w:hAnsi="Times New Roman" w:cs="Times New Roman"/>
                <w:color w:val="414142"/>
                <w:sz w:val="24"/>
                <w:szCs w:val="24"/>
                <w:lang w:eastAsia="lv-LV"/>
              </w:rPr>
              <w:t xml:space="preserve">, </w:t>
            </w:r>
            <w:r w:rsidR="00681DF1">
              <w:rPr>
                <w:rFonts w:ascii="Times New Roman" w:eastAsia="Times New Roman" w:hAnsi="Times New Roman" w:cs="Times New Roman"/>
                <w:color w:val="414142"/>
                <w:sz w:val="24"/>
                <w:szCs w:val="24"/>
                <w:lang w:eastAsia="lv-LV"/>
              </w:rPr>
              <w:t>Latvijas Maksājumu pakalpojumu un elektroniskās naudas iestāžu asociācij</w:t>
            </w:r>
            <w:r w:rsidR="00D9362A">
              <w:rPr>
                <w:rFonts w:ascii="Times New Roman" w:eastAsia="Times New Roman" w:hAnsi="Times New Roman" w:cs="Times New Roman"/>
                <w:color w:val="414142"/>
                <w:sz w:val="24"/>
                <w:szCs w:val="24"/>
                <w:lang w:eastAsia="lv-LV"/>
              </w:rPr>
              <w:t>ai</w:t>
            </w:r>
            <w:r w:rsidR="000E3AB1">
              <w:rPr>
                <w:rFonts w:ascii="Times New Roman" w:eastAsia="Times New Roman" w:hAnsi="Times New Roman" w:cs="Times New Roman"/>
                <w:color w:val="414142"/>
                <w:sz w:val="24"/>
                <w:szCs w:val="24"/>
                <w:lang w:eastAsia="lv-LV"/>
              </w:rPr>
              <w:t>, Latvijas</w:t>
            </w:r>
            <w:r w:rsidR="008061B7">
              <w:rPr>
                <w:rFonts w:ascii="Times New Roman" w:eastAsia="Times New Roman" w:hAnsi="Times New Roman" w:cs="Times New Roman"/>
                <w:color w:val="414142"/>
                <w:sz w:val="24"/>
                <w:szCs w:val="24"/>
                <w:lang w:eastAsia="lv-LV"/>
              </w:rPr>
              <w:t xml:space="preserve"> k</w:t>
            </w:r>
            <w:r w:rsidR="000E3AB1">
              <w:rPr>
                <w:rFonts w:ascii="Times New Roman" w:eastAsia="Times New Roman" w:hAnsi="Times New Roman" w:cs="Times New Roman"/>
                <w:color w:val="414142"/>
                <w:sz w:val="24"/>
                <w:szCs w:val="24"/>
                <w:lang w:eastAsia="lv-LV"/>
              </w:rPr>
              <w:t>ooperatīvo krājaizdevu sabiedrīb</w:t>
            </w:r>
            <w:r w:rsidR="00D9362A">
              <w:rPr>
                <w:rFonts w:ascii="Times New Roman" w:eastAsia="Times New Roman" w:hAnsi="Times New Roman" w:cs="Times New Roman"/>
                <w:color w:val="414142"/>
                <w:sz w:val="24"/>
                <w:szCs w:val="24"/>
                <w:lang w:eastAsia="lv-LV"/>
              </w:rPr>
              <w:t>u savienībai</w:t>
            </w:r>
            <w:r w:rsidR="000E3AB1">
              <w:rPr>
                <w:rFonts w:ascii="Times New Roman" w:eastAsia="Times New Roman" w:hAnsi="Times New Roman" w:cs="Times New Roman"/>
                <w:color w:val="414142"/>
                <w:sz w:val="24"/>
                <w:szCs w:val="24"/>
                <w:lang w:eastAsia="lv-LV"/>
              </w:rPr>
              <w:t xml:space="preserve">, </w:t>
            </w:r>
            <w:r w:rsidR="003F3EA0">
              <w:rPr>
                <w:rFonts w:ascii="Times New Roman" w:eastAsia="Times New Roman" w:hAnsi="Times New Roman" w:cs="Times New Roman"/>
                <w:color w:val="414142"/>
                <w:sz w:val="24"/>
                <w:szCs w:val="24"/>
                <w:lang w:eastAsia="lv-LV"/>
              </w:rPr>
              <w:t>Latvijas Republikas Grāmatvežu asociācij</w:t>
            </w:r>
            <w:r w:rsidR="00D9362A">
              <w:rPr>
                <w:rFonts w:ascii="Times New Roman" w:eastAsia="Times New Roman" w:hAnsi="Times New Roman" w:cs="Times New Roman"/>
                <w:color w:val="414142"/>
                <w:sz w:val="24"/>
                <w:szCs w:val="24"/>
                <w:lang w:eastAsia="lv-LV"/>
              </w:rPr>
              <w:t>ai</w:t>
            </w:r>
            <w:r w:rsidR="003F3EA0">
              <w:rPr>
                <w:rFonts w:ascii="Times New Roman" w:eastAsia="Times New Roman" w:hAnsi="Times New Roman" w:cs="Times New Roman"/>
                <w:color w:val="414142"/>
                <w:sz w:val="24"/>
                <w:szCs w:val="24"/>
                <w:lang w:eastAsia="lv-LV"/>
              </w:rPr>
              <w:t xml:space="preserve">, </w:t>
            </w:r>
            <w:r w:rsidR="00FE4C63">
              <w:rPr>
                <w:rFonts w:ascii="Times New Roman" w:eastAsia="Times New Roman" w:hAnsi="Times New Roman" w:cs="Times New Roman"/>
                <w:color w:val="414142"/>
                <w:sz w:val="24"/>
                <w:szCs w:val="24"/>
                <w:lang w:eastAsia="lv-LV"/>
              </w:rPr>
              <w:t>Latvijas Spēļu biznesa asoci</w:t>
            </w:r>
            <w:r w:rsidR="00D30B4B">
              <w:rPr>
                <w:rFonts w:ascii="Times New Roman" w:eastAsia="Times New Roman" w:hAnsi="Times New Roman" w:cs="Times New Roman"/>
                <w:color w:val="414142"/>
                <w:sz w:val="24"/>
                <w:szCs w:val="24"/>
                <w:lang w:eastAsia="lv-LV"/>
              </w:rPr>
              <w:t>ācij</w:t>
            </w:r>
            <w:r w:rsidR="00D9362A">
              <w:rPr>
                <w:rFonts w:ascii="Times New Roman" w:eastAsia="Times New Roman" w:hAnsi="Times New Roman" w:cs="Times New Roman"/>
                <w:color w:val="414142"/>
                <w:sz w:val="24"/>
                <w:szCs w:val="24"/>
                <w:lang w:eastAsia="lv-LV"/>
              </w:rPr>
              <w:t>ai</w:t>
            </w:r>
            <w:r w:rsidR="00D30B4B">
              <w:rPr>
                <w:rFonts w:ascii="Times New Roman" w:eastAsia="Times New Roman" w:hAnsi="Times New Roman" w:cs="Times New Roman"/>
                <w:color w:val="414142"/>
                <w:sz w:val="24"/>
                <w:szCs w:val="24"/>
                <w:lang w:eastAsia="lv-LV"/>
              </w:rPr>
              <w:t>.</w:t>
            </w:r>
          </w:p>
        </w:tc>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52426C" w:rsidP="0077244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saskaņošanai pirms Valsts sekretāru sanāksmes</w:t>
            </w:r>
            <w:r w:rsidR="002E6636">
              <w:rPr>
                <w:rFonts w:ascii="Times New Roman" w:eastAsia="Times New Roman" w:hAnsi="Times New Roman" w:cs="Times New Roman"/>
                <w:color w:val="414142"/>
                <w:sz w:val="24"/>
                <w:szCs w:val="24"/>
                <w:lang w:eastAsia="lv-LV"/>
              </w:rPr>
              <w:t xml:space="preserve"> 2017.gada 15.februārī </w:t>
            </w:r>
            <w:r w:rsidR="008061B7">
              <w:rPr>
                <w:rFonts w:ascii="Times New Roman" w:eastAsia="Times New Roman" w:hAnsi="Times New Roman" w:cs="Times New Roman"/>
                <w:color w:val="414142"/>
                <w:sz w:val="24"/>
                <w:szCs w:val="24"/>
                <w:lang w:eastAsia="lv-LV"/>
              </w:rPr>
              <w:t xml:space="preserve">tika rīkota </w:t>
            </w:r>
            <w:r w:rsidR="002E6636">
              <w:rPr>
                <w:rFonts w:ascii="Times New Roman" w:eastAsia="Times New Roman" w:hAnsi="Times New Roman" w:cs="Times New Roman"/>
                <w:color w:val="414142"/>
                <w:sz w:val="24"/>
                <w:szCs w:val="24"/>
                <w:lang w:eastAsia="lv-LV"/>
              </w:rPr>
              <w:t>“finanšu sektora” un 2017.gada 17.februār</w:t>
            </w:r>
            <w:r w:rsidR="008061B7">
              <w:rPr>
                <w:rFonts w:ascii="Times New Roman" w:eastAsia="Times New Roman" w:hAnsi="Times New Roman" w:cs="Times New Roman"/>
                <w:color w:val="414142"/>
                <w:sz w:val="24"/>
                <w:szCs w:val="24"/>
                <w:lang w:eastAsia="lv-LV"/>
              </w:rPr>
              <w:t>ī</w:t>
            </w:r>
            <w:r w:rsidR="002E6636">
              <w:rPr>
                <w:rFonts w:ascii="Times New Roman" w:eastAsia="Times New Roman" w:hAnsi="Times New Roman" w:cs="Times New Roman"/>
                <w:color w:val="414142"/>
                <w:sz w:val="24"/>
                <w:szCs w:val="24"/>
                <w:lang w:eastAsia="lv-LV"/>
              </w:rPr>
              <w:t xml:space="preserve"> “nefina</w:t>
            </w:r>
            <w:r w:rsidR="008061B7">
              <w:rPr>
                <w:rFonts w:ascii="Times New Roman" w:eastAsia="Times New Roman" w:hAnsi="Times New Roman" w:cs="Times New Roman"/>
                <w:color w:val="414142"/>
                <w:sz w:val="24"/>
                <w:szCs w:val="24"/>
                <w:lang w:eastAsia="lv-LV"/>
              </w:rPr>
              <w:t>n</w:t>
            </w:r>
            <w:r w:rsidR="002E6636">
              <w:rPr>
                <w:rFonts w:ascii="Times New Roman" w:eastAsia="Times New Roman" w:hAnsi="Times New Roman" w:cs="Times New Roman"/>
                <w:color w:val="414142"/>
                <w:sz w:val="24"/>
                <w:szCs w:val="24"/>
                <w:lang w:eastAsia="lv-LV"/>
              </w:rPr>
              <w:t>šu sektora” sanāksme par ietvertajiem priekšlikumiem un iebildumiem likumprojektā.</w:t>
            </w:r>
            <w:r w:rsidR="0077244D">
              <w:rPr>
                <w:rFonts w:ascii="Times New Roman" w:eastAsia="Times New Roman" w:hAnsi="Times New Roman" w:cs="Times New Roman"/>
                <w:color w:val="414142"/>
                <w:sz w:val="24"/>
                <w:szCs w:val="24"/>
                <w:lang w:eastAsia="lv-LV"/>
              </w:rPr>
              <w:t xml:space="preserve"> Pēc likumprojekta iesniegšanas Valsts sekretāru sanāksmē 2017.gada 3.aprīlī tika rīkotas  sanāksmes “finanšu sektora” un  “nefinanšu sektora” par izsludināto likumprojektu.  </w:t>
            </w:r>
          </w:p>
        </w:tc>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Default="002A2A27" w:rsidP="000D1145">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Sabiedrība pēc normatīvā akta pieņemšanas tiks informēta ar publikāciju </w:t>
            </w:r>
            <w:r w:rsidR="008061B7">
              <w:rPr>
                <w:rFonts w:ascii="Times New Roman" w:eastAsia="Times New Roman" w:hAnsi="Times New Roman" w:cs="Times New Roman"/>
                <w:color w:val="414142"/>
                <w:sz w:val="24"/>
                <w:szCs w:val="24"/>
                <w:lang w:eastAsia="lv-LV"/>
              </w:rPr>
              <w:t xml:space="preserve">oficiālajā izdevumā </w:t>
            </w:r>
            <w:r>
              <w:rPr>
                <w:rFonts w:ascii="Times New Roman" w:eastAsia="Times New Roman" w:hAnsi="Times New Roman" w:cs="Times New Roman"/>
                <w:color w:val="414142"/>
                <w:sz w:val="24"/>
                <w:szCs w:val="24"/>
                <w:lang w:eastAsia="lv-LV"/>
              </w:rPr>
              <w:t xml:space="preserve">“Latvijas Vēstnesis”, kā arī ievietojot to bezmaksas normatīvo aktu datu bāzē </w:t>
            </w:r>
            <w:hyperlink r:id="rId9"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2A2A27" w:rsidRPr="00894C55" w:rsidRDefault="002A2A27" w:rsidP="000D1145">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Likums tiks ievietots arī FKTK mājas lapā internetā.</w:t>
            </w:r>
          </w:p>
        </w:tc>
      </w:tr>
    </w:tbl>
    <w:p w:rsidR="00F00943" w:rsidRPr="00894C55" w:rsidRDefault="00F00943" w:rsidP="003F4D4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BD3F4C"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NILLTFNL 45.pantā minētās uzraudzības un kontroles institūcijas.</w:t>
            </w:r>
          </w:p>
        </w:tc>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080668" w:rsidRDefault="00080668"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Default="00BD3F4C"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CC0472">
              <w:rPr>
                <w:rFonts w:ascii="Times New Roman" w:eastAsia="Times New Roman" w:hAnsi="Times New Roman" w:cs="Times New Roman"/>
                <w:color w:val="414142"/>
                <w:sz w:val="24"/>
                <w:szCs w:val="24"/>
                <w:lang w:eastAsia="lv-LV"/>
              </w:rPr>
              <w:t>atērētāju tiesību aizsardzības centrs</w:t>
            </w:r>
            <w:r>
              <w:rPr>
                <w:rFonts w:ascii="Times New Roman" w:eastAsia="Times New Roman" w:hAnsi="Times New Roman" w:cs="Times New Roman"/>
                <w:color w:val="414142"/>
                <w:sz w:val="24"/>
                <w:szCs w:val="24"/>
                <w:lang w:eastAsia="lv-LV"/>
              </w:rPr>
              <w:t xml:space="preserve"> tiek noteikts par NILLTFN uzraudzības un kontroles institūciju attiecībā uz tiem </w:t>
            </w:r>
            <w:r w:rsidR="00D07F92">
              <w:rPr>
                <w:rFonts w:ascii="Times New Roman" w:eastAsia="Times New Roman" w:hAnsi="Times New Roman" w:cs="Times New Roman"/>
                <w:color w:val="414142"/>
                <w:sz w:val="24"/>
                <w:szCs w:val="24"/>
                <w:lang w:eastAsia="lv-LV"/>
              </w:rPr>
              <w:t>patērētāju kreditētājiem</w:t>
            </w:r>
            <w:r>
              <w:rPr>
                <w:rFonts w:ascii="Times New Roman" w:eastAsia="Times New Roman" w:hAnsi="Times New Roman" w:cs="Times New Roman"/>
                <w:color w:val="414142"/>
                <w:sz w:val="24"/>
                <w:szCs w:val="24"/>
                <w:lang w:eastAsia="lv-LV"/>
              </w:rPr>
              <w:t>, kurus tas licencē.</w:t>
            </w:r>
          </w:p>
          <w:p w:rsidR="00080668" w:rsidRDefault="00D9362A" w:rsidP="000D1145">
            <w:pPr>
              <w:spacing w:after="0" w:line="240" w:lineRule="auto"/>
              <w:jc w:val="both"/>
              <w:rPr>
                <w:rFonts w:ascii="Times New Roman" w:hAnsi="Times New Roman"/>
                <w:sz w:val="24"/>
                <w:szCs w:val="24"/>
              </w:rPr>
            </w:pPr>
            <w:r w:rsidRPr="000D1145">
              <w:rPr>
                <w:rFonts w:ascii="Times New Roman" w:eastAsia="Times New Roman" w:hAnsi="Times New Roman" w:cs="Times New Roman"/>
                <w:color w:val="414142"/>
                <w:sz w:val="24"/>
                <w:szCs w:val="24"/>
                <w:lang w:eastAsia="lv-LV"/>
              </w:rPr>
              <w:t>Pasta komersantam, tai skaitā, VAS “Latvijas Pasts”, kas vēlas sniegt maksājumu pakalpojumus, ir jāsaņem licence vai jāreģistrējas kā maksājumu iestādei FKTK saskaņā ar Maksājumu pakalpojumu un elektroniskās naudas likumā noteikto, tas ir, atsakoties no šobrīd pasta komersantiem noteiktā izņēmuma statusa maksājumu pakalpojumu jomā, paredzot divu gadu pārejas periodu. Attiecīgi FKTK pasta komersantus, kas sniedz maksājumu pakalpojumus, uzraudzītu gan kā maksājumu iestādes, gan kā NILLTFNL subjektu</w:t>
            </w:r>
            <w:r>
              <w:rPr>
                <w:rFonts w:ascii="Times New Roman" w:hAnsi="Times New Roman"/>
                <w:sz w:val="24"/>
                <w:szCs w:val="24"/>
              </w:rPr>
              <w:t>s.</w:t>
            </w:r>
          </w:p>
          <w:p w:rsidR="00D9362A" w:rsidRDefault="00D9362A" w:rsidP="000D1145">
            <w:pPr>
              <w:spacing w:after="0" w:line="240" w:lineRule="auto"/>
              <w:jc w:val="both"/>
              <w:rPr>
                <w:rFonts w:ascii="Times New Roman" w:eastAsia="Times New Roman" w:hAnsi="Times New Roman" w:cs="Times New Roman"/>
                <w:color w:val="414142"/>
                <w:sz w:val="24"/>
                <w:szCs w:val="24"/>
                <w:lang w:eastAsia="lv-LV"/>
              </w:rPr>
            </w:pPr>
          </w:p>
          <w:p w:rsidR="00257FC8" w:rsidRPr="00894C55" w:rsidRDefault="00811759" w:rsidP="000D114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paredzēta.</w:t>
            </w:r>
            <w:r w:rsidR="00EB55D9">
              <w:rPr>
                <w:rFonts w:ascii="Times New Roman" w:eastAsia="Times New Roman" w:hAnsi="Times New Roman" w:cs="Times New Roman"/>
                <w:color w:val="414142"/>
                <w:sz w:val="24"/>
                <w:szCs w:val="24"/>
                <w:lang w:eastAsia="lv-LV"/>
              </w:rPr>
              <w:t xml:space="preserve"> Jaunu funkciju paredzēšanai tiks izmantoti esošie cilvēkresursi.</w:t>
            </w:r>
          </w:p>
        </w:tc>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334960"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C25B49" w:rsidRPr="00894C55" w:rsidRDefault="00C25B49" w:rsidP="00894C55">
      <w:pPr>
        <w:spacing w:after="0" w:line="240" w:lineRule="auto"/>
        <w:rPr>
          <w:rFonts w:ascii="Times New Roman" w:hAnsi="Times New Roman" w:cs="Times New Roman"/>
          <w:sz w:val="28"/>
          <w:szCs w:val="28"/>
        </w:rPr>
      </w:pPr>
    </w:p>
    <w:p w:rsidR="00F71E95" w:rsidRDefault="00F71E95" w:rsidP="00EC0DCA">
      <w:pPr>
        <w:tabs>
          <w:tab w:val="left" w:pos="6237"/>
        </w:tabs>
        <w:spacing w:after="0" w:line="240" w:lineRule="auto"/>
        <w:rPr>
          <w:rFonts w:ascii="Times New Roman" w:hAnsi="Times New Roman" w:cs="Times New Roman"/>
          <w:sz w:val="28"/>
          <w:szCs w:val="28"/>
        </w:rPr>
      </w:pPr>
    </w:p>
    <w:p w:rsidR="00F71E95" w:rsidRDefault="00F71E95" w:rsidP="00EC0DCA">
      <w:pPr>
        <w:tabs>
          <w:tab w:val="left" w:pos="6237"/>
        </w:tabs>
        <w:spacing w:after="0" w:line="240" w:lineRule="auto"/>
        <w:rPr>
          <w:rFonts w:ascii="Times New Roman" w:hAnsi="Times New Roman" w:cs="Times New Roman"/>
          <w:sz w:val="28"/>
          <w:szCs w:val="28"/>
        </w:rPr>
      </w:pPr>
    </w:p>
    <w:p w:rsidR="00F71E95" w:rsidRDefault="00F71E95" w:rsidP="00EC0DCA">
      <w:pPr>
        <w:tabs>
          <w:tab w:val="left" w:pos="6237"/>
        </w:tabs>
        <w:spacing w:after="0" w:line="240" w:lineRule="auto"/>
        <w:rPr>
          <w:rFonts w:ascii="Times New Roman" w:hAnsi="Times New Roman" w:cs="Times New Roman"/>
          <w:sz w:val="28"/>
          <w:szCs w:val="28"/>
        </w:rPr>
      </w:pPr>
    </w:p>
    <w:p w:rsidR="00F71E95" w:rsidRDefault="00F71E95" w:rsidP="00EC0DCA">
      <w:pPr>
        <w:tabs>
          <w:tab w:val="left" w:pos="6237"/>
        </w:tabs>
        <w:spacing w:after="0" w:line="240" w:lineRule="auto"/>
        <w:rPr>
          <w:rFonts w:ascii="Times New Roman" w:hAnsi="Times New Roman" w:cs="Times New Roman"/>
          <w:sz w:val="28"/>
          <w:szCs w:val="28"/>
        </w:rPr>
      </w:pPr>
    </w:p>
    <w:p w:rsidR="00F474D2" w:rsidRDefault="00CB248E" w:rsidP="00EC0DC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7A07A7">
        <w:rPr>
          <w:rFonts w:ascii="Times New Roman" w:hAnsi="Times New Roman" w:cs="Times New Roman"/>
          <w:sz w:val="28"/>
          <w:szCs w:val="28"/>
        </w:rPr>
        <w:t xml:space="preserve"> ministre</w:t>
      </w:r>
      <w:r w:rsidR="00F474D2">
        <w:rPr>
          <w:rFonts w:ascii="Times New Roman" w:hAnsi="Times New Roman" w:cs="Times New Roman"/>
          <w:sz w:val="28"/>
          <w:szCs w:val="28"/>
        </w:rPr>
        <w:t xml:space="preserve">s vietā – </w:t>
      </w:r>
    </w:p>
    <w:p w:rsidR="00894C55" w:rsidRDefault="00F474D2" w:rsidP="00EC0DC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Ministru prezidents</w:t>
      </w:r>
      <w:r w:rsidR="00894C55">
        <w:rPr>
          <w:rFonts w:ascii="Times New Roman" w:hAnsi="Times New Roman" w:cs="Times New Roman"/>
          <w:sz w:val="28"/>
          <w:szCs w:val="28"/>
        </w:rPr>
        <w:tab/>
      </w:r>
      <w:r>
        <w:rPr>
          <w:rFonts w:ascii="Times New Roman" w:hAnsi="Times New Roman" w:cs="Times New Roman"/>
          <w:sz w:val="28"/>
          <w:szCs w:val="28"/>
        </w:rPr>
        <w:t>M.Kučinskis</w:t>
      </w:r>
    </w:p>
    <w:p w:rsidR="00F474D2" w:rsidRDefault="00F474D2" w:rsidP="00894C55">
      <w:pPr>
        <w:tabs>
          <w:tab w:val="left" w:pos="6237"/>
        </w:tabs>
        <w:spacing w:after="0" w:line="240" w:lineRule="auto"/>
        <w:rPr>
          <w:rFonts w:ascii="Times New Roman" w:hAnsi="Times New Roman" w:cs="Times New Roman"/>
          <w:sz w:val="24"/>
          <w:szCs w:val="28"/>
        </w:rPr>
      </w:pPr>
    </w:p>
    <w:p w:rsidR="00F474D2" w:rsidRDefault="00F474D2" w:rsidP="00894C55">
      <w:pPr>
        <w:tabs>
          <w:tab w:val="left" w:pos="6237"/>
        </w:tabs>
        <w:spacing w:after="0" w:line="240" w:lineRule="auto"/>
        <w:rPr>
          <w:rFonts w:ascii="Times New Roman" w:hAnsi="Times New Roman" w:cs="Times New Roman"/>
          <w:sz w:val="24"/>
          <w:szCs w:val="28"/>
        </w:rPr>
      </w:pPr>
    </w:p>
    <w:p w:rsidR="00894C55" w:rsidRPr="00894C55" w:rsidRDefault="00CB248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w:t>
      </w:r>
      <w:r w:rsidR="00D133F8">
        <w:rPr>
          <w:rFonts w:ascii="Times New Roman" w:hAnsi="Times New Roman" w:cs="Times New Roman"/>
          <w:sz w:val="24"/>
          <w:szCs w:val="28"/>
        </w:rPr>
        <w:t xml:space="preserve">, </w:t>
      </w:r>
      <w:r w:rsidR="004B0212">
        <w:rPr>
          <w:rFonts w:ascii="Times New Roman" w:hAnsi="Times New Roman" w:cs="Times New Roman"/>
          <w:sz w:val="24"/>
          <w:szCs w:val="28"/>
        </w:rPr>
        <w:t>67095490</w:t>
      </w:r>
    </w:p>
    <w:p w:rsidR="00F474D2" w:rsidRDefault="00CB248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00894C55" w:rsidRPr="00894C55">
        <w:rPr>
          <w:rFonts w:ascii="Times New Roman" w:hAnsi="Times New Roman" w:cs="Times New Roman"/>
          <w:sz w:val="24"/>
          <w:szCs w:val="28"/>
        </w:rPr>
        <w:t>.</w:t>
      </w:r>
      <w:r>
        <w:rPr>
          <w:rFonts w:ascii="Times New Roman" w:hAnsi="Times New Roman" w:cs="Times New Roman"/>
          <w:sz w:val="24"/>
          <w:szCs w:val="28"/>
        </w:rPr>
        <w:t>neija</w:t>
      </w:r>
      <w:r w:rsidR="00894C55" w:rsidRPr="00894C55">
        <w:rPr>
          <w:rFonts w:ascii="Times New Roman" w:hAnsi="Times New Roman" w:cs="Times New Roman"/>
          <w:sz w:val="24"/>
          <w:szCs w:val="28"/>
        </w:rPr>
        <w:t>@</w:t>
      </w:r>
      <w:r>
        <w:rPr>
          <w:rFonts w:ascii="Times New Roman" w:hAnsi="Times New Roman" w:cs="Times New Roman"/>
          <w:sz w:val="24"/>
          <w:szCs w:val="28"/>
        </w:rPr>
        <w:t>fm</w:t>
      </w:r>
      <w:r w:rsidR="00894C55" w:rsidRPr="00894C55">
        <w:rPr>
          <w:rFonts w:ascii="Times New Roman" w:hAnsi="Times New Roman" w:cs="Times New Roman"/>
          <w:sz w:val="24"/>
          <w:szCs w:val="28"/>
        </w:rPr>
        <w:t>.gov.lv</w:t>
      </w:r>
    </w:p>
    <w:p w:rsidR="00F474D2" w:rsidRPr="00F474D2" w:rsidRDefault="00F474D2" w:rsidP="00F474D2">
      <w:pPr>
        <w:rPr>
          <w:rFonts w:ascii="Times New Roman" w:hAnsi="Times New Roman" w:cs="Times New Roman"/>
          <w:sz w:val="24"/>
          <w:szCs w:val="28"/>
        </w:rPr>
      </w:pPr>
    </w:p>
    <w:p w:rsidR="00F474D2" w:rsidRDefault="00F474D2" w:rsidP="00F474D2">
      <w:pPr>
        <w:rPr>
          <w:rFonts w:ascii="Times New Roman" w:hAnsi="Times New Roman" w:cs="Times New Roman"/>
          <w:sz w:val="24"/>
          <w:szCs w:val="28"/>
        </w:rPr>
      </w:pPr>
    </w:p>
    <w:p w:rsidR="00894C55" w:rsidRPr="00F474D2" w:rsidRDefault="00F474D2" w:rsidP="00F474D2">
      <w:pPr>
        <w:tabs>
          <w:tab w:val="left" w:pos="3765"/>
        </w:tabs>
        <w:rPr>
          <w:rFonts w:ascii="Times New Roman" w:hAnsi="Times New Roman" w:cs="Times New Roman"/>
          <w:sz w:val="24"/>
          <w:szCs w:val="28"/>
        </w:rPr>
      </w:pPr>
      <w:r>
        <w:rPr>
          <w:rFonts w:ascii="Times New Roman" w:hAnsi="Times New Roman" w:cs="Times New Roman"/>
          <w:sz w:val="24"/>
          <w:szCs w:val="28"/>
        </w:rPr>
        <w:tab/>
      </w:r>
    </w:p>
    <w:sectPr w:rsidR="00894C55" w:rsidRPr="00F474D2"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1F" w:rsidRDefault="004E321F" w:rsidP="00894C55">
      <w:pPr>
        <w:spacing w:after="0" w:line="240" w:lineRule="auto"/>
      </w:pPr>
      <w:r>
        <w:separator/>
      </w:r>
    </w:p>
  </w:endnote>
  <w:endnote w:type="continuationSeparator" w:id="0">
    <w:p w:rsidR="004E321F" w:rsidRDefault="004E32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99" w:rsidRPr="00894C55" w:rsidRDefault="000F2499" w:rsidP="0032282A">
    <w:pPr>
      <w:pStyle w:val="Footer"/>
      <w:tabs>
        <w:tab w:val="clear" w:pos="4153"/>
        <w:tab w:val="clear" w:pos="8306"/>
        <w:tab w:val="left" w:pos="3181"/>
      </w:tabs>
      <w:rPr>
        <w:rFonts w:ascii="Times New Roman" w:hAnsi="Times New Roman" w:cs="Times New Roman"/>
        <w:sz w:val="20"/>
        <w:szCs w:val="20"/>
      </w:rPr>
    </w:pPr>
    <w:r>
      <w:rPr>
        <w:rFonts w:ascii="Times New Roman" w:hAnsi="Times New Roman" w:cs="Times New Roman"/>
        <w:sz w:val="20"/>
        <w:szCs w:val="20"/>
      </w:rPr>
      <w:t>FMAnot_1</w:t>
    </w:r>
    <w:r w:rsidR="00F71E95">
      <w:rPr>
        <w:rFonts w:ascii="Times New Roman" w:hAnsi="Times New Roman" w:cs="Times New Roman"/>
        <w:sz w:val="20"/>
        <w:szCs w:val="20"/>
      </w:rPr>
      <w:t>9</w:t>
    </w:r>
    <w:r>
      <w:rPr>
        <w:rFonts w:ascii="Times New Roman" w:hAnsi="Times New Roman" w:cs="Times New Roman"/>
        <w:sz w:val="20"/>
        <w:szCs w:val="20"/>
      </w:rPr>
      <w:t>0517_NILLTFNL</w:t>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99" w:rsidRPr="009A2654" w:rsidRDefault="000F2499">
    <w:pPr>
      <w:pStyle w:val="Footer"/>
      <w:rPr>
        <w:rFonts w:ascii="Times New Roman" w:hAnsi="Times New Roman" w:cs="Times New Roman"/>
        <w:sz w:val="20"/>
        <w:szCs w:val="20"/>
      </w:rPr>
    </w:pPr>
    <w:r>
      <w:rPr>
        <w:rFonts w:ascii="Times New Roman" w:hAnsi="Times New Roman" w:cs="Times New Roman"/>
        <w:sz w:val="20"/>
        <w:szCs w:val="20"/>
      </w:rPr>
      <w:t>FMAnot_1</w:t>
    </w:r>
    <w:r w:rsidR="00F71E95">
      <w:rPr>
        <w:rFonts w:ascii="Times New Roman" w:hAnsi="Times New Roman" w:cs="Times New Roman"/>
        <w:sz w:val="20"/>
        <w:szCs w:val="20"/>
      </w:rPr>
      <w:t>9</w:t>
    </w:r>
    <w:r>
      <w:rPr>
        <w:rFonts w:ascii="Times New Roman" w:hAnsi="Times New Roman" w:cs="Times New Roman"/>
        <w:sz w:val="20"/>
        <w:szCs w:val="20"/>
      </w:rPr>
      <w:t>0517_NILLTFNL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1F" w:rsidRDefault="004E321F" w:rsidP="00894C55">
      <w:pPr>
        <w:spacing w:after="0" w:line="240" w:lineRule="auto"/>
      </w:pPr>
      <w:r>
        <w:separator/>
      </w:r>
    </w:p>
  </w:footnote>
  <w:footnote w:type="continuationSeparator" w:id="0">
    <w:p w:rsidR="004E321F" w:rsidRDefault="004E321F" w:rsidP="00894C55">
      <w:pPr>
        <w:spacing w:after="0" w:line="240" w:lineRule="auto"/>
      </w:pPr>
      <w:r>
        <w:continuationSeparator/>
      </w:r>
    </w:p>
  </w:footnote>
  <w:footnote w:id="1">
    <w:p w:rsidR="000F2499" w:rsidRPr="00166258" w:rsidRDefault="000F2499" w:rsidP="008B6539">
      <w:pPr>
        <w:pStyle w:val="FootnoteText"/>
      </w:pPr>
      <w:r w:rsidRPr="00985F51">
        <w:rPr>
          <w:rStyle w:val="FootnoteReference"/>
        </w:rPr>
        <w:footnoteRef/>
      </w:r>
      <w:r w:rsidRPr="00985F51">
        <w:t xml:space="preserve"> </w:t>
      </w:r>
      <w:r w:rsidRPr="00985F51">
        <w:rPr>
          <w:i/>
          <w:iCs/>
          <w:color w:val="000000"/>
          <w:szCs w:val="24"/>
        </w:rPr>
        <w:t xml:space="preserve">FinTech </w:t>
      </w:r>
      <w:r w:rsidRPr="00985F51">
        <w:rPr>
          <w:color w:val="000000"/>
          <w:szCs w:val="24"/>
        </w:rPr>
        <w:t>- uz tehnoloģijām balstīta pakalpojuma inovācija (jauninājums), kuras rezultātā tiek radīti jauni biznesa modeļi, pakalpojumu sniegšanas veidi, procesi vai produkti un kura ietekmē finanšu tirgus, to dalībniekus un finanšu pakalpojumu piedāvājumu.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F2499" w:rsidRPr="00C25B49" w:rsidRDefault="000F24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782A">
          <w:rPr>
            <w:rFonts w:ascii="Times New Roman" w:hAnsi="Times New Roman" w:cs="Times New Roman"/>
            <w:noProof/>
            <w:sz w:val="24"/>
            <w:szCs w:val="20"/>
          </w:rPr>
          <w:t>72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97D"/>
    <w:multiLevelType w:val="hybridMultilevel"/>
    <w:tmpl w:val="BCF46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A5BBC"/>
    <w:multiLevelType w:val="hybridMultilevel"/>
    <w:tmpl w:val="2A6A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4C2"/>
    <w:multiLevelType w:val="hybridMultilevel"/>
    <w:tmpl w:val="EE18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468"/>
    <w:multiLevelType w:val="hybridMultilevel"/>
    <w:tmpl w:val="67E0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148A"/>
    <w:multiLevelType w:val="hybridMultilevel"/>
    <w:tmpl w:val="C96C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A20A6"/>
    <w:multiLevelType w:val="hybridMultilevel"/>
    <w:tmpl w:val="6770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83DC0"/>
    <w:multiLevelType w:val="hybridMultilevel"/>
    <w:tmpl w:val="66647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37483E"/>
    <w:multiLevelType w:val="hybridMultilevel"/>
    <w:tmpl w:val="6CEC3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610167"/>
    <w:multiLevelType w:val="hybridMultilevel"/>
    <w:tmpl w:val="EA0A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96FE6"/>
    <w:multiLevelType w:val="hybridMultilevel"/>
    <w:tmpl w:val="14A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0640B"/>
    <w:multiLevelType w:val="hybridMultilevel"/>
    <w:tmpl w:val="A1CA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6679B"/>
    <w:multiLevelType w:val="hybridMultilevel"/>
    <w:tmpl w:val="D67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861FF"/>
    <w:multiLevelType w:val="hybridMultilevel"/>
    <w:tmpl w:val="9FFC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C4EB8"/>
    <w:multiLevelType w:val="hybridMultilevel"/>
    <w:tmpl w:val="4A5AF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D1400"/>
    <w:multiLevelType w:val="hybridMultilevel"/>
    <w:tmpl w:val="E2F2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C0CB1"/>
    <w:multiLevelType w:val="hybridMultilevel"/>
    <w:tmpl w:val="70284AD8"/>
    <w:lvl w:ilvl="0" w:tplc="EE94318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210F63"/>
    <w:multiLevelType w:val="hybridMultilevel"/>
    <w:tmpl w:val="05F4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9E67A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F954B8"/>
    <w:multiLevelType w:val="hybridMultilevel"/>
    <w:tmpl w:val="47727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9"/>
  </w:num>
  <w:num w:numId="5">
    <w:abstractNumId w:val="0"/>
  </w:num>
  <w:num w:numId="6">
    <w:abstractNumId w:val="14"/>
  </w:num>
  <w:num w:numId="7">
    <w:abstractNumId w:val="4"/>
  </w:num>
  <w:num w:numId="8">
    <w:abstractNumId w:val="5"/>
  </w:num>
  <w:num w:numId="9">
    <w:abstractNumId w:val="13"/>
  </w:num>
  <w:num w:numId="10">
    <w:abstractNumId w:val="11"/>
  </w:num>
  <w:num w:numId="11">
    <w:abstractNumId w:val="2"/>
  </w:num>
  <w:num w:numId="12">
    <w:abstractNumId w:val="10"/>
  </w:num>
  <w:num w:numId="13">
    <w:abstractNumId w:val="7"/>
  </w:num>
  <w:num w:numId="14">
    <w:abstractNumId w:val="1"/>
  </w:num>
  <w:num w:numId="15">
    <w:abstractNumId w:val="3"/>
  </w:num>
  <w:num w:numId="16">
    <w:abstractNumId w:val="12"/>
  </w:num>
  <w:num w:numId="17">
    <w:abstractNumId w:val="8"/>
  </w:num>
  <w:num w:numId="18">
    <w:abstractNumId w:val="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29E"/>
    <w:rsid w:val="00007167"/>
    <w:rsid w:val="00011021"/>
    <w:rsid w:val="0001170A"/>
    <w:rsid w:val="00012758"/>
    <w:rsid w:val="00013785"/>
    <w:rsid w:val="000149B1"/>
    <w:rsid w:val="0001513B"/>
    <w:rsid w:val="00015462"/>
    <w:rsid w:val="000156D3"/>
    <w:rsid w:val="00017AA5"/>
    <w:rsid w:val="00021611"/>
    <w:rsid w:val="0002240B"/>
    <w:rsid w:val="00024596"/>
    <w:rsid w:val="00024F2B"/>
    <w:rsid w:val="00025706"/>
    <w:rsid w:val="0003067A"/>
    <w:rsid w:val="00030DCA"/>
    <w:rsid w:val="00033562"/>
    <w:rsid w:val="00034A11"/>
    <w:rsid w:val="00034CF3"/>
    <w:rsid w:val="00035219"/>
    <w:rsid w:val="000365B8"/>
    <w:rsid w:val="00037971"/>
    <w:rsid w:val="00037C46"/>
    <w:rsid w:val="0004185B"/>
    <w:rsid w:val="000421C4"/>
    <w:rsid w:val="000425C2"/>
    <w:rsid w:val="00042C89"/>
    <w:rsid w:val="0004365D"/>
    <w:rsid w:val="00043770"/>
    <w:rsid w:val="0004515B"/>
    <w:rsid w:val="00046998"/>
    <w:rsid w:val="000472B5"/>
    <w:rsid w:val="00053F4E"/>
    <w:rsid w:val="00054A7A"/>
    <w:rsid w:val="00056106"/>
    <w:rsid w:val="00057462"/>
    <w:rsid w:val="0006064C"/>
    <w:rsid w:val="0006073E"/>
    <w:rsid w:val="000612E3"/>
    <w:rsid w:val="00063EA0"/>
    <w:rsid w:val="0006582A"/>
    <w:rsid w:val="00065876"/>
    <w:rsid w:val="0006631F"/>
    <w:rsid w:val="00071E75"/>
    <w:rsid w:val="00073424"/>
    <w:rsid w:val="00073974"/>
    <w:rsid w:val="000740A9"/>
    <w:rsid w:val="00074541"/>
    <w:rsid w:val="00074C3D"/>
    <w:rsid w:val="00076164"/>
    <w:rsid w:val="00076427"/>
    <w:rsid w:val="00077037"/>
    <w:rsid w:val="0008001F"/>
    <w:rsid w:val="00080164"/>
    <w:rsid w:val="00080668"/>
    <w:rsid w:val="00081C23"/>
    <w:rsid w:val="0008284D"/>
    <w:rsid w:val="0008400E"/>
    <w:rsid w:val="00085714"/>
    <w:rsid w:val="00086F3A"/>
    <w:rsid w:val="000870C6"/>
    <w:rsid w:val="0008732C"/>
    <w:rsid w:val="00087AF7"/>
    <w:rsid w:val="000908BC"/>
    <w:rsid w:val="00092426"/>
    <w:rsid w:val="00092CAF"/>
    <w:rsid w:val="000932C6"/>
    <w:rsid w:val="000941DF"/>
    <w:rsid w:val="00094267"/>
    <w:rsid w:val="00095EAE"/>
    <w:rsid w:val="0009604A"/>
    <w:rsid w:val="0009637F"/>
    <w:rsid w:val="00097815"/>
    <w:rsid w:val="000A0154"/>
    <w:rsid w:val="000A0811"/>
    <w:rsid w:val="000A0C62"/>
    <w:rsid w:val="000A1FDA"/>
    <w:rsid w:val="000A53F4"/>
    <w:rsid w:val="000B23FD"/>
    <w:rsid w:val="000B2801"/>
    <w:rsid w:val="000B3512"/>
    <w:rsid w:val="000B3A5C"/>
    <w:rsid w:val="000B3CA6"/>
    <w:rsid w:val="000B4657"/>
    <w:rsid w:val="000B4A5B"/>
    <w:rsid w:val="000C5AE6"/>
    <w:rsid w:val="000D0BD5"/>
    <w:rsid w:val="000D1145"/>
    <w:rsid w:val="000D16B1"/>
    <w:rsid w:val="000D2526"/>
    <w:rsid w:val="000D2B61"/>
    <w:rsid w:val="000D3118"/>
    <w:rsid w:val="000D31AE"/>
    <w:rsid w:val="000D4C1A"/>
    <w:rsid w:val="000D6357"/>
    <w:rsid w:val="000D697D"/>
    <w:rsid w:val="000D6E80"/>
    <w:rsid w:val="000E0365"/>
    <w:rsid w:val="000E16CC"/>
    <w:rsid w:val="000E1FDE"/>
    <w:rsid w:val="000E3648"/>
    <w:rsid w:val="000E3AB1"/>
    <w:rsid w:val="000E43BF"/>
    <w:rsid w:val="000E4F1E"/>
    <w:rsid w:val="000E5081"/>
    <w:rsid w:val="000E57AD"/>
    <w:rsid w:val="000E63F5"/>
    <w:rsid w:val="000E6A01"/>
    <w:rsid w:val="000E6FDA"/>
    <w:rsid w:val="000E7F0C"/>
    <w:rsid w:val="000F02E7"/>
    <w:rsid w:val="000F10DB"/>
    <w:rsid w:val="000F1670"/>
    <w:rsid w:val="000F22C9"/>
    <w:rsid w:val="000F2499"/>
    <w:rsid w:val="000F29B8"/>
    <w:rsid w:val="000F2AF7"/>
    <w:rsid w:val="000F46F7"/>
    <w:rsid w:val="000F61F6"/>
    <w:rsid w:val="000F6D59"/>
    <w:rsid w:val="000F799A"/>
    <w:rsid w:val="001009E6"/>
    <w:rsid w:val="00100B4F"/>
    <w:rsid w:val="0010276C"/>
    <w:rsid w:val="00103942"/>
    <w:rsid w:val="00103B1A"/>
    <w:rsid w:val="00104352"/>
    <w:rsid w:val="00104D97"/>
    <w:rsid w:val="00105A69"/>
    <w:rsid w:val="00105DCC"/>
    <w:rsid w:val="00106DB8"/>
    <w:rsid w:val="00107461"/>
    <w:rsid w:val="00107FD4"/>
    <w:rsid w:val="00110A80"/>
    <w:rsid w:val="00110B7E"/>
    <w:rsid w:val="001119AB"/>
    <w:rsid w:val="00111DF8"/>
    <w:rsid w:val="00114144"/>
    <w:rsid w:val="00114191"/>
    <w:rsid w:val="001142F3"/>
    <w:rsid w:val="001143CE"/>
    <w:rsid w:val="0011441D"/>
    <w:rsid w:val="00114E6E"/>
    <w:rsid w:val="001154CF"/>
    <w:rsid w:val="001155C5"/>
    <w:rsid w:val="001206EE"/>
    <w:rsid w:val="0012088D"/>
    <w:rsid w:val="00120A8A"/>
    <w:rsid w:val="00121B41"/>
    <w:rsid w:val="00122000"/>
    <w:rsid w:val="00122192"/>
    <w:rsid w:val="00122450"/>
    <w:rsid w:val="001226BA"/>
    <w:rsid w:val="00123C47"/>
    <w:rsid w:val="00123C82"/>
    <w:rsid w:val="00123F30"/>
    <w:rsid w:val="00123FAF"/>
    <w:rsid w:val="001249C6"/>
    <w:rsid w:val="00125AD1"/>
    <w:rsid w:val="001264C4"/>
    <w:rsid w:val="00130B70"/>
    <w:rsid w:val="0013190C"/>
    <w:rsid w:val="001322A6"/>
    <w:rsid w:val="001329C7"/>
    <w:rsid w:val="00133153"/>
    <w:rsid w:val="00134853"/>
    <w:rsid w:val="001352CC"/>
    <w:rsid w:val="00136DB1"/>
    <w:rsid w:val="00136E44"/>
    <w:rsid w:val="00140FB6"/>
    <w:rsid w:val="00141A98"/>
    <w:rsid w:val="0014210E"/>
    <w:rsid w:val="00144B1A"/>
    <w:rsid w:val="001451CC"/>
    <w:rsid w:val="00146E08"/>
    <w:rsid w:val="00147775"/>
    <w:rsid w:val="0014785D"/>
    <w:rsid w:val="001479B7"/>
    <w:rsid w:val="00147FC5"/>
    <w:rsid w:val="00151EB5"/>
    <w:rsid w:val="0015314F"/>
    <w:rsid w:val="0015605E"/>
    <w:rsid w:val="00156CEE"/>
    <w:rsid w:val="00156F6A"/>
    <w:rsid w:val="00161A49"/>
    <w:rsid w:val="0016408D"/>
    <w:rsid w:val="00164D51"/>
    <w:rsid w:val="00166BC8"/>
    <w:rsid w:val="001737E5"/>
    <w:rsid w:val="00173BBA"/>
    <w:rsid w:val="001819C0"/>
    <w:rsid w:val="001825C1"/>
    <w:rsid w:val="0018355C"/>
    <w:rsid w:val="001846AB"/>
    <w:rsid w:val="00185120"/>
    <w:rsid w:val="0018699D"/>
    <w:rsid w:val="00186AAE"/>
    <w:rsid w:val="001870B4"/>
    <w:rsid w:val="00190D1D"/>
    <w:rsid w:val="001920E2"/>
    <w:rsid w:val="00192C5F"/>
    <w:rsid w:val="00194F62"/>
    <w:rsid w:val="00196190"/>
    <w:rsid w:val="0019621F"/>
    <w:rsid w:val="001A28E2"/>
    <w:rsid w:val="001A39E0"/>
    <w:rsid w:val="001A4420"/>
    <w:rsid w:val="001A46BA"/>
    <w:rsid w:val="001A4D73"/>
    <w:rsid w:val="001A50D9"/>
    <w:rsid w:val="001B1C9E"/>
    <w:rsid w:val="001B230A"/>
    <w:rsid w:val="001B3194"/>
    <w:rsid w:val="001B40F4"/>
    <w:rsid w:val="001B5A5B"/>
    <w:rsid w:val="001B724E"/>
    <w:rsid w:val="001B7A04"/>
    <w:rsid w:val="001C1051"/>
    <w:rsid w:val="001C12CA"/>
    <w:rsid w:val="001C1FDB"/>
    <w:rsid w:val="001C419C"/>
    <w:rsid w:val="001C60B0"/>
    <w:rsid w:val="001D214D"/>
    <w:rsid w:val="001D4C54"/>
    <w:rsid w:val="001D6DD9"/>
    <w:rsid w:val="001D7641"/>
    <w:rsid w:val="001E075B"/>
    <w:rsid w:val="001E07BB"/>
    <w:rsid w:val="001E208B"/>
    <w:rsid w:val="001E2CC2"/>
    <w:rsid w:val="001E2E91"/>
    <w:rsid w:val="001E7E34"/>
    <w:rsid w:val="001F0260"/>
    <w:rsid w:val="001F153A"/>
    <w:rsid w:val="001F5BC4"/>
    <w:rsid w:val="001F7298"/>
    <w:rsid w:val="00201248"/>
    <w:rsid w:val="002023C5"/>
    <w:rsid w:val="002036A6"/>
    <w:rsid w:val="002131E6"/>
    <w:rsid w:val="00216583"/>
    <w:rsid w:val="00216C53"/>
    <w:rsid w:val="002172BA"/>
    <w:rsid w:val="002200D1"/>
    <w:rsid w:val="00220900"/>
    <w:rsid w:val="00221DC7"/>
    <w:rsid w:val="00221FF1"/>
    <w:rsid w:val="002227EC"/>
    <w:rsid w:val="00225919"/>
    <w:rsid w:val="00227B48"/>
    <w:rsid w:val="002328B3"/>
    <w:rsid w:val="00233FE1"/>
    <w:rsid w:val="00235460"/>
    <w:rsid w:val="002355AD"/>
    <w:rsid w:val="0023711E"/>
    <w:rsid w:val="00237BF1"/>
    <w:rsid w:val="00240C31"/>
    <w:rsid w:val="002415AF"/>
    <w:rsid w:val="002427F6"/>
    <w:rsid w:val="00243426"/>
    <w:rsid w:val="00244E25"/>
    <w:rsid w:val="00244FAE"/>
    <w:rsid w:val="002504D4"/>
    <w:rsid w:val="00251097"/>
    <w:rsid w:val="00252EEA"/>
    <w:rsid w:val="00254BDC"/>
    <w:rsid w:val="00257327"/>
    <w:rsid w:val="002579F9"/>
    <w:rsid w:val="00257FC8"/>
    <w:rsid w:val="00260A99"/>
    <w:rsid w:val="002619F9"/>
    <w:rsid w:val="00262F19"/>
    <w:rsid w:val="0026304E"/>
    <w:rsid w:val="0026365C"/>
    <w:rsid w:val="0026372E"/>
    <w:rsid w:val="00264DBC"/>
    <w:rsid w:val="0026695C"/>
    <w:rsid w:val="00266BD7"/>
    <w:rsid w:val="00271337"/>
    <w:rsid w:val="00271852"/>
    <w:rsid w:val="002721BD"/>
    <w:rsid w:val="002729D0"/>
    <w:rsid w:val="002739B8"/>
    <w:rsid w:val="00273F22"/>
    <w:rsid w:val="00274CD3"/>
    <w:rsid w:val="00274DB9"/>
    <w:rsid w:val="00275E04"/>
    <w:rsid w:val="0027697A"/>
    <w:rsid w:val="002773C4"/>
    <w:rsid w:val="00280032"/>
    <w:rsid w:val="00280306"/>
    <w:rsid w:val="00281BB9"/>
    <w:rsid w:val="0028297F"/>
    <w:rsid w:val="002842D1"/>
    <w:rsid w:val="0028461A"/>
    <w:rsid w:val="002860D6"/>
    <w:rsid w:val="00287686"/>
    <w:rsid w:val="0029187D"/>
    <w:rsid w:val="00291E41"/>
    <w:rsid w:val="002922CA"/>
    <w:rsid w:val="00292D34"/>
    <w:rsid w:val="00292D8C"/>
    <w:rsid w:val="00293249"/>
    <w:rsid w:val="00294443"/>
    <w:rsid w:val="002962A8"/>
    <w:rsid w:val="0029780C"/>
    <w:rsid w:val="002A0FCB"/>
    <w:rsid w:val="002A2A27"/>
    <w:rsid w:val="002A59C7"/>
    <w:rsid w:val="002A63FB"/>
    <w:rsid w:val="002A6E6E"/>
    <w:rsid w:val="002A7AC5"/>
    <w:rsid w:val="002B0A8E"/>
    <w:rsid w:val="002B1D78"/>
    <w:rsid w:val="002B2DE1"/>
    <w:rsid w:val="002B4022"/>
    <w:rsid w:val="002B4B09"/>
    <w:rsid w:val="002B5DD1"/>
    <w:rsid w:val="002B669E"/>
    <w:rsid w:val="002B6AB0"/>
    <w:rsid w:val="002B7B0A"/>
    <w:rsid w:val="002C036C"/>
    <w:rsid w:val="002C0494"/>
    <w:rsid w:val="002C1E70"/>
    <w:rsid w:val="002C23F4"/>
    <w:rsid w:val="002C2ABC"/>
    <w:rsid w:val="002C383E"/>
    <w:rsid w:val="002C706E"/>
    <w:rsid w:val="002C7A9B"/>
    <w:rsid w:val="002D17B6"/>
    <w:rsid w:val="002D1961"/>
    <w:rsid w:val="002D36E9"/>
    <w:rsid w:val="002D44AC"/>
    <w:rsid w:val="002D4D49"/>
    <w:rsid w:val="002D5330"/>
    <w:rsid w:val="002D5AFC"/>
    <w:rsid w:val="002D74E4"/>
    <w:rsid w:val="002D7E5D"/>
    <w:rsid w:val="002E0210"/>
    <w:rsid w:val="002E03D5"/>
    <w:rsid w:val="002E079F"/>
    <w:rsid w:val="002E0DBB"/>
    <w:rsid w:val="002E146B"/>
    <w:rsid w:val="002E1DDA"/>
    <w:rsid w:val="002E39A0"/>
    <w:rsid w:val="002E5799"/>
    <w:rsid w:val="002E6636"/>
    <w:rsid w:val="002E7E13"/>
    <w:rsid w:val="002F283C"/>
    <w:rsid w:val="002F399F"/>
    <w:rsid w:val="002F3FAF"/>
    <w:rsid w:val="002F4EE1"/>
    <w:rsid w:val="002F763F"/>
    <w:rsid w:val="002F76E8"/>
    <w:rsid w:val="002F7747"/>
    <w:rsid w:val="003008D3"/>
    <w:rsid w:val="00302724"/>
    <w:rsid w:val="003034DC"/>
    <w:rsid w:val="00314B90"/>
    <w:rsid w:val="00314C26"/>
    <w:rsid w:val="00316BC8"/>
    <w:rsid w:val="00317963"/>
    <w:rsid w:val="003214EE"/>
    <w:rsid w:val="003216A5"/>
    <w:rsid w:val="003217C7"/>
    <w:rsid w:val="0032282A"/>
    <w:rsid w:val="0032282F"/>
    <w:rsid w:val="0032589E"/>
    <w:rsid w:val="0032773B"/>
    <w:rsid w:val="00330686"/>
    <w:rsid w:val="00331D7E"/>
    <w:rsid w:val="00334960"/>
    <w:rsid w:val="00335291"/>
    <w:rsid w:val="00336FF2"/>
    <w:rsid w:val="00340C7F"/>
    <w:rsid w:val="00342504"/>
    <w:rsid w:val="00342F76"/>
    <w:rsid w:val="003430B6"/>
    <w:rsid w:val="003445DE"/>
    <w:rsid w:val="0034650B"/>
    <w:rsid w:val="003468CB"/>
    <w:rsid w:val="003473D5"/>
    <w:rsid w:val="003514B8"/>
    <w:rsid w:val="003531D9"/>
    <w:rsid w:val="00353A5E"/>
    <w:rsid w:val="00355853"/>
    <w:rsid w:val="003562B3"/>
    <w:rsid w:val="003572F3"/>
    <w:rsid w:val="003576FF"/>
    <w:rsid w:val="00360393"/>
    <w:rsid w:val="003615F1"/>
    <w:rsid w:val="00361691"/>
    <w:rsid w:val="003627EF"/>
    <w:rsid w:val="00362CEB"/>
    <w:rsid w:val="003633EA"/>
    <w:rsid w:val="00363980"/>
    <w:rsid w:val="0036404A"/>
    <w:rsid w:val="003667E8"/>
    <w:rsid w:val="00366962"/>
    <w:rsid w:val="00370B02"/>
    <w:rsid w:val="003726EB"/>
    <w:rsid w:val="00373365"/>
    <w:rsid w:val="00373DDB"/>
    <w:rsid w:val="00374105"/>
    <w:rsid w:val="00375681"/>
    <w:rsid w:val="0037771F"/>
    <w:rsid w:val="00377932"/>
    <w:rsid w:val="00380A53"/>
    <w:rsid w:val="00381435"/>
    <w:rsid w:val="0038372B"/>
    <w:rsid w:val="00384305"/>
    <w:rsid w:val="00385D61"/>
    <w:rsid w:val="00386ACC"/>
    <w:rsid w:val="00390278"/>
    <w:rsid w:val="00391174"/>
    <w:rsid w:val="00391E76"/>
    <w:rsid w:val="00393CF9"/>
    <w:rsid w:val="00394349"/>
    <w:rsid w:val="00394E11"/>
    <w:rsid w:val="003952D0"/>
    <w:rsid w:val="003955D0"/>
    <w:rsid w:val="003A03A4"/>
    <w:rsid w:val="003A1641"/>
    <w:rsid w:val="003A3396"/>
    <w:rsid w:val="003A72DD"/>
    <w:rsid w:val="003B0BF9"/>
    <w:rsid w:val="003B1B61"/>
    <w:rsid w:val="003B472C"/>
    <w:rsid w:val="003B4CD3"/>
    <w:rsid w:val="003B63C7"/>
    <w:rsid w:val="003C00E2"/>
    <w:rsid w:val="003C036E"/>
    <w:rsid w:val="003C1391"/>
    <w:rsid w:val="003C1E5A"/>
    <w:rsid w:val="003C2362"/>
    <w:rsid w:val="003C6DDB"/>
    <w:rsid w:val="003C776A"/>
    <w:rsid w:val="003D069F"/>
    <w:rsid w:val="003D244D"/>
    <w:rsid w:val="003D2490"/>
    <w:rsid w:val="003D37BB"/>
    <w:rsid w:val="003D3934"/>
    <w:rsid w:val="003D41A9"/>
    <w:rsid w:val="003D42EE"/>
    <w:rsid w:val="003D5D10"/>
    <w:rsid w:val="003D6181"/>
    <w:rsid w:val="003D631D"/>
    <w:rsid w:val="003D735E"/>
    <w:rsid w:val="003D77B2"/>
    <w:rsid w:val="003D789F"/>
    <w:rsid w:val="003E0791"/>
    <w:rsid w:val="003E2134"/>
    <w:rsid w:val="003E333D"/>
    <w:rsid w:val="003E3C25"/>
    <w:rsid w:val="003E6A73"/>
    <w:rsid w:val="003E6DC5"/>
    <w:rsid w:val="003E715E"/>
    <w:rsid w:val="003F0550"/>
    <w:rsid w:val="003F057D"/>
    <w:rsid w:val="003F058B"/>
    <w:rsid w:val="003F20A9"/>
    <w:rsid w:val="003F28AC"/>
    <w:rsid w:val="003F2B46"/>
    <w:rsid w:val="003F38DE"/>
    <w:rsid w:val="003F3C9F"/>
    <w:rsid w:val="003F3EA0"/>
    <w:rsid w:val="003F4D41"/>
    <w:rsid w:val="003F4FF3"/>
    <w:rsid w:val="003F726F"/>
    <w:rsid w:val="003F790F"/>
    <w:rsid w:val="003F7ACD"/>
    <w:rsid w:val="0040283B"/>
    <w:rsid w:val="00403D37"/>
    <w:rsid w:val="004041BF"/>
    <w:rsid w:val="00404AA4"/>
    <w:rsid w:val="00407319"/>
    <w:rsid w:val="004130E7"/>
    <w:rsid w:val="00413FE6"/>
    <w:rsid w:val="00417581"/>
    <w:rsid w:val="00417ED9"/>
    <w:rsid w:val="0042127F"/>
    <w:rsid w:val="004216CE"/>
    <w:rsid w:val="00421BE5"/>
    <w:rsid w:val="00421ECE"/>
    <w:rsid w:val="0042269C"/>
    <w:rsid w:val="004228EE"/>
    <w:rsid w:val="0042428C"/>
    <w:rsid w:val="00424423"/>
    <w:rsid w:val="00424C35"/>
    <w:rsid w:val="004312C1"/>
    <w:rsid w:val="004320B2"/>
    <w:rsid w:val="00434888"/>
    <w:rsid w:val="00434E0D"/>
    <w:rsid w:val="00437D06"/>
    <w:rsid w:val="00437F5B"/>
    <w:rsid w:val="0044059E"/>
    <w:rsid w:val="00440AC0"/>
    <w:rsid w:val="00442985"/>
    <w:rsid w:val="004432E6"/>
    <w:rsid w:val="004446E3"/>
    <w:rsid w:val="004454FE"/>
    <w:rsid w:val="004457E3"/>
    <w:rsid w:val="00445883"/>
    <w:rsid w:val="004458F3"/>
    <w:rsid w:val="00450DEE"/>
    <w:rsid w:val="00451A27"/>
    <w:rsid w:val="00454144"/>
    <w:rsid w:val="0045567A"/>
    <w:rsid w:val="004571A3"/>
    <w:rsid w:val="004602DE"/>
    <w:rsid w:val="00460E72"/>
    <w:rsid w:val="00461112"/>
    <w:rsid w:val="00461D7F"/>
    <w:rsid w:val="00461F84"/>
    <w:rsid w:val="00462696"/>
    <w:rsid w:val="00462EDC"/>
    <w:rsid w:val="004655B3"/>
    <w:rsid w:val="004663EB"/>
    <w:rsid w:val="00466D52"/>
    <w:rsid w:val="00466DAA"/>
    <w:rsid w:val="00466E52"/>
    <w:rsid w:val="004700A3"/>
    <w:rsid w:val="004707DC"/>
    <w:rsid w:val="00471CB3"/>
    <w:rsid w:val="00471F27"/>
    <w:rsid w:val="004721D6"/>
    <w:rsid w:val="00473438"/>
    <w:rsid w:val="004741D8"/>
    <w:rsid w:val="0047471A"/>
    <w:rsid w:val="004754E7"/>
    <w:rsid w:val="00475673"/>
    <w:rsid w:val="00476C49"/>
    <w:rsid w:val="00477AED"/>
    <w:rsid w:val="0048243F"/>
    <w:rsid w:val="004827AF"/>
    <w:rsid w:val="004843CC"/>
    <w:rsid w:val="004855CE"/>
    <w:rsid w:val="00485732"/>
    <w:rsid w:val="00485C6B"/>
    <w:rsid w:val="0048657E"/>
    <w:rsid w:val="00491FE3"/>
    <w:rsid w:val="00493750"/>
    <w:rsid w:val="0049458C"/>
    <w:rsid w:val="00494EAB"/>
    <w:rsid w:val="0049532D"/>
    <w:rsid w:val="004970EE"/>
    <w:rsid w:val="00497AB2"/>
    <w:rsid w:val="004A06C5"/>
    <w:rsid w:val="004A486C"/>
    <w:rsid w:val="004A517C"/>
    <w:rsid w:val="004A6D68"/>
    <w:rsid w:val="004A6D93"/>
    <w:rsid w:val="004B0212"/>
    <w:rsid w:val="004B0B54"/>
    <w:rsid w:val="004B1044"/>
    <w:rsid w:val="004B10E1"/>
    <w:rsid w:val="004B1D55"/>
    <w:rsid w:val="004B216A"/>
    <w:rsid w:val="004B36C4"/>
    <w:rsid w:val="004B4063"/>
    <w:rsid w:val="004B5064"/>
    <w:rsid w:val="004B5E9E"/>
    <w:rsid w:val="004B7035"/>
    <w:rsid w:val="004B78F8"/>
    <w:rsid w:val="004C2D45"/>
    <w:rsid w:val="004C3083"/>
    <w:rsid w:val="004C42E7"/>
    <w:rsid w:val="004C4A41"/>
    <w:rsid w:val="004C4BAC"/>
    <w:rsid w:val="004C4FE2"/>
    <w:rsid w:val="004C536D"/>
    <w:rsid w:val="004C7E11"/>
    <w:rsid w:val="004D028B"/>
    <w:rsid w:val="004D192A"/>
    <w:rsid w:val="004D3D54"/>
    <w:rsid w:val="004D4E05"/>
    <w:rsid w:val="004D50BB"/>
    <w:rsid w:val="004D6052"/>
    <w:rsid w:val="004D670D"/>
    <w:rsid w:val="004D79FE"/>
    <w:rsid w:val="004D7A9B"/>
    <w:rsid w:val="004E02C4"/>
    <w:rsid w:val="004E0FDB"/>
    <w:rsid w:val="004E321F"/>
    <w:rsid w:val="004E3551"/>
    <w:rsid w:val="004E3CD7"/>
    <w:rsid w:val="004E5CD0"/>
    <w:rsid w:val="004E6C7E"/>
    <w:rsid w:val="004E7EA7"/>
    <w:rsid w:val="004F30B9"/>
    <w:rsid w:val="004F49E2"/>
    <w:rsid w:val="004F54F4"/>
    <w:rsid w:val="004F5856"/>
    <w:rsid w:val="004F7989"/>
    <w:rsid w:val="004F7A6D"/>
    <w:rsid w:val="005012A3"/>
    <w:rsid w:val="0050178F"/>
    <w:rsid w:val="00501C83"/>
    <w:rsid w:val="00501D4E"/>
    <w:rsid w:val="005023C3"/>
    <w:rsid w:val="00503319"/>
    <w:rsid w:val="00504A7F"/>
    <w:rsid w:val="00504CCC"/>
    <w:rsid w:val="00504DE2"/>
    <w:rsid w:val="0051049B"/>
    <w:rsid w:val="00511C57"/>
    <w:rsid w:val="005133EE"/>
    <w:rsid w:val="00513969"/>
    <w:rsid w:val="00514AA1"/>
    <w:rsid w:val="00515712"/>
    <w:rsid w:val="00516A80"/>
    <w:rsid w:val="005175A6"/>
    <w:rsid w:val="005179BD"/>
    <w:rsid w:val="00520428"/>
    <w:rsid w:val="005216F1"/>
    <w:rsid w:val="0052186A"/>
    <w:rsid w:val="0052211E"/>
    <w:rsid w:val="005221C4"/>
    <w:rsid w:val="00522473"/>
    <w:rsid w:val="0052404C"/>
    <w:rsid w:val="0052426C"/>
    <w:rsid w:val="0052433D"/>
    <w:rsid w:val="0052631A"/>
    <w:rsid w:val="00526B46"/>
    <w:rsid w:val="0053125A"/>
    <w:rsid w:val="005343ED"/>
    <w:rsid w:val="005346E2"/>
    <w:rsid w:val="005349B9"/>
    <w:rsid w:val="00534CDF"/>
    <w:rsid w:val="0053510D"/>
    <w:rsid w:val="00535366"/>
    <w:rsid w:val="00537BE5"/>
    <w:rsid w:val="00537E6F"/>
    <w:rsid w:val="005405C9"/>
    <w:rsid w:val="00540857"/>
    <w:rsid w:val="00543774"/>
    <w:rsid w:val="0054416E"/>
    <w:rsid w:val="00544799"/>
    <w:rsid w:val="00544AE5"/>
    <w:rsid w:val="005451AF"/>
    <w:rsid w:val="00546D77"/>
    <w:rsid w:val="00550250"/>
    <w:rsid w:val="0055223A"/>
    <w:rsid w:val="005539D2"/>
    <w:rsid w:val="00553E2D"/>
    <w:rsid w:val="00555991"/>
    <w:rsid w:val="00555B5B"/>
    <w:rsid w:val="00556098"/>
    <w:rsid w:val="005565E1"/>
    <w:rsid w:val="00557062"/>
    <w:rsid w:val="0055721D"/>
    <w:rsid w:val="00560018"/>
    <w:rsid w:val="00560950"/>
    <w:rsid w:val="00561B49"/>
    <w:rsid w:val="00562D1D"/>
    <w:rsid w:val="005634B3"/>
    <w:rsid w:val="005635B1"/>
    <w:rsid w:val="00564099"/>
    <w:rsid w:val="00564E3E"/>
    <w:rsid w:val="00565AE9"/>
    <w:rsid w:val="00565DE3"/>
    <w:rsid w:val="005666B7"/>
    <w:rsid w:val="00566D0C"/>
    <w:rsid w:val="00567856"/>
    <w:rsid w:val="0056791F"/>
    <w:rsid w:val="00567CB0"/>
    <w:rsid w:val="00571229"/>
    <w:rsid w:val="00571319"/>
    <w:rsid w:val="005742E2"/>
    <w:rsid w:val="00576760"/>
    <w:rsid w:val="00576BC8"/>
    <w:rsid w:val="00577C97"/>
    <w:rsid w:val="005856A6"/>
    <w:rsid w:val="00585AEA"/>
    <w:rsid w:val="00590230"/>
    <w:rsid w:val="00591106"/>
    <w:rsid w:val="00592064"/>
    <w:rsid w:val="0059233E"/>
    <w:rsid w:val="0059437B"/>
    <w:rsid w:val="005944E2"/>
    <w:rsid w:val="0059544D"/>
    <w:rsid w:val="005954D6"/>
    <w:rsid w:val="005A04A7"/>
    <w:rsid w:val="005A1466"/>
    <w:rsid w:val="005A152C"/>
    <w:rsid w:val="005A18DC"/>
    <w:rsid w:val="005A2341"/>
    <w:rsid w:val="005A31BC"/>
    <w:rsid w:val="005A3D11"/>
    <w:rsid w:val="005A463A"/>
    <w:rsid w:val="005A48BC"/>
    <w:rsid w:val="005A4E99"/>
    <w:rsid w:val="005A67AC"/>
    <w:rsid w:val="005A7469"/>
    <w:rsid w:val="005B36E0"/>
    <w:rsid w:val="005B54B6"/>
    <w:rsid w:val="005B54E6"/>
    <w:rsid w:val="005B7AAE"/>
    <w:rsid w:val="005C07AD"/>
    <w:rsid w:val="005C194B"/>
    <w:rsid w:val="005C23A3"/>
    <w:rsid w:val="005C57CF"/>
    <w:rsid w:val="005C5D97"/>
    <w:rsid w:val="005C67EE"/>
    <w:rsid w:val="005C7D72"/>
    <w:rsid w:val="005D0A80"/>
    <w:rsid w:val="005D0F59"/>
    <w:rsid w:val="005D16B1"/>
    <w:rsid w:val="005D4047"/>
    <w:rsid w:val="005D5214"/>
    <w:rsid w:val="005E00FB"/>
    <w:rsid w:val="005E0BEF"/>
    <w:rsid w:val="005E0D54"/>
    <w:rsid w:val="005E2A91"/>
    <w:rsid w:val="005E47AD"/>
    <w:rsid w:val="005E49E5"/>
    <w:rsid w:val="005E5CF5"/>
    <w:rsid w:val="005E621B"/>
    <w:rsid w:val="005E693D"/>
    <w:rsid w:val="005E6CCA"/>
    <w:rsid w:val="005E7F01"/>
    <w:rsid w:val="005F2958"/>
    <w:rsid w:val="005F483B"/>
    <w:rsid w:val="005F729C"/>
    <w:rsid w:val="005F76D4"/>
    <w:rsid w:val="005F7D81"/>
    <w:rsid w:val="00600917"/>
    <w:rsid w:val="00600D41"/>
    <w:rsid w:val="0060191E"/>
    <w:rsid w:val="00601ED8"/>
    <w:rsid w:val="00602B01"/>
    <w:rsid w:val="00602BB9"/>
    <w:rsid w:val="006047AF"/>
    <w:rsid w:val="0060638B"/>
    <w:rsid w:val="00607C78"/>
    <w:rsid w:val="00607E31"/>
    <w:rsid w:val="00611A7B"/>
    <w:rsid w:val="00611CAC"/>
    <w:rsid w:val="00612421"/>
    <w:rsid w:val="00612B23"/>
    <w:rsid w:val="006131FC"/>
    <w:rsid w:val="00613DFE"/>
    <w:rsid w:val="00614E9D"/>
    <w:rsid w:val="006155D7"/>
    <w:rsid w:val="006156DD"/>
    <w:rsid w:val="006228BB"/>
    <w:rsid w:val="00623122"/>
    <w:rsid w:val="00623F3B"/>
    <w:rsid w:val="00625CFF"/>
    <w:rsid w:val="00626652"/>
    <w:rsid w:val="00626776"/>
    <w:rsid w:val="006270EE"/>
    <w:rsid w:val="00630164"/>
    <w:rsid w:val="006304D8"/>
    <w:rsid w:val="00630A03"/>
    <w:rsid w:val="00631407"/>
    <w:rsid w:val="00631A21"/>
    <w:rsid w:val="00632F63"/>
    <w:rsid w:val="006334DA"/>
    <w:rsid w:val="006351C1"/>
    <w:rsid w:val="00635BD7"/>
    <w:rsid w:val="00635C57"/>
    <w:rsid w:val="006367FC"/>
    <w:rsid w:val="0063738E"/>
    <w:rsid w:val="00637F14"/>
    <w:rsid w:val="00640497"/>
    <w:rsid w:val="00643B4B"/>
    <w:rsid w:val="0065298E"/>
    <w:rsid w:val="00652DA2"/>
    <w:rsid w:val="00653CF1"/>
    <w:rsid w:val="00653E0C"/>
    <w:rsid w:val="00656F15"/>
    <w:rsid w:val="00657A14"/>
    <w:rsid w:val="006622AA"/>
    <w:rsid w:val="00662350"/>
    <w:rsid w:val="006637FC"/>
    <w:rsid w:val="00665848"/>
    <w:rsid w:val="00665EF3"/>
    <w:rsid w:val="0066641C"/>
    <w:rsid w:val="00666434"/>
    <w:rsid w:val="0066662F"/>
    <w:rsid w:val="006668E1"/>
    <w:rsid w:val="006678D2"/>
    <w:rsid w:val="00670C73"/>
    <w:rsid w:val="00671398"/>
    <w:rsid w:val="0067193B"/>
    <w:rsid w:val="00672A20"/>
    <w:rsid w:val="00673EB8"/>
    <w:rsid w:val="00674FD5"/>
    <w:rsid w:val="0067545C"/>
    <w:rsid w:val="00677A7A"/>
    <w:rsid w:val="00677D13"/>
    <w:rsid w:val="00680ED1"/>
    <w:rsid w:val="00681DF1"/>
    <w:rsid w:val="00682577"/>
    <w:rsid w:val="0068257E"/>
    <w:rsid w:val="00682F2D"/>
    <w:rsid w:val="00683DA3"/>
    <w:rsid w:val="006848C6"/>
    <w:rsid w:val="00684B2E"/>
    <w:rsid w:val="00684EF8"/>
    <w:rsid w:val="00687709"/>
    <w:rsid w:val="006915E4"/>
    <w:rsid w:val="00691FBA"/>
    <w:rsid w:val="0069248B"/>
    <w:rsid w:val="00693230"/>
    <w:rsid w:val="00693D8B"/>
    <w:rsid w:val="006944EA"/>
    <w:rsid w:val="006956D9"/>
    <w:rsid w:val="0069593D"/>
    <w:rsid w:val="00697103"/>
    <w:rsid w:val="006A525B"/>
    <w:rsid w:val="006A5FC2"/>
    <w:rsid w:val="006A6A5F"/>
    <w:rsid w:val="006A7AF9"/>
    <w:rsid w:val="006B0175"/>
    <w:rsid w:val="006B0406"/>
    <w:rsid w:val="006B053F"/>
    <w:rsid w:val="006B1161"/>
    <w:rsid w:val="006B1A6A"/>
    <w:rsid w:val="006B2070"/>
    <w:rsid w:val="006B28EB"/>
    <w:rsid w:val="006B33A2"/>
    <w:rsid w:val="006B3D94"/>
    <w:rsid w:val="006B3D9F"/>
    <w:rsid w:val="006B4012"/>
    <w:rsid w:val="006B47B8"/>
    <w:rsid w:val="006B50B8"/>
    <w:rsid w:val="006B5649"/>
    <w:rsid w:val="006B6418"/>
    <w:rsid w:val="006B67B4"/>
    <w:rsid w:val="006B7C6C"/>
    <w:rsid w:val="006B7D00"/>
    <w:rsid w:val="006C00E6"/>
    <w:rsid w:val="006C0BD4"/>
    <w:rsid w:val="006C10C8"/>
    <w:rsid w:val="006C1156"/>
    <w:rsid w:val="006C27B3"/>
    <w:rsid w:val="006C2A41"/>
    <w:rsid w:val="006C57B5"/>
    <w:rsid w:val="006C57D3"/>
    <w:rsid w:val="006C5926"/>
    <w:rsid w:val="006C6234"/>
    <w:rsid w:val="006C689F"/>
    <w:rsid w:val="006C79CE"/>
    <w:rsid w:val="006D29F3"/>
    <w:rsid w:val="006D610A"/>
    <w:rsid w:val="006D7935"/>
    <w:rsid w:val="006E0B86"/>
    <w:rsid w:val="006E0E7A"/>
    <w:rsid w:val="006E1081"/>
    <w:rsid w:val="006E1DA0"/>
    <w:rsid w:val="006E539C"/>
    <w:rsid w:val="006E6903"/>
    <w:rsid w:val="006E78CF"/>
    <w:rsid w:val="006F4D2D"/>
    <w:rsid w:val="006F560B"/>
    <w:rsid w:val="006F6BDA"/>
    <w:rsid w:val="006F7E95"/>
    <w:rsid w:val="0070109A"/>
    <w:rsid w:val="00702496"/>
    <w:rsid w:val="00702763"/>
    <w:rsid w:val="00702CB8"/>
    <w:rsid w:val="007038E0"/>
    <w:rsid w:val="00703CB9"/>
    <w:rsid w:val="0070414E"/>
    <w:rsid w:val="007055E7"/>
    <w:rsid w:val="00705994"/>
    <w:rsid w:val="0070635B"/>
    <w:rsid w:val="00711EA3"/>
    <w:rsid w:val="007126F0"/>
    <w:rsid w:val="007129A5"/>
    <w:rsid w:val="00713B8E"/>
    <w:rsid w:val="00714913"/>
    <w:rsid w:val="00714B04"/>
    <w:rsid w:val="00714C0E"/>
    <w:rsid w:val="00716D3A"/>
    <w:rsid w:val="00720585"/>
    <w:rsid w:val="00721012"/>
    <w:rsid w:val="00721FA5"/>
    <w:rsid w:val="00723B30"/>
    <w:rsid w:val="00724189"/>
    <w:rsid w:val="00726835"/>
    <w:rsid w:val="00726AC9"/>
    <w:rsid w:val="007348CE"/>
    <w:rsid w:val="007362A3"/>
    <w:rsid w:val="0073782A"/>
    <w:rsid w:val="00740418"/>
    <w:rsid w:val="00740956"/>
    <w:rsid w:val="00740D27"/>
    <w:rsid w:val="00742CA2"/>
    <w:rsid w:val="007432BF"/>
    <w:rsid w:val="00743F38"/>
    <w:rsid w:val="00745792"/>
    <w:rsid w:val="00746848"/>
    <w:rsid w:val="0075010D"/>
    <w:rsid w:val="00751167"/>
    <w:rsid w:val="007516EE"/>
    <w:rsid w:val="007540DE"/>
    <w:rsid w:val="0075630C"/>
    <w:rsid w:val="0075666F"/>
    <w:rsid w:val="00756686"/>
    <w:rsid w:val="007567A9"/>
    <w:rsid w:val="00756FBA"/>
    <w:rsid w:val="00757AC3"/>
    <w:rsid w:val="00760A35"/>
    <w:rsid w:val="007611B5"/>
    <w:rsid w:val="00761206"/>
    <w:rsid w:val="007614D9"/>
    <w:rsid w:val="0076193E"/>
    <w:rsid w:val="007634FB"/>
    <w:rsid w:val="007636E7"/>
    <w:rsid w:val="00765EB8"/>
    <w:rsid w:val="00767061"/>
    <w:rsid w:val="007672FE"/>
    <w:rsid w:val="00767697"/>
    <w:rsid w:val="00770E46"/>
    <w:rsid w:val="0077178C"/>
    <w:rsid w:val="00771C9F"/>
    <w:rsid w:val="0077244D"/>
    <w:rsid w:val="00773AF6"/>
    <w:rsid w:val="00774B99"/>
    <w:rsid w:val="00775F63"/>
    <w:rsid w:val="0077675E"/>
    <w:rsid w:val="00776A27"/>
    <w:rsid w:val="00776DD4"/>
    <w:rsid w:val="0077728F"/>
    <w:rsid w:val="007772F8"/>
    <w:rsid w:val="00777869"/>
    <w:rsid w:val="007802BA"/>
    <w:rsid w:val="00780A15"/>
    <w:rsid w:val="00784942"/>
    <w:rsid w:val="00785DF7"/>
    <w:rsid w:val="007878B9"/>
    <w:rsid w:val="007919A9"/>
    <w:rsid w:val="00791E3F"/>
    <w:rsid w:val="00791E45"/>
    <w:rsid w:val="00793EC5"/>
    <w:rsid w:val="00795F60"/>
    <w:rsid w:val="00795F71"/>
    <w:rsid w:val="007967E8"/>
    <w:rsid w:val="00796830"/>
    <w:rsid w:val="007977F0"/>
    <w:rsid w:val="007A029B"/>
    <w:rsid w:val="007A07A7"/>
    <w:rsid w:val="007A0E2B"/>
    <w:rsid w:val="007A1845"/>
    <w:rsid w:val="007A345C"/>
    <w:rsid w:val="007A79A8"/>
    <w:rsid w:val="007B1810"/>
    <w:rsid w:val="007B1EA9"/>
    <w:rsid w:val="007B3555"/>
    <w:rsid w:val="007B3E75"/>
    <w:rsid w:val="007B3EFA"/>
    <w:rsid w:val="007B46D1"/>
    <w:rsid w:val="007B5CBC"/>
    <w:rsid w:val="007B6258"/>
    <w:rsid w:val="007C074C"/>
    <w:rsid w:val="007C3990"/>
    <w:rsid w:val="007C4C2B"/>
    <w:rsid w:val="007C5457"/>
    <w:rsid w:val="007C5ACC"/>
    <w:rsid w:val="007C5D58"/>
    <w:rsid w:val="007C6DAE"/>
    <w:rsid w:val="007D0144"/>
    <w:rsid w:val="007D0B92"/>
    <w:rsid w:val="007D2A20"/>
    <w:rsid w:val="007D3204"/>
    <w:rsid w:val="007D4392"/>
    <w:rsid w:val="007D4434"/>
    <w:rsid w:val="007D5076"/>
    <w:rsid w:val="007D57D1"/>
    <w:rsid w:val="007D58DF"/>
    <w:rsid w:val="007D61BC"/>
    <w:rsid w:val="007D72F9"/>
    <w:rsid w:val="007D7CDE"/>
    <w:rsid w:val="007E0492"/>
    <w:rsid w:val="007E07BD"/>
    <w:rsid w:val="007E0C65"/>
    <w:rsid w:val="007E10C0"/>
    <w:rsid w:val="007E5BAE"/>
    <w:rsid w:val="007E73AB"/>
    <w:rsid w:val="007E75B9"/>
    <w:rsid w:val="007E7678"/>
    <w:rsid w:val="007F011A"/>
    <w:rsid w:val="007F0673"/>
    <w:rsid w:val="007F27C0"/>
    <w:rsid w:val="007F2FF2"/>
    <w:rsid w:val="007F3035"/>
    <w:rsid w:val="007F3398"/>
    <w:rsid w:val="007F394E"/>
    <w:rsid w:val="007F48C6"/>
    <w:rsid w:val="007F4AE4"/>
    <w:rsid w:val="007F6463"/>
    <w:rsid w:val="007F7138"/>
    <w:rsid w:val="007F7B77"/>
    <w:rsid w:val="00800764"/>
    <w:rsid w:val="008012C0"/>
    <w:rsid w:val="008037E2"/>
    <w:rsid w:val="008059E8"/>
    <w:rsid w:val="008061B7"/>
    <w:rsid w:val="00806AA1"/>
    <w:rsid w:val="0081127B"/>
    <w:rsid w:val="00811759"/>
    <w:rsid w:val="008122C1"/>
    <w:rsid w:val="008125FF"/>
    <w:rsid w:val="00812D2D"/>
    <w:rsid w:val="00813683"/>
    <w:rsid w:val="00814255"/>
    <w:rsid w:val="00816C11"/>
    <w:rsid w:val="0082047E"/>
    <w:rsid w:val="008206FF"/>
    <w:rsid w:val="00824012"/>
    <w:rsid w:val="00825120"/>
    <w:rsid w:val="00825FEE"/>
    <w:rsid w:val="00826DB8"/>
    <w:rsid w:val="008276B9"/>
    <w:rsid w:val="00831CDD"/>
    <w:rsid w:val="00832DFE"/>
    <w:rsid w:val="00833333"/>
    <w:rsid w:val="00834B02"/>
    <w:rsid w:val="00836BF3"/>
    <w:rsid w:val="00836FB5"/>
    <w:rsid w:val="008407FC"/>
    <w:rsid w:val="00841939"/>
    <w:rsid w:val="00842556"/>
    <w:rsid w:val="00843271"/>
    <w:rsid w:val="0084346C"/>
    <w:rsid w:val="008441D7"/>
    <w:rsid w:val="00844CC6"/>
    <w:rsid w:val="00845262"/>
    <w:rsid w:val="008454A3"/>
    <w:rsid w:val="00845CA7"/>
    <w:rsid w:val="00850357"/>
    <w:rsid w:val="00850747"/>
    <w:rsid w:val="00852122"/>
    <w:rsid w:val="00853DE7"/>
    <w:rsid w:val="00857820"/>
    <w:rsid w:val="0086097C"/>
    <w:rsid w:val="00861987"/>
    <w:rsid w:val="00861B0C"/>
    <w:rsid w:val="0086222E"/>
    <w:rsid w:val="008623C4"/>
    <w:rsid w:val="0086492E"/>
    <w:rsid w:val="008657C8"/>
    <w:rsid w:val="00865E01"/>
    <w:rsid w:val="00870165"/>
    <w:rsid w:val="00871007"/>
    <w:rsid w:val="00871A87"/>
    <w:rsid w:val="00872815"/>
    <w:rsid w:val="00872856"/>
    <w:rsid w:val="0087387B"/>
    <w:rsid w:val="00877ACA"/>
    <w:rsid w:val="00877FE8"/>
    <w:rsid w:val="00883A6F"/>
    <w:rsid w:val="00885700"/>
    <w:rsid w:val="00887DFE"/>
    <w:rsid w:val="00891DD6"/>
    <w:rsid w:val="008936ED"/>
    <w:rsid w:val="00894C55"/>
    <w:rsid w:val="0089558B"/>
    <w:rsid w:val="00896682"/>
    <w:rsid w:val="00896E59"/>
    <w:rsid w:val="00897156"/>
    <w:rsid w:val="008A0225"/>
    <w:rsid w:val="008A2183"/>
    <w:rsid w:val="008A47EE"/>
    <w:rsid w:val="008A4A12"/>
    <w:rsid w:val="008A50B1"/>
    <w:rsid w:val="008A62EB"/>
    <w:rsid w:val="008A729A"/>
    <w:rsid w:val="008A7C3D"/>
    <w:rsid w:val="008B040C"/>
    <w:rsid w:val="008B042A"/>
    <w:rsid w:val="008B1325"/>
    <w:rsid w:val="008B1AC8"/>
    <w:rsid w:val="008B1DEE"/>
    <w:rsid w:val="008B25E4"/>
    <w:rsid w:val="008B3846"/>
    <w:rsid w:val="008B43F2"/>
    <w:rsid w:val="008B4DAB"/>
    <w:rsid w:val="008B571E"/>
    <w:rsid w:val="008B5F85"/>
    <w:rsid w:val="008B6539"/>
    <w:rsid w:val="008B6AB7"/>
    <w:rsid w:val="008C0CAC"/>
    <w:rsid w:val="008C1441"/>
    <w:rsid w:val="008C1EBE"/>
    <w:rsid w:val="008C43C5"/>
    <w:rsid w:val="008C459F"/>
    <w:rsid w:val="008C5ADF"/>
    <w:rsid w:val="008C7383"/>
    <w:rsid w:val="008D0DD5"/>
    <w:rsid w:val="008D10B5"/>
    <w:rsid w:val="008D3E1E"/>
    <w:rsid w:val="008D3F6D"/>
    <w:rsid w:val="008D4066"/>
    <w:rsid w:val="008D40DD"/>
    <w:rsid w:val="008D4893"/>
    <w:rsid w:val="008D5085"/>
    <w:rsid w:val="008D5456"/>
    <w:rsid w:val="008D6F3A"/>
    <w:rsid w:val="008E0E08"/>
    <w:rsid w:val="008E2E28"/>
    <w:rsid w:val="008E32A4"/>
    <w:rsid w:val="008E3DFE"/>
    <w:rsid w:val="008E4C7D"/>
    <w:rsid w:val="008E5D2C"/>
    <w:rsid w:val="008E6943"/>
    <w:rsid w:val="008F2EE5"/>
    <w:rsid w:val="008F4D04"/>
    <w:rsid w:val="008F53AB"/>
    <w:rsid w:val="00900176"/>
    <w:rsid w:val="0090117F"/>
    <w:rsid w:val="0090417C"/>
    <w:rsid w:val="0090574C"/>
    <w:rsid w:val="00906681"/>
    <w:rsid w:val="00907128"/>
    <w:rsid w:val="009073F9"/>
    <w:rsid w:val="00907B1E"/>
    <w:rsid w:val="00911ED1"/>
    <w:rsid w:val="00912A26"/>
    <w:rsid w:val="00912EBB"/>
    <w:rsid w:val="00915C28"/>
    <w:rsid w:val="00920425"/>
    <w:rsid w:val="00922089"/>
    <w:rsid w:val="0092289F"/>
    <w:rsid w:val="00922D45"/>
    <w:rsid w:val="00923462"/>
    <w:rsid w:val="00924791"/>
    <w:rsid w:val="00924902"/>
    <w:rsid w:val="00924B59"/>
    <w:rsid w:val="00924CDF"/>
    <w:rsid w:val="00924E52"/>
    <w:rsid w:val="00926980"/>
    <w:rsid w:val="00930242"/>
    <w:rsid w:val="009318C2"/>
    <w:rsid w:val="009323C1"/>
    <w:rsid w:val="00932B33"/>
    <w:rsid w:val="00934C0E"/>
    <w:rsid w:val="009401AB"/>
    <w:rsid w:val="00940700"/>
    <w:rsid w:val="0094192E"/>
    <w:rsid w:val="009428C1"/>
    <w:rsid w:val="00942F3F"/>
    <w:rsid w:val="00944CD1"/>
    <w:rsid w:val="00946029"/>
    <w:rsid w:val="00946B6E"/>
    <w:rsid w:val="009506D8"/>
    <w:rsid w:val="00951D7F"/>
    <w:rsid w:val="00954C3A"/>
    <w:rsid w:val="00956C29"/>
    <w:rsid w:val="00961648"/>
    <w:rsid w:val="00962670"/>
    <w:rsid w:val="009628FC"/>
    <w:rsid w:val="00962932"/>
    <w:rsid w:val="00963F1D"/>
    <w:rsid w:val="009645C6"/>
    <w:rsid w:val="0096634C"/>
    <w:rsid w:val="00966EFF"/>
    <w:rsid w:val="00971381"/>
    <w:rsid w:val="00971C59"/>
    <w:rsid w:val="00972305"/>
    <w:rsid w:val="00972837"/>
    <w:rsid w:val="00973ED0"/>
    <w:rsid w:val="0097505E"/>
    <w:rsid w:val="00983B31"/>
    <w:rsid w:val="00985391"/>
    <w:rsid w:val="009859B4"/>
    <w:rsid w:val="00990A07"/>
    <w:rsid w:val="0099237B"/>
    <w:rsid w:val="00992856"/>
    <w:rsid w:val="00994B07"/>
    <w:rsid w:val="00996439"/>
    <w:rsid w:val="00996D2F"/>
    <w:rsid w:val="00996D94"/>
    <w:rsid w:val="00997239"/>
    <w:rsid w:val="009972D9"/>
    <w:rsid w:val="009A1280"/>
    <w:rsid w:val="009A2654"/>
    <w:rsid w:val="009A35BE"/>
    <w:rsid w:val="009A4E80"/>
    <w:rsid w:val="009A5318"/>
    <w:rsid w:val="009A6231"/>
    <w:rsid w:val="009A768C"/>
    <w:rsid w:val="009A783F"/>
    <w:rsid w:val="009B0937"/>
    <w:rsid w:val="009B0A38"/>
    <w:rsid w:val="009B180E"/>
    <w:rsid w:val="009B2192"/>
    <w:rsid w:val="009B2595"/>
    <w:rsid w:val="009B26B6"/>
    <w:rsid w:val="009B2D94"/>
    <w:rsid w:val="009B36B3"/>
    <w:rsid w:val="009B3C9A"/>
    <w:rsid w:val="009B428F"/>
    <w:rsid w:val="009B4311"/>
    <w:rsid w:val="009B7470"/>
    <w:rsid w:val="009B796C"/>
    <w:rsid w:val="009B7ACF"/>
    <w:rsid w:val="009C0BA1"/>
    <w:rsid w:val="009C32C0"/>
    <w:rsid w:val="009C3F99"/>
    <w:rsid w:val="009C416A"/>
    <w:rsid w:val="009C4CCE"/>
    <w:rsid w:val="009C570D"/>
    <w:rsid w:val="009C5EC6"/>
    <w:rsid w:val="009C5F93"/>
    <w:rsid w:val="009C67EF"/>
    <w:rsid w:val="009C7FE6"/>
    <w:rsid w:val="009D1500"/>
    <w:rsid w:val="009D192A"/>
    <w:rsid w:val="009D61D0"/>
    <w:rsid w:val="009D7668"/>
    <w:rsid w:val="009D7B31"/>
    <w:rsid w:val="009E03C0"/>
    <w:rsid w:val="009E14A4"/>
    <w:rsid w:val="009E2245"/>
    <w:rsid w:val="009E2380"/>
    <w:rsid w:val="009E29C3"/>
    <w:rsid w:val="009E33B0"/>
    <w:rsid w:val="009E3502"/>
    <w:rsid w:val="009E3B52"/>
    <w:rsid w:val="009E411C"/>
    <w:rsid w:val="009E4B24"/>
    <w:rsid w:val="009E5D83"/>
    <w:rsid w:val="009E5E0C"/>
    <w:rsid w:val="009E5F4B"/>
    <w:rsid w:val="009E698E"/>
    <w:rsid w:val="009E74D9"/>
    <w:rsid w:val="009E7A8F"/>
    <w:rsid w:val="009F042A"/>
    <w:rsid w:val="009F11E1"/>
    <w:rsid w:val="009F282D"/>
    <w:rsid w:val="009F317B"/>
    <w:rsid w:val="009F5EF8"/>
    <w:rsid w:val="009F73E7"/>
    <w:rsid w:val="009F7B29"/>
    <w:rsid w:val="009F7C8F"/>
    <w:rsid w:val="00A00BF7"/>
    <w:rsid w:val="00A06998"/>
    <w:rsid w:val="00A10846"/>
    <w:rsid w:val="00A117C5"/>
    <w:rsid w:val="00A119F5"/>
    <w:rsid w:val="00A12530"/>
    <w:rsid w:val="00A14EE8"/>
    <w:rsid w:val="00A150EC"/>
    <w:rsid w:val="00A1646D"/>
    <w:rsid w:val="00A208D2"/>
    <w:rsid w:val="00A22C54"/>
    <w:rsid w:val="00A237F0"/>
    <w:rsid w:val="00A24E7D"/>
    <w:rsid w:val="00A25FF2"/>
    <w:rsid w:val="00A27407"/>
    <w:rsid w:val="00A30809"/>
    <w:rsid w:val="00A30825"/>
    <w:rsid w:val="00A30A99"/>
    <w:rsid w:val="00A32793"/>
    <w:rsid w:val="00A33E5D"/>
    <w:rsid w:val="00A342F7"/>
    <w:rsid w:val="00A34CD2"/>
    <w:rsid w:val="00A35CE0"/>
    <w:rsid w:val="00A37068"/>
    <w:rsid w:val="00A40A91"/>
    <w:rsid w:val="00A412A3"/>
    <w:rsid w:val="00A432F2"/>
    <w:rsid w:val="00A43A66"/>
    <w:rsid w:val="00A4505C"/>
    <w:rsid w:val="00A4567A"/>
    <w:rsid w:val="00A458EA"/>
    <w:rsid w:val="00A50455"/>
    <w:rsid w:val="00A51D9C"/>
    <w:rsid w:val="00A527B3"/>
    <w:rsid w:val="00A52E78"/>
    <w:rsid w:val="00A53A18"/>
    <w:rsid w:val="00A53A1A"/>
    <w:rsid w:val="00A54E18"/>
    <w:rsid w:val="00A55237"/>
    <w:rsid w:val="00A55DDE"/>
    <w:rsid w:val="00A56547"/>
    <w:rsid w:val="00A57EE4"/>
    <w:rsid w:val="00A6073E"/>
    <w:rsid w:val="00A60858"/>
    <w:rsid w:val="00A6429C"/>
    <w:rsid w:val="00A65AEB"/>
    <w:rsid w:val="00A65DB2"/>
    <w:rsid w:val="00A6613C"/>
    <w:rsid w:val="00A66660"/>
    <w:rsid w:val="00A66E10"/>
    <w:rsid w:val="00A710A7"/>
    <w:rsid w:val="00A71C4C"/>
    <w:rsid w:val="00A7213A"/>
    <w:rsid w:val="00A72666"/>
    <w:rsid w:val="00A72ED0"/>
    <w:rsid w:val="00A75B9C"/>
    <w:rsid w:val="00A77B63"/>
    <w:rsid w:val="00A77D74"/>
    <w:rsid w:val="00A8019E"/>
    <w:rsid w:val="00A83C45"/>
    <w:rsid w:val="00A85705"/>
    <w:rsid w:val="00A873C2"/>
    <w:rsid w:val="00A900A8"/>
    <w:rsid w:val="00A920F4"/>
    <w:rsid w:val="00A92A2A"/>
    <w:rsid w:val="00A94B9C"/>
    <w:rsid w:val="00A950F4"/>
    <w:rsid w:val="00A95671"/>
    <w:rsid w:val="00A9647B"/>
    <w:rsid w:val="00A9782B"/>
    <w:rsid w:val="00AA09AF"/>
    <w:rsid w:val="00AA14C8"/>
    <w:rsid w:val="00AA259A"/>
    <w:rsid w:val="00AA2B44"/>
    <w:rsid w:val="00AA2C68"/>
    <w:rsid w:val="00AA3764"/>
    <w:rsid w:val="00AA47B9"/>
    <w:rsid w:val="00AA4E43"/>
    <w:rsid w:val="00AA69FD"/>
    <w:rsid w:val="00AA7CF9"/>
    <w:rsid w:val="00AB145D"/>
    <w:rsid w:val="00AB15F9"/>
    <w:rsid w:val="00AB27F0"/>
    <w:rsid w:val="00AB364F"/>
    <w:rsid w:val="00AB43BB"/>
    <w:rsid w:val="00AB4926"/>
    <w:rsid w:val="00AB5264"/>
    <w:rsid w:val="00AB66CD"/>
    <w:rsid w:val="00AB753A"/>
    <w:rsid w:val="00AC1B12"/>
    <w:rsid w:val="00AC2667"/>
    <w:rsid w:val="00AC3330"/>
    <w:rsid w:val="00AC3C4E"/>
    <w:rsid w:val="00AC58C9"/>
    <w:rsid w:val="00AC6101"/>
    <w:rsid w:val="00AC71CB"/>
    <w:rsid w:val="00AD0179"/>
    <w:rsid w:val="00AD06A9"/>
    <w:rsid w:val="00AD1169"/>
    <w:rsid w:val="00AD263E"/>
    <w:rsid w:val="00AD2B65"/>
    <w:rsid w:val="00AD7905"/>
    <w:rsid w:val="00AE00CC"/>
    <w:rsid w:val="00AE07E6"/>
    <w:rsid w:val="00AE0BE0"/>
    <w:rsid w:val="00AE3112"/>
    <w:rsid w:val="00AE3449"/>
    <w:rsid w:val="00AE40AA"/>
    <w:rsid w:val="00AE5567"/>
    <w:rsid w:val="00AE5E84"/>
    <w:rsid w:val="00AE6CA1"/>
    <w:rsid w:val="00AF081E"/>
    <w:rsid w:val="00AF39E8"/>
    <w:rsid w:val="00AF64A4"/>
    <w:rsid w:val="00AF76A5"/>
    <w:rsid w:val="00AF7A69"/>
    <w:rsid w:val="00AF7E87"/>
    <w:rsid w:val="00B01CC7"/>
    <w:rsid w:val="00B02CDA"/>
    <w:rsid w:val="00B0481D"/>
    <w:rsid w:val="00B0612A"/>
    <w:rsid w:val="00B06288"/>
    <w:rsid w:val="00B06B5F"/>
    <w:rsid w:val="00B10A42"/>
    <w:rsid w:val="00B1197F"/>
    <w:rsid w:val="00B11E26"/>
    <w:rsid w:val="00B140C0"/>
    <w:rsid w:val="00B153E5"/>
    <w:rsid w:val="00B15E4C"/>
    <w:rsid w:val="00B1635E"/>
    <w:rsid w:val="00B174E7"/>
    <w:rsid w:val="00B17C86"/>
    <w:rsid w:val="00B205ED"/>
    <w:rsid w:val="00B20D3E"/>
    <w:rsid w:val="00B2165C"/>
    <w:rsid w:val="00B21947"/>
    <w:rsid w:val="00B21E3B"/>
    <w:rsid w:val="00B220E6"/>
    <w:rsid w:val="00B22A59"/>
    <w:rsid w:val="00B22BF1"/>
    <w:rsid w:val="00B2350A"/>
    <w:rsid w:val="00B24380"/>
    <w:rsid w:val="00B2481F"/>
    <w:rsid w:val="00B24BF5"/>
    <w:rsid w:val="00B272D2"/>
    <w:rsid w:val="00B32D17"/>
    <w:rsid w:val="00B32DB0"/>
    <w:rsid w:val="00B34750"/>
    <w:rsid w:val="00B350EC"/>
    <w:rsid w:val="00B35358"/>
    <w:rsid w:val="00B359FA"/>
    <w:rsid w:val="00B35B21"/>
    <w:rsid w:val="00B366E9"/>
    <w:rsid w:val="00B41614"/>
    <w:rsid w:val="00B41DD3"/>
    <w:rsid w:val="00B457D1"/>
    <w:rsid w:val="00B46457"/>
    <w:rsid w:val="00B47479"/>
    <w:rsid w:val="00B476A7"/>
    <w:rsid w:val="00B50290"/>
    <w:rsid w:val="00B524E0"/>
    <w:rsid w:val="00B53EE2"/>
    <w:rsid w:val="00B55E59"/>
    <w:rsid w:val="00B60C60"/>
    <w:rsid w:val="00B628BE"/>
    <w:rsid w:val="00B634B6"/>
    <w:rsid w:val="00B63C32"/>
    <w:rsid w:val="00B66809"/>
    <w:rsid w:val="00B66C3B"/>
    <w:rsid w:val="00B66F3C"/>
    <w:rsid w:val="00B66FDA"/>
    <w:rsid w:val="00B67E14"/>
    <w:rsid w:val="00B70984"/>
    <w:rsid w:val="00B71CEA"/>
    <w:rsid w:val="00B71D11"/>
    <w:rsid w:val="00B7310B"/>
    <w:rsid w:val="00B731F1"/>
    <w:rsid w:val="00B74283"/>
    <w:rsid w:val="00B74524"/>
    <w:rsid w:val="00B747C0"/>
    <w:rsid w:val="00B754EE"/>
    <w:rsid w:val="00B75754"/>
    <w:rsid w:val="00B75AA3"/>
    <w:rsid w:val="00B766DE"/>
    <w:rsid w:val="00B77C17"/>
    <w:rsid w:val="00B8187C"/>
    <w:rsid w:val="00B83437"/>
    <w:rsid w:val="00B86485"/>
    <w:rsid w:val="00B87F9C"/>
    <w:rsid w:val="00B903E1"/>
    <w:rsid w:val="00B91844"/>
    <w:rsid w:val="00B919B6"/>
    <w:rsid w:val="00B92AFE"/>
    <w:rsid w:val="00B94B37"/>
    <w:rsid w:val="00B94E25"/>
    <w:rsid w:val="00B96994"/>
    <w:rsid w:val="00B97B79"/>
    <w:rsid w:val="00BA0E46"/>
    <w:rsid w:val="00BA20AA"/>
    <w:rsid w:val="00BA226D"/>
    <w:rsid w:val="00BA3185"/>
    <w:rsid w:val="00BA4076"/>
    <w:rsid w:val="00BA4435"/>
    <w:rsid w:val="00BA6A83"/>
    <w:rsid w:val="00BB1603"/>
    <w:rsid w:val="00BB17A1"/>
    <w:rsid w:val="00BB237E"/>
    <w:rsid w:val="00BB33CD"/>
    <w:rsid w:val="00BB3F1A"/>
    <w:rsid w:val="00BB589E"/>
    <w:rsid w:val="00BB6F6A"/>
    <w:rsid w:val="00BB760C"/>
    <w:rsid w:val="00BC0953"/>
    <w:rsid w:val="00BC0B5D"/>
    <w:rsid w:val="00BC1127"/>
    <w:rsid w:val="00BC146A"/>
    <w:rsid w:val="00BC152A"/>
    <w:rsid w:val="00BC1646"/>
    <w:rsid w:val="00BC1FFA"/>
    <w:rsid w:val="00BC2143"/>
    <w:rsid w:val="00BC2917"/>
    <w:rsid w:val="00BC48AC"/>
    <w:rsid w:val="00BC4F79"/>
    <w:rsid w:val="00BC5C70"/>
    <w:rsid w:val="00BC6470"/>
    <w:rsid w:val="00BC7985"/>
    <w:rsid w:val="00BD08CA"/>
    <w:rsid w:val="00BD0B26"/>
    <w:rsid w:val="00BD1F03"/>
    <w:rsid w:val="00BD26A6"/>
    <w:rsid w:val="00BD385C"/>
    <w:rsid w:val="00BD3C54"/>
    <w:rsid w:val="00BD3F4C"/>
    <w:rsid w:val="00BD4425"/>
    <w:rsid w:val="00BD4523"/>
    <w:rsid w:val="00BD519E"/>
    <w:rsid w:val="00BD6354"/>
    <w:rsid w:val="00BD6475"/>
    <w:rsid w:val="00BD73B3"/>
    <w:rsid w:val="00BE12A6"/>
    <w:rsid w:val="00BE45E3"/>
    <w:rsid w:val="00BE5D7A"/>
    <w:rsid w:val="00BE656F"/>
    <w:rsid w:val="00BF09B4"/>
    <w:rsid w:val="00BF0B50"/>
    <w:rsid w:val="00BF15CD"/>
    <w:rsid w:val="00BF4CB2"/>
    <w:rsid w:val="00BF5295"/>
    <w:rsid w:val="00C0095D"/>
    <w:rsid w:val="00C00CA3"/>
    <w:rsid w:val="00C04BF4"/>
    <w:rsid w:val="00C119B3"/>
    <w:rsid w:val="00C1200A"/>
    <w:rsid w:val="00C129D6"/>
    <w:rsid w:val="00C12D79"/>
    <w:rsid w:val="00C13975"/>
    <w:rsid w:val="00C16662"/>
    <w:rsid w:val="00C16F96"/>
    <w:rsid w:val="00C17C37"/>
    <w:rsid w:val="00C20F15"/>
    <w:rsid w:val="00C221C7"/>
    <w:rsid w:val="00C22FC4"/>
    <w:rsid w:val="00C236B7"/>
    <w:rsid w:val="00C23E5B"/>
    <w:rsid w:val="00C2441D"/>
    <w:rsid w:val="00C244F9"/>
    <w:rsid w:val="00C25930"/>
    <w:rsid w:val="00C25B49"/>
    <w:rsid w:val="00C26BFA"/>
    <w:rsid w:val="00C303C7"/>
    <w:rsid w:val="00C31EA3"/>
    <w:rsid w:val="00C33FCC"/>
    <w:rsid w:val="00C360F4"/>
    <w:rsid w:val="00C367CD"/>
    <w:rsid w:val="00C3763A"/>
    <w:rsid w:val="00C37E4F"/>
    <w:rsid w:val="00C41F3E"/>
    <w:rsid w:val="00C4564B"/>
    <w:rsid w:val="00C45FB8"/>
    <w:rsid w:val="00C470F5"/>
    <w:rsid w:val="00C473CE"/>
    <w:rsid w:val="00C47518"/>
    <w:rsid w:val="00C50089"/>
    <w:rsid w:val="00C51557"/>
    <w:rsid w:val="00C51588"/>
    <w:rsid w:val="00C55C42"/>
    <w:rsid w:val="00C56729"/>
    <w:rsid w:val="00C60D99"/>
    <w:rsid w:val="00C627CA"/>
    <w:rsid w:val="00C63331"/>
    <w:rsid w:val="00C662CA"/>
    <w:rsid w:val="00C66323"/>
    <w:rsid w:val="00C7003C"/>
    <w:rsid w:val="00C71DBD"/>
    <w:rsid w:val="00C726FE"/>
    <w:rsid w:val="00C733A1"/>
    <w:rsid w:val="00C738C7"/>
    <w:rsid w:val="00C75A07"/>
    <w:rsid w:val="00C76224"/>
    <w:rsid w:val="00C806F8"/>
    <w:rsid w:val="00C80C73"/>
    <w:rsid w:val="00C81652"/>
    <w:rsid w:val="00C819CF"/>
    <w:rsid w:val="00C875C9"/>
    <w:rsid w:val="00C90580"/>
    <w:rsid w:val="00C90897"/>
    <w:rsid w:val="00C91106"/>
    <w:rsid w:val="00C9141D"/>
    <w:rsid w:val="00C92526"/>
    <w:rsid w:val="00C92B69"/>
    <w:rsid w:val="00C92F8C"/>
    <w:rsid w:val="00C941FF"/>
    <w:rsid w:val="00C9420D"/>
    <w:rsid w:val="00C9468E"/>
    <w:rsid w:val="00C94E35"/>
    <w:rsid w:val="00CA00A1"/>
    <w:rsid w:val="00CA00DF"/>
    <w:rsid w:val="00CA1232"/>
    <w:rsid w:val="00CA178E"/>
    <w:rsid w:val="00CA27E6"/>
    <w:rsid w:val="00CA52BA"/>
    <w:rsid w:val="00CA5909"/>
    <w:rsid w:val="00CA5B15"/>
    <w:rsid w:val="00CA63B2"/>
    <w:rsid w:val="00CB1CF4"/>
    <w:rsid w:val="00CB248E"/>
    <w:rsid w:val="00CB2A3D"/>
    <w:rsid w:val="00CB329F"/>
    <w:rsid w:val="00CB5228"/>
    <w:rsid w:val="00CB62E5"/>
    <w:rsid w:val="00CB69F8"/>
    <w:rsid w:val="00CB701F"/>
    <w:rsid w:val="00CC0472"/>
    <w:rsid w:val="00CC0F09"/>
    <w:rsid w:val="00CC277B"/>
    <w:rsid w:val="00CC506F"/>
    <w:rsid w:val="00CC5588"/>
    <w:rsid w:val="00CC6242"/>
    <w:rsid w:val="00CC6869"/>
    <w:rsid w:val="00CC7653"/>
    <w:rsid w:val="00CC765E"/>
    <w:rsid w:val="00CD00AA"/>
    <w:rsid w:val="00CD04BD"/>
    <w:rsid w:val="00CD0827"/>
    <w:rsid w:val="00CD1568"/>
    <w:rsid w:val="00CD3FA1"/>
    <w:rsid w:val="00CD4904"/>
    <w:rsid w:val="00CD4AD9"/>
    <w:rsid w:val="00CD52F0"/>
    <w:rsid w:val="00CE05F7"/>
    <w:rsid w:val="00CE08A5"/>
    <w:rsid w:val="00CE11E7"/>
    <w:rsid w:val="00CE3DE5"/>
    <w:rsid w:val="00CE4BDE"/>
    <w:rsid w:val="00CE5657"/>
    <w:rsid w:val="00CE5A82"/>
    <w:rsid w:val="00CE729E"/>
    <w:rsid w:val="00CF1513"/>
    <w:rsid w:val="00CF18BD"/>
    <w:rsid w:val="00CF2098"/>
    <w:rsid w:val="00CF2BE6"/>
    <w:rsid w:val="00CF394A"/>
    <w:rsid w:val="00CF3B16"/>
    <w:rsid w:val="00CF4813"/>
    <w:rsid w:val="00CF7877"/>
    <w:rsid w:val="00D01A71"/>
    <w:rsid w:val="00D025D6"/>
    <w:rsid w:val="00D07ADC"/>
    <w:rsid w:val="00D07F92"/>
    <w:rsid w:val="00D1018B"/>
    <w:rsid w:val="00D11945"/>
    <w:rsid w:val="00D11FA9"/>
    <w:rsid w:val="00D133F8"/>
    <w:rsid w:val="00D14050"/>
    <w:rsid w:val="00D144F6"/>
    <w:rsid w:val="00D15D65"/>
    <w:rsid w:val="00D2196A"/>
    <w:rsid w:val="00D222D6"/>
    <w:rsid w:val="00D22933"/>
    <w:rsid w:val="00D22DCC"/>
    <w:rsid w:val="00D23520"/>
    <w:rsid w:val="00D24C0A"/>
    <w:rsid w:val="00D252DE"/>
    <w:rsid w:val="00D263F7"/>
    <w:rsid w:val="00D307D6"/>
    <w:rsid w:val="00D30919"/>
    <w:rsid w:val="00D30B4B"/>
    <w:rsid w:val="00D30E16"/>
    <w:rsid w:val="00D32245"/>
    <w:rsid w:val="00D33896"/>
    <w:rsid w:val="00D3538A"/>
    <w:rsid w:val="00D36C7A"/>
    <w:rsid w:val="00D3775A"/>
    <w:rsid w:val="00D379C7"/>
    <w:rsid w:val="00D37D2D"/>
    <w:rsid w:val="00D407F7"/>
    <w:rsid w:val="00D40FD3"/>
    <w:rsid w:val="00D42B5A"/>
    <w:rsid w:val="00D43E0A"/>
    <w:rsid w:val="00D447BE"/>
    <w:rsid w:val="00D472AB"/>
    <w:rsid w:val="00D51FA9"/>
    <w:rsid w:val="00D56BA2"/>
    <w:rsid w:val="00D57638"/>
    <w:rsid w:val="00D57A01"/>
    <w:rsid w:val="00D61227"/>
    <w:rsid w:val="00D613E4"/>
    <w:rsid w:val="00D61AED"/>
    <w:rsid w:val="00D62DD8"/>
    <w:rsid w:val="00D63857"/>
    <w:rsid w:val="00D64F2E"/>
    <w:rsid w:val="00D65AF5"/>
    <w:rsid w:val="00D6707B"/>
    <w:rsid w:val="00D70CED"/>
    <w:rsid w:val="00D729A6"/>
    <w:rsid w:val="00D76243"/>
    <w:rsid w:val="00D769DF"/>
    <w:rsid w:val="00D801E5"/>
    <w:rsid w:val="00D805C7"/>
    <w:rsid w:val="00D81AFC"/>
    <w:rsid w:val="00D81EC9"/>
    <w:rsid w:val="00D8282A"/>
    <w:rsid w:val="00D84B2F"/>
    <w:rsid w:val="00D84C4E"/>
    <w:rsid w:val="00D85EDD"/>
    <w:rsid w:val="00D867AF"/>
    <w:rsid w:val="00D87EB8"/>
    <w:rsid w:val="00D922BB"/>
    <w:rsid w:val="00D92C67"/>
    <w:rsid w:val="00D9362A"/>
    <w:rsid w:val="00D94236"/>
    <w:rsid w:val="00D949DA"/>
    <w:rsid w:val="00D9551B"/>
    <w:rsid w:val="00D97F5E"/>
    <w:rsid w:val="00DA06BD"/>
    <w:rsid w:val="00DA1261"/>
    <w:rsid w:val="00DA2B05"/>
    <w:rsid w:val="00DA2C2B"/>
    <w:rsid w:val="00DA36ED"/>
    <w:rsid w:val="00DA3BDD"/>
    <w:rsid w:val="00DA3F9C"/>
    <w:rsid w:val="00DA452C"/>
    <w:rsid w:val="00DA4A13"/>
    <w:rsid w:val="00DA524F"/>
    <w:rsid w:val="00DA5D8C"/>
    <w:rsid w:val="00DA74F2"/>
    <w:rsid w:val="00DB12C4"/>
    <w:rsid w:val="00DB25DE"/>
    <w:rsid w:val="00DB2979"/>
    <w:rsid w:val="00DB3664"/>
    <w:rsid w:val="00DB371A"/>
    <w:rsid w:val="00DB4040"/>
    <w:rsid w:val="00DB5006"/>
    <w:rsid w:val="00DB6FAF"/>
    <w:rsid w:val="00DB7001"/>
    <w:rsid w:val="00DB7414"/>
    <w:rsid w:val="00DB7C75"/>
    <w:rsid w:val="00DC0F91"/>
    <w:rsid w:val="00DC1196"/>
    <w:rsid w:val="00DC1A7B"/>
    <w:rsid w:val="00DC2BF2"/>
    <w:rsid w:val="00DC3C23"/>
    <w:rsid w:val="00DC4293"/>
    <w:rsid w:val="00DC485E"/>
    <w:rsid w:val="00DC486A"/>
    <w:rsid w:val="00DC5A12"/>
    <w:rsid w:val="00DC5F28"/>
    <w:rsid w:val="00DC7644"/>
    <w:rsid w:val="00DC7F59"/>
    <w:rsid w:val="00DD0FFF"/>
    <w:rsid w:val="00DD1177"/>
    <w:rsid w:val="00DD157A"/>
    <w:rsid w:val="00DD1899"/>
    <w:rsid w:val="00DD1BA8"/>
    <w:rsid w:val="00DD2ACA"/>
    <w:rsid w:val="00DD3F8F"/>
    <w:rsid w:val="00DD46F9"/>
    <w:rsid w:val="00DD4F3E"/>
    <w:rsid w:val="00DD5764"/>
    <w:rsid w:val="00DE17E1"/>
    <w:rsid w:val="00DE334D"/>
    <w:rsid w:val="00DE3C74"/>
    <w:rsid w:val="00DE50D9"/>
    <w:rsid w:val="00DE643C"/>
    <w:rsid w:val="00DE6C7E"/>
    <w:rsid w:val="00DE6D1E"/>
    <w:rsid w:val="00DE6E37"/>
    <w:rsid w:val="00DE6F1E"/>
    <w:rsid w:val="00DE72EB"/>
    <w:rsid w:val="00DF00AB"/>
    <w:rsid w:val="00DF16C5"/>
    <w:rsid w:val="00DF2E94"/>
    <w:rsid w:val="00DF37F8"/>
    <w:rsid w:val="00DF3B66"/>
    <w:rsid w:val="00DF5013"/>
    <w:rsid w:val="00DF6187"/>
    <w:rsid w:val="00DF7807"/>
    <w:rsid w:val="00E00E20"/>
    <w:rsid w:val="00E0275B"/>
    <w:rsid w:val="00E032EC"/>
    <w:rsid w:val="00E03777"/>
    <w:rsid w:val="00E05C65"/>
    <w:rsid w:val="00E07A5A"/>
    <w:rsid w:val="00E07F73"/>
    <w:rsid w:val="00E12FCE"/>
    <w:rsid w:val="00E1353A"/>
    <w:rsid w:val="00E14EB1"/>
    <w:rsid w:val="00E1531C"/>
    <w:rsid w:val="00E15C2C"/>
    <w:rsid w:val="00E15F12"/>
    <w:rsid w:val="00E16130"/>
    <w:rsid w:val="00E1656D"/>
    <w:rsid w:val="00E1714C"/>
    <w:rsid w:val="00E266F7"/>
    <w:rsid w:val="00E309F4"/>
    <w:rsid w:val="00E30D3D"/>
    <w:rsid w:val="00E3167F"/>
    <w:rsid w:val="00E316DC"/>
    <w:rsid w:val="00E3207E"/>
    <w:rsid w:val="00E324FF"/>
    <w:rsid w:val="00E34CEE"/>
    <w:rsid w:val="00E368BD"/>
    <w:rsid w:val="00E3716B"/>
    <w:rsid w:val="00E37C0F"/>
    <w:rsid w:val="00E37EE0"/>
    <w:rsid w:val="00E37FB8"/>
    <w:rsid w:val="00E40225"/>
    <w:rsid w:val="00E4284D"/>
    <w:rsid w:val="00E439E5"/>
    <w:rsid w:val="00E44359"/>
    <w:rsid w:val="00E451A9"/>
    <w:rsid w:val="00E45710"/>
    <w:rsid w:val="00E46E80"/>
    <w:rsid w:val="00E50070"/>
    <w:rsid w:val="00E52F0C"/>
    <w:rsid w:val="00E5334B"/>
    <w:rsid w:val="00E53834"/>
    <w:rsid w:val="00E53B9D"/>
    <w:rsid w:val="00E548B3"/>
    <w:rsid w:val="00E549BC"/>
    <w:rsid w:val="00E56649"/>
    <w:rsid w:val="00E57799"/>
    <w:rsid w:val="00E57A9F"/>
    <w:rsid w:val="00E57F26"/>
    <w:rsid w:val="00E60049"/>
    <w:rsid w:val="00E60DCB"/>
    <w:rsid w:val="00E61BAC"/>
    <w:rsid w:val="00E63CC7"/>
    <w:rsid w:val="00E65DFF"/>
    <w:rsid w:val="00E6644C"/>
    <w:rsid w:val="00E678B9"/>
    <w:rsid w:val="00E707FC"/>
    <w:rsid w:val="00E71874"/>
    <w:rsid w:val="00E754C1"/>
    <w:rsid w:val="00E75F6F"/>
    <w:rsid w:val="00E831DF"/>
    <w:rsid w:val="00E84A5A"/>
    <w:rsid w:val="00E859AB"/>
    <w:rsid w:val="00E8729F"/>
    <w:rsid w:val="00E87E31"/>
    <w:rsid w:val="00E90C01"/>
    <w:rsid w:val="00E920CF"/>
    <w:rsid w:val="00E934F8"/>
    <w:rsid w:val="00E937E5"/>
    <w:rsid w:val="00E9542D"/>
    <w:rsid w:val="00E95690"/>
    <w:rsid w:val="00E95818"/>
    <w:rsid w:val="00E960ED"/>
    <w:rsid w:val="00EA0BBE"/>
    <w:rsid w:val="00EA3457"/>
    <w:rsid w:val="00EA4424"/>
    <w:rsid w:val="00EA450C"/>
    <w:rsid w:val="00EA486E"/>
    <w:rsid w:val="00EA546C"/>
    <w:rsid w:val="00EA7906"/>
    <w:rsid w:val="00EB1006"/>
    <w:rsid w:val="00EB1176"/>
    <w:rsid w:val="00EB12A9"/>
    <w:rsid w:val="00EB22BE"/>
    <w:rsid w:val="00EB40C9"/>
    <w:rsid w:val="00EB505C"/>
    <w:rsid w:val="00EB55D9"/>
    <w:rsid w:val="00EB5ADB"/>
    <w:rsid w:val="00EB74F3"/>
    <w:rsid w:val="00EC0DCA"/>
    <w:rsid w:val="00EC19DE"/>
    <w:rsid w:val="00EC2BC5"/>
    <w:rsid w:val="00EC51C4"/>
    <w:rsid w:val="00ED0A0B"/>
    <w:rsid w:val="00ED2C71"/>
    <w:rsid w:val="00ED620A"/>
    <w:rsid w:val="00EE033A"/>
    <w:rsid w:val="00EE0A0F"/>
    <w:rsid w:val="00EE1A74"/>
    <w:rsid w:val="00EE24D7"/>
    <w:rsid w:val="00EE3D0A"/>
    <w:rsid w:val="00EE3FC8"/>
    <w:rsid w:val="00EE46C5"/>
    <w:rsid w:val="00EE6D54"/>
    <w:rsid w:val="00EF1123"/>
    <w:rsid w:val="00EF30D1"/>
    <w:rsid w:val="00EF3DB6"/>
    <w:rsid w:val="00EF565A"/>
    <w:rsid w:val="00EF5B89"/>
    <w:rsid w:val="00EF6E5A"/>
    <w:rsid w:val="00F00943"/>
    <w:rsid w:val="00F0103B"/>
    <w:rsid w:val="00F0309C"/>
    <w:rsid w:val="00F033EE"/>
    <w:rsid w:val="00F038BE"/>
    <w:rsid w:val="00F04D7C"/>
    <w:rsid w:val="00F06456"/>
    <w:rsid w:val="00F068C8"/>
    <w:rsid w:val="00F07332"/>
    <w:rsid w:val="00F105A6"/>
    <w:rsid w:val="00F11A5C"/>
    <w:rsid w:val="00F12D9B"/>
    <w:rsid w:val="00F1382D"/>
    <w:rsid w:val="00F1647C"/>
    <w:rsid w:val="00F20278"/>
    <w:rsid w:val="00F210A5"/>
    <w:rsid w:val="00F21E1F"/>
    <w:rsid w:val="00F22199"/>
    <w:rsid w:val="00F23535"/>
    <w:rsid w:val="00F23AC0"/>
    <w:rsid w:val="00F27333"/>
    <w:rsid w:val="00F27F8E"/>
    <w:rsid w:val="00F30156"/>
    <w:rsid w:val="00F314C3"/>
    <w:rsid w:val="00F32717"/>
    <w:rsid w:val="00F33A36"/>
    <w:rsid w:val="00F3621E"/>
    <w:rsid w:val="00F375A9"/>
    <w:rsid w:val="00F41F98"/>
    <w:rsid w:val="00F420F3"/>
    <w:rsid w:val="00F43047"/>
    <w:rsid w:val="00F4312D"/>
    <w:rsid w:val="00F452A3"/>
    <w:rsid w:val="00F474D2"/>
    <w:rsid w:val="00F47F70"/>
    <w:rsid w:val="00F51659"/>
    <w:rsid w:val="00F5168F"/>
    <w:rsid w:val="00F52EC5"/>
    <w:rsid w:val="00F53430"/>
    <w:rsid w:val="00F57B0C"/>
    <w:rsid w:val="00F60FE0"/>
    <w:rsid w:val="00F627CA"/>
    <w:rsid w:val="00F63D02"/>
    <w:rsid w:val="00F64369"/>
    <w:rsid w:val="00F70835"/>
    <w:rsid w:val="00F70AA3"/>
    <w:rsid w:val="00F70BC5"/>
    <w:rsid w:val="00F70DFB"/>
    <w:rsid w:val="00F7148A"/>
    <w:rsid w:val="00F71E95"/>
    <w:rsid w:val="00F73807"/>
    <w:rsid w:val="00F7719D"/>
    <w:rsid w:val="00F77A25"/>
    <w:rsid w:val="00F805F4"/>
    <w:rsid w:val="00F80D8A"/>
    <w:rsid w:val="00F838D3"/>
    <w:rsid w:val="00F84533"/>
    <w:rsid w:val="00F84B3D"/>
    <w:rsid w:val="00F84DF6"/>
    <w:rsid w:val="00F85167"/>
    <w:rsid w:val="00F85719"/>
    <w:rsid w:val="00F86D2B"/>
    <w:rsid w:val="00F905BA"/>
    <w:rsid w:val="00F90642"/>
    <w:rsid w:val="00F92C34"/>
    <w:rsid w:val="00F92D58"/>
    <w:rsid w:val="00FA09F5"/>
    <w:rsid w:val="00FA2D30"/>
    <w:rsid w:val="00FA3771"/>
    <w:rsid w:val="00FA3B87"/>
    <w:rsid w:val="00FA4320"/>
    <w:rsid w:val="00FA4EFB"/>
    <w:rsid w:val="00FA6259"/>
    <w:rsid w:val="00FA6639"/>
    <w:rsid w:val="00FA6C0F"/>
    <w:rsid w:val="00FA70F3"/>
    <w:rsid w:val="00FB1A87"/>
    <w:rsid w:val="00FB1C2D"/>
    <w:rsid w:val="00FB1F83"/>
    <w:rsid w:val="00FB2EE1"/>
    <w:rsid w:val="00FB32FD"/>
    <w:rsid w:val="00FB48D6"/>
    <w:rsid w:val="00FB4A76"/>
    <w:rsid w:val="00FB7C07"/>
    <w:rsid w:val="00FC1348"/>
    <w:rsid w:val="00FC2195"/>
    <w:rsid w:val="00FC3247"/>
    <w:rsid w:val="00FC7077"/>
    <w:rsid w:val="00FC7D9E"/>
    <w:rsid w:val="00FD0B22"/>
    <w:rsid w:val="00FD0B56"/>
    <w:rsid w:val="00FD0D3E"/>
    <w:rsid w:val="00FD3BB5"/>
    <w:rsid w:val="00FD3D59"/>
    <w:rsid w:val="00FD46BA"/>
    <w:rsid w:val="00FD7FB1"/>
    <w:rsid w:val="00FE3502"/>
    <w:rsid w:val="00FE3E1F"/>
    <w:rsid w:val="00FE4A8E"/>
    <w:rsid w:val="00FE4C63"/>
    <w:rsid w:val="00FE638C"/>
    <w:rsid w:val="00FF20F4"/>
    <w:rsid w:val="00FF5F1A"/>
    <w:rsid w:val="00FF6422"/>
    <w:rsid w:val="00FF71F4"/>
    <w:rsid w:val="00FF7A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C2058-684F-4AD0-BEB3-A79E7376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634B6"/>
    <w:pPr>
      <w:ind w:left="720"/>
      <w:contextualSpacing/>
    </w:pPr>
  </w:style>
  <w:style w:type="character" w:styleId="CommentReference">
    <w:name w:val="annotation reference"/>
    <w:basedOn w:val="DefaultParagraphFont"/>
    <w:uiPriority w:val="99"/>
    <w:semiHidden/>
    <w:unhideWhenUsed/>
    <w:rsid w:val="008B4DAB"/>
    <w:rPr>
      <w:sz w:val="16"/>
      <w:szCs w:val="16"/>
    </w:rPr>
  </w:style>
  <w:style w:type="paragraph" w:styleId="CommentText">
    <w:name w:val="annotation text"/>
    <w:basedOn w:val="Normal"/>
    <w:link w:val="CommentTextChar"/>
    <w:uiPriority w:val="99"/>
    <w:unhideWhenUsed/>
    <w:rsid w:val="008B4DAB"/>
    <w:pPr>
      <w:spacing w:line="240" w:lineRule="auto"/>
    </w:pPr>
    <w:rPr>
      <w:sz w:val="20"/>
      <w:szCs w:val="20"/>
    </w:rPr>
  </w:style>
  <w:style w:type="character" w:customStyle="1" w:styleId="CommentTextChar">
    <w:name w:val="Comment Text Char"/>
    <w:basedOn w:val="DefaultParagraphFont"/>
    <w:link w:val="CommentText"/>
    <w:uiPriority w:val="99"/>
    <w:rsid w:val="008B4DAB"/>
    <w:rPr>
      <w:sz w:val="20"/>
      <w:szCs w:val="20"/>
    </w:rPr>
  </w:style>
  <w:style w:type="paragraph" w:styleId="CommentSubject">
    <w:name w:val="annotation subject"/>
    <w:basedOn w:val="CommentText"/>
    <w:next w:val="CommentText"/>
    <w:link w:val="CommentSubjectChar"/>
    <w:uiPriority w:val="99"/>
    <w:semiHidden/>
    <w:unhideWhenUsed/>
    <w:rsid w:val="008B4DAB"/>
    <w:rPr>
      <w:b/>
      <w:bCs/>
    </w:rPr>
  </w:style>
  <w:style w:type="character" w:customStyle="1" w:styleId="CommentSubjectChar">
    <w:name w:val="Comment Subject Char"/>
    <w:basedOn w:val="CommentTextChar"/>
    <w:link w:val="CommentSubject"/>
    <w:uiPriority w:val="99"/>
    <w:semiHidden/>
    <w:rsid w:val="008B4DAB"/>
    <w:rPr>
      <w:b/>
      <w:bCs/>
      <w:sz w:val="20"/>
      <w:szCs w:val="20"/>
    </w:rPr>
  </w:style>
  <w:style w:type="character" w:customStyle="1" w:styleId="Mention1">
    <w:name w:val="Mention1"/>
    <w:basedOn w:val="DefaultParagraphFont"/>
    <w:uiPriority w:val="99"/>
    <w:semiHidden/>
    <w:unhideWhenUsed/>
    <w:rsid w:val="002A2A27"/>
    <w:rPr>
      <w:color w:val="2B579A"/>
      <w:shd w:val="clear" w:color="auto" w:fill="E6E6E6"/>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A52E7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A52E78"/>
    <w:rPr>
      <w:rFonts w:ascii="Times New Roman" w:eastAsia="Times New Roman" w:hAnsi="Times New Roman" w:cs="Times New Roman"/>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A52E78"/>
    <w:rPr>
      <w:vertAlign w:val="superscript"/>
    </w:rPr>
  </w:style>
  <w:style w:type="paragraph" w:customStyle="1" w:styleId="CharCharCharChar">
    <w:name w:val="Char Char Char Char"/>
    <w:aliases w:val="Char2"/>
    <w:basedOn w:val="Normal"/>
    <w:next w:val="Normal"/>
    <w:link w:val="FootnoteReference"/>
    <w:uiPriority w:val="99"/>
    <w:rsid w:val="008B6539"/>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6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244952300">
      <w:bodyDiv w:val="1"/>
      <w:marLeft w:val="0"/>
      <w:marRight w:val="0"/>
      <w:marTop w:val="0"/>
      <w:marBottom w:val="0"/>
      <w:divBdr>
        <w:top w:val="none" w:sz="0" w:space="0" w:color="auto"/>
        <w:left w:val="none" w:sz="0" w:space="0" w:color="auto"/>
        <w:bottom w:val="none" w:sz="0" w:space="0" w:color="auto"/>
        <w:right w:val="none" w:sz="0" w:space="0" w:color="auto"/>
      </w:divBdr>
    </w:div>
    <w:div w:id="1261642038">
      <w:bodyDiv w:val="1"/>
      <w:marLeft w:val="0"/>
      <w:marRight w:val="0"/>
      <w:marTop w:val="0"/>
      <w:marBottom w:val="0"/>
      <w:divBdr>
        <w:top w:val="none" w:sz="0" w:space="0" w:color="auto"/>
        <w:left w:val="none" w:sz="0" w:space="0" w:color="auto"/>
        <w:bottom w:val="none" w:sz="0" w:space="0" w:color="auto"/>
        <w:right w:val="none" w:sz="0" w:space="0" w:color="auto"/>
      </w:divBdr>
    </w:div>
    <w:div w:id="1635401874">
      <w:bodyDiv w:val="1"/>
      <w:marLeft w:val="0"/>
      <w:marRight w:val="0"/>
      <w:marTop w:val="0"/>
      <w:marBottom w:val="0"/>
      <w:divBdr>
        <w:top w:val="none" w:sz="0" w:space="0" w:color="auto"/>
        <w:left w:val="none" w:sz="0" w:space="0" w:color="auto"/>
        <w:bottom w:val="none" w:sz="0" w:space="0" w:color="auto"/>
        <w:right w:val="none" w:sz="0" w:space="0" w:color="auto"/>
      </w:divBdr>
    </w:div>
    <w:div w:id="1904831528">
      <w:bodyDiv w:val="1"/>
      <w:marLeft w:val="0"/>
      <w:marRight w:val="0"/>
      <w:marTop w:val="0"/>
      <w:marBottom w:val="0"/>
      <w:divBdr>
        <w:top w:val="none" w:sz="0" w:space="0" w:color="auto"/>
        <w:left w:val="none" w:sz="0" w:space="0" w:color="auto"/>
        <w:bottom w:val="none" w:sz="0" w:space="0" w:color="auto"/>
        <w:right w:val="none" w:sz="0" w:space="0" w:color="auto"/>
      </w:divBdr>
    </w:div>
    <w:div w:id="1911578212">
      <w:bodyDiv w:val="1"/>
      <w:marLeft w:val="0"/>
      <w:marRight w:val="0"/>
      <w:marTop w:val="0"/>
      <w:marBottom w:val="0"/>
      <w:divBdr>
        <w:top w:val="none" w:sz="0" w:space="0" w:color="auto"/>
        <w:left w:val="none" w:sz="0" w:space="0" w:color="auto"/>
        <w:bottom w:val="none" w:sz="0" w:space="0" w:color="auto"/>
        <w:right w:val="none" w:sz="0" w:space="0" w:color="auto"/>
      </w:divBdr>
      <w:divsChild>
        <w:div w:id="786125678">
          <w:marLeft w:val="0"/>
          <w:marRight w:val="0"/>
          <w:marTop w:val="280"/>
          <w:marBottom w:val="280"/>
          <w:divBdr>
            <w:top w:val="none" w:sz="0" w:space="0" w:color="auto"/>
            <w:left w:val="none" w:sz="0" w:space="0" w:color="auto"/>
            <w:bottom w:val="none" w:sz="0" w:space="0" w:color="auto"/>
            <w:right w:val="none" w:sz="0" w:space="0" w:color="auto"/>
          </w:divBdr>
        </w:div>
        <w:div w:id="347298438">
          <w:marLeft w:val="0"/>
          <w:marRight w:val="0"/>
          <w:marTop w:val="280"/>
          <w:marBottom w:val="280"/>
          <w:divBdr>
            <w:top w:val="none" w:sz="0" w:space="0" w:color="auto"/>
            <w:left w:val="none" w:sz="0" w:space="0" w:color="auto"/>
            <w:bottom w:val="none" w:sz="0" w:space="0" w:color="auto"/>
            <w:right w:val="none" w:sz="0" w:space="0" w:color="auto"/>
          </w:divBdr>
        </w:div>
        <w:div w:id="1522930845">
          <w:marLeft w:val="0"/>
          <w:marRight w:val="0"/>
          <w:marTop w:val="280"/>
          <w:marBottom w:val="280"/>
          <w:divBdr>
            <w:top w:val="none" w:sz="0" w:space="0" w:color="auto"/>
            <w:left w:val="none" w:sz="0" w:space="0" w:color="auto"/>
            <w:bottom w:val="none" w:sz="0" w:space="0" w:color="auto"/>
            <w:right w:val="none" w:sz="0" w:space="0" w:color="auto"/>
          </w:divBdr>
        </w:div>
        <w:div w:id="154686587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2327-A3C8-49A7-A198-91EB5F4D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103832</Words>
  <Characters>59185</Characters>
  <Application>Microsoft Office Word</Application>
  <DocSecurity>0</DocSecurity>
  <Lines>493</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Noziedzīgi iegūtu līdzekļu legalizācijas un terorisma finansēšanas novēršanas likumā" sākotnējās novērtēšanas ziņojums (anotācija)</vt:lpstr>
      <vt:lpstr>Likumprojekts "Grozījumi Noziedzīgi iegūtu līdzekļu legalizācijas un terorisma finansēšanas novēršanas likumā"</vt:lpstr>
    </vt:vector>
  </TitlesOfParts>
  <Company>Iestādes nosaukums</Company>
  <LinksUpToDate>false</LinksUpToDate>
  <CharactersWithSpaces>162692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novēršanas likumā" sākotnējās novērtēšanas ziņojums (anotācija)</dc:title>
  <dc:subject>Anotācija</dc:subject>
  <dc:creator>Vineta Neija</dc:creator>
  <dc:description>67095490, Vineta.Neija@fm.gov.lv</dc:description>
  <cp:lastModifiedBy>Zane Zute</cp:lastModifiedBy>
  <cp:revision>18</cp:revision>
  <cp:lastPrinted>2017-05-19T10:18:00Z</cp:lastPrinted>
  <dcterms:created xsi:type="dcterms:W3CDTF">2017-05-19T09:08:00Z</dcterms:created>
  <dcterms:modified xsi:type="dcterms:W3CDTF">2017-05-19T11:15:00Z</dcterms:modified>
</cp:coreProperties>
</file>