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B770A" w14:textId="77777777" w:rsidR="00CD0A52" w:rsidRPr="00EF4DDA" w:rsidRDefault="00C77E2D" w:rsidP="00C77E2D">
      <w:pPr>
        <w:autoSpaceDE w:val="0"/>
        <w:autoSpaceDN w:val="0"/>
        <w:adjustRightInd w:val="0"/>
        <w:spacing w:after="60"/>
        <w:jc w:val="center"/>
        <w:rPr>
          <w:b/>
          <w:szCs w:val="24"/>
          <w:lang w:eastAsia="lv-LV"/>
        </w:rPr>
      </w:pPr>
      <w:r w:rsidRPr="00EF4DDA">
        <w:rPr>
          <w:b/>
          <w:szCs w:val="24"/>
          <w:lang w:eastAsia="lv-LV"/>
        </w:rPr>
        <w:t>Informatīvais ziņojums</w:t>
      </w:r>
    </w:p>
    <w:p w14:paraId="33728C3B" w14:textId="77777777" w:rsidR="00FF03F8" w:rsidRPr="00EF4DDA" w:rsidRDefault="000B440F" w:rsidP="00164778">
      <w:pPr>
        <w:autoSpaceDE w:val="0"/>
        <w:autoSpaceDN w:val="0"/>
        <w:adjustRightInd w:val="0"/>
        <w:jc w:val="center"/>
        <w:rPr>
          <w:b/>
          <w:szCs w:val="24"/>
        </w:rPr>
      </w:pPr>
      <w:r>
        <w:rPr>
          <w:b/>
          <w:szCs w:val="24"/>
        </w:rPr>
        <w:t>“</w:t>
      </w:r>
      <w:r w:rsidR="00FF03F8" w:rsidRPr="00EF4DDA">
        <w:rPr>
          <w:b/>
          <w:szCs w:val="24"/>
        </w:rPr>
        <w:t xml:space="preserve">Par valsts </w:t>
      </w:r>
      <w:r w:rsidR="00164778" w:rsidRPr="00EF4DDA">
        <w:rPr>
          <w:b/>
          <w:szCs w:val="24"/>
        </w:rPr>
        <w:t xml:space="preserve">līdzdalības saglabāšanu </w:t>
      </w:r>
      <w:r w:rsidR="004830B9" w:rsidRPr="00EF4DDA">
        <w:rPr>
          <w:b/>
          <w:szCs w:val="24"/>
        </w:rPr>
        <w:t xml:space="preserve">valsts sabiedrībā ar ierobežotu atbildību </w:t>
      </w:r>
      <w:r>
        <w:rPr>
          <w:b/>
          <w:szCs w:val="24"/>
        </w:rPr>
        <w:t>“</w:t>
      </w:r>
      <w:r w:rsidR="004830B9" w:rsidRPr="00EF4DDA">
        <w:rPr>
          <w:b/>
          <w:szCs w:val="24"/>
        </w:rPr>
        <w:t>Latvijas Proves birojs</w:t>
      </w:r>
      <w:r>
        <w:rPr>
          <w:b/>
          <w:szCs w:val="24"/>
        </w:rPr>
        <w:t>””</w:t>
      </w:r>
    </w:p>
    <w:p w14:paraId="4C7A85DB" w14:textId="77777777" w:rsidR="004C4CC7" w:rsidRPr="00EF4DDA" w:rsidRDefault="004C4CC7" w:rsidP="00164778">
      <w:pPr>
        <w:autoSpaceDE w:val="0"/>
        <w:autoSpaceDN w:val="0"/>
        <w:adjustRightInd w:val="0"/>
        <w:jc w:val="center"/>
        <w:rPr>
          <w:b/>
          <w:szCs w:val="24"/>
        </w:rPr>
      </w:pPr>
    </w:p>
    <w:p w14:paraId="136DF4E8" w14:textId="77777777" w:rsidR="004830B9" w:rsidRPr="00EF4DDA" w:rsidRDefault="004C4CC7" w:rsidP="00164778">
      <w:pPr>
        <w:autoSpaceDE w:val="0"/>
        <w:autoSpaceDN w:val="0"/>
        <w:adjustRightInd w:val="0"/>
        <w:jc w:val="center"/>
        <w:rPr>
          <w:b/>
          <w:szCs w:val="24"/>
          <w:lang w:eastAsia="lv-LV"/>
        </w:rPr>
      </w:pPr>
      <w:r w:rsidRPr="00EF4DDA">
        <w:rPr>
          <w:b/>
          <w:szCs w:val="24"/>
          <w:lang w:eastAsia="lv-LV"/>
        </w:rPr>
        <w:t>1.Ievads</w:t>
      </w:r>
    </w:p>
    <w:p w14:paraId="7C5933A8" w14:textId="77777777" w:rsidR="004C4CC7" w:rsidRPr="00EF4DDA" w:rsidRDefault="004C4CC7" w:rsidP="00164778">
      <w:pPr>
        <w:autoSpaceDE w:val="0"/>
        <w:autoSpaceDN w:val="0"/>
        <w:adjustRightInd w:val="0"/>
        <w:jc w:val="center"/>
        <w:rPr>
          <w:b/>
          <w:szCs w:val="24"/>
          <w:lang w:eastAsia="lv-LV"/>
        </w:rPr>
      </w:pPr>
    </w:p>
    <w:p w14:paraId="051FA9E6" w14:textId="77777777" w:rsidR="00126A0C" w:rsidRPr="00EF4DDA" w:rsidRDefault="004830B9" w:rsidP="00201063">
      <w:pPr>
        <w:tabs>
          <w:tab w:val="left" w:pos="993"/>
        </w:tabs>
        <w:ind w:firstLine="720"/>
        <w:rPr>
          <w:szCs w:val="24"/>
        </w:rPr>
      </w:pPr>
      <w:r w:rsidRPr="00EF4DDA">
        <w:rPr>
          <w:szCs w:val="24"/>
        </w:rPr>
        <w:t xml:space="preserve">Ministru kabinets 2014.gada 28.oktobra sēdē </w:t>
      </w:r>
      <w:r w:rsidR="000B440F">
        <w:rPr>
          <w:szCs w:val="24"/>
        </w:rPr>
        <w:t>iz</w:t>
      </w:r>
      <w:r w:rsidRPr="00EF4DDA">
        <w:rPr>
          <w:szCs w:val="24"/>
        </w:rPr>
        <w:t xml:space="preserve">skatīja informatīvo ziņojumu </w:t>
      </w:r>
      <w:r w:rsidR="000B440F">
        <w:rPr>
          <w:szCs w:val="24"/>
        </w:rPr>
        <w:t>“</w:t>
      </w:r>
      <w:r w:rsidRPr="00EF4DDA">
        <w:rPr>
          <w:szCs w:val="24"/>
        </w:rPr>
        <w:t>Par valsts līdzdalības kapitālsabiedrībās izvērtēšanu un ar Ministru prezidenta 2012.gada 19.jūnija rīkojumu Nr.233 izveidotās darba grupas priekšlikumiem turpmākai rīcībai</w:t>
      </w:r>
      <w:r w:rsidR="000B440F">
        <w:rPr>
          <w:szCs w:val="24"/>
        </w:rPr>
        <w:t>”</w:t>
      </w:r>
      <w:r w:rsidRPr="00EF4DDA">
        <w:rPr>
          <w:szCs w:val="24"/>
        </w:rPr>
        <w:t>, pieņemot to zināšanai. Papildus Ministru kabinets lēma:</w:t>
      </w:r>
    </w:p>
    <w:p w14:paraId="2AC58564" w14:textId="77777777" w:rsidR="004830B9" w:rsidRPr="00EF4DDA" w:rsidRDefault="000B440F" w:rsidP="00201063">
      <w:pPr>
        <w:pStyle w:val="ListParagraph"/>
        <w:numPr>
          <w:ilvl w:val="0"/>
          <w:numId w:val="13"/>
        </w:numPr>
        <w:tabs>
          <w:tab w:val="left" w:pos="993"/>
        </w:tabs>
        <w:ind w:left="0" w:firstLine="720"/>
        <w:jc w:val="both"/>
        <w:rPr>
          <w:szCs w:val="24"/>
        </w:rPr>
      </w:pPr>
      <w:r>
        <w:rPr>
          <w:szCs w:val="24"/>
        </w:rPr>
        <w:t>a</w:t>
      </w:r>
      <w:r w:rsidR="004830B9" w:rsidRPr="00EF4DDA">
        <w:rPr>
          <w:szCs w:val="24"/>
        </w:rPr>
        <w:t xml:space="preserve">tbalstīt Finanšu ministrijas priekšlikumu neatsavināt valsts sabiedrības ar ierobežotu atbildību </w:t>
      </w:r>
      <w:r>
        <w:rPr>
          <w:szCs w:val="24"/>
        </w:rPr>
        <w:t>“</w:t>
      </w:r>
      <w:r w:rsidR="004830B9" w:rsidRPr="00EF4DDA">
        <w:rPr>
          <w:szCs w:val="24"/>
        </w:rPr>
        <w:t>Latvijas proves birojs</w:t>
      </w:r>
      <w:r>
        <w:rPr>
          <w:szCs w:val="24"/>
        </w:rPr>
        <w:t>”</w:t>
      </w:r>
      <w:r w:rsidR="004830B9" w:rsidRPr="00EF4DDA">
        <w:rPr>
          <w:szCs w:val="24"/>
        </w:rPr>
        <w:t xml:space="preserve"> kapitāla daļas, pilnībā atstājot uzņēmuma pārziņā tam deleģēto valsts pārvaldes uzdevumu izpildi;</w:t>
      </w:r>
    </w:p>
    <w:p w14:paraId="769B26F0" w14:textId="77777777" w:rsidR="004830B9" w:rsidRPr="00EF4DDA" w:rsidRDefault="000B440F" w:rsidP="00201063">
      <w:pPr>
        <w:pStyle w:val="ListParagraph"/>
        <w:numPr>
          <w:ilvl w:val="0"/>
          <w:numId w:val="13"/>
        </w:numPr>
        <w:tabs>
          <w:tab w:val="left" w:pos="993"/>
        </w:tabs>
        <w:ind w:left="0" w:firstLine="720"/>
        <w:jc w:val="both"/>
        <w:rPr>
          <w:szCs w:val="24"/>
        </w:rPr>
      </w:pPr>
      <w:r>
        <w:rPr>
          <w:szCs w:val="24"/>
        </w:rPr>
        <w:t>d</w:t>
      </w:r>
      <w:r w:rsidR="004830B9" w:rsidRPr="00EF4DDA">
        <w:rPr>
          <w:szCs w:val="24"/>
        </w:rPr>
        <w:t xml:space="preserve">ivu gadu laikā pēc Publisko personu kapitāla daļu pārvaldības likuma spēkā stāšanās Finanšu ministrijai veikt atkārtotu valsts sabiedrības ar ierobežotu atbildību </w:t>
      </w:r>
      <w:r>
        <w:rPr>
          <w:szCs w:val="24"/>
        </w:rPr>
        <w:t>“</w:t>
      </w:r>
      <w:r w:rsidR="004830B9" w:rsidRPr="00EF4DDA">
        <w:rPr>
          <w:szCs w:val="24"/>
        </w:rPr>
        <w:t>Latvijas Proves birojs</w:t>
      </w:r>
      <w:r>
        <w:rPr>
          <w:szCs w:val="24"/>
        </w:rPr>
        <w:t>”</w:t>
      </w:r>
      <w:r w:rsidR="004830B9" w:rsidRPr="00EF4DDA">
        <w:rPr>
          <w:szCs w:val="24"/>
        </w:rPr>
        <w:t xml:space="preserve"> darbības izvērtēšanu.</w:t>
      </w:r>
    </w:p>
    <w:p w14:paraId="3931CEAF" w14:textId="77777777" w:rsidR="004830B9" w:rsidRPr="00EF4DDA" w:rsidRDefault="004830B9" w:rsidP="00201063">
      <w:pPr>
        <w:tabs>
          <w:tab w:val="left" w:pos="993"/>
        </w:tabs>
        <w:ind w:firstLine="720"/>
        <w:rPr>
          <w:szCs w:val="24"/>
        </w:rPr>
      </w:pPr>
      <w:r w:rsidRPr="00EF4DDA">
        <w:rPr>
          <w:szCs w:val="24"/>
        </w:rPr>
        <w:t>Ņemot vērā Ministru kabineta 2014.gada</w:t>
      </w:r>
      <w:r w:rsidR="000B440F">
        <w:rPr>
          <w:szCs w:val="24"/>
        </w:rPr>
        <w:t xml:space="preserve"> 28.oktobra sēdes protokollēmumā</w:t>
      </w:r>
      <w:r w:rsidRPr="00EF4DDA">
        <w:rPr>
          <w:szCs w:val="24"/>
        </w:rPr>
        <w:t xml:space="preserve"> </w:t>
      </w:r>
      <w:r w:rsidR="000B440F">
        <w:rPr>
          <w:szCs w:val="24"/>
        </w:rPr>
        <w:t>Nr.</w:t>
      </w:r>
      <w:r w:rsidRPr="00EF4DDA">
        <w:rPr>
          <w:szCs w:val="24"/>
        </w:rPr>
        <w:t>58</w:t>
      </w:r>
      <w:r w:rsidR="000B440F">
        <w:rPr>
          <w:szCs w:val="24"/>
        </w:rPr>
        <w:t>,</w:t>
      </w:r>
      <w:r w:rsidRPr="00EF4DDA">
        <w:rPr>
          <w:szCs w:val="24"/>
        </w:rPr>
        <w:t xml:space="preserve"> </w:t>
      </w:r>
      <w:r w:rsidR="000B440F">
        <w:rPr>
          <w:szCs w:val="24"/>
        </w:rPr>
        <w:t>40.§</w:t>
      </w:r>
      <w:r w:rsidRPr="00EF4DDA">
        <w:rPr>
          <w:szCs w:val="24"/>
        </w:rPr>
        <w:t xml:space="preserve"> uzdoto, Finanšu ministrija ir izstrādājusi informatīvo ziņojumu </w:t>
      </w:r>
      <w:r w:rsidR="000B440F">
        <w:rPr>
          <w:szCs w:val="24"/>
        </w:rPr>
        <w:t>“</w:t>
      </w:r>
      <w:r w:rsidRPr="00EF4DDA">
        <w:rPr>
          <w:szCs w:val="24"/>
        </w:rPr>
        <w:t xml:space="preserve">Par valsts līdzdalības saglabāšanu valsts sabiedrībā ar ierobežotu atbildību </w:t>
      </w:r>
      <w:r w:rsidR="000B440F">
        <w:rPr>
          <w:szCs w:val="24"/>
        </w:rPr>
        <w:t>“</w:t>
      </w:r>
      <w:r w:rsidRPr="00EF4DDA">
        <w:rPr>
          <w:szCs w:val="24"/>
        </w:rPr>
        <w:t>Latvijas Proves birojs</w:t>
      </w:r>
      <w:r w:rsidR="000B440F">
        <w:rPr>
          <w:szCs w:val="24"/>
        </w:rPr>
        <w:t>””</w:t>
      </w:r>
      <w:r w:rsidRPr="00EF4DDA">
        <w:rPr>
          <w:szCs w:val="24"/>
        </w:rPr>
        <w:t>.</w:t>
      </w:r>
    </w:p>
    <w:p w14:paraId="46D2CF0A" w14:textId="77777777" w:rsidR="004830B9" w:rsidRPr="00EF4DDA" w:rsidRDefault="004830B9" w:rsidP="00126A0C">
      <w:pPr>
        <w:ind w:firstLine="720"/>
        <w:rPr>
          <w:szCs w:val="24"/>
        </w:rPr>
      </w:pPr>
    </w:p>
    <w:p w14:paraId="205D86B4" w14:textId="77777777" w:rsidR="00FF03F8" w:rsidRPr="001B397B" w:rsidRDefault="004C4CC7" w:rsidP="00ED25F2">
      <w:pPr>
        <w:jc w:val="center"/>
        <w:rPr>
          <w:b/>
          <w:szCs w:val="24"/>
        </w:rPr>
      </w:pPr>
      <w:r w:rsidRPr="00EF4DDA">
        <w:rPr>
          <w:b/>
          <w:szCs w:val="24"/>
        </w:rPr>
        <w:t>2.</w:t>
      </w:r>
      <w:r w:rsidR="00C77E2D" w:rsidRPr="00EF4DDA">
        <w:rPr>
          <w:b/>
          <w:szCs w:val="24"/>
        </w:rPr>
        <w:t>VSIA „Latvijas Proves birojs</w:t>
      </w:r>
      <w:r w:rsidR="000B440F">
        <w:rPr>
          <w:b/>
          <w:szCs w:val="24"/>
        </w:rPr>
        <w:t>”</w:t>
      </w:r>
      <w:r w:rsidRPr="00EF4DDA">
        <w:rPr>
          <w:b/>
          <w:szCs w:val="24"/>
        </w:rPr>
        <w:t xml:space="preserve"> darbības pārskats</w:t>
      </w:r>
    </w:p>
    <w:p w14:paraId="3F057996" w14:textId="77777777" w:rsidR="00FF03F8" w:rsidRPr="00A97B90" w:rsidRDefault="00FF03F8" w:rsidP="00FF03F8">
      <w:pPr>
        <w:rPr>
          <w:szCs w:val="24"/>
        </w:rPr>
      </w:pPr>
    </w:p>
    <w:p w14:paraId="5016534C" w14:textId="77777777" w:rsidR="00BE627B" w:rsidRPr="002A7FA7" w:rsidRDefault="00BE627B" w:rsidP="005E1439">
      <w:pPr>
        <w:tabs>
          <w:tab w:val="left" w:pos="993"/>
        </w:tabs>
        <w:ind w:firstLine="720"/>
      </w:pPr>
      <w:r w:rsidRPr="00084738">
        <w:t xml:space="preserve">Ar Ministru kabineta 2009.gada 28.augusta rīkojumu Nr.591 </w:t>
      </w:r>
      <w:r w:rsidR="000B440F">
        <w:t>“</w:t>
      </w:r>
      <w:r w:rsidRPr="00084738">
        <w:t>Par Valsts ieņēmumu dienestā un funkcionāli saistītajās iestādēs veiktā funkciju audita ieteikumu ieviešanu</w:t>
      </w:r>
      <w:r w:rsidR="000B440F">
        <w:t>”</w:t>
      </w:r>
      <w:r w:rsidRPr="00084738">
        <w:t xml:space="preserve"> </w:t>
      </w:r>
      <w:r w:rsidRPr="002A7FA7">
        <w:t xml:space="preserve">Finanšu ministrijai </w:t>
      </w:r>
      <w:r w:rsidRPr="00084738">
        <w:t xml:space="preserve">tika uzdots </w:t>
      </w:r>
      <w:r w:rsidRPr="002A7FA7">
        <w:t>izstrādāt un finanšu ministram līdz 2009.gada 30.septembrim iesniegt noteiktā kārtībā Ministru kabinetā rīkojuma projektu un citus normatīvo aktu projektus, kas saistīti ar Valsts proves uzraudzības inspe</w:t>
      </w:r>
      <w:r>
        <w:t xml:space="preserve">kcijas likvidāciju, nosakot, ka </w:t>
      </w:r>
      <w:r w:rsidRPr="002A7FA7">
        <w:t>tiek dibināta valsts kapitālsabiedrība, kurai deleģē šādu pārvaldes uzdevumu izpildi:</w:t>
      </w:r>
    </w:p>
    <w:p w14:paraId="0386625B" w14:textId="77777777" w:rsidR="00BE627B" w:rsidRPr="002F5D9B" w:rsidRDefault="00BE627B" w:rsidP="005E1439">
      <w:pPr>
        <w:pStyle w:val="ListParagraph"/>
        <w:numPr>
          <w:ilvl w:val="0"/>
          <w:numId w:val="7"/>
        </w:numPr>
        <w:tabs>
          <w:tab w:val="left" w:pos="993"/>
        </w:tabs>
        <w:ind w:left="0" w:firstLine="720"/>
        <w:jc w:val="both"/>
        <w:rPr>
          <w:lang w:eastAsia="lv-LV"/>
        </w:rPr>
      </w:pPr>
      <w:r w:rsidRPr="002F5D9B">
        <w:rPr>
          <w:lang w:eastAsia="lv-LV"/>
        </w:rPr>
        <w:t>dārgmetālu, dārgakmeņu un to izstrādājumu proves noteikšana, zīmogošana, sastāva analīze, ekspertīze, kontrolanalīzes, novērtēšana un kvali</w:t>
      </w:r>
      <w:r w:rsidRPr="002F5D9B">
        <w:rPr>
          <w:lang w:eastAsia="lv-LV"/>
        </w:rPr>
        <w:softHyphen/>
        <w:t>tātes apliecību izsniegšana;</w:t>
      </w:r>
    </w:p>
    <w:p w14:paraId="5577E512" w14:textId="77777777" w:rsidR="00BE627B" w:rsidRPr="002F5D9B" w:rsidRDefault="00BE627B" w:rsidP="005E1439">
      <w:pPr>
        <w:pStyle w:val="ListParagraph"/>
        <w:numPr>
          <w:ilvl w:val="0"/>
          <w:numId w:val="7"/>
        </w:numPr>
        <w:tabs>
          <w:tab w:val="left" w:pos="993"/>
        </w:tabs>
        <w:ind w:left="0" w:firstLine="720"/>
        <w:jc w:val="both"/>
        <w:rPr>
          <w:lang w:eastAsia="lv-LV"/>
        </w:rPr>
      </w:pPr>
      <w:r w:rsidRPr="002F5D9B">
        <w:rPr>
          <w:lang w:eastAsia="lv-LV"/>
        </w:rPr>
        <w:t>vietu reģistrēšana, kurās tiks veikta saimnieciskā darbība ar dārgakmeņiem, dārgmetāliem un to izstrādājumiem;</w:t>
      </w:r>
    </w:p>
    <w:p w14:paraId="739BBD3A" w14:textId="77777777" w:rsidR="00BE627B" w:rsidRPr="002F5D9B" w:rsidRDefault="00BE627B" w:rsidP="005E1439">
      <w:pPr>
        <w:pStyle w:val="ListParagraph"/>
        <w:numPr>
          <w:ilvl w:val="0"/>
          <w:numId w:val="7"/>
        </w:numPr>
        <w:tabs>
          <w:tab w:val="left" w:pos="993"/>
        </w:tabs>
        <w:ind w:left="0" w:firstLine="720"/>
        <w:jc w:val="both"/>
        <w:rPr>
          <w:lang w:eastAsia="lv-LV"/>
        </w:rPr>
      </w:pPr>
      <w:r w:rsidRPr="002F5D9B">
        <w:rPr>
          <w:lang w:eastAsia="lv-LV"/>
        </w:rPr>
        <w:t>saimnieciskās darbības veicēju personisko zīmogu reģistrēšana;</w:t>
      </w:r>
    </w:p>
    <w:p w14:paraId="38B7442B" w14:textId="77777777" w:rsidR="00BE627B" w:rsidRPr="002F5D9B" w:rsidRDefault="00BE627B" w:rsidP="005E1439">
      <w:pPr>
        <w:pStyle w:val="ListParagraph"/>
        <w:numPr>
          <w:ilvl w:val="0"/>
          <w:numId w:val="7"/>
        </w:numPr>
        <w:tabs>
          <w:tab w:val="left" w:pos="993"/>
        </w:tabs>
        <w:ind w:left="0" w:firstLine="720"/>
        <w:jc w:val="both"/>
        <w:rPr>
          <w:lang w:eastAsia="lv-LV"/>
        </w:rPr>
      </w:pPr>
      <w:r w:rsidRPr="002F5D9B">
        <w:rPr>
          <w:lang w:eastAsia="lv-LV"/>
        </w:rPr>
        <w:t>1972.gada 15.novembra Konvencijas par dārgmetālu izstrādājumu pārbaudi un zīmogošanu pilnva</w:t>
      </w:r>
      <w:r w:rsidR="004218BD">
        <w:rPr>
          <w:lang w:eastAsia="lv-LV"/>
        </w:rPr>
        <w:t>rotās iestādes uzdevumu izpilde.</w:t>
      </w:r>
    </w:p>
    <w:p w14:paraId="69BF0740" w14:textId="77777777" w:rsidR="00ED25F2" w:rsidRDefault="00BE627B" w:rsidP="005E1439">
      <w:pPr>
        <w:tabs>
          <w:tab w:val="left" w:pos="993"/>
        </w:tabs>
        <w:ind w:firstLine="720"/>
        <w:rPr>
          <w:bCs/>
        </w:rPr>
      </w:pPr>
      <w:r w:rsidRPr="00084738">
        <w:t xml:space="preserve">Tāpat </w:t>
      </w:r>
      <w:r w:rsidRPr="002A7FA7">
        <w:t>Finanšu ministrijai</w:t>
      </w:r>
      <w:r>
        <w:t xml:space="preserve"> ar šā rīkojuma 3.punktu</w:t>
      </w:r>
      <w:r w:rsidRPr="00084738">
        <w:t xml:space="preserve"> tika uzdots</w:t>
      </w:r>
      <w:r w:rsidRPr="002A7FA7">
        <w:t xml:space="preserve"> līdz 2010.gada 31.decembrim izvērtēt </w:t>
      </w:r>
      <w:r w:rsidR="002B4DC3" w:rsidRPr="00076739">
        <w:rPr>
          <w:rFonts w:eastAsiaTheme="minorHAnsi" w:cstheme="minorBidi"/>
          <w:szCs w:val="22"/>
          <w:lang w:eastAsia="lv-LV"/>
        </w:rPr>
        <w:t>Valsts proves uzraudzības inspekcijas</w:t>
      </w:r>
      <w:r w:rsidR="002B4DC3">
        <w:rPr>
          <w:rFonts w:ascii="Arial" w:hAnsi="Arial" w:cs="Arial"/>
          <w:sz w:val="19"/>
          <w:szCs w:val="19"/>
        </w:rPr>
        <w:t xml:space="preserve"> </w:t>
      </w:r>
      <w:r w:rsidRPr="00084738">
        <w:t xml:space="preserve">deleģēto pārvaldes </w:t>
      </w:r>
      <w:r w:rsidRPr="002A7FA7">
        <w:t>uzdevumu nodošanu privātajam sektoram, pārdodot uzņēmuma kapitāla daļas vai izveidojot publiskās un privātās partnerības modeli, un finanšu ministram iesniegt noteiktā kārtībā Ministru kabinetā tiesību akta projektu par dārgakmeņu, dārgmetālu un to izstrādājumu testēšanas funkcijas nodošanu privātajam sektoram līdz 2011.gada 31.decembrim.</w:t>
      </w:r>
      <w:r w:rsidR="00ED25F2" w:rsidRPr="00ED25F2">
        <w:rPr>
          <w:bCs/>
        </w:rPr>
        <w:t xml:space="preserve"> </w:t>
      </w:r>
    </w:p>
    <w:p w14:paraId="60861616" w14:textId="77777777" w:rsidR="00ED25F2" w:rsidRDefault="00ED25F2" w:rsidP="00ED25F2">
      <w:pPr>
        <w:ind w:firstLine="720"/>
        <w:rPr>
          <w:bCs/>
        </w:rPr>
      </w:pPr>
      <w:r w:rsidRPr="00084738">
        <w:t xml:space="preserve">Ar </w:t>
      </w:r>
      <w:r w:rsidRPr="002A7FA7">
        <w:rPr>
          <w:bCs/>
        </w:rPr>
        <w:t xml:space="preserve">Ministru kabineta </w:t>
      </w:r>
      <w:r w:rsidRPr="002A7FA7">
        <w:t>2009.gada 9.novembr</w:t>
      </w:r>
      <w:r w:rsidRPr="00084738">
        <w:t>a</w:t>
      </w:r>
      <w:r w:rsidRPr="002A7FA7">
        <w:t xml:space="preserve"> </w:t>
      </w:r>
      <w:r w:rsidRPr="002A7FA7">
        <w:rPr>
          <w:bCs/>
        </w:rPr>
        <w:t>rīkojum</w:t>
      </w:r>
      <w:r w:rsidRPr="00084738">
        <w:rPr>
          <w:bCs/>
        </w:rPr>
        <w:t>u</w:t>
      </w:r>
      <w:r w:rsidRPr="002A7FA7">
        <w:rPr>
          <w:bCs/>
        </w:rPr>
        <w:t xml:space="preserve"> Nr.762</w:t>
      </w:r>
      <w:r w:rsidRPr="00084738">
        <w:rPr>
          <w:bCs/>
        </w:rPr>
        <w:t xml:space="preserve"> </w:t>
      </w:r>
      <w:r w:rsidR="000B440F">
        <w:rPr>
          <w:bCs/>
        </w:rPr>
        <w:t>“</w:t>
      </w:r>
      <w:r w:rsidRPr="002A7FA7">
        <w:rPr>
          <w:bCs/>
        </w:rPr>
        <w:t xml:space="preserve">Par valsts sabiedrības ar ierobežotu atbildību </w:t>
      </w:r>
      <w:r w:rsidR="000B440F">
        <w:rPr>
          <w:bCs/>
        </w:rPr>
        <w:t>“</w:t>
      </w:r>
      <w:r w:rsidRPr="002A7FA7">
        <w:rPr>
          <w:bCs/>
        </w:rPr>
        <w:t>Latvijas proves birojs</w:t>
      </w:r>
      <w:r w:rsidR="000B440F">
        <w:rPr>
          <w:bCs/>
        </w:rPr>
        <w:t>”</w:t>
      </w:r>
      <w:r w:rsidRPr="002A7FA7">
        <w:rPr>
          <w:bCs/>
        </w:rPr>
        <w:t xml:space="preserve"> dibināšanu</w:t>
      </w:r>
      <w:r w:rsidR="000B440F">
        <w:rPr>
          <w:bCs/>
        </w:rPr>
        <w:t>”</w:t>
      </w:r>
      <w:r w:rsidRPr="00084738">
        <w:rPr>
          <w:bCs/>
        </w:rPr>
        <w:t xml:space="preserve"> tika nodibināta </w:t>
      </w:r>
      <w:r w:rsidRPr="00084738">
        <w:t xml:space="preserve">VSIA </w:t>
      </w:r>
      <w:r w:rsidR="000B440F">
        <w:t>“</w:t>
      </w:r>
      <w:r w:rsidRPr="00084738">
        <w:t>Latvijas Proves birojs</w:t>
      </w:r>
      <w:r w:rsidR="000B440F">
        <w:t>”</w:t>
      </w:r>
      <w:r w:rsidR="007E36C0">
        <w:t xml:space="preserve"> </w:t>
      </w:r>
      <w:r w:rsidRPr="00084738">
        <w:t xml:space="preserve">ar mērķi </w:t>
      </w:r>
      <w:r w:rsidRPr="002A7FA7">
        <w:t xml:space="preserve">nodrošināt valsts proves uzraudzību saskaņā ar likuma </w:t>
      </w:r>
      <w:r w:rsidR="000B440F">
        <w:t>“</w:t>
      </w:r>
      <w:hyperlink r:id="rId8" w:tgtFrame="_blank" w:history="1">
        <w:r w:rsidRPr="002A7FA7">
          <w:t>Par valsts proves uzraudzību</w:t>
        </w:r>
      </w:hyperlink>
      <w:r w:rsidR="000B440F">
        <w:t>“</w:t>
      </w:r>
      <w:r w:rsidRPr="002A7FA7">
        <w:t xml:space="preserve"> 5.pantu</w:t>
      </w:r>
      <w:r>
        <w:t>.</w:t>
      </w:r>
    </w:p>
    <w:p w14:paraId="130A4328" w14:textId="77777777" w:rsidR="00ED25F2" w:rsidRPr="00441E53" w:rsidRDefault="007E36C0" w:rsidP="00ED25F2">
      <w:pPr>
        <w:ind w:left="709"/>
      </w:pPr>
      <w:r w:rsidRPr="008E3A3E">
        <w:t xml:space="preserve">VSIA </w:t>
      </w:r>
      <w:r w:rsidR="000B440F">
        <w:t>“</w:t>
      </w:r>
      <w:r w:rsidRPr="008E3A3E">
        <w:t>Latvijas Proves birojs</w:t>
      </w:r>
      <w:r w:rsidR="000B440F">
        <w:t>”</w:t>
      </w:r>
      <w:r w:rsidRPr="008E3A3E">
        <w:t xml:space="preserve"> </w:t>
      </w:r>
      <w:r w:rsidR="00ED25F2" w:rsidRPr="00441E53">
        <w:t>definētie vispārējie stratēģiskie mērķi ir:</w:t>
      </w:r>
    </w:p>
    <w:p w14:paraId="0BBEFDFF" w14:textId="77777777" w:rsidR="00ED25F2" w:rsidRPr="00441E53" w:rsidRDefault="00ED25F2" w:rsidP="005E1439">
      <w:pPr>
        <w:pStyle w:val="ListParagraph"/>
        <w:numPr>
          <w:ilvl w:val="0"/>
          <w:numId w:val="19"/>
        </w:numPr>
        <w:tabs>
          <w:tab w:val="left" w:pos="993"/>
        </w:tabs>
        <w:ind w:left="0" w:firstLine="709"/>
        <w:jc w:val="both"/>
      </w:pPr>
      <w:r w:rsidRPr="00441E53">
        <w:t>nodrošināt sabiedrības un valsts intereses, veidojot sakārtotu, drošu un uzticamu dārgmetālu, dārgakmeņu un to izstrādājumu tirgu, veicinot izcilu uzņēmējdarbības vidi;</w:t>
      </w:r>
    </w:p>
    <w:p w14:paraId="3922D669" w14:textId="77777777" w:rsidR="00ED25F2" w:rsidRPr="00441E53" w:rsidRDefault="00ED25F2" w:rsidP="005E1439">
      <w:pPr>
        <w:pStyle w:val="ListParagraph"/>
        <w:numPr>
          <w:ilvl w:val="0"/>
          <w:numId w:val="19"/>
        </w:numPr>
        <w:tabs>
          <w:tab w:val="left" w:pos="993"/>
        </w:tabs>
        <w:ind w:left="0" w:firstLine="709"/>
        <w:jc w:val="both"/>
      </w:pPr>
      <w:r w:rsidRPr="00441E53">
        <w:t>uzturēt un attīstīt kvalitatīvus, tehniski augstvērtīgus un juridiski pamatotus pakalpojumus atbilstoši tirgus interesēm un uzņēmēju pieprasījumam;</w:t>
      </w:r>
    </w:p>
    <w:p w14:paraId="08884B85" w14:textId="77777777" w:rsidR="00ED25F2" w:rsidRPr="00441E53" w:rsidRDefault="00ED25F2" w:rsidP="005E1439">
      <w:pPr>
        <w:pStyle w:val="ListParagraph"/>
        <w:numPr>
          <w:ilvl w:val="0"/>
          <w:numId w:val="19"/>
        </w:numPr>
        <w:tabs>
          <w:tab w:val="left" w:pos="993"/>
        </w:tabs>
        <w:ind w:left="0" w:firstLine="709"/>
        <w:jc w:val="both"/>
      </w:pPr>
      <w:r w:rsidRPr="00441E53">
        <w:lastRenderedPageBreak/>
        <w:t>uzturēt un pilnveidot zināšanas (</w:t>
      </w:r>
      <w:r w:rsidR="000B440F">
        <w:t>“</w:t>
      </w:r>
      <w:r w:rsidRPr="00441E53">
        <w:t>know–how</w:t>
      </w:r>
      <w:r w:rsidR="000B440F">
        <w:t>”</w:t>
      </w:r>
      <w:r w:rsidRPr="00441E53">
        <w:t>) un prasmes dārgmetālu un dārgakmeņu testēšanā, nodrošinot valsts pārvaldei un sabiedrībai atbilstošu atbalstu</w:t>
      </w:r>
    </w:p>
    <w:p w14:paraId="6FC5EAD4" w14:textId="77777777" w:rsidR="005E1439" w:rsidRPr="00441E53" w:rsidRDefault="005E1439" w:rsidP="00ED25F2">
      <w:pPr>
        <w:ind w:firstLine="720"/>
        <w:jc w:val="center"/>
      </w:pPr>
    </w:p>
    <w:p w14:paraId="16CECC17" w14:textId="77777777" w:rsidR="00ED25F2" w:rsidRPr="00ED25F2" w:rsidRDefault="005E1439" w:rsidP="00ED25F2">
      <w:pPr>
        <w:ind w:firstLine="720"/>
        <w:jc w:val="center"/>
        <w:rPr>
          <w:b/>
        </w:rPr>
      </w:pPr>
      <w:r>
        <w:rPr>
          <w:b/>
        </w:rPr>
        <w:t xml:space="preserve">2. </w:t>
      </w:r>
      <w:r w:rsidR="00ED25F2" w:rsidRPr="00ED25F2">
        <w:rPr>
          <w:b/>
        </w:rPr>
        <w:t>Atbilstība V</w:t>
      </w:r>
      <w:r>
        <w:rPr>
          <w:b/>
        </w:rPr>
        <w:t xml:space="preserve">alsts pārvaldes iekārtas likuma </w:t>
      </w:r>
      <w:r w:rsidR="00ED25F2" w:rsidRPr="00ED25F2">
        <w:rPr>
          <w:b/>
        </w:rPr>
        <w:t>88.panta prasībām</w:t>
      </w:r>
    </w:p>
    <w:p w14:paraId="1678589D" w14:textId="77777777" w:rsidR="00ED25F2" w:rsidRDefault="00ED25F2" w:rsidP="00BE627B">
      <w:pPr>
        <w:ind w:firstLine="720"/>
      </w:pPr>
    </w:p>
    <w:p w14:paraId="21EC32BD" w14:textId="77777777" w:rsidR="00ED25F2" w:rsidRDefault="00ED25F2" w:rsidP="00ED25F2">
      <w:pPr>
        <w:ind w:firstLine="720"/>
      </w:pPr>
      <w:r>
        <w:t>Atbilstoši Valsts pārvaldes iekārtas likuma 88.panta 1.daļas prasībām publiska persona savu funkciju efektīvai izpildei var dibināt kapitālsabiedrību vai iegūt līdzdalību esošā kapitālsabiedrībā, ja īstenojas viens no šādiem nosacījumiem:</w:t>
      </w:r>
    </w:p>
    <w:p w14:paraId="7D633CDF" w14:textId="77777777" w:rsidR="00ED25F2" w:rsidRDefault="00ED25F2" w:rsidP="00ED25F2">
      <w:pPr>
        <w:ind w:firstLine="720"/>
      </w:pPr>
      <w:r>
        <w:t>1) tiek novērsta tirgus nepilnība — situācija, kad tirgus nav spējīgs nodrošināt sabiedrības interešu īstenošanu attiecīgajā jomā;</w:t>
      </w:r>
    </w:p>
    <w:p w14:paraId="63232A66" w14:textId="77777777" w:rsidR="00ED25F2" w:rsidRDefault="00ED25F2" w:rsidP="00ED25F2">
      <w:pPr>
        <w:ind w:firstLine="720"/>
      </w:pPr>
      <w: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71E80C4" w14:textId="77777777" w:rsidR="005E1439" w:rsidRDefault="00ED25F2" w:rsidP="005E1439">
      <w:pPr>
        <w:ind w:firstLine="720"/>
        <w:rPr>
          <w:b/>
        </w:rPr>
      </w:pPr>
      <w:r>
        <w:t>3) tiek pārvaldīti tādi īpašumi, kas ir stratēģiski svarīgi valsts vai pašvaldības administratīvās teritorijas attīstībai vai valsts drošībai.</w:t>
      </w:r>
      <w:r w:rsidR="005E1439" w:rsidRPr="005E1439">
        <w:rPr>
          <w:b/>
        </w:rPr>
        <w:t xml:space="preserve"> </w:t>
      </w:r>
    </w:p>
    <w:p w14:paraId="483EC6C1" w14:textId="77777777" w:rsidR="00CF3036" w:rsidRDefault="007E36C0" w:rsidP="00CF3036">
      <w:pPr>
        <w:ind w:firstLine="720"/>
      </w:pPr>
      <w:r w:rsidRPr="007E36C0">
        <w:t xml:space="preserve">VSIA </w:t>
      </w:r>
      <w:r w:rsidR="000B440F">
        <w:t>“</w:t>
      </w:r>
      <w:r w:rsidRPr="007E36C0">
        <w:t>Latvijas Proves birojs</w:t>
      </w:r>
      <w:r w:rsidR="000B440F">
        <w:t>”</w:t>
      </w:r>
      <w:r w:rsidRPr="007E36C0">
        <w:t xml:space="preserve"> </w:t>
      </w:r>
      <w:r w:rsidR="005E1439" w:rsidRPr="00CF3036">
        <w:t xml:space="preserve">atbilst Valsts pārvaldes iekārtas likuma 88.panta </w:t>
      </w:r>
      <w:r w:rsidR="00CF3036" w:rsidRPr="00CF3036">
        <w:t xml:space="preserve">pirmās </w:t>
      </w:r>
      <w:r w:rsidR="005E1439" w:rsidRPr="00CF3036">
        <w:t>daļas 1.apakšp</w:t>
      </w:r>
      <w:r w:rsidR="00CF3036" w:rsidRPr="00CF3036">
        <w:t xml:space="preserve">unkta noteiktajiem kritērijiem - </w:t>
      </w:r>
      <w:r w:rsidR="005E1439" w:rsidRPr="00CF3036">
        <w:t>sniedz sabiedrībai svarīgus pakalpojumus, ko tirgus nav spējīgs nodrošināt.</w:t>
      </w:r>
      <w:r w:rsidR="00CF3036" w:rsidRPr="00CF3036">
        <w:t xml:space="preserve"> Valsts pārvaldes iekārtas likumā noteiktā tirgus nepilnība </w:t>
      </w:r>
      <w:r w:rsidR="00B9106A">
        <w:t xml:space="preserve">pastāv un ar </w:t>
      </w:r>
      <w:r w:rsidR="00B9106A" w:rsidRPr="007E36C0">
        <w:t xml:space="preserve">VSIA </w:t>
      </w:r>
      <w:r w:rsidR="00B9106A">
        <w:t>“</w:t>
      </w:r>
      <w:r w:rsidR="00B9106A" w:rsidRPr="007E36C0">
        <w:t>Latvijas Proves birojs</w:t>
      </w:r>
      <w:r w:rsidR="00B9106A">
        <w:t xml:space="preserve">” darbību </w:t>
      </w:r>
      <w:r w:rsidR="00CF3036" w:rsidRPr="00CF3036">
        <w:t>tiek novērsta, jo līdzīgus pakalpojumus nesniedz neviena cita Latvijas testēšanas laboratorija</w:t>
      </w:r>
      <w:r w:rsidR="00B9106A">
        <w:t xml:space="preserve"> </w:t>
      </w:r>
      <w:r w:rsidR="00CF3036" w:rsidRPr="00CF3036">
        <w:t>(</w:t>
      </w:r>
      <w:hyperlink r:id="rId9" w:history="1">
        <w:r w:rsidR="00CF3036" w:rsidRPr="00CF3036">
          <w:rPr>
            <w:rStyle w:val="Hyperlink"/>
          </w:rPr>
          <w:t>http://www.latak.lv/index.php?option=com_institucijas&amp;view=institucijas&amp;type=t&amp;Itemid=110&amp;lang=lv</w:t>
        </w:r>
      </w:hyperlink>
      <w:r w:rsidR="00CF3036" w:rsidRPr="00CF3036">
        <w:t xml:space="preserve">). </w:t>
      </w:r>
      <w:r w:rsidR="00CF3036">
        <w:t xml:space="preserve">Kā tirgus nepilnības iemeslu var minēt </w:t>
      </w:r>
      <w:r w:rsidR="00CF3036" w:rsidRPr="00CF3036">
        <w:t>nozares zemo rentabilitāti un augsto investīciju apjomu testē</w:t>
      </w:r>
      <w:r w:rsidR="00CF3036">
        <w:t xml:space="preserve">šanas laboratorijas dibināšanai. Papildus norādām, ka </w:t>
      </w:r>
      <w:r w:rsidR="00CF3036" w:rsidRPr="00CF3036">
        <w:t xml:space="preserve"> vairums E</w:t>
      </w:r>
      <w:r w:rsidR="00CF3036">
        <w:t xml:space="preserve">iropas </w:t>
      </w:r>
      <w:r w:rsidR="00CF3036" w:rsidRPr="00CF3036">
        <w:t>S</w:t>
      </w:r>
      <w:r w:rsidR="00CF3036">
        <w:t>avienības</w:t>
      </w:r>
      <w:r w:rsidR="00CF3036" w:rsidRPr="00CF3036">
        <w:t xml:space="preserve"> kompetento iestāžu dārgmetālu testēšanas jom</w:t>
      </w:r>
      <w:r w:rsidR="00B9106A">
        <w:t>ā</w:t>
      </w:r>
      <w:r w:rsidR="00CF3036" w:rsidRPr="00CF3036">
        <w:t xml:space="preserve"> pēc juridiskā statusa ir valsts iestādes vai aģentūras un to sniegtie pakalpojumi ir klasificējami k</w:t>
      </w:r>
      <w:r>
        <w:t>ā</w:t>
      </w:r>
      <w:r w:rsidR="00B9106A">
        <w:t xml:space="preserve"> publisks pakalpojums (</w:t>
      </w:r>
      <w:r w:rsidR="00B9106A" w:rsidRPr="00B9106A">
        <w:rPr>
          <w:i/>
        </w:rPr>
        <w:t>p</w:t>
      </w:r>
      <w:r w:rsidR="00CF3036" w:rsidRPr="00B9106A">
        <w:rPr>
          <w:i/>
        </w:rPr>
        <w:t>ublic service</w:t>
      </w:r>
      <w:r w:rsidR="00CF3036" w:rsidRPr="00CF3036">
        <w:t>).</w:t>
      </w:r>
      <w:r>
        <w:t xml:space="preserve"> Vienlaikus jāņem vērā </w:t>
      </w:r>
      <w:r w:rsidRPr="007E36C0">
        <w:t>citu valstu negatīvā pieredze</w:t>
      </w:r>
      <w:r w:rsidR="00CF3036" w:rsidRPr="007E36C0">
        <w:t xml:space="preserve"> nodot funkciju privātām proves iestādēm (Nīderlande, Somija, Zviedrija)</w:t>
      </w:r>
      <w:r w:rsidRPr="007E36C0">
        <w:t>.</w:t>
      </w:r>
    </w:p>
    <w:p w14:paraId="2B5BB501" w14:textId="77777777" w:rsidR="007E36C0" w:rsidRPr="007E36C0" w:rsidRDefault="007E36C0" w:rsidP="00CF3036">
      <w:pPr>
        <w:ind w:firstLine="720"/>
      </w:pPr>
      <w:r w:rsidRPr="007E36C0">
        <w:t xml:space="preserve">VSIA </w:t>
      </w:r>
      <w:r w:rsidR="000B440F">
        <w:t>“</w:t>
      </w:r>
      <w:r w:rsidRPr="007E36C0">
        <w:t>Latvijas Proves birojs</w:t>
      </w:r>
      <w:r w:rsidR="000B440F">
        <w:t>”</w:t>
      </w:r>
      <w:r w:rsidR="00B9106A">
        <w:t xml:space="preserve"> nepieciešama</w:t>
      </w:r>
      <w:r>
        <w:t xml:space="preserve">, lai: </w:t>
      </w:r>
    </w:p>
    <w:p w14:paraId="783BA780" w14:textId="77777777" w:rsidR="00E55996" w:rsidRDefault="00BE1DA2" w:rsidP="005E1439">
      <w:pPr>
        <w:pStyle w:val="ListParagraph"/>
        <w:numPr>
          <w:ilvl w:val="1"/>
          <w:numId w:val="21"/>
        </w:numPr>
        <w:tabs>
          <w:tab w:val="left" w:pos="993"/>
          <w:tab w:val="left" w:pos="1134"/>
        </w:tabs>
        <w:ind w:left="0" w:firstLine="709"/>
      </w:pPr>
      <w:r>
        <w:t xml:space="preserve"> nodrošinātu </w:t>
      </w:r>
      <w:r w:rsidR="00ED25F2">
        <w:t>dārgmetālu, dārgakmeņu izstrādājumu patērētāj</w:t>
      </w:r>
      <w:r>
        <w:t>u</w:t>
      </w:r>
      <w:r w:rsidR="00ED25F2">
        <w:t xml:space="preserve"> tiesību ievērošanu</w:t>
      </w:r>
      <w:r>
        <w:t xml:space="preserve"> attiecībā uz izstrādājumu kvalitāti (ECJ tiesas spriedums </w:t>
      </w:r>
      <w:r w:rsidRPr="00B9106A">
        <w:rPr>
          <w:i/>
        </w:rPr>
        <w:t>Hautwiper</w:t>
      </w:r>
      <w:r>
        <w:t>) un preču drošības prasībām;</w:t>
      </w:r>
    </w:p>
    <w:p w14:paraId="2395C5EC" w14:textId="77777777" w:rsidR="00E55996" w:rsidRDefault="00BE1DA2" w:rsidP="005E1439">
      <w:pPr>
        <w:pStyle w:val="ListParagraph"/>
        <w:numPr>
          <w:ilvl w:val="1"/>
          <w:numId w:val="21"/>
        </w:numPr>
        <w:tabs>
          <w:tab w:val="left" w:pos="993"/>
          <w:tab w:val="left" w:pos="1134"/>
        </w:tabs>
        <w:ind w:left="0" w:firstLine="709"/>
      </w:pPr>
      <w:r>
        <w:t>nodrošinātu godīgas konkurences nosacījumus tirgus dalībniekiem;</w:t>
      </w:r>
    </w:p>
    <w:p w14:paraId="43D6C248" w14:textId="77777777" w:rsidR="00BE1DA2" w:rsidRDefault="00BE1DA2" w:rsidP="005E1439">
      <w:pPr>
        <w:pStyle w:val="ListParagraph"/>
        <w:numPr>
          <w:ilvl w:val="1"/>
          <w:numId w:val="21"/>
        </w:numPr>
        <w:tabs>
          <w:tab w:val="left" w:pos="993"/>
          <w:tab w:val="left" w:pos="1134"/>
        </w:tabs>
        <w:ind w:left="0" w:firstLine="709"/>
      </w:pPr>
      <w:r>
        <w:t>nodrošinātu vienkāršot</w:t>
      </w:r>
      <w:r w:rsidR="00B9106A">
        <w:t>u</w:t>
      </w:r>
      <w:r>
        <w:t xml:space="preserve"> uzņēmumu piekļuvi citu ES, EEZ vai Konvencijas par dārgmetālu izstrādājumu</w:t>
      </w:r>
      <w:r w:rsidR="005E1439">
        <w:t xml:space="preserve"> zīmogošanu dalībvalstu tirgiem.</w:t>
      </w:r>
    </w:p>
    <w:p w14:paraId="20E80BF1" w14:textId="77777777" w:rsidR="00ED25F2" w:rsidRDefault="00ED25F2" w:rsidP="00BE627B">
      <w:pPr>
        <w:ind w:firstLine="720"/>
      </w:pPr>
    </w:p>
    <w:p w14:paraId="011ED07B" w14:textId="77777777" w:rsidR="00ED25F2" w:rsidRPr="00ED25F2" w:rsidRDefault="00441E53" w:rsidP="00441E53">
      <w:pPr>
        <w:ind w:firstLine="720"/>
        <w:jc w:val="center"/>
        <w:rPr>
          <w:b/>
        </w:rPr>
      </w:pPr>
      <w:r>
        <w:rPr>
          <w:b/>
        </w:rPr>
        <w:t>3.</w:t>
      </w:r>
      <w:r w:rsidR="00ED25F2" w:rsidRPr="00ED25F2">
        <w:rPr>
          <w:b/>
        </w:rPr>
        <w:t>Privatizācijas iespēju vērtējums</w:t>
      </w:r>
    </w:p>
    <w:p w14:paraId="1630AD71" w14:textId="77777777" w:rsidR="00ED25F2" w:rsidRDefault="00ED25F2" w:rsidP="00441E53">
      <w:pPr>
        <w:ind w:firstLine="720"/>
        <w:jc w:val="center"/>
      </w:pPr>
    </w:p>
    <w:p w14:paraId="647A88B7" w14:textId="77777777" w:rsidR="00BE627B" w:rsidRPr="000A1306" w:rsidRDefault="00BE627B" w:rsidP="007E36C0">
      <w:pPr>
        <w:tabs>
          <w:tab w:val="left" w:pos="993"/>
        </w:tabs>
        <w:ind w:firstLine="720"/>
        <w:rPr>
          <w:bCs/>
        </w:rPr>
      </w:pPr>
      <w:r>
        <w:t xml:space="preserve">Lai varētu veikt VSIA </w:t>
      </w:r>
      <w:r w:rsidR="000B440F">
        <w:t>“</w:t>
      </w:r>
      <w:r>
        <w:t>Latvijas Proves birojs</w:t>
      </w:r>
      <w:r w:rsidR="000B440F">
        <w:t>”</w:t>
      </w:r>
      <w:r>
        <w:t xml:space="preserve"> atsavināšanu, nododot valsts deleģētos pārvaldes uzdevumus privātajam komersantam, sākotnēji bija nepieciešams veikt grozījumus trīs VSIA </w:t>
      </w:r>
      <w:r w:rsidR="000B440F">
        <w:t>“</w:t>
      </w:r>
      <w:r>
        <w:t>Latvijas Proves biroja</w:t>
      </w:r>
      <w:r w:rsidR="000B440F">
        <w:t>”</w:t>
      </w:r>
      <w:r>
        <w:t xml:space="preserve"> darbību regulējošos tiesību aktos: likumā </w:t>
      </w:r>
      <w:r w:rsidR="000B440F">
        <w:t>“</w:t>
      </w:r>
      <w:r>
        <w:t>Par valsts proves uzraudzību</w:t>
      </w:r>
      <w:r w:rsidR="000B440F">
        <w:t>”</w:t>
      </w:r>
      <w:r>
        <w:t xml:space="preserve">, Ķīmisko vielu likumā un likumā </w:t>
      </w:r>
      <w:r w:rsidR="000B440F">
        <w:t>“</w:t>
      </w:r>
      <w:r>
        <w:t>Par Konvenciju par dārgmetālu izstrādājumu pārbaudi uz zīmogošanu un tās grozījumiem</w:t>
      </w:r>
      <w:r w:rsidR="000B440F">
        <w:t>”</w:t>
      </w:r>
      <w:r>
        <w:t>. Minēto likumu grozījumi paredzēja, ka:</w:t>
      </w:r>
    </w:p>
    <w:p w14:paraId="4BDBB074" w14:textId="77777777" w:rsidR="00BE627B" w:rsidRPr="000A1306" w:rsidRDefault="00B9106A" w:rsidP="007E36C0">
      <w:pPr>
        <w:pStyle w:val="ListParagraph"/>
        <w:numPr>
          <w:ilvl w:val="0"/>
          <w:numId w:val="1"/>
        </w:numPr>
        <w:tabs>
          <w:tab w:val="left" w:pos="993"/>
        </w:tabs>
        <w:ind w:left="0" w:firstLine="720"/>
        <w:jc w:val="both"/>
      </w:pPr>
      <w:r>
        <w:t>l</w:t>
      </w:r>
      <w:r w:rsidR="00BE627B" w:rsidRPr="000A1306">
        <w:t xml:space="preserve">ikumā </w:t>
      </w:r>
      <w:r w:rsidR="000B440F">
        <w:t>“</w:t>
      </w:r>
      <w:r w:rsidR="00BE627B" w:rsidRPr="000A1306">
        <w:t>Par valsts proves uzraudzību</w:t>
      </w:r>
      <w:r w:rsidR="000B440F">
        <w:t>”</w:t>
      </w:r>
      <w:r w:rsidR="00BE627B" w:rsidRPr="000A1306">
        <w:t xml:space="preserve"> </w:t>
      </w:r>
      <w:r w:rsidR="00323EE2">
        <w:t>-</w:t>
      </w:r>
      <w:r w:rsidR="00BE627B" w:rsidRPr="000A1306">
        <w:t xml:space="preserve"> valsts pārvaldes uzdevumu pārdali starp VSIA </w:t>
      </w:r>
      <w:r w:rsidR="000B440F">
        <w:t>“</w:t>
      </w:r>
      <w:r w:rsidR="00BE627B" w:rsidRPr="000A1306">
        <w:t>Latvijas Proves birojs</w:t>
      </w:r>
      <w:r w:rsidR="000B440F">
        <w:t>”</w:t>
      </w:r>
      <w:r w:rsidR="00BE627B" w:rsidRPr="000A1306">
        <w:t xml:space="preserve"> un Valsts ieņēmumu dienestu (VID), nododot VID valsts pārvaldes uzdevumu </w:t>
      </w:r>
      <w:r w:rsidR="00323EE2">
        <w:t>-</w:t>
      </w:r>
      <w:r w:rsidR="00BE627B" w:rsidRPr="000A1306">
        <w:t xml:space="preserve"> dārgmetālu, dārgakmeņu un to izstrādājumu marķēšanas, obligātās provēšanas, uzglabāšanas un preču drošuma pārbaužu veikšanu vietās, kur notiek saimnieciskā darbība ar dārgmetāliem, dārg</w:t>
      </w:r>
      <w:r>
        <w:t>akmeņiem un to izstrādājumiem;</w:t>
      </w:r>
    </w:p>
    <w:p w14:paraId="460D3DBD" w14:textId="77777777" w:rsidR="00BE627B" w:rsidRPr="000A1306" w:rsidRDefault="00B9106A" w:rsidP="007E36C0">
      <w:pPr>
        <w:pStyle w:val="ListParagraph"/>
        <w:numPr>
          <w:ilvl w:val="0"/>
          <w:numId w:val="1"/>
        </w:numPr>
        <w:tabs>
          <w:tab w:val="left" w:pos="993"/>
        </w:tabs>
        <w:ind w:left="0" w:firstLine="720"/>
        <w:jc w:val="both"/>
      </w:pPr>
      <w:r>
        <w:t>l</w:t>
      </w:r>
      <w:r w:rsidR="00BE627B" w:rsidRPr="000A1306">
        <w:t xml:space="preserve">ikumā </w:t>
      </w:r>
      <w:r w:rsidR="000B440F">
        <w:t>“</w:t>
      </w:r>
      <w:r w:rsidR="00BE627B" w:rsidRPr="000A1306">
        <w:t>Par Konvenciju par dārgmetālu izstrādājumu pārbaudi uz zīmogošanu un tās grozījumiem</w:t>
      </w:r>
      <w:r w:rsidR="000B440F">
        <w:t>”</w:t>
      </w:r>
      <w:r w:rsidR="00BE627B" w:rsidRPr="000A1306">
        <w:t xml:space="preserve"> </w:t>
      </w:r>
      <w:r w:rsidR="00323EE2">
        <w:t>-</w:t>
      </w:r>
      <w:r w:rsidR="00BE627B" w:rsidRPr="000A1306">
        <w:t xml:space="preserve"> precizēt pilnvarotās iestādes Konvencijas par dārgmetālu izstrādājumu pārbaudi un zīmogošanu tās 1988.gada 18.maija redakcijā 5.panta 1.punktā noteikto </w:t>
      </w:r>
      <w:r w:rsidR="00BE627B" w:rsidRPr="000A1306">
        <w:lastRenderedPageBreak/>
        <w:t xml:space="preserve">uzdevumu izpildei </w:t>
      </w:r>
      <w:r w:rsidR="00323EE2">
        <w:t>-</w:t>
      </w:r>
      <w:r w:rsidR="00BE627B" w:rsidRPr="000A1306">
        <w:t xml:space="preserve"> </w:t>
      </w:r>
      <w:r w:rsidR="000B440F">
        <w:t>“</w:t>
      </w:r>
      <w:r w:rsidR="00BE627B" w:rsidRPr="000A1306">
        <w:t>Latvijas Proves birojs</w:t>
      </w:r>
      <w:r w:rsidR="000B440F">
        <w:t>”</w:t>
      </w:r>
      <w:r w:rsidR="00BE627B" w:rsidRPr="000A1306">
        <w:t xml:space="preserve"> </w:t>
      </w:r>
      <w:r w:rsidR="00323EE2">
        <w:t>-</w:t>
      </w:r>
      <w:r w:rsidR="00BE627B" w:rsidRPr="000A1306">
        <w:t xml:space="preserve"> juridisko sta</w:t>
      </w:r>
      <w:r>
        <w:t>tusu, izslēdzot no likuma teksta</w:t>
      </w:r>
      <w:r w:rsidR="00BE627B" w:rsidRPr="000A1306">
        <w:t xml:space="preserve"> vārdu „valsts</w:t>
      </w:r>
      <w:r w:rsidR="000B440F">
        <w:t>”</w:t>
      </w:r>
      <w:r>
        <w:t>;</w:t>
      </w:r>
    </w:p>
    <w:p w14:paraId="05064F36" w14:textId="77777777" w:rsidR="00BE627B" w:rsidRPr="000A1306" w:rsidRDefault="00BE627B" w:rsidP="007E36C0">
      <w:pPr>
        <w:pStyle w:val="ListParagraph"/>
        <w:numPr>
          <w:ilvl w:val="0"/>
          <w:numId w:val="1"/>
        </w:numPr>
        <w:tabs>
          <w:tab w:val="left" w:pos="993"/>
        </w:tabs>
        <w:ind w:left="0" w:firstLine="720"/>
        <w:jc w:val="both"/>
      </w:pPr>
      <w:r w:rsidRPr="000A1306">
        <w:t xml:space="preserve">Ķīmisko vielu likumā </w:t>
      </w:r>
      <w:r w:rsidR="00323EE2">
        <w:t>-</w:t>
      </w:r>
      <w:r w:rsidRPr="000A1306">
        <w:t xml:space="preserve"> ka turpmāk dārgmetālu, dārgakmeņu un to izstrādājumu kontroli veic VID.</w:t>
      </w:r>
    </w:p>
    <w:p w14:paraId="5E196C09" w14:textId="77777777" w:rsidR="00BE627B" w:rsidRDefault="00BE627B" w:rsidP="007E36C0">
      <w:pPr>
        <w:tabs>
          <w:tab w:val="left" w:pos="993"/>
        </w:tabs>
        <w:spacing w:after="120"/>
        <w:ind w:firstLine="720"/>
      </w:pPr>
      <w:r>
        <w:t>Iepriekšminēto tiesību aktu grozījumu projekti 2012.gada 2.martā tika iesniegti Valsts kancelejā</w:t>
      </w:r>
      <w:r w:rsidR="004960FD">
        <w:t>, bet</w:t>
      </w:r>
      <w:r>
        <w:t xml:space="preserve"> to tālāka virzība tika atlikta līdz brīdim, kad tiks pabeigta VSIA </w:t>
      </w:r>
      <w:r w:rsidR="000B440F">
        <w:t>“</w:t>
      </w:r>
      <w:r>
        <w:t>Latvijas Proves birojs</w:t>
      </w:r>
      <w:r w:rsidR="000B440F">
        <w:t>”</w:t>
      </w:r>
      <w:r>
        <w:t xml:space="preserve"> izvērtēšana atbilstoši Ministru kabineta rīkojumiem un Publisko personu komercdarbības koncepcijai. Pēc kapitālsabiedrības izvērtēšanas un tiesību aktu grozījumu pieņemšanas tika plānots VSIA </w:t>
      </w:r>
      <w:r w:rsidR="000B440F">
        <w:t>“</w:t>
      </w:r>
      <w:r>
        <w:t>Latvijas Proves birojs</w:t>
      </w:r>
      <w:r w:rsidR="000B440F">
        <w:t>”</w:t>
      </w:r>
      <w:r>
        <w:t xml:space="preserve"> kapitāla daļas atsavināt AS </w:t>
      </w:r>
      <w:r w:rsidR="000B440F">
        <w:t>“</w:t>
      </w:r>
      <w:r>
        <w:t>Privatizācijas aģentūra</w:t>
      </w:r>
      <w:r w:rsidR="000B440F">
        <w:t>”</w:t>
      </w:r>
      <w:r>
        <w:t>, lai tā tālāk atbilstoši savai kompetencei organizētu valsts kapitāla daļu at</w:t>
      </w:r>
      <w:r w:rsidR="004960FD">
        <w:t>savināšanu</w:t>
      </w:r>
      <w:r>
        <w:t xml:space="preserve"> un vienu no VSIA </w:t>
      </w:r>
      <w:r w:rsidR="000B440F">
        <w:t>“</w:t>
      </w:r>
      <w:r>
        <w:t>Latvijas Proves birojs</w:t>
      </w:r>
      <w:r w:rsidR="000B440F">
        <w:t>”</w:t>
      </w:r>
      <w:r>
        <w:t xml:space="preserve"> valsts pārvaldes uzdevumiem nodotu VID.</w:t>
      </w:r>
    </w:p>
    <w:p w14:paraId="10526F90" w14:textId="77777777" w:rsidR="00BE627B" w:rsidRDefault="00BE627B" w:rsidP="007E36C0">
      <w:pPr>
        <w:tabs>
          <w:tab w:val="left" w:pos="993"/>
        </w:tabs>
        <w:ind w:firstLine="720"/>
      </w:pPr>
      <w:r>
        <w:t>Pēc Ministru kabineta uzdevumu saņemšanas un</w:t>
      </w:r>
      <w:r w:rsidR="002B4DC3">
        <w:t>,</w:t>
      </w:r>
      <w:r>
        <w:t xml:space="preserve"> lai izvērtētu VSIA </w:t>
      </w:r>
      <w:r w:rsidR="000B440F">
        <w:t>“</w:t>
      </w:r>
      <w:r>
        <w:t>Latvijas Proves birojs</w:t>
      </w:r>
      <w:r w:rsidR="000B440F">
        <w:t>”</w:t>
      </w:r>
      <w:r>
        <w:t xml:space="preserve"> kapitāla daļu atsavināšanas lietderību, Finanšu ministrijai kā VSIA </w:t>
      </w:r>
      <w:r w:rsidR="000B440F">
        <w:t>“</w:t>
      </w:r>
      <w:r>
        <w:t>Latvijas Proves birojs</w:t>
      </w:r>
      <w:r w:rsidR="000B440F">
        <w:t>”</w:t>
      </w:r>
      <w:r>
        <w:t xml:space="preserve"> kapitāla daļu turētājam bija būtiski atbildēt uz diviem jautājumiem:</w:t>
      </w:r>
    </w:p>
    <w:p w14:paraId="458E9611" w14:textId="77777777" w:rsidR="00BE627B" w:rsidRPr="000A1306" w:rsidRDefault="00BE627B" w:rsidP="007E36C0">
      <w:pPr>
        <w:pStyle w:val="ListParagraph"/>
        <w:numPr>
          <w:ilvl w:val="0"/>
          <w:numId w:val="9"/>
        </w:numPr>
        <w:tabs>
          <w:tab w:val="left" w:pos="993"/>
        </w:tabs>
        <w:ind w:left="0" w:firstLine="720"/>
        <w:jc w:val="both"/>
        <w:rPr>
          <w:b/>
        </w:rPr>
      </w:pPr>
      <w:r w:rsidRPr="002F5D9B">
        <w:t xml:space="preserve">vai ir iespējama VSIA </w:t>
      </w:r>
      <w:r w:rsidR="000B440F">
        <w:t>“</w:t>
      </w:r>
      <w:r w:rsidRPr="002F5D9B">
        <w:t>Latvijas Proves birojs</w:t>
      </w:r>
      <w:r w:rsidR="000B440F">
        <w:t>”</w:t>
      </w:r>
      <w:r w:rsidRPr="002F5D9B">
        <w:t xml:space="preserve"> kapitāla daļu atsavināšana privātajam komersantam, nodrošinot proves iestādes pilnīgu neatkarību atbilstoši Konvencijā par dārgmetālu izstrādājumu pārbaudi un zīmogošanu noteiktajam, kas nosaka, ka proves pārbaudes iestādei ir izvirzītas </w:t>
      </w:r>
      <w:r w:rsidRPr="000A1306">
        <w:t>šādas prasības:</w:t>
      </w:r>
    </w:p>
    <w:p w14:paraId="0A1FF135" w14:textId="77777777" w:rsidR="00BE627B" w:rsidRPr="000A1306" w:rsidRDefault="00BE627B" w:rsidP="007E36C0">
      <w:pPr>
        <w:pStyle w:val="ListParagraph"/>
        <w:numPr>
          <w:ilvl w:val="0"/>
          <w:numId w:val="22"/>
        </w:numPr>
        <w:tabs>
          <w:tab w:val="left" w:pos="993"/>
        </w:tabs>
        <w:ind w:left="709" w:firstLine="11"/>
        <w:jc w:val="both"/>
      </w:pPr>
      <w:r w:rsidRPr="000A1306">
        <w:t>tai ir atbilstoši darbinieki, kā arī nepieciešamie līdzekļi un aprīkojums;</w:t>
      </w:r>
    </w:p>
    <w:p w14:paraId="0675285E" w14:textId="77777777" w:rsidR="00BE627B" w:rsidRPr="000A1306" w:rsidRDefault="00BE627B" w:rsidP="007E36C0">
      <w:pPr>
        <w:pStyle w:val="ListParagraph"/>
        <w:numPr>
          <w:ilvl w:val="0"/>
          <w:numId w:val="22"/>
        </w:numPr>
        <w:tabs>
          <w:tab w:val="left" w:pos="993"/>
        </w:tabs>
        <w:ind w:left="709" w:firstLine="11"/>
        <w:jc w:val="both"/>
      </w:pPr>
      <w:r w:rsidRPr="000A1306">
        <w:t>tās darbiniekiem piemīt tehniskā kompetence un profesionālais godīgums;</w:t>
      </w:r>
    </w:p>
    <w:p w14:paraId="579A54C5" w14:textId="77777777" w:rsidR="00BE627B" w:rsidRPr="000A1306" w:rsidRDefault="00B41D3A" w:rsidP="007E36C0">
      <w:pPr>
        <w:pStyle w:val="ListParagraph"/>
        <w:numPr>
          <w:ilvl w:val="0"/>
          <w:numId w:val="22"/>
        </w:numPr>
        <w:tabs>
          <w:tab w:val="left" w:pos="993"/>
        </w:tabs>
        <w:ind w:left="709" w:firstLine="11"/>
        <w:jc w:val="both"/>
      </w:pPr>
      <w:r>
        <w:t>tā</w:t>
      </w:r>
      <w:r w:rsidR="00BE627B" w:rsidRPr="000A1306">
        <w:t>s vadības pārstāvjiem un tehniskajiem darbiniekiem jābūt neatkarīgiem no jebkādām attiecīgajā jomā tieši vai netieši ieinteresētajām aprindām, grupējumiem vai personām;</w:t>
      </w:r>
    </w:p>
    <w:p w14:paraId="56B2F35D" w14:textId="77777777" w:rsidR="00BE627B" w:rsidRPr="000A1306" w:rsidRDefault="00B41D3A" w:rsidP="007E36C0">
      <w:pPr>
        <w:pStyle w:val="ListParagraph"/>
        <w:numPr>
          <w:ilvl w:val="0"/>
          <w:numId w:val="22"/>
        </w:numPr>
        <w:tabs>
          <w:tab w:val="left" w:pos="993"/>
        </w:tabs>
        <w:ind w:left="0" w:firstLine="720"/>
        <w:jc w:val="both"/>
      </w:pPr>
      <w:r>
        <w:t xml:space="preserve">tās </w:t>
      </w:r>
      <w:r w:rsidR="00BE627B" w:rsidRPr="000A1306">
        <w:t>darbinieki nedrīkst izpaust dienesta noslēpumus</w:t>
      </w:r>
      <w:r w:rsidR="002B4DC3">
        <w:t>;</w:t>
      </w:r>
    </w:p>
    <w:p w14:paraId="2A2F22E9" w14:textId="77777777" w:rsidR="00BE627B" w:rsidRPr="000A1306" w:rsidRDefault="00BE627B" w:rsidP="007E36C0">
      <w:pPr>
        <w:pStyle w:val="ListParagraph"/>
        <w:numPr>
          <w:ilvl w:val="0"/>
          <w:numId w:val="9"/>
        </w:numPr>
        <w:tabs>
          <w:tab w:val="left" w:pos="993"/>
        </w:tabs>
        <w:ind w:left="0" w:firstLine="720"/>
        <w:jc w:val="both"/>
      </w:pPr>
      <w:r w:rsidRPr="000A1306">
        <w:t>vai VID, pieņemot valsts pārvaldes uzdevumu, spēs nodrošināt valsts pārvaldes uzdevuma (tirgus uzraudzības un kontrole) nepārtrauktību, pēctecību un kvalitāti, un vai šāda uzdevuma pildīšanai VID būs pieejami budžeta līdzekļi.</w:t>
      </w:r>
    </w:p>
    <w:p w14:paraId="6D5AFC3D" w14:textId="77777777" w:rsidR="00BE627B" w:rsidRDefault="00BE627B" w:rsidP="007E36C0">
      <w:pPr>
        <w:tabs>
          <w:tab w:val="left" w:pos="993"/>
        </w:tabs>
        <w:ind w:firstLine="720"/>
      </w:pPr>
      <w:r w:rsidRPr="000A1306">
        <w:t>Sniedzot atbildi uz pirmo jautājumu</w:t>
      </w:r>
      <w:r>
        <w:t xml:space="preserve">, atbilstoši </w:t>
      </w:r>
      <w:r w:rsidRPr="000B541D">
        <w:t>Konvencij</w:t>
      </w:r>
      <w:r>
        <w:t xml:space="preserve">as </w:t>
      </w:r>
      <w:r w:rsidRPr="000B541D">
        <w:t>par dārgmetālu izstrādājumu pārbaudi un zīmogošanu</w:t>
      </w:r>
      <w:r>
        <w:t xml:space="preserve"> prasībām VSIA </w:t>
      </w:r>
      <w:r w:rsidR="000B440F">
        <w:t>“</w:t>
      </w:r>
      <w:r>
        <w:t>Latvijas Proves birojs</w:t>
      </w:r>
      <w:r w:rsidR="000B440F">
        <w:t>”</w:t>
      </w:r>
      <w:r>
        <w:t xml:space="preserve"> kapitāla daļas būtu atsavināmas tādam privātajam komersantam, kas savā darbībā būtu neatkarīgs (nebūtu saistīts ar ražošanu, tirdzniecību vai tamlīdzīgām jomām un pakalpojumiem) un būtu tehniski nodrošināts un kompetents. Tādi tirgus dalībnieki Eiropā pastāv, l</w:t>
      </w:r>
      <w:r>
        <w:rPr>
          <w:rFonts w:eastAsia="Calibri"/>
        </w:rPr>
        <w:t xml:space="preserve">īdz ar to </w:t>
      </w:r>
      <w:r w:rsidR="004960FD">
        <w:rPr>
          <w:rFonts w:eastAsia="Calibri"/>
        </w:rPr>
        <w:t>tiesiski</w:t>
      </w:r>
      <w:r>
        <w:rPr>
          <w:rFonts w:eastAsia="Calibri"/>
        </w:rPr>
        <w:t xml:space="preserve"> ir iespējama sabiedrības kapitāla daļu atsavināšana.</w:t>
      </w:r>
    </w:p>
    <w:p w14:paraId="568BA7D2" w14:textId="77777777" w:rsidR="00BE627B" w:rsidRDefault="00BE627B" w:rsidP="00BE627B">
      <w:pPr>
        <w:ind w:firstLine="720"/>
      </w:pPr>
      <w:r w:rsidRPr="000A1306">
        <w:t>Sniedzot atbildi uz otro jautājumu</w:t>
      </w:r>
      <w:r>
        <w:t xml:space="preserve">, Finanšu ministrija konstatēja, ka VID, pārņemot valsts pārvaldes uzdevumu, būtu atbildīgs par proves tirgus dalībnieku uzraudzību un dārgmetālu, dārgakmeņu un to izstrādājumu marķēšanas, obligātās provēšanas, uzglabāšanas un preču drošuma prasību kontroli visā valstī. Tas nozīmē, ka šī uzdevuma izpildei VID būtu nepieciešams piesaistīt papildu budžeta līdzekļus </w:t>
      </w:r>
      <w:r w:rsidRPr="008415B3">
        <w:t xml:space="preserve">kapitālieguldījumu veikšanai un cilvēkresursus </w:t>
      </w:r>
      <w:r>
        <w:t>piesaistei</w:t>
      </w:r>
      <w:r w:rsidRPr="008415B3">
        <w:t>. Lai risinātu šo situāciju un atrastu efektīvāko uzraudzības un kontroles mehānismu, Finanšu ministrija</w:t>
      </w:r>
      <w:r>
        <w:t xml:space="preserve"> uzsāka finansiālo risku izvērtēšanu, k</w:t>
      </w:r>
      <w:r w:rsidR="004960FD">
        <w:t>as saistīti</w:t>
      </w:r>
      <w:r w:rsidRPr="00E211FE">
        <w:t xml:space="preserve"> ar VSIA </w:t>
      </w:r>
      <w:r w:rsidR="000B440F">
        <w:t>“</w:t>
      </w:r>
      <w:r w:rsidRPr="00E211FE">
        <w:t>Latvijas Proves birojs</w:t>
      </w:r>
      <w:r w:rsidR="000B440F">
        <w:t>”</w:t>
      </w:r>
      <w:r w:rsidRPr="00E211FE">
        <w:t xml:space="preserve"> valsts pārvaldes uzdevuma nodošanu VID</w:t>
      </w:r>
      <w:r>
        <w:t xml:space="preserve">. </w:t>
      </w:r>
    </w:p>
    <w:p w14:paraId="46B20046" w14:textId="77777777" w:rsidR="003B36F1" w:rsidRDefault="00BE627B" w:rsidP="00BE627B">
      <w:pPr>
        <w:ind w:firstLine="720"/>
      </w:pPr>
      <w:r w:rsidRPr="008415B3">
        <w:t xml:space="preserve">VSIA </w:t>
      </w:r>
      <w:r w:rsidR="000B440F">
        <w:t>“</w:t>
      </w:r>
      <w:r w:rsidRPr="008415B3">
        <w:t>Latvijas Proves birojs</w:t>
      </w:r>
      <w:r w:rsidR="000B440F">
        <w:t>”</w:t>
      </w:r>
      <w:r>
        <w:t xml:space="preserve"> darbība nav pieskaitāma valsts stratēģiskām attīstības vai drošības jomām, taču tā ir virzīta uz patērētāju tiesību aizsardzību, preču drošuma nodrošināšanu, godīgas konkurences nodrošināšanas, eksporta un tirgus attīstības veicināšanu</w:t>
      </w:r>
      <w:r w:rsidR="004960FD">
        <w:t>, ko nenodrošina tirgus.</w:t>
      </w:r>
      <w:r>
        <w:t xml:space="preserve"> Kapitālsabiedrības sniegtie pakalpojumi atvieglo preču eksportu uz citām valstīm, sniedz garantijas veicot finanšu ieguldījumus dārgmetālos, dārgakmeņos, kā arī veicina sabiedrības uzticamību dārgmetālu tirdzniecības sistēmai.</w:t>
      </w:r>
      <w:r w:rsidRPr="005872DB">
        <w:t xml:space="preserve"> </w:t>
      </w:r>
    </w:p>
    <w:p w14:paraId="35C1673B" w14:textId="77777777" w:rsidR="00ED25F2" w:rsidRDefault="00ED25F2" w:rsidP="00ED25F2">
      <w:pPr>
        <w:ind w:firstLine="720"/>
      </w:pPr>
      <w:r>
        <w:t xml:space="preserve">Patlaban to visu pilnā apmērā par saviem budžeta līdzekļiem nodrošina </w:t>
      </w:r>
      <w:r w:rsidRPr="008415B3">
        <w:t xml:space="preserve">VSIA </w:t>
      </w:r>
      <w:r w:rsidR="000B440F">
        <w:t>“</w:t>
      </w:r>
      <w:r w:rsidRPr="008415B3">
        <w:t>Latvijas Proves birojs</w:t>
      </w:r>
      <w:r w:rsidR="000B440F">
        <w:t>”</w:t>
      </w:r>
      <w:r>
        <w:t xml:space="preserve">, bet no valsts budžeta tiek saņemts finansējums 52222 EUR apmērā (2009.gadā šis finansējums bija 105 500 EUR apmērā). </w:t>
      </w:r>
      <w:r w:rsidRPr="008415B3">
        <w:t xml:space="preserve">VSIA </w:t>
      </w:r>
      <w:r w:rsidR="000B440F">
        <w:t>“</w:t>
      </w:r>
      <w:r w:rsidRPr="008415B3">
        <w:t>Latvijas Proves birojs</w:t>
      </w:r>
      <w:r w:rsidR="000B440F">
        <w:t>”</w:t>
      </w:r>
      <w:r>
        <w:t xml:space="preserve"> </w:t>
      </w:r>
      <w:r>
        <w:lastRenderedPageBreak/>
        <w:t>ikgadējo izdevumu (atalgojums, VSAOI, k</w:t>
      </w:r>
      <w:r w:rsidRPr="00CD664A">
        <w:rPr>
          <w:color w:val="000000"/>
        </w:rPr>
        <w:t>ārtējie izdevumi</w:t>
      </w:r>
      <w:r>
        <w:rPr>
          <w:color w:val="000000"/>
        </w:rPr>
        <w:t xml:space="preserve"> </w:t>
      </w:r>
      <w:r w:rsidRPr="00CD664A">
        <w:rPr>
          <w:color w:val="000000"/>
        </w:rPr>
        <w:t>(īre, komunālie, transporta, sakari materiāli ekspertīžu veikšanai, apmācība)</w:t>
      </w:r>
      <w:r>
        <w:rPr>
          <w:color w:val="000000"/>
        </w:rPr>
        <w:t xml:space="preserve"> </w:t>
      </w:r>
      <w:r>
        <w:t>un 2016.gada sešu mēnešu ieņēmumu atšifrējums atspoguļots informatīvā ziņojuma 1. un 2.tabulā.</w:t>
      </w:r>
    </w:p>
    <w:p w14:paraId="57A20831" w14:textId="77777777" w:rsidR="00ED25F2" w:rsidRPr="003A4A16" w:rsidRDefault="00ED25F2" w:rsidP="00ED25F2">
      <w:pPr>
        <w:pStyle w:val="ListParagraph"/>
        <w:ind w:left="0"/>
        <w:contextualSpacing w:val="0"/>
        <w:jc w:val="right"/>
        <w:rPr>
          <w:sz w:val="20"/>
          <w:szCs w:val="20"/>
        </w:rPr>
      </w:pPr>
      <w:r w:rsidRPr="003A4A16">
        <w:rPr>
          <w:sz w:val="20"/>
          <w:szCs w:val="20"/>
        </w:rPr>
        <w:t>1.tabula</w:t>
      </w:r>
    </w:p>
    <w:tbl>
      <w:tblPr>
        <w:tblStyle w:val="TableGrid"/>
        <w:tblW w:w="9039" w:type="dxa"/>
        <w:tblLook w:val="04A0" w:firstRow="1" w:lastRow="0" w:firstColumn="1" w:lastColumn="0" w:noHBand="0" w:noVBand="1"/>
      </w:tblPr>
      <w:tblGrid>
        <w:gridCol w:w="3652"/>
        <w:gridCol w:w="1416"/>
        <w:gridCol w:w="3971"/>
      </w:tblGrid>
      <w:tr w:rsidR="007537B4" w:rsidRPr="007F338F" w14:paraId="543C82B3" w14:textId="03140F57" w:rsidTr="00A961E0">
        <w:trPr>
          <w:trHeight w:val="416"/>
        </w:trPr>
        <w:tc>
          <w:tcPr>
            <w:tcW w:w="3652" w:type="dxa"/>
            <w:hideMark/>
          </w:tcPr>
          <w:p w14:paraId="7E211DC2" w14:textId="77777777" w:rsidR="007537B4" w:rsidRPr="008416D4" w:rsidRDefault="007537B4" w:rsidP="007537B4">
            <w:pPr>
              <w:jc w:val="center"/>
              <w:rPr>
                <w:b/>
                <w:bCs/>
              </w:rPr>
            </w:pPr>
            <w:r w:rsidRPr="008416D4">
              <w:rPr>
                <w:b/>
                <w:bCs/>
              </w:rPr>
              <w:t>Pārvaldes uzdevums</w:t>
            </w:r>
          </w:p>
        </w:tc>
        <w:tc>
          <w:tcPr>
            <w:tcW w:w="1416" w:type="dxa"/>
            <w:hideMark/>
          </w:tcPr>
          <w:p w14:paraId="577F9323" w14:textId="77777777" w:rsidR="007537B4" w:rsidRPr="008416D4" w:rsidRDefault="007537B4" w:rsidP="007537B4">
            <w:pPr>
              <w:jc w:val="center"/>
              <w:rPr>
                <w:b/>
                <w:bCs/>
              </w:rPr>
            </w:pPr>
            <w:r w:rsidRPr="008416D4">
              <w:rPr>
                <w:b/>
                <w:bCs/>
              </w:rPr>
              <w:t>Izmaksas, EUR/gadā</w:t>
            </w:r>
          </w:p>
        </w:tc>
        <w:tc>
          <w:tcPr>
            <w:tcW w:w="3971" w:type="dxa"/>
          </w:tcPr>
          <w:p w14:paraId="339D1CE7" w14:textId="603F97C2" w:rsidR="007537B4" w:rsidRPr="008416D4" w:rsidRDefault="007537B4" w:rsidP="007537B4">
            <w:pPr>
              <w:jc w:val="center"/>
              <w:rPr>
                <w:b/>
                <w:bCs/>
              </w:rPr>
            </w:pPr>
            <w:r>
              <w:rPr>
                <w:b/>
                <w:bCs/>
              </w:rPr>
              <w:t>Normatīvais akts saskaņā ar ko deleģē uzdevumu</w:t>
            </w:r>
          </w:p>
        </w:tc>
      </w:tr>
      <w:tr w:rsidR="007537B4" w:rsidRPr="007F338F" w14:paraId="1391D1E5" w14:textId="26BB0A98" w:rsidTr="00A961E0">
        <w:trPr>
          <w:trHeight w:val="1323"/>
        </w:trPr>
        <w:tc>
          <w:tcPr>
            <w:tcW w:w="3652" w:type="dxa"/>
            <w:hideMark/>
          </w:tcPr>
          <w:p w14:paraId="306EF6D4" w14:textId="77777777" w:rsidR="007537B4" w:rsidRPr="008416D4" w:rsidRDefault="007537B4" w:rsidP="007537B4">
            <w:pPr>
              <w:jc w:val="left"/>
            </w:pPr>
            <w:r w:rsidRPr="008416D4">
              <w:rPr>
                <w:color w:val="000000"/>
                <w:lang w:eastAsia="lv-LV"/>
              </w:rPr>
              <w:t>Vietu reģistrācija, kur tiek veikta saimnieciskā darbība ar dārgmetāliem, dārgakmeņiem un to izstrādājumiem, un dārgmetālu izstrādājumu izgatavotāju personiskos zīmogus</w:t>
            </w:r>
          </w:p>
        </w:tc>
        <w:tc>
          <w:tcPr>
            <w:tcW w:w="1416" w:type="dxa"/>
            <w:hideMark/>
          </w:tcPr>
          <w:p w14:paraId="2BFFE8C7" w14:textId="200F7D89" w:rsidR="007537B4" w:rsidRPr="008416D4" w:rsidRDefault="00527285" w:rsidP="007537B4">
            <w:pPr>
              <w:jc w:val="center"/>
            </w:pPr>
            <w:r>
              <w:t>4953</w:t>
            </w:r>
          </w:p>
        </w:tc>
        <w:tc>
          <w:tcPr>
            <w:tcW w:w="3971" w:type="dxa"/>
          </w:tcPr>
          <w:p w14:paraId="709232CC" w14:textId="0D4FA4B3" w:rsidR="007537B4" w:rsidRPr="00422489" w:rsidRDefault="00422489" w:rsidP="00422489">
            <w:pPr>
              <w:rPr>
                <w:szCs w:val="24"/>
              </w:rPr>
            </w:pPr>
            <w:r w:rsidRPr="00422489">
              <w:rPr>
                <w:color w:val="414142"/>
                <w:szCs w:val="24"/>
                <w:shd w:val="clear" w:color="auto" w:fill="FFFFFF"/>
              </w:rPr>
              <w:t>Konvencija par dārgmetālu izstrādājumu pārbaudi un zīmogošanu</w:t>
            </w:r>
            <w:r w:rsidRPr="00422489">
              <w:rPr>
                <w:rStyle w:val="apple-converted-space"/>
                <w:color w:val="414142"/>
                <w:szCs w:val="24"/>
                <w:shd w:val="clear" w:color="auto" w:fill="FFFFFF"/>
              </w:rPr>
              <w:t xml:space="preserve"> (personisko z</w:t>
            </w:r>
            <w:r>
              <w:rPr>
                <w:rStyle w:val="apple-converted-space"/>
                <w:color w:val="414142"/>
                <w:szCs w:val="24"/>
                <w:shd w:val="clear" w:color="auto" w:fill="FFFFFF"/>
              </w:rPr>
              <w:t xml:space="preserve">īmogu reģistrācija) </w:t>
            </w:r>
            <w:r w:rsidRPr="007537B4">
              <w:rPr>
                <w:color w:val="000000" w:themeColor="text1"/>
              </w:rPr>
              <w:t>09.11.2009.</w:t>
            </w:r>
            <w:r>
              <w:rPr>
                <w:color w:val="000000" w:themeColor="text1"/>
              </w:rPr>
              <w:t xml:space="preserve"> </w:t>
            </w:r>
            <w:r w:rsidRPr="007537B4">
              <w:rPr>
                <w:color w:val="000000" w:themeColor="text1"/>
              </w:rPr>
              <w:t xml:space="preserve">MK </w:t>
            </w:r>
            <w:r>
              <w:rPr>
                <w:color w:val="000000" w:themeColor="text1"/>
              </w:rPr>
              <w:t>Rīkojums</w:t>
            </w:r>
            <w:r w:rsidRPr="007537B4">
              <w:rPr>
                <w:color w:val="000000" w:themeColor="text1"/>
              </w:rPr>
              <w:t xml:space="preserve"> Nr.762  “Par valsts sabiedrības ar ierobežotu atbildību “Latvijas proves birojs” dibināšanu”</w:t>
            </w:r>
            <w:r>
              <w:rPr>
                <w:color w:val="000000" w:themeColor="text1"/>
              </w:rPr>
              <w:t xml:space="preserve"> </w:t>
            </w:r>
            <w:r w:rsidR="007537B4" w:rsidRPr="00422489">
              <w:rPr>
                <w:szCs w:val="24"/>
              </w:rPr>
              <w:t>3.4.</w:t>
            </w:r>
            <w:r>
              <w:rPr>
                <w:szCs w:val="24"/>
              </w:rPr>
              <w:t>punkts</w:t>
            </w:r>
          </w:p>
        </w:tc>
      </w:tr>
      <w:tr w:rsidR="007537B4" w:rsidRPr="007F338F" w14:paraId="2B8C639A" w14:textId="24603DFE" w:rsidTr="00A961E0">
        <w:trPr>
          <w:trHeight w:val="1984"/>
        </w:trPr>
        <w:tc>
          <w:tcPr>
            <w:tcW w:w="3652" w:type="dxa"/>
            <w:hideMark/>
          </w:tcPr>
          <w:p w14:paraId="5C2DE920" w14:textId="77777777" w:rsidR="007537B4" w:rsidRPr="008416D4" w:rsidRDefault="007537B4" w:rsidP="007537B4">
            <w:pPr>
              <w:jc w:val="left"/>
            </w:pPr>
            <w:r w:rsidRPr="008416D4">
              <w:rPr>
                <w:color w:val="000000"/>
                <w:lang w:eastAsia="lv-LV"/>
              </w:rPr>
              <w:t>Vietu pārbaudes, kur tiek veikta saimnieciskā darbība ar dārgmetāliem, dārgakmeņiem un to izstrādājumiem, un sastāda administratīvā pārkāpuma protokolu par konstatētajiem pārkāpumiem dārgmetālu, dārgakmeņu un to izstrādājumu marķēšanas, obligātās provēšanas, uzglabāšanas un preču drošuma prasību ievērošanā</w:t>
            </w:r>
          </w:p>
        </w:tc>
        <w:tc>
          <w:tcPr>
            <w:tcW w:w="1416" w:type="dxa"/>
            <w:hideMark/>
          </w:tcPr>
          <w:p w14:paraId="68554D89" w14:textId="436E15C8" w:rsidR="007537B4" w:rsidRPr="008416D4" w:rsidRDefault="00527285" w:rsidP="007537B4">
            <w:pPr>
              <w:jc w:val="center"/>
            </w:pPr>
            <w:r>
              <w:t>31409</w:t>
            </w:r>
          </w:p>
        </w:tc>
        <w:tc>
          <w:tcPr>
            <w:tcW w:w="3971" w:type="dxa"/>
          </w:tcPr>
          <w:p w14:paraId="1B370A93" w14:textId="714680AE" w:rsidR="007537B4" w:rsidRPr="00422489" w:rsidRDefault="00422489" w:rsidP="00422489">
            <w:r w:rsidRPr="007537B4">
              <w:rPr>
                <w:color w:val="000000" w:themeColor="text1"/>
              </w:rPr>
              <w:t>09.11.2009.</w:t>
            </w:r>
            <w:r>
              <w:rPr>
                <w:color w:val="000000" w:themeColor="text1"/>
              </w:rPr>
              <w:t xml:space="preserve"> </w:t>
            </w:r>
            <w:r w:rsidRPr="007537B4">
              <w:rPr>
                <w:color w:val="000000" w:themeColor="text1"/>
              </w:rPr>
              <w:t xml:space="preserve">MK </w:t>
            </w:r>
            <w:r>
              <w:rPr>
                <w:color w:val="000000" w:themeColor="text1"/>
              </w:rPr>
              <w:t>Rīkojums</w:t>
            </w:r>
            <w:r w:rsidRPr="007537B4">
              <w:rPr>
                <w:color w:val="000000" w:themeColor="text1"/>
              </w:rPr>
              <w:t xml:space="preserve"> Nr.762  “Par valsts sabiedrības ar ierobežotu atbildību “Latvijas proves birojs” dibināšanu”</w:t>
            </w:r>
            <w:r w:rsidR="007537B4">
              <w:t>3.5</w:t>
            </w:r>
            <w:r>
              <w:t>punkts</w:t>
            </w:r>
          </w:p>
        </w:tc>
      </w:tr>
      <w:tr w:rsidR="007537B4" w14:paraId="610E78FA" w14:textId="5079D3A3" w:rsidTr="00A961E0">
        <w:trPr>
          <w:trHeight w:val="759"/>
        </w:trPr>
        <w:tc>
          <w:tcPr>
            <w:tcW w:w="3652" w:type="dxa"/>
            <w:hideMark/>
          </w:tcPr>
          <w:p w14:paraId="43D5D4D3" w14:textId="77777777" w:rsidR="007537B4" w:rsidRPr="008416D4" w:rsidRDefault="007537B4" w:rsidP="007537B4">
            <w:pPr>
              <w:jc w:val="left"/>
            </w:pPr>
            <w:r w:rsidRPr="008416D4">
              <w:rPr>
                <w:color w:val="000000"/>
                <w:lang w:eastAsia="lv-LV"/>
              </w:rPr>
              <w:t>Dārgmetālu un dārgakmeņu izstrādājumu atbilstības preču drošuma prasībām novērtēšana</w:t>
            </w:r>
          </w:p>
        </w:tc>
        <w:tc>
          <w:tcPr>
            <w:tcW w:w="1416" w:type="dxa"/>
            <w:hideMark/>
          </w:tcPr>
          <w:p w14:paraId="7D52803C" w14:textId="38C38A0C" w:rsidR="007537B4" w:rsidRPr="008416D4" w:rsidRDefault="00527285" w:rsidP="007537B4">
            <w:pPr>
              <w:jc w:val="center"/>
            </w:pPr>
            <w:r>
              <w:t>40860</w:t>
            </w:r>
          </w:p>
        </w:tc>
        <w:tc>
          <w:tcPr>
            <w:tcW w:w="3971" w:type="dxa"/>
          </w:tcPr>
          <w:p w14:paraId="0D23735F" w14:textId="11D34AB3" w:rsidR="00422489" w:rsidRDefault="00A961E0" w:rsidP="00A961E0">
            <w:pPr>
              <w:rPr>
                <w:color w:val="000000" w:themeColor="text1"/>
              </w:rPr>
            </w:pPr>
            <w:r w:rsidRPr="00A961E0">
              <w:rPr>
                <w:color w:val="000000" w:themeColor="text1"/>
              </w:rPr>
              <w:t>Eiropas Parlamenta un Padomes Regula (EK) Nr. 1907/2006 (2006. gada 18. decembris), kas attiecas uz ķimikāliju reģistrēšanu, vērtēšanu, licencēšanu un ierobežošanu (REACH)</w:t>
            </w:r>
          </w:p>
          <w:p w14:paraId="6CB90607" w14:textId="4093CB7F" w:rsidR="007537B4" w:rsidRPr="00422489" w:rsidRDefault="00422489" w:rsidP="00A961E0">
            <w:r w:rsidRPr="007537B4">
              <w:rPr>
                <w:color w:val="000000" w:themeColor="text1"/>
              </w:rPr>
              <w:t>09.11.2009.</w:t>
            </w:r>
            <w:r>
              <w:rPr>
                <w:color w:val="000000" w:themeColor="text1"/>
              </w:rPr>
              <w:t xml:space="preserve"> </w:t>
            </w:r>
            <w:r w:rsidRPr="007537B4">
              <w:rPr>
                <w:color w:val="000000" w:themeColor="text1"/>
              </w:rPr>
              <w:t xml:space="preserve">MK </w:t>
            </w:r>
            <w:r>
              <w:rPr>
                <w:color w:val="000000" w:themeColor="text1"/>
              </w:rPr>
              <w:t>Rīkojums</w:t>
            </w:r>
            <w:r w:rsidRPr="007537B4">
              <w:rPr>
                <w:color w:val="000000" w:themeColor="text1"/>
              </w:rPr>
              <w:t xml:space="preserve"> Nr.762  “Par valsts sabiedrības ar ierobežotu atbildību “Latvijas proves birojs” dibināšanu”</w:t>
            </w:r>
            <w:r w:rsidR="007537B4">
              <w:t>3.6</w:t>
            </w:r>
            <w:r>
              <w:t xml:space="preserve"> punkts</w:t>
            </w:r>
          </w:p>
        </w:tc>
      </w:tr>
    </w:tbl>
    <w:p w14:paraId="03440057" w14:textId="4CE2DB4E" w:rsidR="00ED25F2" w:rsidRDefault="00ED25F2" w:rsidP="00ED25F2">
      <w:pPr>
        <w:rPr>
          <w:rFonts w:ascii="Calibri" w:eastAsiaTheme="minorHAnsi" w:hAnsi="Calibri"/>
          <w:color w:val="000000"/>
          <w:sz w:val="22"/>
          <w:szCs w:val="22"/>
        </w:rPr>
      </w:pPr>
    </w:p>
    <w:p w14:paraId="62CDC433" w14:textId="77777777" w:rsidR="00ED25F2" w:rsidRDefault="00ED25F2" w:rsidP="00ED25F2">
      <w:pPr>
        <w:ind w:firstLine="720"/>
      </w:pPr>
    </w:p>
    <w:p w14:paraId="0AECB405" w14:textId="77777777" w:rsidR="003B36F1" w:rsidRPr="00CF3036" w:rsidRDefault="00CF3036" w:rsidP="00CF3036">
      <w:pPr>
        <w:jc w:val="left"/>
        <w:rPr>
          <w:b/>
        </w:rPr>
      </w:pPr>
      <w:r w:rsidRPr="00CF3036">
        <w:rPr>
          <w:b/>
        </w:rPr>
        <w:t>P</w:t>
      </w:r>
      <w:r w:rsidR="003B36F1" w:rsidRPr="00CF3036">
        <w:rPr>
          <w:b/>
        </w:rPr>
        <w:t>roves biroja finanšu rādītāji:</w:t>
      </w:r>
    </w:p>
    <w:p w14:paraId="35C2E5FB" w14:textId="77777777" w:rsidR="001F0CF8" w:rsidRPr="00CF3036" w:rsidRDefault="0050405E" w:rsidP="00441E53">
      <w:pPr>
        <w:pStyle w:val="Heading1"/>
        <w:keepLines w:val="0"/>
        <w:numPr>
          <w:ilvl w:val="0"/>
          <w:numId w:val="0"/>
        </w:numPr>
        <w:suppressAutoHyphens/>
        <w:spacing w:before="0" w:line="240" w:lineRule="auto"/>
        <w:ind w:left="432" w:hanging="432"/>
        <w:rPr>
          <w:rFonts w:ascii="Times New Roman" w:hAnsi="Times New Roman" w:cs="Times New Roman"/>
          <w:sz w:val="24"/>
        </w:rPr>
      </w:pPr>
      <w:r w:rsidRPr="00CF3036">
        <w:rPr>
          <w:rFonts w:ascii="Times New Roman" w:hAnsi="Times New Roman" w:cs="Times New Roman"/>
          <w:sz w:val="24"/>
          <w:shd w:val="clear" w:color="auto" w:fill="FFFFFF"/>
        </w:rPr>
        <w:t>Biroja</w:t>
      </w:r>
      <w:r w:rsidR="001F0CF8" w:rsidRPr="00CF3036">
        <w:rPr>
          <w:rFonts w:ascii="Times New Roman" w:hAnsi="Times New Roman" w:cs="Times New Roman"/>
          <w:sz w:val="24"/>
          <w:shd w:val="clear" w:color="auto" w:fill="FFFFFF"/>
        </w:rPr>
        <w:t xml:space="preserve"> ieņēmumu un izdevumu raksturojums</w:t>
      </w:r>
    </w:p>
    <w:p w14:paraId="10FD9093" w14:textId="77777777" w:rsidR="00714E17" w:rsidRDefault="00714E17" w:rsidP="00441E53">
      <w:pPr>
        <w:ind w:firstLine="720"/>
        <w:jc w:val="left"/>
        <w:rPr>
          <w:sz w:val="22"/>
        </w:rPr>
      </w:pPr>
      <w:r w:rsidRPr="00CF3036">
        <w:rPr>
          <w:sz w:val="22"/>
        </w:rPr>
        <w:t>2016.gada  ieņēmumu atšifrējums par ieņēmumu veidiem</w:t>
      </w:r>
      <w:r w:rsidR="00441E53">
        <w:rPr>
          <w:sz w:val="22"/>
        </w:rPr>
        <w:t xml:space="preserve"> </w:t>
      </w:r>
    </w:p>
    <w:p w14:paraId="6AA00854" w14:textId="77777777" w:rsidR="00441E53" w:rsidRPr="00441E53" w:rsidRDefault="00441E53" w:rsidP="00441E53">
      <w:pPr>
        <w:ind w:firstLine="720"/>
        <w:jc w:val="right"/>
        <w:rPr>
          <w:sz w:val="20"/>
        </w:rPr>
      </w:pPr>
      <w:r w:rsidRPr="00441E53">
        <w:rPr>
          <w:sz w:val="20"/>
        </w:rPr>
        <w:t>2.tabula</w:t>
      </w:r>
    </w:p>
    <w:tbl>
      <w:tblPr>
        <w:tblStyle w:val="TableGrid"/>
        <w:tblW w:w="0" w:type="auto"/>
        <w:tblLook w:val="04A0" w:firstRow="1" w:lastRow="0" w:firstColumn="1" w:lastColumn="0" w:noHBand="0" w:noVBand="1"/>
      </w:tblPr>
      <w:tblGrid>
        <w:gridCol w:w="6551"/>
        <w:gridCol w:w="1267"/>
        <w:gridCol w:w="1469"/>
      </w:tblGrid>
      <w:tr w:rsidR="00714E17" w:rsidRPr="008416D4" w14:paraId="03DC607E" w14:textId="77777777" w:rsidTr="007537B4">
        <w:trPr>
          <w:trHeight w:val="438"/>
        </w:trPr>
        <w:tc>
          <w:tcPr>
            <w:tcW w:w="6658" w:type="dxa"/>
          </w:tcPr>
          <w:p w14:paraId="186C6FCF" w14:textId="77777777" w:rsidR="00714E17" w:rsidRPr="008416D4" w:rsidRDefault="00714E17" w:rsidP="007537B4">
            <w:pPr>
              <w:spacing w:before="60" w:after="60"/>
              <w:jc w:val="center"/>
              <w:rPr>
                <w:b/>
                <w:color w:val="000000"/>
                <w:szCs w:val="24"/>
              </w:rPr>
            </w:pPr>
            <w:r w:rsidRPr="008416D4">
              <w:rPr>
                <w:b/>
                <w:szCs w:val="24"/>
              </w:rPr>
              <w:t>2016.gada ieņēmumu atšifrējums</w:t>
            </w:r>
          </w:p>
        </w:tc>
        <w:tc>
          <w:tcPr>
            <w:tcW w:w="1275" w:type="dxa"/>
          </w:tcPr>
          <w:p w14:paraId="130A2441" w14:textId="77777777" w:rsidR="00714E17" w:rsidRPr="008416D4" w:rsidRDefault="00714E17" w:rsidP="007537B4">
            <w:pPr>
              <w:spacing w:before="60" w:after="60"/>
              <w:jc w:val="center"/>
              <w:rPr>
                <w:b/>
                <w:color w:val="000000"/>
                <w:szCs w:val="24"/>
              </w:rPr>
            </w:pPr>
            <w:r w:rsidRPr="008416D4">
              <w:rPr>
                <w:b/>
                <w:color w:val="000000"/>
                <w:szCs w:val="24"/>
              </w:rPr>
              <w:t>EUR</w:t>
            </w:r>
          </w:p>
          <w:p w14:paraId="071D931B" w14:textId="77777777" w:rsidR="00714E17" w:rsidRPr="008416D4" w:rsidRDefault="00714E17" w:rsidP="007537B4">
            <w:pPr>
              <w:spacing w:before="60" w:after="60"/>
              <w:jc w:val="center"/>
              <w:rPr>
                <w:b/>
                <w:color w:val="000000"/>
                <w:szCs w:val="24"/>
              </w:rPr>
            </w:pPr>
            <w:r w:rsidRPr="008416D4">
              <w:rPr>
                <w:b/>
                <w:color w:val="000000"/>
                <w:szCs w:val="24"/>
              </w:rPr>
              <w:t>(bez PVN)</w:t>
            </w:r>
          </w:p>
        </w:tc>
        <w:tc>
          <w:tcPr>
            <w:tcW w:w="1344" w:type="dxa"/>
          </w:tcPr>
          <w:p w14:paraId="14A11CD9" w14:textId="77777777" w:rsidR="00714E17" w:rsidRPr="008416D4" w:rsidRDefault="00714E17" w:rsidP="007537B4">
            <w:r w:rsidRPr="008416D4">
              <w:t>Īpatsvars no kopējiem ieņēmumiem</w:t>
            </w:r>
          </w:p>
        </w:tc>
      </w:tr>
      <w:tr w:rsidR="00714E17" w:rsidRPr="00E57871" w14:paraId="3AF31473" w14:textId="77777777" w:rsidTr="007537B4">
        <w:trPr>
          <w:trHeight w:val="403"/>
        </w:trPr>
        <w:tc>
          <w:tcPr>
            <w:tcW w:w="6658" w:type="dxa"/>
          </w:tcPr>
          <w:p w14:paraId="386E62F8" w14:textId="77777777" w:rsidR="00714E17" w:rsidRPr="00E57871" w:rsidRDefault="00714E17" w:rsidP="007537B4">
            <w:pPr>
              <w:spacing w:before="60" w:after="60"/>
              <w:rPr>
                <w:szCs w:val="24"/>
              </w:rPr>
            </w:pPr>
            <w:r w:rsidRPr="00E57871">
              <w:rPr>
                <w:color w:val="000000"/>
                <w:szCs w:val="24"/>
              </w:rPr>
              <w:t>Dotācija</w:t>
            </w:r>
          </w:p>
        </w:tc>
        <w:tc>
          <w:tcPr>
            <w:tcW w:w="1275" w:type="dxa"/>
          </w:tcPr>
          <w:p w14:paraId="7DD78979" w14:textId="77777777" w:rsidR="00714E17" w:rsidRPr="008416D4" w:rsidRDefault="00714E17" w:rsidP="007537B4">
            <w:r w:rsidRPr="008416D4">
              <w:t>52222</w:t>
            </w:r>
          </w:p>
        </w:tc>
        <w:tc>
          <w:tcPr>
            <w:tcW w:w="1344" w:type="dxa"/>
          </w:tcPr>
          <w:p w14:paraId="50C1EECD" w14:textId="77777777" w:rsidR="00714E17" w:rsidRPr="00E57871" w:rsidRDefault="00714E17" w:rsidP="007537B4">
            <w:pPr>
              <w:spacing w:before="60" w:after="60"/>
              <w:jc w:val="center"/>
              <w:rPr>
                <w:szCs w:val="24"/>
              </w:rPr>
            </w:pPr>
            <w:r>
              <w:rPr>
                <w:color w:val="000000"/>
                <w:szCs w:val="24"/>
                <w:lang w:val="en-US"/>
              </w:rPr>
              <w:t>10</w:t>
            </w:r>
            <w:r w:rsidRPr="00E57871">
              <w:rPr>
                <w:color w:val="000000"/>
                <w:szCs w:val="24"/>
                <w:lang w:val="en-US"/>
              </w:rPr>
              <w:t>%</w:t>
            </w:r>
          </w:p>
        </w:tc>
      </w:tr>
      <w:tr w:rsidR="00714E17" w:rsidRPr="00E57871" w14:paraId="6CDE91C9" w14:textId="77777777" w:rsidTr="007537B4">
        <w:trPr>
          <w:trHeight w:val="423"/>
        </w:trPr>
        <w:tc>
          <w:tcPr>
            <w:tcW w:w="6658" w:type="dxa"/>
          </w:tcPr>
          <w:p w14:paraId="1A6461C9" w14:textId="77777777" w:rsidR="00714E17" w:rsidRPr="00E57871" w:rsidRDefault="00714E17" w:rsidP="007537B4">
            <w:pPr>
              <w:spacing w:before="60" w:after="60"/>
              <w:rPr>
                <w:color w:val="000000"/>
                <w:szCs w:val="24"/>
              </w:rPr>
            </w:pPr>
            <w:r w:rsidRPr="00E57871">
              <w:rPr>
                <w:color w:val="000000"/>
                <w:szCs w:val="24"/>
              </w:rPr>
              <w:t>Valsts apbalvojumi (kompensācija)</w:t>
            </w:r>
          </w:p>
        </w:tc>
        <w:tc>
          <w:tcPr>
            <w:tcW w:w="1275" w:type="dxa"/>
          </w:tcPr>
          <w:p w14:paraId="180825FA" w14:textId="77777777" w:rsidR="00714E17" w:rsidRPr="008416D4" w:rsidRDefault="00714E17" w:rsidP="007537B4">
            <w:r w:rsidRPr="008416D4">
              <w:t>93591</w:t>
            </w:r>
          </w:p>
        </w:tc>
        <w:tc>
          <w:tcPr>
            <w:tcW w:w="1344" w:type="dxa"/>
          </w:tcPr>
          <w:p w14:paraId="0BA5A604" w14:textId="77777777" w:rsidR="00714E17" w:rsidRPr="00E57871" w:rsidRDefault="00714E17" w:rsidP="007537B4">
            <w:pPr>
              <w:spacing w:before="60" w:after="60"/>
              <w:jc w:val="center"/>
              <w:rPr>
                <w:color w:val="000000"/>
                <w:szCs w:val="24"/>
                <w:lang w:val="en-US"/>
              </w:rPr>
            </w:pPr>
            <w:r w:rsidRPr="00E57871">
              <w:rPr>
                <w:color w:val="000000"/>
                <w:szCs w:val="24"/>
                <w:lang w:val="en-US"/>
              </w:rPr>
              <w:t>1</w:t>
            </w:r>
            <w:r>
              <w:rPr>
                <w:color w:val="000000"/>
                <w:szCs w:val="24"/>
                <w:lang w:val="en-US"/>
              </w:rPr>
              <w:t>7</w:t>
            </w:r>
            <w:r w:rsidRPr="00E57871">
              <w:rPr>
                <w:color w:val="000000"/>
                <w:szCs w:val="24"/>
                <w:lang w:val="en-US"/>
              </w:rPr>
              <w:t>%</w:t>
            </w:r>
          </w:p>
        </w:tc>
      </w:tr>
      <w:tr w:rsidR="00714E17" w:rsidRPr="00E57871" w14:paraId="0E7FE9FD" w14:textId="77777777" w:rsidTr="007537B4">
        <w:trPr>
          <w:trHeight w:val="414"/>
        </w:trPr>
        <w:tc>
          <w:tcPr>
            <w:tcW w:w="6658" w:type="dxa"/>
          </w:tcPr>
          <w:p w14:paraId="318BBDE9" w14:textId="77777777" w:rsidR="00714E17" w:rsidRPr="00E57871" w:rsidRDefault="00714E17" w:rsidP="007537B4">
            <w:pPr>
              <w:spacing w:before="60" w:after="60"/>
              <w:rPr>
                <w:color w:val="000000"/>
                <w:szCs w:val="24"/>
              </w:rPr>
            </w:pPr>
            <w:r w:rsidRPr="00E57871">
              <w:rPr>
                <w:color w:val="000000"/>
                <w:szCs w:val="24"/>
              </w:rPr>
              <w:t>Zelta, platīna, pallādija izstrādājumu provēšana un zīmogošana</w:t>
            </w:r>
          </w:p>
        </w:tc>
        <w:tc>
          <w:tcPr>
            <w:tcW w:w="1275" w:type="dxa"/>
          </w:tcPr>
          <w:p w14:paraId="59017114" w14:textId="77777777" w:rsidR="00714E17" w:rsidRPr="008416D4" w:rsidRDefault="00714E17" w:rsidP="007537B4">
            <w:r w:rsidRPr="008416D4">
              <w:t>142262</w:t>
            </w:r>
          </w:p>
        </w:tc>
        <w:tc>
          <w:tcPr>
            <w:tcW w:w="1344" w:type="dxa"/>
          </w:tcPr>
          <w:p w14:paraId="275BF983" w14:textId="77777777" w:rsidR="00714E17" w:rsidRPr="00E57871" w:rsidRDefault="00714E17" w:rsidP="007537B4">
            <w:pPr>
              <w:spacing w:before="60" w:after="60"/>
              <w:jc w:val="center"/>
              <w:rPr>
                <w:color w:val="000000"/>
                <w:szCs w:val="24"/>
                <w:lang w:val="en-US"/>
              </w:rPr>
            </w:pPr>
            <w:r w:rsidRPr="00E57871">
              <w:rPr>
                <w:color w:val="000000"/>
                <w:szCs w:val="24"/>
                <w:lang w:val="en-US"/>
              </w:rPr>
              <w:t>2</w:t>
            </w:r>
            <w:r>
              <w:rPr>
                <w:color w:val="000000"/>
                <w:szCs w:val="24"/>
                <w:lang w:val="en-US"/>
              </w:rPr>
              <w:t>7</w:t>
            </w:r>
            <w:r w:rsidRPr="00E57871">
              <w:rPr>
                <w:color w:val="000000"/>
                <w:szCs w:val="24"/>
                <w:lang w:val="en-US"/>
              </w:rPr>
              <w:t>%</w:t>
            </w:r>
          </w:p>
        </w:tc>
      </w:tr>
      <w:tr w:rsidR="00714E17" w:rsidRPr="00E57871" w14:paraId="4B3B80C5" w14:textId="77777777" w:rsidTr="007537B4">
        <w:trPr>
          <w:trHeight w:val="421"/>
        </w:trPr>
        <w:tc>
          <w:tcPr>
            <w:tcW w:w="6658" w:type="dxa"/>
          </w:tcPr>
          <w:p w14:paraId="5C4048C1" w14:textId="77777777" w:rsidR="00714E17" w:rsidRPr="00E57871" w:rsidRDefault="00714E17" w:rsidP="007537B4">
            <w:pPr>
              <w:spacing w:before="60" w:after="60"/>
              <w:rPr>
                <w:color w:val="000000"/>
                <w:szCs w:val="24"/>
              </w:rPr>
            </w:pPr>
            <w:r w:rsidRPr="00E57871">
              <w:rPr>
                <w:color w:val="000000"/>
                <w:szCs w:val="24"/>
              </w:rPr>
              <w:t>Sudraba izstrādājumu provēšana un zīmogošana</w:t>
            </w:r>
          </w:p>
        </w:tc>
        <w:tc>
          <w:tcPr>
            <w:tcW w:w="1275" w:type="dxa"/>
          </w:tcPr>
          <w:p w14:paraId="2933F6A5" w14:textId="77777777" w:rsidR="00714E17" w:rsidRPr="008416D4" w:rsidRDefault="00714E17" w:rsidP="007537B4">
            <w:r w:rsidRPr="008416D4">
              <w:t>135131</w:t>
            </w:r>
          </w:p>
        </w:tc>
        <w:tc>
          <w:tcPr>
            <w:tcW w:w="1344" w:type="dxa"/>
          </w:tcPr>
          <w:p w14:paraId="4989EC4F" w14:textId="77777777" w:rsidR="00714E17" w:rsidRPr="00E57871" w:rsidRDefault="00714E17" w:rsidP="007537B4">
            <w:pPr>
              <w:spacing w:before="60" w:after="60"/>
              <w:jc w:val="center"/>
              <w:rPr>
                <w:color w:val="000000"/>
                <w:szCs w:val="24"/>
                <w:lang w:val="en-US"/>
              </w:rPr>
            </w:pPr>
            <w:r w:rsidRPr="00E57871">
              <w:rPr>
                <w:color w:val="000000"/>
                <w:szCs w:val="24"/>
                <w:lang w:val="en-US"/>
              </w:rPr>
              <w:t>2</w:t>
            </w:r>
            <w:r>
              <w:rPr>
                <w:color w:val="000000"/>
                <w:szCs w:val="24"/>
                <w:lang w:val="en-US"/>
              </w:rPr>
              <w:t>5</w:t>
            </w:r>
            <w:r w:rsidRPr="00E57871">
              <w:rPr>
                <w:color w:val="000000"/>
                <w:szCs w:val="24"/>
                <w:lang w:val="en-US"/>
              </w:rPr>
              <w:t>%</w:t>
            </w:r>
          </w:p>
        </w:tc>
      </w:tr>
      <w:tr w:rsidR="00714E17" w:rsidRPr="00E57871" w14:paraId="386696FE" w14:textId="77777777" w:rsidTr="007537B4">
        <w:trPr>
          <w:trHeight w:val="413"/>
        </w:trPr>
        <w:tc>
          <w:tcPr>
            <w:tcW w:w="6658" w:type="dxa"/>
          </w:tcPr>
          <w:p w14:paraId="44C7D8E3" w14:textId="77777777" w:rsidR="00714E17" w:rsidRPr="00E57871" w:rsidRDefault="00714E17" w:rsidP="007537B4">
            <w:pPr>
              <w:spacing w:before="60" w:after="60"/>
              <w:rPr>
                <w:color w:val="000000"/>
                <w:szCs w:val="24"/>
              </w:rPr>
            </w:pPr>
            <w:r w:rsidRPr="00E57871">
              <w:rPr>
                <w:color w:val="000000"/>
                <w:szCs w:val="24"/>
              </w:rPr>
              <w:t>Obligāti provējamo izstrādājumu testēšana</w:t>
            </w:r>
          </w:p>
        </w:tc>
        <w:tc>
          <w:tcPr>
            <w:tcW w:w="1275" w:type="dxa"/>
          </w:tcPr>
          <w:p w14:paraId="41D855B4" w14:textId="77777777" w:rsidR="00714E17" w:rsidRPr="008416D4" w:rsidRDefault="00714E17" w:rsidP="007537B4">
            <w:r w:rsidRPr="008416D4">
              <w:t>60943</w:t>
            </w:r>
          </w:p>
        </w:tc>
        <w:tc>
          <w:tcPr>
            <w:tcW w:w="1344" w:type="dxa"/>
          </w:tcPr>
          <w:p w14:paraId="235CC10B" w14:textId="77777777" w:rsidR="00714E17" w:rsidRPr="00E57871" w:rsidRDefault="00714E17" w:rsidP="007537B4">
            <w:pPr>
              <w:spacing w:before="60" w:after="60"/>
              <w:jc w:val="center"/>
              <w:rPr>
                <w:color w:val="000000"/>
                <w:szCs w:val="24"/>
                <w:lang w:val="en-US"/>
              </w:rPr>
            </w:pPr>
            <w:r>
              <w:rPr>
                <w:color w:val="000000"/>
                <w:szCs w:val="24"/>
                <w:lang w:val="en-US"/>
              </w:rPr>
              <w:t>11%</w:t>
            </w:r>
          </w:p>
        </w:tc>
      </w:tr>
      <w:tr w:rsidR="00714E17" w:rsidRPr="00E57871" w14:paraId="05F2D4C8" w14:textId="77777777" w:rsidTr="007537B4">
        <w:trPr>
          <w:trHeight w:val="419"/>
        </w:trPr>
        <w:tc>
          <w:tcPr>
            <w:tcW w:w="6658" w:type="dxa"/>
          </w:tcPr>
          <w:p w14:paraId="52BB5980" w14:textId="77777777" w:rsidR="00714E17" w:rsidRPr="00E57871" w:rsidRDefault="00714E17" w:rsidP="007537B4">
            <w:pPr>
              <w:spacing w:before="60" w:after="60"/>
              <w:rPr>
                <w:color w:val="000000"/>
                <w:szCs w:val="24"/>
              </w:rPr>
            </w:pPr>
            <w:r w:rsidRPr="00E57871">
              <w:rPr>
                <w:color w:val="000000"/>
                <w:szCs w:val="24"/>
              </w:rPr>
              <w:lastRenderedPageBreak/>
              <w:t>Juvelierizstrādājumu dārgakmeņu ekspertīzes</w:t>
            </w:r>
          </w:p>
        </w:tc>
        <w:tc>
          <w:tcPr>
            <w:tcW w:w="1275" w:type="dxa"/>
          </w:tcPr>
          <w:p w14:paraId="78656B6C" w14:textId="77777777" w:rsidR="00714E17" w:rsidRPr="008416D4" w:rsidRDefault="00714E17" w:rsidP="007537B4">
            <w:r w:rsidRPr="008416D4">
              <w:t>22464</w:t>
            </w:r>
          </w:p>
        </w:tc>
        <w:tc>
          <w:tcPr>
            <w:tcW w:w="1344" w:type="dxa"/>
          </w:tcPr>
          <w:p w14:paraId="65D70BF6" w14:textId="77777777" w:rsidR="00714E17" w:rsidRPr="00E57871" w:rsidRDefault="00714E17" w:rsidP="007537B4">
            <w:pPr>
              <w:spacing w:before="60" w:after="60"/>
              <w:jc w:val="center"/>
              <w:rPr>
                <w:color w:val="000000"/>
                <w:szCs w:val="24"/>
                <w:lang w:val="en-US"/>
              </w:rPr>
            </w:pPr>
            <w:r>
              <w:rPr>
                <w:color w:val="000000"/>
                <w:szCs w:val="24"/>
                <w:lang w:val="en-US"/>
              </w:rPr>
              <w:t>4</w:t>
            </w:r>
            <w:r w:rsidRPr="00E57871">
              <w:rPr>
                <w:color w:val="000000"/>
                <w:szCs w:val="24"/>
                <w:lang w:val="en-US"/>
              </w:rPr>
              <w:t>%</w:t>
            </w:r>
          </w:p>
        </w:tc>
      </w:tr>
      <w:tr w:rsidR="00714E17" w:rsidRPr="00E57871" w14:paraId="0C41A185" w14:textId="77777777" w:rsidTr="007537B4">
        <w:trPr>
          <w:trHeight w:val="410"/>
        </w:trPr>
        <w:tc>
          <w:tcPr>
            <w:tcW w:w="6658" w:type="dxa"/>
          </w:tcPr>
          <w:p w14:paraId="4FD9AC29" w14:textId="77777777" w:rsidR="00714E17" w:rsidRPr="00E57871" w:rsidRDefault="00714E17" w:rsidP="007537B4">
            <w:pPr>
              <w:spacing w:before="60" w:after="60"/>
              <w:rPr>
                <w:color w:val="000000"/>
                <w:szCs w:val="24"/>
              </w:rPr>
            </w:pPr>
            <w:r w:rsidRPr="00E57871">
              <w:rPr>
                <w:color w:val="000000"/>
                <w:szCs w:val="24"/>
              </w:rPr>
              <w:t>Testēšanas pakalpojumi</w:t>
            </w:r>
          </w:p>
        </w:tc>
        <w:tc>
          <w:tcPr>
            <w:tcW w:w="1275" w:type="dxa"/>
          </w:tcPr>
          <w:p w14:paraId="6CAE80E0" w14:textId="77777777" w:rsidR="00714E17" w:rsidRPr="008416D4" w:rsidRDefault="00714E17" w:rsidP="007537B4">
            <w:r w:rsidRPr="008416D4">
              <w:t>19707</w:t>
            </w:r>
          </w:p>
        </w:tc>
        <w:tc>
          <w:tcPr>
            <w:tcW w:w="1344" w:type="dxa"/>
          </w:tcPr>
          <w:p w14:paraId="7D93055C" w14:textId="77777777" w:rsidR="00714E17" w:rsidRPr="00E57871" w:rsidRDefault="00714E17" w:rsidP="007537B4">
            <w:pPr>
              <w:spacing w:before="60" w:after="60"/>
              <w:jc w:val="center"/>
              <w:rPr>
                <w:color w:val="000000"/>
                <w:szCs w:val="24"/>
                <w:lang w:val="en-US"/>
              </w:rPr>
            </w:pPr>
            <w:r>
              <w:rPr>
                <w:color w:val="000000"/>
                <w:szCs w:val="24"/>
                <w:lang w:val="en-US"/>
              </w:rPr>
              <w:t>4</w:t>
            </w:r>
            <w:r w:rsidRPr="00E57871">
              <w:rPr>
                <w:color w:val="000000"/>
                <w:szCs w:val="24"/>
                <w:lang w:val="en-US"/>
              </w:rPr>
              <w:t>%</w:t>
            </w:r>
          </w:p>
        </w:tc>
      </w:tr>
      <w:tr w:rsidR="00714E17" w:rsidRPr="00E57871" w14:paraId="1033A17B" w14:textId="77777777" w:rsidTr="007537B4">
        <w:trPr>
          <w:trHeight w:val="417"/>
        </w:trPr>
        <w:tc>
          <w:tcPr>
            <w:tcW w:w="6658" w:type="dxa"/>
          </w:tcPr>
          <w:p w14:paraId="4CDE31F9" w14:textId="77777777" w:rsidR="00714E17" w:rsidRPr="008416D4" w:rsidRDefault="00714E17" w:rsidP="007537B4">
            <w:r w:rsidRPr="00E57871">
              <w:t>Personiskie zīmogi un lāzergravēšanas un citi pakalpojumi</w:t>
            </w:r>
          </w:p>
        </w:tc>
        <w:tc>
          <w:tcPr>
            <w:tcW w:w="1275" w:type="dxa"/>
          </w:tcPr>
          <w:p w14:paraId="03300251" w14:textId="77777777" w:rsidR="00714E17" w:rsidRPr="008416D4" w:rsidRDefault="00714E17" w:rsidP="007537B4">
            <w:r w:rsidRPr="008416D4">
              <w:t>9958</w:t>
            </w:r>
          </w:p>
        </w:tc>
        <w:tc>
          <w:tcPr>
            <w:tcW w:w="1344" w:type="dxa"/>
          </w:tcPr>
          <w:p w14:paraId="63D57D45" w14:textId="77777777" w:rsidR="00714E17" w:rsidRPr="00E57871" w:rsidRDefault="00714E17" w:rsidP="007537B4">
            <w:pPr>
              <w:spacing w:before="60" w:after="60"/>
              <w:jc w:val="center"/>
              <w:rPr>
                <w:color w:val="000000"/>
                <w:szCs w:val="24"/>
                <w:lang w:val="en-US"/>
              </w:rPr>
            </w:pPr>
            <w:r w:rsidRPr="00E57871">
              <w:rPr>
                <w:color w:val="000000"/>
                <w:szCs w:val="24"/>
                <w:lang w:val="en-US"/>
              </w:rPr>
              <w:t>2%</w:t>
            </w:r>
          </w:p>
        </w:tc>
      </w:tr>
    </w:tbl>
    <w:p w14:paraId="27C694E5" w14:textId="77777777" w:rsidR="001F0CF8" w:rsidRDefault="001F0CF8" w:rsidP="001F0CF8">
      <w:pPr>
        <w:rPr>
          <w:b/>
          <w:szCs w:val="24"/>
          <w:highlight w:val="yellow"/>
        </w:rPr>
      </w:pPr>
    </w:p>
    <w:p w14:paraId="084AEB4A" w14:textId="77777777" w:rsidR="00441E53" w:rsidRDefault="00441E53" w:rsidP="001F0CF8">
      <w:pPr>
        <w:rPr>
          <w:b/>
          <w:szCs w:val="24"/>
          <w:highlight w:val="yellow"/>
        </w:rPr>
      </w:pPr>
    </w:p>
    <w:p w14:paraId="3D311E0B" w14:textId="77777777" w:rsidR="00441E53" w:rsidRDefault="00441E53" w:rsidP="001F0CF8">
      <w:pPr>
        <w:rPr>
          <w:b/>
          <w:szCs w:val="24"/>
          <w:highlight w:val="yellow"/>
        </w:rPr>
      </w:pPr>
    </w:p>
    <w:p w14:paraId="2E7FD670" w14:textId="77777777" w:rsidR="001F0CF8" w:rsidRPr="00CF3036" w:rsidRDefault="0050405E" w:rsidP="007E36C0">
      <w:pPr>
        <w:pStyle w:val="Heading1"/>
        <w:keepLines w:val="0"/>
        <w:numPr>
          <w:ilvl w:val="0"/>
          <w:numId w:val="0"/>
        </w:numPr>
        <w:suppressAutoHyphens/>
        <w:spacing w:before="0" w:line="240" w:lineRule="auto"/>
        <w:rPr>
          <w:rFonts w:ascii="Times New Roman" w:hAnsi="Times New Roman" w:cs="Times New Roman"/>
          <w:sz w:val="24"/>
        </w:rPr>
      </w:pPr>
      <w:r w:rsidRPr="00CF3036">
        <w:rPr>
          <w:rFonts w:ascii="Times New Roman" w:hAnsi="Times New Roman" w:cs="Times New Roman"/>
          <w:sz w:val="24"/>
        </w:rPr>
        <w:t>Biroja</w:t>
      </w:r>
      <w:r w:rsidR="001F0CF8" w:rsidRPr="00CF3036">
        <w:rPr>
          <w:rFonts w:ascii="Times New Roman" w:hAnsi="Times New Roman" w:cs="Times New Roman"/>
          <w:sz w:val="24"/>
        </w:rPr>
        <w:t xml:space="preserve"> finanšu pārskats</w:t>
      </w:r>
    </w:p>
    <w:p w14:paraId="795245B3" w14:textId="77777777" w:rsidR="00714E17" w:rsidRPr="00441E53" w:rsidRDefault="00CF3036" w:rsidP="00CF3036">
      <w:pPr>
        <w:ind w:firstLine="720"/>
        <w:jc w:val="right"/>
        <w:rPr>
          <w:sz w:val="20"/>
        </w:rPr>
      </w:pPr>
      <w:r w:rsidRPr="00441E53">
        <w:rPr>
          <w:sz w:val="20"/>
        </w:rPr>
        <w:t>3.tabula</w:t>
      </w:r>
    </w:p>
    <w:tbl>
      <w:tblPr>
        <w:tblStyle w:val="TableGrid"/>
        <w:tblW w:w="0" w:type="auto"/>
        <w:tblLook w:val="04A0" w:firstRow="1" w:lastRow="0" w:firstColumn="1" w:lastColumn="0" w:noHBand="0" w:noVBand="1"/>
      </w:tblPr>
      <w:tblGrid>
        <w:gridCol w:w="3975"/>
        <w:gridCol w:w="2628"/>
        <w:gridCol w:w="2458"/>
      </w:tblGrid>
      <w:tr w:rsidR="00714E17" w14:paraId="08DE3FD1" w14:textId="77777777" w:rsidTr="00CF3036">
        <w:tc>
          <w:tcPr>
            <w:tcW w:w="3975" w:type="dxa"/>
          </w:tcPr>
          <w:p w14:paraId="6448DB03" w14:textId="77777777" w:rsidR="00714E17" w:rsidRDefault="00714E17" w:rsidP="003B36F1"/>
        </w:tc>
        <w:tc>
          <w:tcPr>
            <w:tcW w:w="2628" w:type="dxa"/>
          </w:tcPr>
          <w:p w14:paraId="5A06ED03" w14:textId="77777777" w:rsidR="00714E17" w:rsidRDefault="00714E17" w:rsidP="00714E17">
            <w:pPr>
              <w:jc w:val="center"/>
            </w:pPr>
            <w:r>
              <w:t>2015.gads</w:t>
            </w:r>
          </w:p>
        </w:tc>
        <w:tc>
          <w:tcPr>
            <w:tcW w:w="2458" w:type="dxa"/>
          </w:tcPr>
          <w:p w14:paraId="56BF6DA5" w14:textId="77777777" w:rsidR="00714E17" w:rsidRDefault="00714E17" w:rsidP="00714E17">
            <w:pPr>
              <w:jc w:val="center"/>
            </w:pPr>
            <w:r>
              <w:t>2016.gads</w:t>
            </w:r>
          </w:p>
        </w:tc>
      </w:tr>
      <w:tr w:rsidR="00714E17" w14:paraId="125105B5" w14:textId="77777777" w:rsidTr="00CF3036">
        <w:tc>
          <w:tcPr>
            <w:tcW w:w="3975" w:type="dxa"/>
            <w:vAlign w:val="center"/>
          </w:tcPr>
          <w:p w14:paraId="5142E57B" w14:textId="77777777" w:rsidR="00714E17" w:rsidRPr="00C76ACD" w:rsidRDefault="00714E17" w:rsidP="007537B4">
            <w:pPr>
              <w:rPr>
                <w:b/>
                <w:bCs/>
                <w:color w:val="000000"/>
                <w:lang w:eastAsia="lv-LV"/>
              </w:rPr>
            </w:pPr>
            <w:r w:rsidRPr="00C76ACD">
              <w:rPr>
                <w:b/>
                <w:bCs/>
                <w:color w:val="000000"/>
                <w:lang w:eastAsia="lv-LV"/>
              </w:rPr>
              <w:t>Neto apgrozījums</w:t>
            </w:r>
          </w:p>
        </w:tc>
        <w:tc>
          <w:tcPr>
            <w:tcW w:w="2628" w:type="dxa"/>
            <w:vAlign w:val="center"/>
          </w:tcPr>
          <w:p w14:paraId="0E6A6E23" w14:textId="77777777" w:rsidR="00714E17" w:rsidRPr="00C76ACD" w:rsidRDefault="00714E17" w:rsidP="007537B4">
            <w:pPr>
              <w:jc w:val="center"/>
              <w:rPr>
                <w:b/>
                <w:bCs/>
                <w:color w:val="000000"/>
                <w:lang w:eastAsia="lv-LV"/>
              </w:rPr>
            </w:pPr>
            <w:r w:rsidRPr="00C76ACD">
              <w:rPr>
                <w:b/>
                <w:bCs/>
                <w:color w:val="000000"/>
                <w:lang w:eastAsia="lv-LV"/>
              </w:rPr>
              <w:t>535687</w:t>
            </w:r>
          </w:p>
        </w:tc>
        <w:tc>
          <w:tcPr>
            <w:tcW w:w="2458" w:type="dxa"/>
            <w:vAlign w:val="center"/>
          </w:tcPr>
          <w:p w14:paraId="240FEF03" w14:textId="77777777" w:rsidR="00714E17" w:rsidRPr="00C76ACD" w:rsidRDefault="00714E17" w:rsidP="007537B4">
            <w:pPr>
              <w:jc w:val="center"/>
              <w:rPr>
                <w:b/>
                <w:bCs/>
                <w:color w:val="000000"/>
                <w:lang w:eastAsia="lv-LV"/>
              </w:rPr>
            </w:pPr>
            <w:r w:rsidRPr="00C76ACD">
              <w:rPr>
                <w:b/>
                <w:bCs/>
                <w:color w:val="000000"/>
                <w:lang w:eastAsia="lv-LV"/>
              </w:rPr>
              <w:t>487130</w:t>
            </w:r>
          </w:p>
        </w:tc>
      </w:tr>
      <w:tr w:rsidR="00714E17" w14:paraId="6D41AEDA" w14:textId="77777777" w:rsidTr="00A868B2">
        <w:trPr>
          <w:trHeight w:val="609"/>
        </w:trPr>
        <w:tc>
          <w:tcPr>
            <w:tcW w:w="3975" w:type="dxa"/>
            <w:vAlign w:val="center"/>
          </w:tcPr>
          <w:p w14:paraId="4954AC66" w14:textId="77777777" w:rsidR="00714E17" w:rsidRPr="00C76ACD" w:rsidRDefault="00714E17" w:rsidP="007537B4">
            <w:pPr>
              <w:rPr>
                <w:b/>
                <w:bCs/>
                <w:color w:val="000000"/>
                <w:lang w:eastAsia="lv-LV"/>
              </w:rPr>
            </w:pPr>
            <w:r w:rsidRPr="00C76ACD">
              <w:rPr>
                <w:b/>
                <w:bCs/>
                <w:color w:val="000000"/>
                <w:lang w:eastAsia="lv-LV"/>
              </w:rPr>
              <w:t>Pārdotās produkcijas ražošanas izmaksas</w:t>
            </w:r>
          </w:p>
        </w:tc>
        <w:tc>
          <w:tcPr>
            <w:tcW w:w="2628" w:type="dxa"/>
            <w:vAlign w:val="center"/>
          </w:tcPr>
          <w:p w14:paraId="50668F02" w14:textId="77777777" w:rsidR="00714E17" w:rsidRPr="00C76ACD" w:rsidRDefault="00714E17" w:rsidP="007537B4">
            <w:pPr>
              <w:jc w:val="center"/>
              <w:rPr>
                <w:b/>
                <w:bCs/>
                <w:color w:val="000000"/>
                <w:lang w:eastAsia="lv-LV"/>
              </w:rPr>
            </w:pPr>
            <w:r w:rsidRPr="00C76ACD">
              <w:rPr>
                <w:b/>
                <w:bCs/>
                <w:color w:val="000000"/>
                <w:lang w:eastAsia="lv-LV"/>
              </w:rPr>
              <w:t>-450524</w:t>
            </w:r>
          </w:p>
        </w:tc>
        <w:tc>
          <w:tcPr>
            <w:tcW w:w="2458" w:type="dxa"/>
            <w:vAlign w:val="center"/>
          </w:tcPr>
          <w:p w14:paraId="09892449" w14:textId="77777777" w:rsidR="00714E17" w:rsidRPr="00C76ACD" w:rsidRDefault="00714E17" w:rsidP="007537B4">
            <w:pPr>
              <w:jc w:val="center"/>
              <w:rPr>
                <w:b/>
                <w:bCs/>
                <w:color w:val="000000"/>
                <w:lang w:eastAsia="lv-LV"/>
              </w:rPr>
            </w:pPr>
            <w:r w:rsidRPr="00C76ACD">
              <w:rPr>
                <w:b/>
                <w:bCs/>
                <w:color w:val="000000"/>
                <w:lang w:eastAsia="lv-LV"/>
              </w:rPr>
              <w:t>-428515</w:t>
            </w:r>
          </w:p>
        </w:tc>
      </w:tr>
      <w:tr w:rsidR="00714E17" w14:paraId="02BC7BDE" w14:textId="77777777" w:rsidTr="00CF3036">
        <w:tc>
          <w:tcPr>
            <w:tcW w:w="3975" w:type="dxa"/>
            <w:vAlign w:val="center"/>
          </w:tcPr>
          <w:p w14:paraId="0BDDD317" w14:textId="77777777" w:rsidR="00714E17" w:rsidRPr="00C76ACD" w:rsidRDefault="00714E17" w:rsidP="007537B4">
            <w:pPr>
              <w:rPr>
                <w:b/>
                <w:bCs/>
                <w:color w:val="000000"/>
                <w:lang w:eastAsia="lv-LV"/>
              </w:rPr>
            </w:pPr>
            <w:r w:rsidRPr="00C76ACD">
              <w:rPr>
                <w:b/>
                <w:bCs/>
                <w:color w:val="000000"/>
                <w:lang w:eastAsia="lv-LV"/>
              </w:rPr>
              <w:t>Bruto peļņa vai zaudējumi</w:t>
            </w:r>
          </w:p>
        </w:tc>
        <w:tc>
          <w:tcPr>
            <w:tcW w:w="2628" w:type="dxa"/>
            <w:vAlign w:val="center"/>
          </w:tcPr>
          <w:p w14:paraId="57F7D06D" w14:textId="77777777" w:rsidR="00714E17" w:rsidRPr="00C76ACD" w:rsidRDefault="00714E17" w:rsidP="007537B4">
            <w:pPr>
              <w:jc w:val="center"/>
              <w:rPr>
                <w:b/>
                <w:bCs/>
                <w:color w:val="000000"/>
                <w:lang w:eastAsia="lv-LV"/>
              </w:rPr>
            </w:pPr>
            <w:r w:rsidRPr="00C76ACD">
              <w:rPr>
                <w:b/>
                <w:bCs/>
                <w:color w:val="000000"/>
                <w:lang w:eastAsia="lv-LV"/>
              </w:rPr>
              <w:t>85163</w:t>
            </w:r>
          </w:p>
        </w:tc>
        <w:tc>
          <w:tcPr>
            <w:tcW w:w="2458" w:type="dxa"/>
            <w:vAlign w:val="center"/>
          </w:tcPr>
          <w:p w14:paraId="5903D2D8" w14:textId="77777777" w:rsidR="00714E17" w:rsidRPr="00C76ACD" w:rsidRDefault="00714E17" w:rsidP="007537B4">
            <w:pPr>
              <w:jc w:val="center"/>
              <w:rPr>
                <w:b/>
                <w:bCs/>
                <w:color w:val="000000"/>
                <w:lang w:eastAsia="lv-LV"/>
              </w:rPr>
            </w:pPr>
            <w:r w:rsidRPr="00C76ACD">
              <w:rPr>
                <w:b/>
                <w:bCs/>
                <w:color w:val="000000"/>
                <w:lang w:eastAsia="lv-LV"/>
              </w:rPr>
              <w:t>58615</w:t>
            </w:r>
          </w:p>
        </w:tc>
      </w:tr>
      <w:tr w:rsidR="00714E17" w14:paraId="577298C2" w14:textId="77777777" w:rsidTr="00CF3036">
        <w:tc>
          <w:tcPr>
            <w:tcW w:w="3975" w:type="dxa"/>
            <w:vAlign w:val="center"/>
          </w:tcPr>
          <w:p w14:paraId="13E8AD7F" w14:textId="77777777" w:rsidR="00714E17" w:rsidRPr="00C76ACD" w:rsidRDefault="00714E17" w:rsidP="007537B4">
            <w:pPr>
              <w:rPr>
                <w:color w:val="000000"/>
                <w:lang w:eastAsia="lv-LV"/>
              </w:rPr>
            </w:pPr>
            <w:r w:rsidRPr="00C76ACD">
              <w:rPr>
                <w:color w:val="000000"/>
                <w:lang w:eastAsia="lv-LV"/>
              </w:rPr>
              <w:t>Pārdošanas izmaksas</w:t>
            </w:r>
          </w:p>
        </w:tc>
        <w:tc>
          <w:tcPr>
            <w:tcW w:w="2628" w:type="dxa"/>
            <w:vAlign w:val="center"/>
          </w:tcPr>
          <w:p w14:paraId="60549D4E" w14:textId="77777777" w:rsidR="00714E17" w:rsidRPr="00C76ACD" w:rsidRDefault="00714E17" w:rsidP="007537B4">
            <w:pPr>
              <w:jc w:val="center"/>
              <w:rPr>
                <w:color w:val="000000"/>
                <w:lang w:eastAsia="lv-LV"/>
              </w:rPr>
            </w:pPr>
            <w:r w:rsidRPr="00C76ACD">
              <w:rPr>
                <w:color w:val="000000"/>
                <w:lang w:eastAsia="lv-LV"/>
              </w:rPr>
              <w:t>-1709</w:t>
            </w:r>
          </w:p>
        </w:tc>
        <w:tc>
          <w:tcPr>
            <w:tcW w:w="2458" w:type="dxa"/>
            <w:vAlign w:val="center"/>
          </w:tcPr>
          <w:p w14:paraId="2923A4B6" w14:textId="77777777" w:rsidR="00714E17" w:rsidRPr="00C76ACD" w:rsidRDefault="00714E17" w:rsidP="007537B4">
            <w:pPr>
              <w:jc w:val="center"/>
              <w:rPr>
                <w:color w:val="000000"/>
                <w:lang w:eastAsia="lv-LV"/>
              </w:rPr>
            </w:pPr>
            <w:r w:rsidRPr="00C76ACD">
              <w:rPr>
                <w:color w:val="000000"/>
                <w:lang w:eastAsia="lv-LV"/>
              </w:rPr>
              <w:t>-1811</w:t>
            </w:r>
          </w:p>
        </w:tc>
      </w:tr>
      <w:tr w:rsidR="00714E17" w14:paraId="366F69C6" w14:textId="77777777" w:rsidTr="00CF3036">
        <w:tc>
          <w:tcPr>
            <w:tcW w:w="3975" w:type="dxa"/>
            <w:vAlign w:val="center"/>
          </w:tcPr>
          <w:p w14:paraId="625B1E9F" w14:textId="77777777" w:rsidR="00714E17" w:rsidRPr="00C76ACD" w:rsidRDefault="00714E17" w:rsidP="007537B4">
            <w:pPr>
              <w:rPr>
                <w:color w:val="000000"/>
                <w:lang w:eastAsia="lv-LV"/>
              </w:rPr>
            </w:pPr>
            <w:r w:rsidRPr="00C76ACD">
              <w:rPr>
                <w:color w:val="000000"/>
                <w:lang w:eastAsia="lv-LV"/>
              </w:rPr>
              <w:t>Administrācijas izmaksas</w:t>
            </w:r>
          </w:p>
        </w:tc>
        <w:tc>
          <w:tcPr>
            <w:tcW w:w="2628" w:type="dxa"/>
            <w:vAlign w:val="center"/>
          </w:tcPr>
          <w:p w14:paraId="5CB292ED" w14:textId="77777777" w:rsidR="00714E17" w:rsidRPr="00C76ACD" w:rsidRDefault="00714E17" w:rsidP="007537B4">
            <w:pPr>
              <w:jc w:val="center"/>
              <w:rPr>
                <w:color w:val="000000"/>
                <w:lang w:eastAsia="lv-LV"/>
              </w:rPr>
            </w:pPr>
            <w:r w:rsidRPr="00C76ACD">
              <w:rPr>
                <w:color w:val="000000"/>
                <w:lang w:eastAsia="lv-LV"/>
              </w:rPr>
              <w:t>-80897</w:t>
            </w:r>
          </w:p>
        </w:tc>
        <w:tc>
          <w:tcPr>
            <w:tcW w:w="2458" w:type="dxa"/>
            <w:vAlign w:val="center"/>
          </w:tcPr>
          <w:p w14:paraId="49BB6DC8" w14:textId="77777777" w:rsidR="00714E17" w:rsidRPr="00C76ACD" w:rsidRDefault="00714E17" w:rsidP="007537B4">
            <w:pPr>
              <w:jc w:val="center"/>
              <w:rPr>
                <w:color w:val="000000"/>
                <w:lang w:eastAsia="lv-LV"/>
              </w:rPr>
            </w:pPr>
            <w:r w:rsidRPr="00C76ACD">
              <w:rPr>
                <w:color w:val="000000"/>
                <w:lang w:eastAsia="lv-LV"/>
              </w:rPr>
              <w:t>-87164</w:t>
            </w:r>
          </w:p>
        </w:tc>
      </w:tr>
      <w:tr w:rsidR="00714E17" w14:paraId="647D90A2" w14:textId="77777777" w:rsidTr="00CF3036">
        <w:tc>
          <w:tcPr>
            <w:tcW w:w="3975" w:type="dxa"/>
            <w:vAlign w:val="center"/>
          </w:tcPr>
          <w:p w14:paraId="6B399BC8" w14:textId="77777777" w:rsidR="00714E17" w:rsidRPr="00C76ACD" w:rsidRDefault="00714E17" w:rsidP="007537B4">
            <w:pPr>
              <w:rPr>
                <w:color w:val="000000"/>
                <w:lang w:eastAsia="lv-LV"/>
              </w:rPr>
            </w:pPr>
            <w:r w:rsidRPr="00C76ACD">
              <w:rPr>
                <w:color w:val="000000"/>
                <w:lang w:eastAsia="lv-LV"/>
              </w:rPr>
              <w:t>Pārējie saimnieciskās darbības ieņēmumi</w:t>
            </w:r>
          </w:p>
        </w:tc>
        <w:tc>
          <w:tcPr>
            <w:tcW w:w="2628" w:type="dxa"/>
            <w:vAlign w:val="center"/>
          </w:tcPr>
          <w:p w14:paraId="1C1A331B" w14:textId="77777777" w:rsidR="00714E17" w:rsidRPr="00C76ACD" w:rsidRDefault="00714E17" w:rsidP="007537B4">
            <w:pPr>
              <w:jc w:val="center"/>
              <w:rPr>
                <w:color w:val="000000"/>
                <w:lang w:eastAsia="lv-LV"/>
              </w:rPr>
            </w:pPr>
            <w:r w:rsidRPr="00C76ACD">
              <w:rPr>
                <w:color w:val="000000"/>
                <w:lang w:eastAsia="lv-LV"/>
              </w:rPr>
              <w:t>52236</w:t>
            </w:r>
          </w:p>
        </w:tc>
        <w:tc>
          <w:tcPr>
            <w:tcW w:w="2458" w:type="dxa"/>
            <w:vAlign w:val="center"/>
          </w:tcPr>
          <w:p w14:paraId="34275891" w14:textId="77777777" w:rsidR="00714E17" w:rsidRPr="00C76ACD" w:rsidRDefault="00714E17" w:rsidP="007537B4">
            <w:pPr>
              <w:jc w:val="center"/>
              <w:rPr>
                <w:color w:val="000000"/>
                <w:lang w:eastAsia="lv-LV"/>
              </w:rPr>
            </w:pPr>
            <w:r w:rsidRPr="00C76ACD">
              <w:rPr>
                <w:color w:val="000000"/>
                <w:lang w:eastAsia="lv-LV"/>
              </w:rPr>
              <w:t>52966</w:t>
            </w:r>
          </w:p>
        </w:tc>
      </w:tr>
      <w:tr w:rsidR="00714E17" w14:paraId="4D6B67C2" w14:textId="77777777" w:rsidTr="00CF3036">
        <w:tc>
          <w:tcPr>
            <w:tcW w:w="3975" w:type="dxa"/>
            <w:vAlign w:val="center"/>
          </w:tcPr>
          <w:p w14:paraId="40228E83" w14:textId="77777777" w:rsidR="00714E17" w:rsidRPr="00C76ACD" w:rsidRDefault="00714E17" w:rsidP="007537B4">
            <w:pPr>
              <w:rPr>
                <w:color w:val="000000"/>
                <w:lang w:eastAsia="lv-LV"/>
              </w:rPr>
            </w:pPr>
            <w:r w:rsidRPr="00C76ACD">
              <w:rPr>
                <w:color w:val="000000"/>
                <w:lang w:eastAsia="lv-LV"/>
              </w:rPr>
              <w:t>Pārējās saimnieciskās darbības izmaksas</w:t>
            </w:r>
          </w:p>
        </w:tc>
        <w:tc>
          <w:tcPr>
            <w:tcW w:w="2628" w:type="dxa"/>
            <w:vAlign w:val="center"/>
          </w:tcPr>
          <w:p w14:paraId="08C21481" w14:textId="77777777" w:rsidR="00714E17" w:rsidRPr="00C76ACD" w:rsidRDefault="00714E17" w:rsidP="007537B4">
            <w:pPr>
              <w:jc w:val="center"/>
              <w:rPr>
                <w:color w:val="000000"/>
                <w:lang w:eastAsia="lv-LV"/>
              </w:rPr>
            </w:pPr>
            <w:r w:rsidRPr="00C76ACD">
              <w:rPr>
                <w:color w:val="000000"/>
                <w:lang w:eastAsia="lv-LV"/>
              </w:rPr>
              <w:t>-24862</w:t>
            </w:r>
          </w:p>
        </w:tc>
        <w:tc>
          <w:tcPr>
            <w:tcW w:w="2458" w:type="dxa"/>
            <w:vAlign w:val="center"/>
          </w:tcPr>
          <w:p w14:paraId="18995555" w14:textId="77777777" w:rsidR="00714E17" w:rsidRPr="00C76ACD" w:rsidRDefault="00714E17" w:rsidP="007537B4">
            <w:pPr>
              <w:jc w:val="center"/>
              <w:rPr>
                <w:color w:val="000000"/>
                <w:lang w:eastAsia="lv-LV"/>
              </w:rPr>
            </w:pPr>
            <w:r w:rsidRPr="00C76ACD">
              <w:rPr>
                <w:color w:val="000000"/>
                <w:lang w:eastAsia="lv-LV"/>
              </w:rPr>
              <w:t>-3505</w:t>
            </w:r>
          </w:p>
        </w:tc>
      </w:tr>
      <w:tr w:rsidR="00714E17" w14:paraId="2168E253" w14:textId="77777777" w:rsidTr="00CF3036">
        <w:tc>
          <w:tcPr>
            <w:tcW w:w="3975" w:type="dxa"/>
            <w:vAlign w:val="center"/>
          </w:tcPr>
          <w:p w14:paraId="2C785B10" w14:textId="77777777" w:rsidR="00714E17" w:rsidRPr="00C76ACD" w:rsidRDefault="00714E17" w:rsidP="007537B4">
            <w:pPr>
              <w:rPr>
                <w:color w:val="000000"/>
                <w:lang w:eastAsia="lv-LV"/>
              </w:rPr>
            </w:pPr>
            <w:r w:rsidRPr="00C76ACD">
              <w:rPr>
                <w:color w:val="000000"/>
                <w:lang w:eastAsia="lv-LV"/>
              </w:rPr>
              <w:t>Procentu ieņēmumi vai izdevumi</w:t>
            </w:r>
          </w:p>
        </w:tc>
        <w:tc>
          <w:tcPr>
            <w:tcW w:w="2628" w:type="dxa"/>
            <w:vAlign w:val="center"/>
          </w:tcPr>
          <w:p w14:paraId="204A49A2" w14:textId="77777777" w:rsidR="00714E17" w:rsidRPr="00C76ACD" w:rsidRDefault="00714E17" w:rsidP="007537B4">
            <w:pPr>
              <w:jc w:val="center"/>
              <w:rPr>
                <w:color w:val="000000"/>
                <w:lang w:eastAsia="lv-LV"/>
              </w:rPr>
            </w:pPr>
            <w:r w:rsidRPr="00C76ACD">
              <w:rPr>
                <w:color w:val="000000"/>
                <w:lang w:eastAsia="lv-LV"/>
              </w:rPr>
              <w:t>0</w:t>
            </w:r>
          </w:p>
        </w:tc>
        <w:tc>
          <w:tcPr>
            <w:tcW w:w="2458" w:type="dxa"/>
            <w:vAlign w:val="center"/>
          </w:tcPr>
          <w:p w14:paraId="5CF79701" w14:textId="77777777" w:rsidR="00714E17" w:rsidRPr="00C76ACD" w:rsidRDefault="00714E17" w:rsidP="007537B4">
            <w:pPr>
              <w:jc w:val="center"/>
              <w:rPr>
                <w:color w:val="000000"/>
                <w:lang w:eastAsia="lv-LV"/>
              </w:rPr>
            </w:pPr>
            <w:r w:rsidRPr="00C76ACD">
              <w:rPr>
                <w:color w:val="000000"/>
                <w:lang w:eastAsia="lv-LV"/>
              </w:rPr>
              <w:t>0</w:t>
            </w:r>
          </w:p>
        </w:tc>
      </w:tr>
      <w:tr w:rsidR="00714E17" w14:paraId="6D511C47" w14:textId="77777777" w:rsidTr="00CF3036">
        <w:tc>
          <w:tcPr>
            <w:tcW w:w="3975" w:type="dxa"/>
            <w:vAlign w:val="center"/>
          </w:tcPr>
          <w:p w14:paraId="4FBF3F47" w14:textId="77777777" w:rsidR="00714E17" w:rsidRPr="00C76ACD" w:rsidRDefault="00714E17" w:rsidP="007537B4">
            <w:pPr>
              <w:rPr>
                <w:b/>
                <w:bCs/>
                <w:color w:val="000000"/>
                <w:lang w:eastAsia="lv-LV"/>
              </w:rPr>
            </w:pPr>
            <w:r w:rsidRPr="00C76ACD">
              <w:rPr>
                <w:b/>
                <w:bCs/>
                <w:color w:val="000000"/>
                <w:lang w:eastAsia="lv-LV"/>
              </w:rPr>
              <w:t>Peļņa vai zaudējumi pirms ārkārtas posteņiem un nodokļiem</w:t>
            </w:r>
          </w:p>
        </w:tc>
        <w:tc>
          <w:tcPr>
            <w:tcW w:w="2628" w:type="dxa"/>
            <w:vAlign w:val="center"/>
          </w:tcPr>
          <w:p w14:paraId="76EB5850" w14:textId="77777777" w:rsidR="00714E17" w:rsidRPr="00C76ACD" w:rsidRDefault="00714E17" w:rsidP="007537B4">
            <w:pPr>
              <w:jc w:val="center"/>
              <w:rPr>
                <w:b/>
                <w:bCs/>
                <w:color w:val="000000"/>
                <w:lang w:eastAsia="lv-LV"/>
              </w:rPr>
            </w:pPr>
            <w:r w:rsidRPr="00C76ACD">
              <w:rPr>
                <w:b/>
                <w:bCs/>
                <w:color w:val="000000"/>
                <w:lang w:eastAsia="lv-LV"/>
              </w:rPr>
              <w:t>29931</w:t>
            </w:r>
          </w:p>
        </w:tc>
        <w:tc>
          <w:tcPr>
            <w:tcW w:w="2458" w:type="dxa"/>
            <w:vAlign w:val="center"/>
          </w:tcPr>
          <w:p w14:paraId="3DA7E6E1" w14:textId="77777777" w:rsidR="00714E17" w:rsidRPr="00C76ACD" w:rsidRDefault="00714E17" w:rsidP="007537B4">
            <w:pPr>
              <w:jc w:val="center"/>
              <w:rPr>
                <w:b/>
                <w:bCs/>
                <w:color w:val="000000"/>
                <w:lang w:eastAsia="lv-LV"/>
              </w:rPr>
            </w:pPr>
            <w:r w:rsidRPr="00C76ACD">
              <w:rPr>
                <w:b/>
                <w:bCs/>
                <w:color w:val="000000"/>
                <w:lang w:eastAsia="lv-LV"/>
              </w:rPr>
              <w:t>19101</w:t>
            </w:r>
          </w:p>
        </w:tc>
      </w:tr>
      <w:tr w:rsidR="00714E17" w14:paraId="58AB7212" w14:textId="77777777" w:rsidTr="00CF3036">
        <w:tc>
          <w:tcPr>
            <w:tcW w:w="3975" w:type="dxa"/>
            <w:vAlign w:val="center"/>
          </w:tcPr>
          <w:p w14:paraId="5BB6C820" w14:textId="77777777" w:rsidR="00714E17" w:rsidRPr="00C76ACD" w:rsidRDefault="00714E17" w:rsidP="007537B4">
            <w:pPr>
              <w:rPr>
                <w:b/>
                <w:bCs/>
                <w:color w:val="000000"/>
                <w:lang w:eastAsia="lv-LV"/>
              </w:rPr>
            </w:pPr>
            <w:r w:rsidRPr="00C76ACD">
              <w:rPr>
                <w:b/>
                <w:bCs/>
                <w:color w:val="000000"/>
                <w:lang w:eastAsia="lv-LV"/>
              </w:rPr>
              <w:t>Peļņa vai zaudējumi pirms nodokļiem</w:t>
            </w:r>
          </w:p>
        </w:tc>
        <w:tc>
          <w:tcPr>
            <w:tcW w:w="2628" w:type="dxa"/>
            <w:vAlign w:val="center"/>
          </w:tcPr>
          <w:p w14:paraId="0E28690A" w14:textId="77777777" w:rsidR="00714E17" w:rsidRPr="00C76ACD" w:rsidRDefault="00714E17" w:rsidP="007537B4">
            <w:pPr>
              <w:jc w:val="center"/>
              <w:rPr>
                <w:b/>
                <w:bCs/>
                <w:color w:val="000000"/>
                <w:lang w:eastAsia="lv-LV"/>
              </w:rPr>
            </w:pPr>
            <w:r w:rsidRPr="00C76ACD">
              <w:rPr>
                <w:b/>
                <w:bCs/>
                <w:color w:val="000000"/>
                <w:lang w:eastAsia="lv-LV"/>
              </w:rPr>
              <w:t>29931</w:t>
            </w:r>
          </w:p>
        </w:tc>
        <w:tc>
          <w:tcPr>
            <w:tcW w:w="2458" w:type="dxa"/>
            <w:vAlign w:val="center"/>
          </w:tcPr>
          <w:p w14:paraId="3F527050" w14:textId="77777777" w:rsidR="00714E17" w:rsidRPr="00C76ACD" w:rsidRDefault="00714E17" w:rsidP="007537B4">
            <w:pPr>
              <w:jc w:val="center"/>
              <w:rPr>
                <w:b/>
                <w:bCs/>
                <w:color w:val="000000"/>
                <w:lang w:eastAsia="lv-LV"/>
              </w:rPr>
            </w:pPr>
            <w:r w:rsidRPr="00C76ACD">
              <w:rPr>
                <w:b/>
                <w:bCs/>
                <w:color w:val="000000"/>
                <w:lang w:eastAsia="lv-LV"/>
              </w:rPr>
              <w:t>19101</w:t>
            </w:r>
          </w:p>
        </w:tc>
      </w:tr>
      <w:tr w:rsidR="00714E17" w14:paraId="4D5A81DB" w14:textId="77777777" w:rsidTr="00CF3036">
        <w:tc>
          <w:tcPr>
            <w:tcW w:w="3975" w:type="dxa"/>
            <w:vAlign w:val="center"/>
          </w:tcPr>
          <w:p w14:paraId="4444018B" w14:textId="77777777" w:rsidR="00714E17" w:rsidRPr="00C76ACD" w:rsidRDefault="00714E17" w:rsidP="007537B4">
            <w:pPr>
              <w:rPr>
                <w:color w:val="000000"/>
                <w:lang w:eastAsia="lv-LV"/>
              </w:rPr>
            </w:pPr>
            <w:r w:rsidRPr="00C76ACD">
              <w:rPr>
                <w:color w:val="000000"/>
                <w:lang w:eastAsia="lv-LV"/>
              </w:rPr>
              <w:t>Uzņēmumu ienākuma nodoklis par pārskata gadu</w:t>
            </w:r>
          </w:p>
        </w:tc>
        <w:tc>
          <w:tcPr>
            <w:tcW w:w="2628" w:type="dxa"/>
            <w:vAlign w:val="center"/>
          </w:tcPr>
          <w:p w14:paraId="7FFC05A3" w14:textId="77777777" w:rsidR="00714E17" w:rsidRPr="00C76ACD" w:rsidRDefault="00714E17" w:rsidP="007537B4">
            <w:pPr>
              <w:jc w:val="center"/>
              <w:rPr>
                <w:color w:val="000000"/>
                <w:lang w:eastAsia="lv-LV"/>
              </w:rPr>
            </w:pPr>
            <w:r w:rsidRPr="00C76ACD">
              <w:rPr>
                <w:color w:val="000000"/>
                <w:lang w:eastAsia="lv-LV"/>
              </w:rPr>
              <w:t>0</w:t>
            </w:r>
          </w:p>
        </w:tc>
        <w:tc>
          <w:tcPr>
            <w:tcW w:w="2458" w:type="dxa"/>
            <w:vAlign w:val="center"/>
          </w:tcPr>
          <w:p w14:paraId="02713DBF" w14:textId="77777777" w:rsidR="00714E17" w:rsidRPr="00C76ACD" w:rsidRDefault="00714E17" w:rsidP="007537B4">
            <w:pPr>
              <w:jc w:val="center"/>
              <w:rPr>
                <w:color w:val="000000"/>
                <w:lang w:eastAsia="lv-LV"/>
              </w:rPr>
            </w:pPr>
            <w:r w:rsidRPr="00C76ACD">
              <w:rPr>
                <w:color w:val="000000"/>
                <w:lang w:eastAsia="lv-LV"/>
              </w:rPr>
              <w:t>0</w:t>
            </w:r>
          </w:p>
        </w:tc>
      </w:tr>
      <w:tr w:rsidR="00714E17" w14:paraId="21DDA314" w14:textId="77777777" w:rsidTr="00CF3036">
        <w:tc>
          <w:tcPr>
            <w:tcW w:w="3975" w:type="dxa"/>
            <w:vAlign w:val="center"/>
          </w:tcPr>
          <w:p w14:paraId="2434949E" w14:textId="77777777" w:rsidR="00714E17" w:rsidRPr="00C76ACD" w:rsidRDefault="00714E17" w:rsidP="007537B4">
            <w:pPr>
              <w:rPr>
                <w:b/>
                <w:bCs/>
                <w:color w:val="000000"/>
                <w:u w:val="single"/>
                <w:lang w:eastAsia="lv-LV"/>
              </w:rPr>
            </w:pPr>
            <w:r w:rsidRPr="00C76ACD">
              <w:rPr>
                <w:b/>
                <w:bCs/>
                <w:color w:val="000000"/>
                <w:u w:val="single"/>
                <w:lang w:eastAsia="lv-LV"/>
              </w:rPr>
              <w:t>Pārskata gada peļņa vai zaudējumi</w:t>
            </w:r>
          </w:p>
        </w:tc>
        <w:tc>
          <w:tcPr>
            <w:tcW w:w="2628" w:type="dxa"/>
            <w:vAlign w:val="center"/>
          </w:tcPr>
          <w:p w14:paraId="103624A7" w14:textId="77777777" w:rsidR="00714E17" w:rsidRPr="00C76ACD" w:rsidRDefault="00714E17" w:rsidP="007537B4">
            <w:pPr>
              <w:jc w:val="center"/>
              <w:rPr>
                <w:b/>
                <w:bCs/>
                <w:color w:val="000000"/>
                <w:lang w:eastAsia="lv-LV"/>
              </w:rPr>
            </w:pPr>
            <w:r w:rsidRPr="00C76ACD">
              <w:rPr>
                <w:b/>
                <w:bCs/>
                <w:color w:val="000000"/>
                <w:lang w:eastAsia="lv-LV"/>
              </w:rPr>
              <w:t>29931</w:t>
            </w:r>
          </w:p>
        </w:tc>
        <w:tc>
          <w:tcPr>
            <w:tcW w:w="2458" w:type="dxa"/>
            <w:vAlign w:val="center"/>
          </w:tcPr>
          <w:p w14:paraId="0828D770" w14:textId="77777777" w:rsidR="00714E17" w:rsidRPr="00C76ACD" w:rsidRDefault="00714E17" w:rsidP="007537B4">
            <w:pPr>
              <w:jc w:val="center"/>
              <w:rPr>
                <w:b/>
                <w:bCs/>
                <w:color w:val="000000"/>
                <w:lang w:eastAsia="lv-LV"/>
              </w:rPr>
            </w:pPr>
            <w:r w:rsidRPr="00C76ACD">
              <w:rPr>
                <w:b/>
                <w:bCs/>
                <w:color w:val="000000"/>
                <w:lang w:eastAsia="lv-LV"/>
              </w:rPr>
              <w:t>19101</w:t>
            </w:r>
          </w:p>
        </w:tc>
      </w:tr>
      <w:tr w:rsidR="00714E17" w14:paraId="763461A7" w14:textId="77777777" w:rsidTr="00CF3036">
        <w:tc>
          <w:tcPr>
            <w:tcW w:w="3975" w:type="dxa"/>
            <w:vAlign w:val="center"/>
          </w:tcPr>
          <w:p w14:paraId="4EC6035E" w14:textId="77777777" w:rsidR="00714E17" w:rsidRPr="00C76ACD" w:rsidRDefault="00714E17" w:rsidP="007537B4">
            <w:pPr>
              <w:rPr>
                <w:color w:val="000000"/>
                <w:lang w:eastAsia="lv-LV"/>
              </w:rPr>
            </w:pPr>
            <w:r w:rsidRPr="00C76ACD">
              <w:rPr>
                <w:color w:val="000000"/>
                <w:lang w:eastAsia="lv-LV"/>
              </w:rPr>
              <w:t>PL nolietojums un inventāra vērtības norakstīšana</w:t>
            </w:r>
          </w:p>
        </w:tc>
        <w:tc>
          <w:tcPr>
            <w:tcW w:w="2628" w:type="dxa"/>
            <w:vAlign w:val="center"/>
          </w:tcPr>
          <w:p w14:paraId="1D7C0378" w14:textId="77777777" w:rsidR="00714E17" w:rsidRPr="00C76ACD" w:rsidRDefault="00714E17" w:rsidP="007537B4">
            <w:pPr>
              <w:jc w:val="center"/>
              <w:rPr>
                <w:color w:val="000000"/>
                <w:lang w:eastAsia="lv-LV"/>
              </w:rPr>
            </w:pPr>
            <w:r w:rsidRPr="00C76ACD">
              <w:rPr>
                <w:color w:val="000000"/>
                <w:lang w:eastAsia="lv-LV"/>
              </w:rPr>
              <w:t>-63922</w:t>
            </w:r>
          </w:p>
        </w:tc>
        <w:tc>
          <w:tcPr>
            <w:tcW w:w="2458" w:type="dxa"/>
            <w:vAlign w:val="center"/>
          </w:tcPr>
          <w:p w14:paraId="399DCFA9" w14:textId="77777777" w:rsidR="00714E17" w:rsidRPr="00C76ACD" w:rsidRDefault="00714E17" w:rsidP="007537B4">
            <w:pPr>
              <w:jc w:val="center"/>
              <w:rPr>
                <w:color w:val="000000"/>
                <w:lang w:eastAsia="lv-LV"/>
              </w:rPr>
            </w:pPr>
            <w:r w:rsidRPr="00C76ACD">
              <w:rPr>
                <w:color w:val="000000"/>
                <w:lang w:eastAsia="lv-LV"/>
              </w:rPr>
              <w:t>-60513</w:t>
            </w:r>
          </w:p>
        </w:tc>
      </w:tr>
      <w:tr w:rsidR="00714E17" w14:paraId="65856995" w14:textId="77777777" w:rsidTr="00CF3036">
        <w:tc>
          <w:tcPr>
            <w:tcW w:w="3975" w:type="dxa"/>
            <w:vAlign w:val="center"/>
          </w:tcPr>
          <w:p w14:paraId="52934D03" w14:textId="77777777" w:rsidR="00714E17" w:rsidRPr="00C76ACD" w:rsidRDefault="00714E17" w:rsidP="007537B4">
            <w:pPr>
              <w:rPr>
                <w:b/>
                <w:bCs/>
                <w:color w:val="000000"/>
                <w:lang w:eastAsia="lv-LV"/>
              </w:rPr>
            </w:pPr>
            <w:r w:rsidRPr="00C76ACD">
              <w:rPr>
                <w:b/>
                <w:bCs/>
                <w:color w:val="000000"/>
                <w:lang w:eastAsia="lv-LV"/>
              </w:rPr>
              <w:t>EBITDA</w:t>
            </w:r>
          </w:p>
        </w:tc>
        <w:tc>
          <w:tcPr>
            <w:tcW w:w="2628" w:type="dxa"/>
            <w:vAlign w:val="center"/>
          </w:tcPr>
          <w:p w14:paraId="77FE43FA" w14:textId="77777777" w:rsidR="00714E17" w:rsidRPr="00C76ACD" w:rsidRDefault="00714E17" w:rsidP="007537B4">
            <w:pPr>
              <w:jc w:val="center"/>
              <w:rPr>
                <w:b/>
                <w:bCs/>
                <w:color w:val="000000"/>
                <w:lang w:eastAsia="lv-LV"/>
              </w:rPr>
            </w:pPr>
            <w:r w:rsidRPr="00C76ACD">
              <w:rPr>
                <w:b/>
                <w:bCs/>
                <w:color w:val="000000"/>
                <w:lang w:eastAsia="lv-LV"/>
              </w:rPr>
              <w:t>93853</w:t>
            </w:r>
          </w:p>
        </w:tc>
        <w:tc>
          <w:tcPr>
            <w:tcW w:w="2458" w:type="dxa"/>
            <w:vAlign w:val="center"/>
          </w:tcPr>
          <w:p w14:paraId="7082D07E" w14:textId="77777777" w:rsidR="00714E17" w:rsidRPr="00C76ACD" w:rsidRDefault="00714E17" w:rsidP="007537B4">
            <w:pPr>
              <w:jc w:val="center"/>
              <w:rPr>
                <w:b/>
                <w:bCs/>
                <w:color w:val="000000"/>
                <w:lang w:eastAsia="lv-LV"/>
              </w:rPr>
            </w:pPr>
            <w:r w:rsidRPr="00C76ACD">
              <w:rPr>
                <w:b/>
                <w:bCs/>
                <w:color w:val="000000"/>
                <w:lang w:eastAsia="lv-LV"/>
              </w:rPr>
              <w:t>79614</w:t>
            </w:r>
          </w:p>
        </w:tc>
      </w:tr>
    </w:tbl>
    <w:p w14:paraId="4A30640D" w14:textId="77777777" w:rsidR="00714E17" w:rsidRDefault="00714E17" w:rsidP="003B36F1">
      <w:pPr>
        <w:ind w:firstLine="720"/>
      </w:pPr>
    </w:p>
    <w:p w14:paraId="3D7B2848" w14:textId="77777777" w:rsidR="00714E17" w:rsidRPr="00714E17" w:rsidRDefault="00714E17" w:rsidP="00714E17">
      <w:pPr>
        <w:ind w:firstLine="720"/>
        <w:jc w:val="center"/>
        <w:rPr>
          <w:b/>
        </w:rPr>
      </w:pPr>
    </w:p>
    <w:p w14:paraId="38C518AA" w14:textId="77777777" w:rsidR="003B36F1" w:rsidRPr="00714E17" w:rsidRDefault="00441E53" w:rsidP="00441E53">
      <w:pPr>
        <w:jc w:val="left"/>
        <w:rPr>
          <w:b/>
        </w:rPr>
      </w:pPr>
      <w:r>
        <w:rPr>
          <w:b/>
        </w:rPr>
        <w:t>P</w:t>
      </w:r>
      <w:r w:rsidR="001F0CF8" w:rsidRPr="00714E17">
        <w:rPr>
          <w:b/>
        </w:rPr>
        <w:t>rivatizēju ieņēmumu vērtējums</w:t>
      </w:r>
    </w:p>
    <w:p w14:paraId="7C5008AC" w14:textId="77777777" w:rsidR="001F0CF8" w:rsidRDefault="00714E17" w:rsidP="00441E53">
      <w:pPr>
        <w:ind w:firstLine="720"/>
        <w:jc w:val="left"/>
      </w:pPr>
      <w:r>
        <w:t xml:space="preserve">Veicot iespējamo privatizācijas ieņēmumu vērtējumu pēc dažādām metodēm, tas varētu būt robežās </w:t>
      </w:r>
      <w:r w:rsidR="001F0CF8">
        <w:t>500</w:t>
      </w:r>
      <w:r>
        <w:t>’000 – 600’000</w:t>
      </w:r>
      <w:r w:rsidR="001F0CF8">
        <w:t xml:space="preserve"> EUR</w:t>
      </w:r>
      <w:r>
        <w:t>:</w:t>
      </w:r>
    </w:p>
    <w:p w14:paraId="2569A34D" w14:textId="77777777" w:rsidR="00441E53" w:rsidRPr="00441E53" w:rsidRDefault="00441E53" w:rsidP="00441E53">
      <w:pPr>
        <w:ind w:firstLine="720"/>
        <w:jc w:val="right"/>
        <w:rPr>
          <w:sz w:val="20"/>
        </w:rPr>
      </w:pPr>
      <w:r w:rsidRPr="00441E53">
        <w:rPr>
          <w:sz w:val="20"/>
        </w:rPr>
        <w:t>4.tabula</w:t>
      </w:r>
    </w:p>
    <w:tbl>
      <w:tblPr>
        <w:tblStyle w:val="TableGrid"/>
        <w:tblW w:w="0" w:type="auto"/>
        <w:tblLook w:val="04A0" w:firstRow="1" w:lastRow="0" w:firstColumn="1" w:lastColumn="0" w:noHBand="0" w:noVBand="1"/>
      </w:tblPr>
      <w:tblGrid>
        <w:gridCol w:w="3510"/>
        <w:gridCol w:w="2853"/>
        <w:gridCol w:w="2924"/>
      </w:tblGrid>
      <w:tr w:rsidR="00714E17" w14:paraId="72B12C7F" w14:textId="77777777" w:rsidTr="00714E17">
        <w:tc>
          <w:tcPr>
            <w:tcW w:w="3510" w:type="dxa"/>
          </w:tcPr>
          <w:p w14:paraId="60AA7B57" w14:textId="77777777" w:rsidR="00714E17" w:rsidRDefault="00714E17" w:rsidP="003B36F1">
            <w:r>
              <w:t>Metode</w:t>
            </w:r>
          </w:p>
        </w:tc>
        <w:tc>
          <w:tcPr>
            <w:tcW w:w="2853" w:type="dxa"/>
          </w:tcPr>
          <w:p w14:paraId="074AA58E" w14:textId="77777777" w:rsidR="00714E17" w:rsidRDefault="00714E17" w:rsidP="003B36F1">
            <w:r>
              <w:t>Vērtējums</w:t>
            </w:r>
          </w:p>
        </w:tc>
        <w:tc>
          <w:tcPr>
            <w:tcW w:w="2924" w:type="dxa"/>
          </w:tcPr>
          <w:p w14:paraId="55BDF01B" w14:textId="77777777" w:rsidR="00714E17" w:rsidRDefault="00714E17" w:rsidP="00714E17">
            <w:r>
              <w:t>% no pašu kapitāla</w:t>
            </w:r>
          </w:p>
        </w:tc>
      </w:tr>
      <w:tr w:rsidR="00714E17" w14:paraId="6E43C6A7" w14:textId="77777777" w:rsidTr="00714E17">
        <w:tc>
          <w:tcPr>
            <w:tcW w:w="3510" w:type="dxa"/>
          </w:tcPr>
          <w:p w14:paraId="12050B89" w14:textId="77777777" w:rsidR="00714E17" w:rsidRDefault="00714E17" w:rsidP="00714E17">
            <w:r w:rsidRPr="00C76ACD">
              <w:rPr>
                <w:b/>
                <w:bCs/>
                <w:color w:val="000000"/>
                <w:lang w:eastAsia="lv-LV"/>
              </w:rPr>
              <w:t>EBITDA</w:t>
            </w:r>
            <w:r>
              <w:rPr>
                <w:b/>
                <w:bCs/>
                <w:color w:val="000000"/>
                <w:lang w:eastAsia="lv-LV"/>
              </w:rPr>
              <w:t xml:space="preserve"> metode</w:t>
            </w:r>
          </w:p>
        </w:tc>
        <w:tc>
          <w:tcPr>
            <w:tcW w:w="2853" w:type="dxa"/>
          </w:tcPr>
          <w:p w14:paraId="669842EF" w14:textId="77777777" w:rsidR="00714E17" w:rsidRDefault="00714E17" w:rsidP="003B36F1">
            <w:r>
              <w:t>500’000 EUR</w:t>
            </w:r>
          </w:p>
        </w:tc>
        <w:tc>
          <w:tcPr>
            <w:tcW w:w="2924" w:type="dxa"/>
          </w:tcPr>
          <w:p w14:paraId="7A4CC58E" w14:textId="77777777" w:rsidR="00714E17" w:rsidRDefault="00F4122E" w:rsidP="00714E17">
            <w:r>
              <w:t>56%</w:t>
            </w:r>
          </w:p>
        </w:tc>
      </w:tr>
      <w:tr w:rsidR="00714E17" w14:paraId="0DB8B469" w14:textId="77777777" w:rsidTr="00714E17">
        <w:tc>
          <w:tcPr>
            <w:tcW w:w="3510" w:type="dxa"/>
          </w:tcPr>
          <w:p w14:paraId="3928EE6D" w14:textId="77777777" w:rsidR="00714E17" w:rsidRPr="00C76ACD" w:rsidRDefault="00714E17" w:rsidP="00714E17">
            <w:pPr>
              <w:rPr>
                <w:b/>
                <w:bCs/>
                <w:color w:val="000000"/>
                <w:lang w:eastAsia="lv-LV"/>
              </w:rPr>
            </w:pPr>
            <w:r>
              <w:rPr>
                <w:b/>
                <w:bCs/>
                <w:color w:val="000000"/>
                <w:lang w:eastAsia="lv-LV"/>
              </w:rPr>
              <w:t>Tīrās peļņas metode</w:t>
            </w:r>
          </w:p>
        </w:tc>
        <w:tc>
          <w:tcPr>
            <w:tcW w:w="2853" w:type="dxa"/>
          </w:tcPr>
          <w:p w14:paraId="724FABE1" w14:textId="77777777" w:rsidR="00714E17" w:rsidRDefault="00714E17" w:rsidP="003B36F1">
            <w:r>
              <w:t>495’000 EUR</w:t>
            </w:r>
          </w:p>
        </w:tc>
        <w:tc>
          <w:tcPr>
            <w:tcW w:w="2924" w:type="dxa"/>
          </w:tcPr>
          <w:p w14:paraId="7581C03C" w14:textId="77777777" w:rsidR="00714E17" w:rsidRDefault="00F4122E" w:rsidP="00714E17">
            <w:r>
              <w:t>55%</w:t>
            </w:r>
          </w:p>
        </w:tc>
      </w:tr>
      <w:tr w:rsidR="00714E17" w14:paraId="1B7A24AD" w14:textId="77777777" w:rsidTr="00714E17">
        <w:tc>
          <w:tcPr>
            <w:tcW w:w="3510" w:type="dxa"/>
          </w:tcPr>
          <w:p w14:paraId="01EDE84E" w14:textId="77777777" w:rsidR="00714E17" w:rsidRDefault="00714E17" w:rsidP="00714E17">
            <w:pPr>
              <w:rPr>
                <w:b/>
                <w:bCs/>
                <w:color w:val="000000"/>
                <w:lang w:eastAsia="lv-LV"/>
              </w:rPr>
            </w:pPr>
            <w:r>
              <w:rPr>
                <w:b/>
                <w:bCs/>
                <w:color w:val="000000"/>
                <w:lang w:eastAsia="lv-LV"/>
              </w:rPr>
              <w:t>Lursoft (Capital) vērtējums</w:t>
            </w:r>
          </w:p>
        </w:tc>
        <w:tc>
          <w:tcPr>
            <w:tcW w:w="2853" w:type="dxa"/>
          </w:tcPr>
          <w:p w14:paraId="1EF5A8BE" w14:textId="77777777" w:rsidR="00714E17" w:rsidRDefault="00714E17" w:rsidP="00714E17">
            <w:r>
              <w:t>545’000 EUR</w:t>
            </w:r>
          </w:p>
        </w:tc>
        <w:tc>
          <w:tcPr>
            <w:tcW w:w="2924" w:type="dxa"/>
          </w:tcPr>
          <w:p w14:paraId="5157418A" w14:textId="77777777" w:rsidR="00714E17" w:rsidRDefault="00F4122E" w:rsidP="00714E17">
            <w:r>
              <w:t>61%</w:t>
            </w:r>
          </w:p>
        </w:tc>
      </w:tr>
    </w:tbl>
    <w:p w14:paraId="37DDB6A6" w14:textId="77777777" w:rsidR="00714E17" w:rsidRDefault="00714E17" w:rsidP="003B36F1">
      <w:pPr>
        <w:ind w:firstLine="720"/>
      </w:pPr>
    </w:p>
    <w:p w14:paraId="4FB4C1D0" w14:textId="77777777" w:rsidR="0050405E" w:rsidRPr="00087477" w:rsidRDefault="0050405E" w:rsidP="00087477">
      <w:pPr>
        <w:ind w:firstLine="720"/>
        <w:jc w:val="center"/>
        <w:rPr>
          <w:b/>
        </w:rPr>
      </w:pPr>
    </w:p>
    <w:p w14:paraId="647C3BA7" w14:textId="77777777" w:rsidR="0050405E" w:rsidRDefault="0050405E" w:rsidP="007E36C0">
      <w:pPr>
        <w:rPr>
          <w:b/>
        </w:rPr>
      </w:pPr>
      <w:r w:rsidRPr="00087477">
        <w:rPr>
          <w:b/>
        </w:rPr>
        <w:t>Privatizācijas risku vērtējums</w:t>
      </w:r>
    </w:p>
    <w:p w14:paraId="0D094F83" w14:textId="77777777" w:rsidR="00441E53" w:rsidRPr="00441E53" w:rsidRDefault="00441E53" w:rsidP="00441E53">
      <w:pPr>
        <w:ind w:firstLine="720"/>
        <w:jc w:val="right"/>
        <w:rPr>
          <w:sz w:val="20"/>
        </w:rPr>
      </w:pPr>
      <w:r w:rsidRPr="00441E53">
        <w:rPr>
          <w:sz w:val="20"/>
        </w:rPr>
        <w:t>5.tabula</w:t>
      </w:r>
    </w:p>
    <w:tbl>
      <w:tblPr>
        <w:tblStyle w:val="TableGrid"/>
        <w:tblW w:w="9067" w:type="dxa"/>
        <w:tblLook w:val="04A0" w:firstRow="1" w:lastRow="0" w:firstColumn="1" w:lastColumn="0" w:noHBand="0" w:noVBand="1"/>
      </w:tblPr>
      <w:tblGrid>
        <w:gridCol w:w="2943"/>
        <w:gridCol w:w="1857"/>
        <w:gridCol w:w="1857"/>
        <w:gridCol w:w="2410"/>
      </w:tblGrid>
      <w:tr w:rsidR="0050405E" w14:paraId="51BA086E" w14:textId="77777777" w:rsidTr="00441E53">
        <w:tc>
          <w:tcPr>
            <w:tcW w:w="2943" w:type="dxa"/>
          </w:tcPr>
          <w:p w14:paraId="393BFFE6" w14:textId="77777777" w:rsidR="0050405E" w:rsidRDefault="0050405E" w:rsidP="003B36F1">
            <w:r>
              <w:t>Riska apraksts</w:t>
            </w:r>
          </w:p>
        </w:tc>
        <w:tc>
          <w:tcPr>
            <w:tcW w:w="1857" w:type="dxa"/>
          </w:tcPr>
          <w:p w14:paraId="4DD4F3F2" w14:textId="77777777" w:rsidR="0050405E" w:rsidRDefault="0050405E" w:rsidP="0050405E">
            <w:r>
              <w:t>Riska varbūtība</w:t>
            </w:r>
          </w:p>
        </w:tc>
        <w:tc>
          <w:tcPr>
            <w:tcW w:w="1857" w:type="dxa"/>
          </w:tcPr>
          <w:p w14:paraId="7D9F5923" w14:textId="77777777" w:rsidR="0050405E" w:rsidRDefault="0050405E" w:rsidP="003B36F1">
            <w:r>
              <w:t>Riska sekas</w:t>
            </w:r>
          </w:p>
        </w:tc>
        <w:tc>
          <w:tcPr>
            <w:tcW w:w="2410" w:type="dxa"/>
          </w:tcPr>
          <w:p w14:paraId="652B85D4" w14:textId="77777777" w:rsidR="0050405E" w:rsidRDefault="00087477" w:rsidP="003B36F1">
            <w:r>
              <w:t>Riska vērtējums</w:t>
            </w:r>
          </w:p>
        </w:tc>
      </w:tr>
      <w:tr w:rsidR="0050405E" w14:paraId="7783900F" w14:textId="77777777" w:rsidTr="00441E53">
        <w:tc>
          <w:tcPr>
            <w:tcW w:w="2943" w:type="dxa"/>
          </w:tcPr>
          <w:p w14:paraId="68E24BCF" w14:textId="77777777" w:rsidR="0050405E" w:rsidRDefault="00E430C1" w:rsidP="00E430C1">
            <w:r>
              <w:t>U</w:t>
            </w:r>
            <w:r w:rsidR="0050405E">
              <w:t>zņēmums neatbilst trešās puses statusam (pēc kapitāla vai īpašuma formas)</w:t>
            </w:r>
          </w:p>
        </w:tc>
        <w:tc>
          <w:tcPr>
            <w:tcW w:w="1857" w:type="dxa"/>
          </w:tcPr>
          <w:p w14:paraId="4C833AF6" w14:textId="77777777" w:rsidR="0050405E" w:rsidRDefault="00087477" w:rsidP="00087477">
            <w:pPr>
              <w:jc w:val="center"/>
            </w:pPr>
            <w:r>
              <w:t>Iespējams</w:t>
            </w:r>
          </w:p>
        </w:tc>
        <w:tc>
          <w:tcPr>
            <w:tcW w:w="1857" w:type="dxa"/>
          </w:tcPr>
          <w:p w14:paraId="6179C562" w14:textId="77777777" w:rsidR="0050405E" w:rsidRDefault="00087477" w:rsidP="00087477">
            <w:pPr>
              <w:jc w:val="center"/>
            </w:pPr>
            <w:r>
              <w:t>Lielas</w:t>
            </w:r>
          </w:p>
        </w:tc>
        <w:tc>
          <w:tcPr>
            <w:tcW w:w="2410" w:type="dxa"/>
          </w:tcPr>
          <w:p w14:paraId="17962E86" w14:textId="77777777" w:rsidR="0050405E" w:rsidRDefault="00087477" w:rsidP="00087477">
            <w:pPr>
              <w:jc w:val="center"/>
            </w:pPr>
            <w:r>
              <w:t>Augsts</w:t>
            </w:r>
          </w:p>
        </w:tc>
      </w:tr>
      <w:tr w:rsidR="00E430C1" w14:paraId="14B1E6E2" w14:textId="77777777" w:rsidTr="00441E53">
        <w:tc>
          <w:tcPr>
            <w:tcW w:w="2943" w:type="dxa"/>
          </w:tcPr>
          <w:p w14:paraId="0D3A974C" w14:textId="77777777" w:rsidR="00E430C1" w:rsidRDefault="00E430C1" w:rsidP="003B36F1">
            <w:r>
              <w:t xml:space="preserve">Ierobežota pakalpojuma </w:t>
            </w:r>
            <w:r>
              <w:lastRenderedPageBreak/>
              <w:t>pieejamība</w:t>
            </w:r>
          </w:p>
        </w:tc>
        <w:tc>
          <w:tcPr>
            <w:tcW w:w="1857" w:type="dxa"/>
          </w:tcPr>
          <w:p w14:paraId="1BCAFE3A" w14:textId="77777777" w:rsidR="00E430C1" w:rsidRDefault="00087477" w:rsidP="00087477">
            <w:pPr>
              <w:jc w:val="center"/>
            </w:pPr>
            <w:r>
              <w:lastRenderedPageBreak/>
              <w:t>Iespējams</w:t>
            </w:r>
          </w:p>
        </w:tc>
        <w:tc>
          <w:tcPr>
            <w:tcW w:w="1857" w:type="dxa"/>
          </w:tcPr>
          <w:p w14:paraId="5587B2B6" w14:textId="77777777" w:rsidR="00E430C1" w:rsidRDefault="00087477" w:rsidP="00087477">
            <w:pPr>
              <w:jc w:val="center"/>
            </w:pPr>
            <w:r>
              <w:t>Lielas</w:t>
            </w:r>
          </w:p>
        </w:tc>
        <w:tc>
          <w:tcPr>
            <w:tcW w:w="2410" w:type="dxa"/>
          </w:tcPr>
          <w:p w14:paraId="51DFE06F" w14:textId="77777777" w:rsidR="00E430C1" w:rsidRDefault="00087477" w:rsidP="00087477">
            <w:pPr>
              <w:jc w:val="center"/>
            </w:pPr>
            <w:r>
              <w:t>Augsts</w:t>
            </w:r>
          </w:p>
        </w:tc>
      </w:tr>
      <w:tr w:rsidR="00E430C1" w14:paraId="635EFFA8" w14:textId="77777777" w:rsidTr="00441E53">
        <w:tc>
          <w:tcPr>
            <w:tcW w:w="2943" w:type="dxa"/>
          </w:tcPr>
          <w:p w14:paraId="07F31671" w14:textId="77777777" w:rsidR="00E430C1" w:rsidRDefault="00E430C1" w:rsidP="003B36F1">
            <w:r>
              <w:t>Sašaurināts pakalpojumu klāsts</w:t>
            </w:r>
            <w:r w:rsidR="00EC3202">
              <w:t xml:space="preserve"> (atteikšanās no nerentabliem pakalpojumiem, t.sk. valsts deleģētas funkcijas)</w:t>
            </w:r>
          </w:p>
        </w:tc>
        <w:tc>
          <w:tcPr>
            <w:tcW w:w="1857" w:type="dxa"/>
          </w:tcPr>
          <w:p w14:paraId="13B09238" w14:textId="77777777" w:rsidR="00E430C1" w:rsidRDefault="00087477" w:rsidP="00087477">
            <w:pPr>
              <w:jc w:val="center"/>
            </w:pPr>
            <w:r>
              <w:t>Iespējams</w:t>
            </w:r>
          </w:p>
        </w:tc>
        <w:tc>
          <w:tcPr>
            <w:tcW w:w="1857" w:type="dxa"/>
          </w:tcPr>
          <w:p w14:paraId="77E6256A" w14:textId="77777777" w:rsidR="00E430C1" w:rsidRDefault="00087477" w:rsidP="00087477">
            <w:pPr>
              <w:jc w:val="center"/>
            </w:pPr>
            <w:r>
              <w:t>Viduvējas</w:t>
            </w:r>
          </w:p>
        </w:tc>
        <w:tc>
          <w:tcPr>
            <w:tcW w:w="2410" w:type="dxa"/>
          </w:tcPr>
          <w:p w14:paraId="533640C1" w14:textId="77777777" w:rsidR="00E430C1" w:rsidRDefault="00087477" w:rsidP="00087477">
            <w:pPr>
              <w:jc w:val="center"/>
            </w:pPr>
            <w:r>
              <w:t>Viduvējs</w:t>
            </w:r>
          </w:p>
        </w:tc>
      </w:tr>
      <w:tr w:rsidR="00E430C1" w14:paraId="62FDB3C1" w14:textId="77777777" w:rsidTr="00441E53">
        <w:tc>
          <w:tcPr>
            <w:tcW w:w="2943" w:type="dxa"/>
          </w:tcPr>
          <w:p w14:paraId="4E82BE2D" w14:textId="77777777" w:rsidR="00E430C1" w:rsidRDefault="00E430C1" w:rsidP="00E430C1">
            <w:r>
              <w:t>Neplānoti zemi ieņēmumi no privatizācijas</w:t>
            </w:r>
          </w:p>
        </w:tc>
        <w:tc>
          <w:tcPr>
            <w:tcW w:w="1857" w:type="dxa"/>
          </w:tcPr>
          <w:p w14:paraId="08C69EA4" w14:textId="77777777" w:rsidR="00E430C1" w:rsidRDefault="00087477" w:rsidP="00087477">
            <w:pPr>
              <w:jc w:val="center"/>
            </w:pPr>
            <w:r>
              <w:t>Gandrīz drošs</w:t>
            </w:r>
          </w:p>
        </w:tc>
        <w:tc>
          <w:tcPr>
            <w:tcW w:w="1857" w:type="dxa"/>
          </w:tcPr>
          <w:p w14:paraId="46C0A855" w14:textId="77777777" w:rsidR="00E430C1" w:rsidRDefault="00087477" w:rsidP="00087477">
            <w:pPr>
              <w:jc w:val="center"/>
            </w:pPr>
            <w:r>
              <w:t>Viduvējas</w:t>
            </w:r>
          </w:p>
        </w:tc>
        <w:tc>
          <w:tcPr>
            <w:tcW w:w="2410" w:type="dxa"/>
          </w:tcPr>
          <w:p w14:paraId="6806ABE7" w14:textId="77777777" w:rsidR="00E430C1" w:rsidRDefault="00087477" w:rsidP="00087477">
            <w:pPr>
              <w:jc w:val="center"/>
            </w:pPr>
            <w:r>
              <w:t>Augsts</w:t>
            </w:r>
          </w:p>
        </w:tc>
      </w:tr>
      <w:tr w:rsidR="00EC3202" w14:paraId="694A2366" w14:textId="77777777" w:rsidTr="00441E53">
        <w:tc>
          <w:tcPr>
            <w:tcW w:w="2943" w:type="dxa"/>
          </w:tcPr>
          <w:p w14:paraId="39E5D01A" w14:textId="77777777" w:rsidR="00EC3202" w:rsidRDefault="00EC3202" w:rsidP="00E430C1">
            <w:r>
              <w:t>Pakalpojumu cenu pieaugums</w:t>
            </w:r>
          </w:p>
        </w:tc>
        <w:tc>
          <w:tcPr>
            <w:tcW w:w="1857" w:type="dxa"/>
          </w:tcPr>
          <w:p w14:paraId="406D38E2" w14:textId="77777777" w:rsidR="00EC3202" w:rsidRDefault="00087477" w:rsidP="00087477">
            <w:pPr>
              <w:jc w:val="center"/>
            </w:pPr>
            <w:r>
              <w:t>Gandrīz drošs</w:t>
            </w:r>
          </w:p>
        </w:tc>
        <w:tc>
          <w:tcPr>
            <w:tcW w:w="1857" w:type="dxa"/>
          </w:tcPr>
          <w:p w14:paraId="392BFBDC" w14:textId="77777777" w:rsidR="00EC3202" w:rsidRDefault="00087477" w:rsidP="00087477">
            <w:pPr>
              <w:jc w:val="center"/>
            </w:pPr>
            <w:r>
              <w:t>Nenozīmīgas</w:t>
            </w:r>
          </w:p>
        </w:tc>
        <w:tc>
          <w:tcPr>
            <w:tcW w:w="2410" w:type="dxa"/>
          </w:tcPr>
          <w:p w14:paraId="676A04E1" w14:textId="77777777" w:rsidR="00EC3202" w:rsidRDefault="00087477" w:rsidP="00087477">
            <w:pPr>
              <w:jc w:val="center"/>
            </w:pPr>
            <w:r>
              <w:t>Augsts</w:t>
            </w:r>
          </w:p>
        </w:tc>
      </w:tr>
      <w:tr w:rsidR="00EC3202" w14:paraId="208FD3C9" w14:textId="77777777" w:rsidTr="00441E53">
        <w:tc>
          <w:tcPr>
            <w:tcW w:w="2943" w:type="dxa"/>
          </w:tcPr>
          <w:p w14:paraId="5C3CDCF7" w14:textId="77777777" w:rsidR="00EC3202" w:rsidRDefault="00EC3202" w:rsidP="00E430C1">
            <w:r>
              <w:t>Maksātnespējas iespēja</w:t>
            </w:r>
          </w:p>
        </w:tc>
        <w:tc>
          <w:tcPr>
            <w:tcW w:w="1857" w:type="dxa"/>
          </w:tcPr>
          <w:p w14:paraId="25F5D290" w14:textId="77777777" w:rsidR="00EC3202" w:rsidRDefault="00087477" w:rsidP="00087477">
            <w:pPr>
              <w:jc w:val="center"/>
            </w:pPr>
            <w:r>
              <w:t>Iespējams</w:t>
            </w:r>
          </w:p>
        </w:tc>
        <w:tc>
          <w:tcPr>
            <w:tcW w:w="1857" w:type="dxa"/>
          </w:tcPr>
          <w:p w14:paraId="629BA831" w14:textId="77777777" w:rsidR="00EC3202" w:rsidRDefault="00087477" w:rsidP="00087477">
            <w:pPr>
              <w:jc w:val="center"/>
            </w:pPr>
            <w:r>
              <w:t>Lielas</w:t>
            </w:r>
          </w:p>
        </w:tc>
        <w:tc>
          <w:tcPr>
            <w:tcW w:w="2410" w:type="dxa"/>
          </w:tcPr>
          <w:p w14:paraId="08903D64" w14:textId="77777777" w:rsidR="00EC3202" w:rsidRDefault="00087477" w:rsidP="00087477">
            <w:pPr>
              <w:jc w:val="center"/>
            </w:pPr>
            <w:r>
              <w:t>Augsts</w:t>
            </w:r>
          </w:p>
        </w:tc>
      </w:tr>
      <w:tr w:rsidR="00EC3202" w14:paraId="5CFF70FC" w14:textId="77777777" w:rsidTr="00441E53">
        <w:tc>
          <w:tcPr>
            <w:tcW w:w="2943" w:type="dxa"/>
          </w:tcPr>
          <w:p w14:paraId="48BC912C" w14:textId="77777777" w:rsidR="00EC3202" w:rsidRDefault="00EC3202" w:rsidP="00E430C1">
            <w:r>
              <w:t>Valsts zaudē iespēju iegūt informāciju par dārgmetālu, dārgakmeņu tirgus dalībniekiem</w:t>
            </w:r>
          </w:p>
        </w:tc>
        <w:tc>
          <w:tcPr>
            <w:tcW w:w="1857" w:type="dxa"/>
          </w:tcPr>
          <w:p w14:paraId="051A25F2" w14:textId="77777777" w:rsidR="00EC3202" w:rsidRDefault="00087477" w:rsidP="00087477">
            <w:pPr>
              <w:jc w:val="center"/>
            </w:pPr>
            <w:r>
              <w:t>Gandrīz drošs</w:t>
            </w:r>
          </w:p>
        </w:tc>
        <w:tc>
          <w:tcPr>
            <w:tcW w:w="1857" w:type="dxa"/>
          </w:tcPr>
          <w:p w14:paraId="572E6A0A" w14:textId="77777777" w:rsidR="00EC3202" w:rsidRDefault="00087477" w:rsidP="00087477">
            <w:pPr>
              <w:jc w:val="center"/>
            </w:pPr>
            <w:r>
              <w:t>Viduvējas</w:t>
            </w:r>
          </w:p>
        </w:tc>
        <w:tc>
          <w:tcPr>
            <w:tcW w:w="2410" w:type="dxa"/>
          </w:tcPr>
          <w:p w14:paraId="2AA6D328" w14:textId="77777777" w:rsidR="00EC3202" w:rsidRDefault="00087477" w:rsidP="00087477">
            <w:pPr>
              <w:jc w:val="center"/>
            </w:pPr>
            <w:r>
              <w:t>Augsts</w:t>
            </w:r>
          </w:p>
        </w:tc>
      </w:tr>
      <w:tr w:rsidR="00EC3202" w14:paraId="7C4E75EA" w14:textId="77777777" w:rsidTr="00441E53">
        <w:tc>
          <w:tcPr>
            <w:tcW w:w="2943" w:type="dxa"/>
          </w:tcPr>
          <w:p w14:paraId="4E9E4A03" w14:textId="77777777" w:rsidR="00EC3202" w:rsidRDefault="00EC3202" w:rsidP="00EC3202">
            <w:r>
              <w:t>Pieaug budžeta izmaksas deleģēto funkciju realizācijai</w:t>
            </w:r>
          </w:p>
        </w:tc>
        <w:tc>
          <w:tcPr>
            <w:tcW w:w="1857" w:type="dxa"/>
          </w:tcPr>
          <w:p w14:paraId="298A4675" w14:textId="77777777" w:rsidR="00EC3202" w:rsidRDefault="00087477" w:rsidP="00087477">
            <w:pPr>
              <w:jc w:val="center"/>
            </w:pPr>
            <w:r>
              <w:t>Gandrīz drošs</w:t>
            </w:r>
          </w:p>
        </w:tc>
        <w:tc>
          <w:tcPr>
            <w:tcW w:w="1857" w:type="dxa"/>
          </w:tcPr>
          <w:p w14:paraId="38BDC986" w14:textId="77777777" w:rsidR="00EC3202" w:rsidRDefault="00087477" w:rsidP="00087477">
            <w:pPr>
              <w:jc w:val="center"/>
            </w:pPr>
            <w:r>
              <w:t>Viduvējas</w:t>
            </w:r>
          </w:p>
        </w:tc>
        <w:tc>
          <w:tcPr>
            <w:tcW w:w="2410" w:type="dxa"/>
          </w:tcPr>
          <w:p w14:paraId="63E8FD68" w14:textId="77777777" w:rsidR="00EC3202" w:rsidRDefault="00087477" w:rsidP="00087477">
            <w:pPr>
              <w:jc w:val="center"/>
            </w:pPr>
            <w:r>
              <w:t>Augsts</w:t>
            </w:r>
          </w:p>
        </w:tc>
      </w:tr>
      <w:tr w:rsidR="00EC3202" w14:paraId="2D8744D4" w14:textId="77777777" w:rsidTr="00441E53">
        <w:tc>
          <w:tcPr>
            <w:tcW w:w="2943" w:type="dxa"/>
          </w:tcPr>
          <w:p w14:paraId="690E8ADD" w14:textId="77777777" w:rsidR="00EC3202" w:rsidRDefault="00EC3202" w:rsidP="00EC3202">
            <w:r>
              <w:t>Valsts zaudē kompetenci dārgmetālu, dārgakmeņu testēšanas un tirgus uzraudzības jomā</w:t>
            </w:r>
          </w:p>
        </w:tc>
        <w:tc>
          <w:tcPr>
            <w:tcW w:w="1857" w:type="dxa"/>
          </w:tcPr>
          <w:p w14:paraId="6DF24009" w14:textId="77777777" w:rsidR="00EC3202" w:rsidRDefault="00087477" w:rsidP="00087477">
            <w:pPr>
              <w:jc w:val="center"/>
            </w:pPr>
            <w:r>
              <w:t>Iespējams</w:t>
            </w:r>
          </w:p>
        </w:tc>
        <w:tc>
          <w:tcPr>
            <w:tcW w:w="1857" w:type="dxa"/>
          </w:tcPr>
          <w:p w14:paraId="018F8DDD" w14:textId="77777777" w:rsidR="00EC3202" w:rsidRDefault="00087477" w:rsidP="00087477">
            <w:pPr>
              <w:jc w:val="center"/>
            </w:pPr>
            <w:r>
              <w:t>Lielas</w:t>
            </w:r>
          </w:p>
        </w:tc>
        <w:tc>
          <w:tcPr>
            <w:tcW w:w="2410" w:type="dxa"/>
          </w:tcPr>
          <w:p w14:paraId="7B41FCAC" w14:textId="77777777" w:rsidR="00EC3202" w:rsidRDefault="00087477" w:rsidP="00087477">
            <w:pPr>
              <w:jc w:val="center"/>
            </w:pPr>
            <w:r>
              <w:t>Augsts</w:t>
            </w:r>
          </w:p>
        </w:tc>
      </w:tr>
    </w:tbl>
    <w:p w14:paraId="39683F13" w14:textId="77777777" w:rsidR="004218BD" w:rsidRDefault="004218BD" w:rsidP="00E36722">
      <w:pPr>
        <w:ind w:firstLine="720"/>
      </w:pPr>
    </w:p>
    <w:p w14:paraId="6F488F5F" w14:textId="77777777" w:rsidR="003A4A16" w:rsidRDefault="00BE627B" w:rsidP="003A4A16">
      <w:pPr>
        <w:ind w:firstLine="720"/>
      </w:pPr>
      <w:r>
        <w:t xml:space="preserve">Ja pēc </w:t>
      </w:r>
      <w:r w:rsidR="007E36C0" w:rsidRPr="008E3A3E">
        <w:t xml:space="preserve">VSIA </w:t>
      </w:r>
      <w:r w:rsidR="000B440F">
        <w:t>“</w:t>
      </w:r>
      <w:r w:rsidR="007E36C0">
        <w:t xml:space="preserve">Latvijas </w:t>
      </w:r>
      <w:r w:rsidR="00A868B2">
        <w:t>Proves birojs</w:t>
      </w:r>
      <w:r w:rsidR="000B440F">
        <w:t>”</w:t>
      </w:r>
      <w:r w:rsidR="007E36C0" w:rsidRPr="008E3A3E">
        <w:t xml:space="preserve"> </w:t>
      </w:r>
      <w:r>
        <w:t xml:space="preserve">kapitāla daļu atsavināšanas kā dārgmetālu un dārgakmeņu tirgus dalībnieku uzraudzītāju un kontrolieri kļūtu VID, būtu nepieciešams ilgāks laika periods, lai VID spētu nodrošināt iepriekš </w:t>
      </w:r>
      <w:r w:rsidRPr="008415B3">
        <w:t xml:space="preserve">VSIA </w:t>
      </w:r>
      <w:r w:rsidR="000B440F">
        <w:t>“</w:t>
      </w:r>
      <w:r w:rsidRPr="008415B3">
        <w:t>Latvijas Proves birojs</w:t>
      </w:r>
      <w:r w:rsidR="000B440F">
        <w:t>”</w:t>
      </w:r>
      <w:r w:rsidRPr="008415B3">
        <w:t xml:space="preserve"> </w:t>
      </w:r>
      <w:r>
        <w:t xml:space="preserve">sniegto pakalpojumu kvalitāti, kā arī izmaksas valsts pārvaldes uzdevuma nodrošināšanai būtu krietni </w:t>
      </w:r>
      <w:r w:rsidRPr="007F12E2">
        <w:t>lielākas, proti, vismaz 305 </w:t>
      </w:r>
      <w:r w:rsidR="007F12E2" w:rsidRPr="007F12E2">
        <w:t>737</w:t>
      </w:r>
      <w:r w:rsidRPr="007F12E2">
        <w:t xml:space="preserve"> EUR, nodrošinot dārgakmeņu un dārgmetālu ekspertu piesaisti, augstākās kvalitātes kapitālieguldījumu iekārtu un ierīču iegādi, </w:t>
      </w:r>
      <w:r w:rsidR="007F12E2" w:rsidRPr="007F12E2">
        <w:t xml:space="preserve">apmācībām, neskaitot </w:t>
      </w:r>
      <w:r w:rsidRPr="007F12E2">
        <w:t xml:space="preserve">atalgojumus atbilstoši specializācijai un nozarei, ar darba samaksu saistīto nodokļu un nodevu samaksu, telpu nomu izmeklējumu veikšanai, telpu pielāgošanai, </w:t>
      </w:r>
      <w:r w:rsidR="00B41D3A" w:rsidRPr="007F12E2">
        <w:t>kvalitātes nodrošināšanai.</w:t>
      </w:r>
      <w:r w:rsidR="003A4A16" w:rsidRPr="007F12E2">
        <w:t xml:space="preserve"> Vienreizējo izmaksu valsts pārvaldes uzdevuma uzsākšanai atšifrējums</w:t>
      </w:r>
      <w:r w:rsidR="003A4A16">
        <w:t xml:space="preserve"> atspoguļots informatīvā ziņojuma </w:t>
      </w:r>
      <w:r w:rsidR="004218BD">
        <w:t>3</w:t>
      </w:r>
      <w:r w:rsidR="003A4A16">
        <w:t>.tabulā.</w:t>
      </w:r>
    </w:p>
    <w:p w14:paraId="4DB116B0" w14:textId="77777777" w:rsidR="003A4A16" w:rsidRPr="004415E1" w:rsidRDefault="00441E53" w:rsidP="004415E1">
      <w:pPr>
        <w:pStyle w:val="ListParagraph"/>
        <w:ind w:left="0"/>
        <w:contextualSpacing w:val="0"/>
        <w:jc w:val="right"/>
        <w:rPr>
          <w:sz w:val="20"/>
          <w:szCs w:val="20"/>
        </w:rPr>
      </w:pPr>
      <w:r>
        <w:rPr>
          <w:sz w:val="20"/>
          <w:szCs w:val="20"/>
        </w:rPr>
        <w:t>6</w:t>
      </w:r>
      <w:r w:rsidR="003A4A16" w:rsidRPr="004415E1">
        <w:rPr>
          <w:sz w:val="20"/>
          <w:szCs w:val="20"/>
        </w:rPr>
        <w:t>.tabula</w:t>
      </w:r>
    </w:p>
    <w:tbl>
      <w:tblPr>
        <w:tblStyle w:val="TableGrid"/>
        <w:tblW w:w="0" w:type="auto"/>
        <w:tblLook w:val="04A0" w:firstRow="1" w:lastRow="0" w:firstColumn="1" w:lastColumn="0" w:noHBand="0" w:noVBand="1"/>
      </w:tblPr>
      <w:tblGrid>
        <w:gridCol w:w="6659"/>
        <w:gridCol w:w="2618"/>
      </w:tblGrid>
      <w:tr w:rsidR="003A4A16" w:rsidRPr="00E57871" w14:paraId="5074E857" w14:textId="77777777" w:rsidTr="0080444F">
        <w:trPr>
          <w:trHeight w:val="369"/>
        </w:trPr>
        <w:tc>
          <w:tcPr>
            <w:tcW w:w="6659" w:type="dxa"/>
          </w:tcPr>
          <w:p w14:paraId="1DC03C6D" w14:textId="77777777" w:rsidR="003A4A16" w:rsidRPr="00E57871" w:rsidRDefault="00E57871" w:rsidP="00E57871">
            <w:pPr>
              <w:pStyle w:val="ListParagraph"/>
              <w:spacing w:before="60" w:after="60"/>
              <w:ind w:left="0"/>
              <w:contextualSpacing w:val="0"/>
              <w:jc w:val="center"/>
              <w:rPr>
                <w:b/>
                <w:szCs w:val="24"/>
              </w:rPr>
            </w:pPr>
            <w:r>
              <w:rPr>
                <w:b/>
                <w:szCs w:val="24"/>
              </w:rPr>
              <w:t>Ieguldījumu veids</w:t>
            </w:r>
          </w:p>
        </w:tc>
        <w:tc>
          <w:tcPr>
            <w:tcW w:w="2618" w:type="dxa"/>
          </w:tcPr>
          <w:p w14:paraId="72DAD6F2" w14:textId="77777777" w:rsidR="003A4A16" w:rsidRPr="00E57871" w:rsidRDefault="004415E1" w:rsidP="00E57871">
            <w:pPr>
              <w:pStyle w:val="ListParagraph"/>
              <w:spacing w:before="60" w:after="60"/>
              <w:ind w:left="0"/>
              <w:contextualSpacing w:val="0"/>
              <w:jc w:val="center"/>
              <w:rPr>
                <w:b/>
                <w:szCs w:val="24"/>
              </w:rPr>
            </w:pPr>
            <w:r w:rsidRPr="00E57871">
              <w:rPr>
                <w:b/>
                <w:szCs w:val="24"/>
              </w:rPr>
              <w:t>EUR</w:t>
            </w:r>
          </w:p>
        </w:tc>
      </w:tr>
      <w:tr w:rsidR="00E57871" w:rsidRPr="00E57871" w14:paraId="6009F1E9" w14:textId="77777777" w:rsidTr="0080444F">
        <w:tc>
          <w:tcPr>
            <w:tcW w:w="9277" w:type="dxa"/>
            <w:gridSpan w:val="2"/>
          </w:tcPr>
          <w:p w14:paraId="30023722" w14:textId="77777777" w:rsidR="00E57871" w:rsidRPr="00E57871" w:rsidRDefault="00E57871" w:rsidP="00E57871">
            <w:pPr>
              <w:pStyle w:val="ListParagraph"/>
              <w:spacing w:before="60" w:after="60"/>
              <w:ind w:left="0"/>
              <w:contextualSpacing w:val="0"/>
              <w:rPr>
                <w:color w:val="000000"/>
                <w:szCs w:val="24"/>
              </w:rPr>
            </w:pPr>
            <w:r w:rsidRPr="00E57871">
              <w:rPr>
                <w:b/>
                <w:szCs w:val="24"/>
              </w:rPr>
              <w:t>Paraugu atlase un sijājošā diagnostika (skrīnings):</w:t>
            </w:r>
          </w:p>
        </w:tc>
      </w:tr>
      <w:tr w:rsidR="004415E1" w:rsidRPr="00E57871" w14:paraId="12D7E256" w14:textId="77777777" w:rsidTr="0080444F">
        <w:tc>
          <w:tcPr>
            <w:tcW w:w="6659" w:type="dxa"/>
          </w:tcPr>
          <w:p w14:paraId="78925A52" w14:textId="77777777" w:rsidR="004415E1" w:rsidRPr="00E57871" w:rsidRDefault="004415E1" w:rsidP="00E57871">
            <w:pPr>
              <w:pStyle w:val="ListParagraph"/>
              <w:spacing w:before="60" w:after="60"/>
              <w:ind w:left="0"/>
              <w:contextualSpacing w:val="0"/>
              <w:rPr>
                <w:b/>
                <w:szCs w:val="24"/>
              </w:rPr>
            </w:pPr>
            <w:r w:rsidRPr="00E57871">
              <w:rPr>
                <w:color w:val="000000"/>
                <w:szCs w:val="24"/>
              </w:rPr>
              <w:t>Kapitālieguldījumi</w:t>
            </w:r>
          </w:p>
        </w:tc>
        <w:tc>
          <w:tcPr>
            <w:tcW w:w="2618" w:type="dxa"/>
          </w:tcPr>
          <w:p w14:paraId="21A00476" w14:textId="77777777" w:rsidR="004415E1" w:rsidRPr="00E57871" w:rsidRDefault="004415E1" w:rsidP="00E57871">
            <w:pPr>
              <w:pStyle w:val="ListParagraph"/>
              <w:spacing w:before="60" w:after="60"/>
              <w:ind w:left="0"/>
              <w:contextualSpacing w:val="0"/>
              <w:jc w:val="center"/>
              <w:rPr>
                <w:b/>
                <w:szCs w:val="24"/>
              </w:rPr>
            </w:pPr>
            <w:r w:rsidRPr="00E57871">
              <w:rPr>
                <w:color w:val="000000"/>
                <w:szCs w:val="24"/>
              </w:rPr>
              <w:t>85</w:t>
            </w:r>
            <w:r w:rsidR="00E57871">
              <w:rPr>
                <w:color w:val="000000"/>
                <w:szCs w:val="24"/>
              </w:rPr>
              <w:t> </w:t>
            </w:r>
            <w:r w:rsidRPr="00E57871">
              <w:rPr>
                <w:color w:val="000000"/>
                <w:szCs w:val="24"/>
              </w:rPr>
              <w:t>000</w:t>
            </w:r>
          </w:p>
        </w:tc>
      </w:tr>
      <w:tr w:rsidR="004415E1" w:rsidRPr="00E57871" w14:paraId="2E134BD6" w14:textId="77777777" w:rsidTr="0080444F">
        <w:tc>
          <w:tcPr>
            <w:tcW w:w="6659" w:type="dxa"/>
          </w:tcPr>
          <w:p w14:paraId="7F12AAF2" w14:textId="77777777" w:rsidR="004415E1" w:rsidRPr="00E57871" w:rsidRDefault="004415E1" w:rsidP="00E57871">
            <w:pPr>
              <w:pStyle w:val="ListParagraph"/>
              <w:spacing w:before="60" w:after="60"/>
              <w:ind w:left="0"/>
              <w:contextualSpacing w:val="0"/>
              <w:rPr>
                <w:color w:val="000000"/>
                <w:szCs w:val="24"/>
              </w:rPr>
            </w:pPr>
            <w:r w:rsidRPr="00E57871">
              <w:rPr>
                <w:color w:val="000000"/>
                <w:szCs w:val="24"/>
              </w:rPr>
              <w:t>Inventārs, materiāli</w:t>
            </w:r>
          </w:p>
        </w:tc>
        <w:tc>
          <w:tcPr>
            <w:tcW w:w="2618" w:type="dxa"/>
          </w:tcPr>
          <w:p w14:paraId="0A34FE7A" w14:textId="77777777" w:rsidR="004415E1" w:rsidRPr="00E57871" w:rsidRDefault="004415E1" w:rsidP="00E57871">
            <w:pPr>
              <w:pStyle w:val="ListParagraph"/>
              <w:spacing w:before="60" w:after="60"/>
              <w:ind w:left="0"/>
              <w:contextualSpacing w:val="0"/>
              <w:jc w:val="center"/>
              <w:rPr>
                <w:color w:val="000000"/>
                <w:szCs w:val="24"/>
              </w:rPr>
            </w:pPr>
            <w:r w:rsidRPr="00E57871">
              <w:rPr>
                <w:color w:val="000000"/>
                <w:szCs w:val="24"/>
              </w:rPr>
              <w:t>8</w:t>
            </w:r>
            <w:r w:rsidR="00E57871">
              <w:rPr>
                <w:color w:val="000000"/>
                <w:szCs w:val="24"/>
              </w:rPr>
              <w:t> </w:t>
            </w:r>
            <w:r w:rsidRPr="00E57871">
              <w:rPr>
                <w:color w:val="000000"/>
                <w:szCs w:val="24"/>
              </w:rPr>
              <w:t>400</w:t>
            </w:r>
          </w:p>
        </w:tc>
      </w:tr>
      <w:tr w:rsidR="004415E1" w:rsidRPr="00E57871" w14:paraId="4D0ADFC1" w14:textId="77777777" w:rsidTr="0080444F">
        <w:tc>
          <w:tcPr>
            <w:tcW w:w="6659" w:type="dxa"/>
          </w:tcPr>
          <w:p w14:paraId="35512F74" w14:textId="77777777" w:rsidR="004415E1" w:rsidRPr="00E57871" w:rsidRDefault="004415E1" w:rsidP="00E57871">
            <w:pPr>
              <w:pStyle w:val="ListParagraph"/>
              <w:spacing w:before="60" w:after="60"/>
              <w:ind w:left="0"/>
              <w:contextualSpacing w:val="0"/>
              <w:rPr>
                <w:color w:val="000000"/>
                <w:szCs w:val="24"/>
              </w:rPr>
            </w:pPr>
            <w:r w:rsidRPr="00E57871">
              <w:rPr>
                <w:color w:val="000000"/>
                <w:szCs w:val="24"/>
              </w:rPr>
              <w:t>Personāla apmācība</w:t>
            </w:r>
          </w:p>
        </w:tc>
        <w:tc>
          <w:tcPr>
            <w:tcW w:w="2618" w:type="dxa"/>
          </w:tcPr>
          <w:p w14:paraId="06963F66" w14:textId="77777777" w:rsidR="004415E1" w:rsidRPr="00E57871" w:rsidRDefault="004415E1" w:rsidP="00E57871">
            <w:pPr>
              <w:pStyle w:val="ListParagraph"/>
              <w:spacing w:before="60" w:after="60"/>
              <w:ind w:left="0"/>
              <w:contextualSpacing w:val="0"/>
              <w:jc w:val="center"/>
              <w:rPr>
                <w:color w:val="000000"/>
                <w:szCs w:val="24"/>
              </w:rPr>
            </w:pPr>
            <w:r w:rsidRPr="00E57871">
              <w:rPr>
                <w:color w:val="000000"/>
                <w:szCs w:val="24"/>
              </w:rPr>
              <w:t>6</w:t>
            </w:r>
            <w:r w:rsidR="00E57871">
              <w:rPr>
                <w:color w:val="000000"/>
                <w:szCs w:val="24"/>
              </w:rPr>
              <w:t> </w:t>
            </w:r>
            <w:r w:rsidRPr="00E57871">
              <w:rPr>
                <w:color w:val="000000"/>
                <w:szCs w:val="24"/>
              </w:rPr>
              <w:t>000</w:t>
            </w:r>
          </w:p>
        </w:tc>
      </w:tr>
      <w:tr w:rsidR="00E57871" w:rsidRPr="00E57871" w14:paraId="13B0B455" w14:textId="77777777" w:rsidTr="0080444F">
        <w:trPr>
          <w:trHeight w:val="401"/>
        </w:trPr>
        <w:tc>
          <w:tcPr>
            <w:tcW w:w="9277" w:type="dxa"/>
            <w:gridSpan w:val="2"/>
          </w:tcPr>
          <w:p w14:paraId="3536D5B1" w14:textId="77777777" w:rsidR="00E57871" w:rsidRPr="00E57871" w:rsidRDefault="00E57871" w:rsidP="00E57871">
            <w:pPr>
              <w:pStyle w:val="ListParagraph"/>
              <w:spacing w:before="60" w:after="60"/>
              <w:ind w:left="0"/>
              <w:contextualSpacing w:val="0"/>
              <w:rPr>
                <w:color w:val="000000"/>
                <w:szCs w:val="24"/>
              </w:rPr>
            </w:pPr>
            <w:r w:rsidRPr="00E57871">
              <w:rPr>
                <w:b/>
                <w:szCs w:val="24"/>
              </w:rPr>
              <w:t>Paraugu testēšana (ISO 11427, ISO 11426, ISO</w:t>
            </w:r>
            <w:r w:rsidRPr="00E57871">
              <w:rPr>
                <w:szCs w:val="24"/>
              </w:rPr>
              <w:t xml:space="preserve"> </w:t>
            </w:r>
            <w:r w:rsidRPr="00E57871">
              <w:rPr>
                <w:b/>
                <w:szCs w:val="24"/>
              </w:rPr>
              <w:t>11494 ISO11495)</w:t>
            </w:r>
            <w:r>
              <w:rPr>
                <w:b/>
                <w:szCs w:val="24"/>
              </w:rPr>
              <w:t>:</w:t>
            </w:r>
          </w:p>
        </w:tc>
      </w:tr>
      <w:tr w:rsidR="004415E1" w:rsidRPr="00E57871" w14:paraId="7C378EC7" w14:textId="77777777" w:rsidTr="0080444F">
        <w:tc>
          <w:tcPr>
            <w:tcW w:w="6659" w:type="dxa"/>
          </w:tcPr>
          <w:p w14:paraId="7D02C9DC" w14:textId="77777777" w:rsidR="004415E1" w:rsidRPr="00E57871" w:rsidRDefault="004415E1" w:rsidP="00E57871">
            <w:pPr>
              <w:pStyle w:val="ListParagraph"/>
              <w:spacing w:before="60" w:after="60"/>
              <w:ind w:left="0"/>
              <w:contextualSpacing w:val="0"/>
              <w:rPr>
                <w:b/>
                <w:szCs w:val="24"/>
              </w:rPr>
            </w:pPr>
            <w:r w:rsidRPr="00E57871">
              <w:rPr>
                <w:color w:val="000000"/>
                <w:szCs w:val="24"/>
                <w:lang w:val="en-US"/>
              </w:rPr>
              <w:t>Kapitālieguldījumi</w:t>
            </w:r>
          </w:p>
        </w:tc>
        <w:tc>
          <w:tcPr>
            <w:tcW w:w="2618" w:type="dxa"/>
          </w:tcPr>
          <w:p w14:paraId="6F070AD5" w14:textId="77777777" w:rsidR="004415E1" w:rsidRPr="00E57871" w:rsidRDefault="004415E1" w:rsidP="00E57871">
            <w:pPr>
              <w:pStyle w:val="ListParagraph"/>
              <w:spacing w:before="60" w:after="60"/>
              <w:ind w:left="0"/>
              <w:contextualSpacing w:val="0"/>
              <w:jc w:val="center"/>
              <w:rPr>
                <w:color w:val="000000"/>
                <w:szCs w:val="24"/>
              </w:rPr>
            </w:pPr>
            <w:r w:rsidRPr="00E57871">
              <w:rPr>
                <w:color w:val="000000"/>
                <w:szCs w:val="24"/>
                <w:lang w:val="en-US"/>
              </w:rPr>
              <w:t>145</w:t>
            </w:r>
            <w:r w:rsidR="00E57871">
              <w:rPr>
                <w:color w:val="000000"/>
                <w:szCs w:val="24"/>
                <w:lang w:val="en-US"/>
              </w:rPr>
              <w:t> </w:t>
            </w:r>
            <w:r w:rsidRPr="00E57871">
              <w:rPr>
                <w:color w:val="000000"/>
                <w:szCs w:val="24"/>
                <w:lang w:val="en-US"/>
              </w:rPr>
              <w:t>000</w:t>
            </w:r>
          </w:p>
        </w:tc>
      </w:tr>
      <w:tr w:rsidR="004415E1" w:rsidRPr="00E57871" w14:paraId="7ABCB496" w14:textId="77777777" w:rsidTr="0080444F">
        <w:tc>
          <w:tcPr>
            <w:tcW w:w="6659" w:type="dxa"/>
          </w:tcPr>
          <w:p w14:paraId="7A6D5CCE" w14:textId="77777777" w:rsidR="004415E1" w:rsidRPr="00E57871" w:rsidRDefault="004415E1" w:rsidP="00E57871">
            <w:pPr>
              <w:pStyle w:val="ListParagraph"/>
              <w:spacing w:before="60" w:after="60"/>
              <w:ind w:left="0"/>
              <w:contextualSpacing w:val="0"/>
              <w:rPr>
                <w:color w:val="000000"/>
                <w:szCs w:val="24"/>
                <w:lang w:val="en-US"/>
              </w:rPr>
            </w:pPr>
            <w:r w:rsidRPr="00E57871">
              <w:rPr>
                <w:color w:val="000000"/>
                <w:szCs w:val="24"/>
                <w:lang w:val="en-US"/>
              </w:rPr>
              <w:t>Inventārs, materiāli</w:t>
            </w:r>
          </w:p>
        </w:tc>
        <w:tc>
          <w:tcPr>
            <w:tcW w:w="2618" w:type="dxa"/>
          </w:tcPr>
          <w:p w14:paraId="508E360F" w14:textId="77777777" w:rsidR="004415E1" w:rsidRPr="00E57871" w:rsidRDefault="004415E1" w:rsidP="00E57871">
            <w:pPr>
              <w:pStyle w:val="ListParagraph"/>
              <w:spacing w:before="60" w:after="60"/>
              <w:ind w:left="0"/>
              <w:contextualSpacing w:val="0"/>
              <w:jc w:val="center"/>
              <w:rPr>
                <w:color w:val="000000"/>
                <w:szCs w:val="24"/>
                <w:lang w:val="en-US"/>
              </w:rPr>
            </w:pPr>
            <w:r w:rsidRPr="00E57871">
              <w:rPr>
                <w:color w:val="000000"/>
                <w:szCs w:val="24"/>
                <w:lang w:val="en-US"/>
              </w:rPr>
              <w:t>6</w:t>
            </w:r>
            <w:r w:rsidR="00E57871">
              <w:rPr>
                <w:color w:val="000000"/>
                <w:szCs w:val="24"/>
                <w:lang w:val="en-US"/>
              </w:rPr>
              <w:t> </w:t>
            </w:r>
            <w:r w:rsidRPr="00E57871">
              <w:rPr>
                <w:color w:val="000000"/>
                <w:szCs w:val="24"/>
                <w:lang w:val="en-US"/>
              </w:rPr>
              <w:t>000</w:t>
            </w:r>
          </w:p>
        </w:tc>
      </w:tr>
      <w:tr w:rsidR="004415E1" w:rsidRPr="00E57871" w14:paraId="3E57187D" w14:textId="77777777" w:rsidTr="0080444F">
        <w:tc>
          <w:tcPr>
            <w:tcW w:w="6659" w:type="dxa"/>
          </w:tcPr>
          <w:p w14:paraId="3468E836" w14:textId="77777777" w:rsidR="004415E1" w:rsidRPr="00E57871" w:rsidRDefault="004415E1" w:rsidP="00E57871">
            <w:pPr>
              <w:pStyle w:val="ListParagraph"/>
              <w:spacing w:before="60" w:after="60"/>
              <w:ind w:left="0"/>
              <w:contextualSpacing w:val="0"/>
              <w:rPr>
                <w:color w:val="000000"/>
                <w:szCs w:val="24"/>
                <w:lang w:val="en-US"/>
              </w:rPr>
            </w:pPr>
            <w:r w:rsidRPr="00E57871">
              <w:rPr>
                <w:color w:val="000000"/>
                <w:szCs w:val="24"/>
                <w:lang w:val="en-US"/>
              </w:rPr>
              <w:t>Personāla apmācība</w:t>
            </w:r>
          </w:p>
        </w:tc>
        <w:tc>
          <w:tcPr>
            <w:tcW w:w="2618" w:type="dxa"/>
          </w:tcPr>
          <w:p w14:paraId="37A13410" w14:textId="77777777" w:rsidR="004415E1" w:rsidRPr="00E57871" w:rsidRDefault="004415E1" w:rsidP="00E57871">
            <w:pPr>
              <w:pStyle w:val="ListParagraph"/>
              <w:spacing w:before="60" w:after="60"/>
              <w:ind w:left="0"/>
              <w:contextualSpacing w:val="0"/>
              <w:jc w:val="center"/>
              <w:rPr>
                <w:color w:val="000000"/>
                <w:szCs w:val="24"/>
                <w:lang w:val="en-US"/>
              </w:rPr>
            </w:pPr>
            <w:r w:rsidRPr="00E57871">
              <w:rPr>
                <w:color w:val="000000"/>
                <w:szCs w:val="24"/>
                <w:lang w:val="en-US"/>
              </w:rPr>
              <w:t>4</w:t>
            </w:r>
            <w:r w:rsidR="00E57871">
              <w:rPr>
                <w:color w:val="000000"/>
                <w:szCs w:val="24"/>
                <w:lang w:val="en-US"/>
              </w:rPr>
              <w:t> </w:t>
            </w:r>
            <w:r w:rsidRPr="00E57871">
              <w:rPr>
                <w:color w:val="000000"/>
                <w:szCs w:val="24"/>
                <w:lang w:val="en-US"/>
              </w:rPr>
              <w:t>000</w:t>
            </w:r>
          </w:p>
        </w:tc>
      </w:tr>
      <w:tr w:rsidR="004415E1" w:rsidRPr="00E57871" w14:paraId="6CF5B7A6" w14:textId="77777777" w:rsidTr="0080444F">
        <w:trPr>
          <w:trHeight w:val="419"/>
        </w:trPr>
        <w:tc>
          <w:tcPr>
            <w:tcW w:w="6659" w:type="dxa"/>
          </w:tcPr>
          <w:p w14:paraId="2E53429C" w14:textId="77777777" w:rsidR="004415E1" w:rsidRPr="00E57871" w:rsidRDefault="004415E1" w:rsidP="00E57871">
            <w:pPr>
              <w:pStyle w:val="ListParagraph"/>
              <w:spacing w:before="60" w:after="60"/>
              <w:ind w:left="0"/>
              <w:contextualSpacing w:val="0"/>
              <w:jc w:val="right"/>
              <w:rPr>
                <w:b/>
                <w:color w:val="000000"/>
                <w:szCs w:val="24"/>
                <w:lang w:val="en-US"/>
              </w:rPr>
            </w:pPr>
            <w:r w:rsidRPr="00E57871">
              <w:rPr>
                <w:b/>
                <w:color w:val="000000"/>
                <w:szCs w:val="24"/>
                <w:lang w:val="en-US"/>
              </w:rPr>
              <w:t>Kopā</w:t>
            </w:r>
            <w:r w:rsidR="00E57871">
              <w:rPr>
                <w:b/>
                <w:color w:val="000000"/>
                <w:szCs w:val="24"/>
                <w:lang w:val="en-US"/>
              </w:rPr>
              <w:t>:</w:t>
            </w:r>
          </w:p>
        </w:tc>
        <w:tc>
          <w:tcPr>
            <w:tcW w:w="2618" w:type="dxa"/>
          </w:tcPr>
          <w:p w14:paraId="4B2F3449" w14:textId="77777777" w:rsidR="004415E1" w:rsidRPr="00E57871" w:rsidRDefault="004415E1" w:rsidP="00E57871">
            <w:pPr>
              <w:pStyle w:val="ListParagraph"/>
              <w:spacing w:before="60" w:after="60"/>
              <w:ind w:left="0"/>
              <w:contextualSpacing w:val="0"/>
              <w:jc w:val="center"/>
              <w:rPr>
                <w:b/>
                <w:color w:val="000000"/>
                <w:szCs w:val="24"/>
                <w:lang w:val="en-US"/>
              </w:rPr>
            </w:pPr>
            <w:r w:rsidRPr="00E57871">
              <w:rPr>
                <w:b/>
                <w:color w:val="000000"/>
                <w:szCs w:val="24"/>
                <w:lang w:val="en-US"/>
              </w:rPr>
              <w:t>305</w:t>
            </w:r>
            <w:r w:rsidR="00E57871">
              <w:rPr>
                <w:b/>
                <w:color w:val="000000"/>
                <w:szCs w:val="24"/>
                <w:lang w:val="en-US"/>
              </w:rPr>
              <w:t> </w:t>
            </w:r>
            <w:r w:rsidRPr="00E57871">
              <w:rPr>
                <w:b/>
                <w:color w:val="000000"/>
                <w:szCs w:val="24"/>
                <w:lang w:val="en-US"/>
              </w:rPr>
              <w:t>737</w:t>
            </w:r>
          </w:p>
        </w:tc>
      </w:tr>
      <w:tr w:rsidR="00AD7696" w:rsidRPr="00E57871" w14:paraId="6B249F0E" w14:textId="77777777" w:rsidTr="0080444F">
        <w:trPr>
          <w:trHeight w:val="419"/>
        </w:trPr>
        <w:tc>
          <w:tcPr>
            <w:tcW w:w="6659" w:type="dxa"/>
          </w:tcPr>
          <w:p w14:paraId="527E05CA" w14:textId="74C1F602" w:rsidR="00AD7696" w:rsidRPr="00E57871" w:rsidRDefault="00AD7696" w:rsidP="00422489">
            <w:pPr>
              <w:pStyle w:val="ListParagraph"/>
              <w:spacing w:before="60" w:after="60"/>
              <w:ind w:left="0"/>
              <w:contextualSpacing w:val="0"/>
              <w:rPr>
                <w:b/>
                <w:color w:val="000000"/>
                <w:szCs w:val="24"/>
                <w:lang w:val="en-US"/>
              </w:rPr>
            </w:pPr>
            <w:r>
              <w:rPr>
                <w:b/>
                <w:color w:val="000000"/>
                <w:szCs w:val="24"/>
                <w:lang w:val="en-US"/>
              </w:rPr>
              <w:t>Kārtējie izdevumi (VID)</w:t>
            </w:r>
          </w:p>
        </w:tc>
        <w:tc>
          <w:tcPr>
            <w:tcW w:w="2618" w:type="dxa"/>
          </w:tcPr>
          <w:p w14:paraId="47B0F7F0" w14:textId="7F66F6E8" w:rsidR="00AD7696" w:rsidRPr="00E57871" w:rsidRDefault="00AD7696" w:rsidP="00E57871">
            <w:pPr>
              <w:pStyle w:val="ListParagraph"/>
              <w:spacing w:before="60" w:after="60"/>
              <w:ind w:left="0"/>
              <w:contextualSpacing w:val="0"/>
              <w:jc w:val="center"/>
              <w:rPr>
                <w:b/>
                <w:color w:val="000000"/>
                <w:szCs w:val="24"/>
                <w:lang w:val="en-US"/>
              </w:rPr>
            </w:pPr>
            <w:r>
              <w:rPr>
                <w:b/>
                <w:color w:val="000000"/>
                <w:szCs w:val="24"/>
                <w:lang w:val="en-US"/>
              </w:rPr>
              <w:t>Eur/gadā</w:t>
            </w:r>
          </w:p>
        </w:tc>
      </w:tr>
      <w:tr w:rsidR="00AD7696" w:rsidRPr="00E57871" w14:paraId="1EB8C3DF" w14:textId="77777777" w:rsidTr="0080444F">
        <w:trPr>
          <w:trHeight w:val="419"/>
        </w:trPr>
        <w:tc>
          <w:tcPr>
            <w:tcW w:w="6659" w:type="dxa"/>
          </w:tcPr>
          <w:p w14:paraId="18305E41" w14:textId="031AB598" w:rsidR="00AD7696" w:rsidRDefault="00AD7696" w:rsidP="00AD7696">
            <w:pPr>
              <w:pStyle w:val="ListParagraph"/>
              <w:spacing w:before="60" w:after="60"/>
              <w:ind w:left="0"/>
              <w:contextualSpacing w:val="0"/>
              <w:rPr>
                <w:b/>
                <w:color w:val="000000"/>
                <w:szCs w:val="24"/>
                <w:lang w:val="en-US"/>
              </w:rPr>
            </w:pPr>
            <w:r>
              <w:rPr>
                <w:b/>
                <w:color w:val="000000"/>
                <w:szCs w:val="24"/>
                <w:lang w:val="en-US"/>
              </w:rPr>
              <w:lastRenderedPageBreak/>
              <w:t>Darba alga (2 darbinieki)</w:t>
            </w:r>
          </w:p>
        </w:tc>
        <w:tc>
          <w:tcPr>
            <w:tcW w:w="2618" w:type="dxa"/>
          </w:tcPr>
          <w:p w14:paraId="129CA6D4" w14:textId="5D6D8C0E" w:rsidR="00AD7696" w:rsidRDefault="00AD7696" w:rsidP="00E57871">
            <w:pPr>
              <w:pStyle w:val="ListParagraph"/>
              <w:spacing w:before="60" w:after="60"/>
              <w:ind w:left="0"/>
              <w:contextualSpacing w:val="0"/>
              <w:jc w:val="center"/>
              <w:rPr>
                <w:b/>
                <w:color w:val="000000"/>
                <w:szCs w:val="24"/>
                <w:lang w:val="en-US"/>
              </w:rPr>
            </w:pPr>
            <w:r>
              <w:rPr>
                <w:b/>
                <w:color w:val="000000"/>
                <w:szCs w:val="24"/>
                <w:lang w:val="en-US"/>
              </w:rPr>
              <w:t>22400</w:t>
            </w:r>
          </w:p>
        </w:tc>
      </w:tr>
      <w:tr w:rsidR="00AD7696" w:rsidRPr="00E57871" w14:paraId="183345E5" w14:textId="77777777" w:rsidTr="0080444F">
        <w:trPr>
          <w:trHeight w:val="419"/>
        </w:trPr>
        <w:tc>
          <w:tcPr>
            <w:tcW w:w="6659" w:type="dxa"/>
          </w:tcPr>
          <w:p w14:paraId="2174AAF6" w14:textId="5D53F42D" w:rsidR="00AD7696" w:rsidRDefault="00AD7696" w:rsidP="00AD7696">
            <w:pPr>
              <w:pStyle w:val="ListParagraph"/>
              <w:spacing w:before="60" w:after="60"/>
              <w:ind w:left="0"/>
              <w:contextualSpacing w:val="0"/>
              <w:rPr>
                <w:b/>
                <w:color w:val="000000"/>
                <w:szCs w:val="24"/>
                <w:lang w:val="en-US"/>
              </w:rPr>
            </w:pPr>
            <w:r>
              <w:rPr>
                <w:b/>
                <w:color w:val="000000"/>
                <w:szCs w:val="24"/>
                <w:lang w:val="en-US"/>
              </w:rPr>
              <w:t>VSAOI</w:t>
            </w:r>
          </w:p>
        </w:tc>
        <w:tc>
          <w:tcPr>
            <w:tcW w:w="2618" w:type="dxa"/>
          </w:tcPr>
          <w:p w14:paraId="13CF711E" w14:textId="58D79586" w:rsidR="00AD7696" w:rsidRDefault="00AD7696" w:rsidP="00E57871">
            <w:pPr>
              <w:pStyle w:val="ListParagraph"/>
              <w:spacing w:before="60" w:after="60"/>
              <w:ind w:left="0"/>
              <w:contextualSpacing w:val="0"/>
              <w:jc w:val="center"/>
              <w:rPr>
                <w:b/>
                <w:color w:val="000000"/>
                <w:szCs w:val="24"/>
                <w:lang w:val="en-US"/>
              </w:rPr>
            </w:pPr>
            <w:r>
              <w:rPr>
                <w:b/>
                <w:color w:val="000000"/>
                <w:szCs w:val="24"/>
                <w:lang w:val="en-US"/>
              </w:rPr>
              <w:t>5284</w:t>
            </w:r>
          </w:p>
        </w:tc>
      </w:tr>
      <w:tr w:rsidR="00AD7696" w:rsidRPr="00E57871" w14:paraId="1F72685F" w14:textId="77777777" w:rsidTr="0080444F">
        <w:trPr>
          <w:trHeight w:val="419"/>
        </w:trPr>
        <w:tc>
          <w:tcPr>
            <w:tcW w:w="6659" w:type="dxa"/>
          </w:tcPr>
          <w:p w14:paraId="4695DE5D" w14:textId="30EEC7D4" w:rsidR="00AD7696" w:rsidRDefault="00AD7696" w:rsidP="00AD7696">
            <w:pPr>
              <w:pStyle w:val="ListParagraph"/>
              <w:spacing w:before="60" w:after="60"/>
              <w:ind w:left="0"/>
              <w:contextualSpacing w:val="0"/>
              <w:rPr>
                <w:b/>
                <w:color w:val="000000"/>
                <w:szCs w:val="24"/>
                <w:lang w:val="en-US"/>
              </w:rPr>
            </w:pPr>
            <w:r>
              <w:rPr>
                <w:b/>
                <w:color w:val="000000"/>
                <w:szCs w:val="24"/>
                <w:lang w:val="en-US"/>
              </w:rPr>
              <w:t>Darba telpas, līdzīgi izdevumi</w:t>
            </w:r>
          </w:p>
        </w:tc>
        <w:tc>
          <w:tcPr>
            <w:tcW w:w="2618" w:type="dxa"/>
          </w:tcPr>
          <w:p w14:paraId="7E806A13" w14:textId="5374E283" w:rsidR="00AD7696" w:rsidRDefault="00AD7696" w:rsidP="00E57871">
            <w:pPr>
              <w:pStyle w:val="ListParagraph"/>
              <w:spacing w:before="60" w:after="60"/>
              <w:ind w:left="0"/>
              <w:contextualSpacing w:val="0"/>
              <w:jc w:val="center"/>
              <w:rPr>
                <w:b/>
                <w:color w:val="000000"/>
                <w:szCs w:val="24"/>
                <w:lang w:val="en-US"/>
              </w:rPr>
            </w:pPr>
            <w:r>
              <w:rPr>
                <w:b/>
                <w:color w:val="000000"/>
                <w:szCs w:val="24"/>
                <w:lang w:val="en-US"/>
              </w:rPr>
              <w:t>1200</w:t>
            </w:r>
          </w:p>
        </w:tc>
      </w:tr>
      <w:tr w:rsidR="00AD7696" w:rsidRPr="00E57871" w14:paraId="5309ABEB" w14:textId="77777777" w:rsidTr="0080444F">
        <w:trPr>
          <w:trHeight w:val="419"/>
        </w:trPr>
        <w:tc>
          <w:tcPr>
            <w:tcW w:w="6659" w:type="dxa"/>
          </w:tcPr>
          <w:p w14:paraId="0E733102" w14:textId="501157E4" w:rsidR="00AD7696" w:rsidRDefault="00AD7696" w:rsidP="00AD7696">
            <w:pPr>
              <w:pStyle w:val="ListParagraph"/>
              <w:spacing w:before="60" w:after="60"/>
              <w:ind w:left="0"/>
              <w:contextualSpacing w:val="0"/>
              <w:rPr>
                <w:b/>
                <w:color w:val="000000"/>
                <w:szCs w:val="24"/>
                <w:lang w:val="en-US"/>
              </w:rPr>
            </w:pPr>
            <w:r>
              <w:rPr>
                <w:b/>
                <w:color w:val="000000"/>
                <w:szCs w:val="24"/>
                <w:lang w:val="en-US"/>
              </w:rPr>
              <w:t>Reģistra uzturēšana</w:t>
            </w:r>
          </w:p>
        </w:tc>
        <w:tc>
          <w:tcPr>
            <w:tcW w:w="2618" w:type="dxa"/>
          </w:tcPr>
          <w:p w14:paraId="742BE554" w14:textId="446598EC" w:rsidR="00AD7696" w:rsidRDefault="00AD7696" w:rsidP="00E57871">
            <w:pPr>
              <w:pStyle w:val="ListParagraph"/>
              <w:spacing w:before="60" w:after="60"/>
              <w:ind w:left="0"/>
              <w:contextualSpacing w:val="0"/>
              <w:jc w:val="center"/>
              <w:rPr>
                <w:b/>
                <w:color w:val="000000"/>
                <w:szCs w:val="24"/>
                <w:lang w:val="en-US"/>
              </w:rPr>
            </w:pPr>
            <w:r>
              <w:rPr>
                <w:b/>
                <w:color w:val="000000"/>
                <w:szCs w:val="24"/>
                <w:lang w:val="en-US"/>
              </w:rPr>
              <w:t>1812</w:t>
            </w:r>
          </w:p>
        </w:tc>
      </w:tr>
      <w:tr w:rsidR="00AD7696" w:rsidRPr="00E57871" w14:paraId="4DF8D4BC" w14:textId="77777777" w:rsidTr="0080444F">
        <w:trPr>
          <w:trHeight w:val="419"/>
        </w:trPr>
        <w:tc>
          <w:tcPr>
            <w:tcW w:w="6659" w:type="dxa"/>
          </w:tcPr>
          <w:p w14:paraId="0603BFB2" w14:textId="3FB337FB" w:rsidR="00AD7696" w:rsidRDefault="00AD7696" w:rsidP="00AD7696">
            <w:pPr>
              <w:pStyle w:val="ListParagraph"/>
              <w:spacing w:before="60" w:after="60"/>
              <w:ind w:left="0"/>
              <w:contextualSpacing w:val="0"/>
              <w:rPr>
                <w:b/>
                <w:color w:val="000000"/>
                <w:szCs w:val="24"/>
                <w:lang w:val="en-US"/>
              </w:rPr>
            </w:pPr>
            <w:r>
              <w:rPr>
                <w:b/>
                <w:color w:val="000000"/>
                <w:szCs w:val="24"/>
                <w:lang w:val="en-US"/>
              </w:rPr>
              <w:t xml:space="preserve">Testēšanas izdevumi </w:t>
            </w:r>
          </w:p>
        </w:tc>
        <w:tc>
          <w:tcPr>
            <w:tcW w:w="2618" w:type="dxa"/>
          </w:tcPr>
          <w:p w14:paraId="58DDBF18" w14:textId="5372C37A" w:rsidR="00AD7696" w:rsidRDefault="00AD7696" w:rsidP="00E57871">
            <w:pPr>
              <w:pStyle w:val="ListParagraph"/>
              <w:spacing w:before="60" w:after="60"/>
              <w:ind w:left="0"/>
              <w:contextualSpacing w:val="0"/>
              <w:jc w:val="center"/>
              <w:rPr>
                <w:b/>
                <w:color w:val="000000"/>
                <w:szCs w:val="24"/>
                <w:lang w:val="en-US"/>
              </w:rPr>
            </w:pPr>
            <w:r>
              <w:rPr>
                <w:b/>
                <w:color w:val="000000"/>
                <w:szCs w:val="24"/>
                <w:lang w:val="en-US"/>
              </w:rPr>
              <w:t>3500</w:t>
            </w:r>
          </w:p>
        </w:tc>
      </w:tr>
      <w:tr w:rsidR="00AD7696" w:rsidRPr="00E57871" w14:paraId="05A4E703" w14:textId="77777777" w:rsidTr="0080444F">
        <w:trPr>
          <w:trHeight w:val="419"/>
        </w:trPr>
        <w:tc>
          <w:tcPr>
            <w:tcW w:w="6659" w:type="dxa"/>
          </w:tcPr>
          <w:p w14:paraId="7A315F97" w14:textId="499150FB" w:rsidR="00AD7696" w:rsidRPr="00422489" w:rsidRDefault="00AD7696" w:rsidP="00422489">
            <w:pPr>
              <w:pStyle w:val="ListParagraph"/>
              <w:spacing w:before="60" w:after="60"/>
              <w:ind w:left="0"/>
              <w:contextualSpacing w:val="0"/>
              <w:jc w:val="right"/>
              <w:rPr>
                <w:b/>
                <w:color w:val="000000" w:themeColor="text1"/>
                <w:szCs w:val="24"/>
                <w:lang w:val="en-US"/>
              </w:rPr>
            </w:pPr>
            <w:r w:rsidRPr="00422489">
              <w:rPr>
                <w:b/>
                <w:color w:val="000000" w:themeColor="text1"/>
                <w:szCs w:val="24"/>
                <w:lang w:val="en-US"/>
              </w:rPr>
              <w:t>Kopā</w:t>
            </w:r>
          </w:p>
        </w:tc>
        <w:tc>
          <w:tcPr>
            <w:tcW w:w="2618" w:type="dxa"/>
          </w:tcPr>
          <w:p w14:paraId="532D2302" w14:textId="697E0EDD" w:rsidR="00AD7696" w:rsidRPr="00422489" w:rsidRDefault="00DB3596" w:rsidP="00E57871">
            <w:pPr>
              <w:pStyle w:val="ListParagraph"/>
              <w:spacing w:before="60" w:after="60"/>
              <w:ind w:left="0"/>
              <w:contextualSpacing w:val="0"/>
              <w:jc w:val="center"/>
              <w:rPr>
                <w:b/>
                <w:color w:val="000000" w:themeColor="text1"/>
                <w:szCs w:val="24"/>
                <w:lang w:val="en-US"/>
              </w:rPr>
            </w:pPr>
            <w:r w:rsidRPr="00745D31">
              <w:rPr>
                <w:b/>
                <w:color w:val="000000" w:themeColor="text1"/>
                <w:szCs w:val="24"/>
                <w:lang w:val="en-US"/>
              </w:rPr>
              <w:t>34196</w:t>
            </w:r>
          </w:p>
        </w:tc>
      </w:tr>
      <w:tr w:rsidR="00AD7696" w:rsidRPr="00E57871" w14:paraId="4A00C1E4" w14:textId="77777777" w:rsidTr="0080444F">
        <w:trPr>
          <w:trHeight w:val="419"/>
        </w:trPr>
        <w:tc>
          <w:tcPr>
            <w:tcW w:w="6659" w:type="dxa"/>
          </w:tcPr>
          <w:p w14:paraId="66E4F8E2" w14:textId="33285BD7" w:rsidR="00AD7696" w:rsidRPr="00422489" w:rsidRDefault="00AD7696" w:rsidP="00AD7696">
            <w:pPr>
              <w:pStyle w:val="ListParagraph"/>
              <w:spacing w:before="60" w:after="60"/>
              <w:ind w:left="0"/>
              <w:contextualSpacing w:val="0"/>
              <w:rPr>
                <w:b/>
                <w:color w:val="000000"/>
                <w:szCs w:val="24"/>
              </w:rPr>
            </w:pPr>
          </w:p>
        </w:tc>
        <w:tc>
          <w:tcPr>
            <w:tcW w:w="2618" w:type="dxa"/>
          </w:tcPr>
          <w:p w14:paraId="792CE2AB" w14:textId="77777777" w:rsidR="00AD7696" w:rsidRPr="00422489" w:rsidRDefault="00AD7696" w:rsidP="00E57871">
            <w:pPr>
              <w:pStyle w:val="ListParagraph"/>
              <w:spacing w:before="60" w:after="60"/>
              <w:ind w:left="0"/>
              <w:contextualSpacing w:val="0"/>
              <w:jc w:val="center"/>
              <w:rPr>
                <w:b/>
                <w:color w:val="000000"/>
                <w:szCs w:val="24"/>
              </w:rPr>
            </w:pPr>
          </w:p>
        </w:tc>
      </w:tr>
      <w:tr w:rsidR="00DB3596" w:rsidRPr="00E57871" w14:paraId="48C7125C" w14:textId="77777777" w:rsidTr="0080444F">
        <w:trPr>
          <w:trHeight w:val="419"/>
        </w:trPr>
        <w:tc>
          <w:tcPr>
            <w:tcW w:w="6659" w:type="dxa"/>
          </w:tcPr>
          <w:p w14:paraId="74564060" w14:textId="65F6112C" w:rsidR="00DB3596" w:rsidRDefault="00DB3596" w:rsidP="00AD7696">
            <w:pPr>
              <w:pStyle w:val="ListParagraph"/>
              <w:spacing w:before="60" w:after="60"/>
              <w:ind w:left="0"/>
              <w:contextualSpacing w:val="0"/>
              <w:rPr>
                <w:b/>
                <w:color w:val="000000"/>
                <w:szCs w:val="24"/>
                <w:lang w:val="en-US"/>
              </w:rPr>
            </w:pPr>
            <w:r>
              <w:rPr>
                <w:b/>
                <w:color w:val="000000"/>
                <w:szCs w:val="24"/>
                <w:lang w:val="en-US"/>
              </w:rPr>
              <w:t>Personisko zīmogu reģistrs (veic proves iestāde)</w:t>
            </w:r>
          </w:p>
        </w:tc>
        <w:tc>
          <w:tcPr>
            <w:tcW w:w="2618" w:type="dxa"/>
          </w:tcPr>
          <w:p w14:paraId="2BF09D16" w14:textId="3F1B6FC9" w:rsidR="00DB3596" w:rsidRDefault="00DB3596" w:rsidP="00E57871">
            <w:pPr>
              <w:pStyle w:val="ListParagraph"/>
              <w:spacing w:before="60" w:after="60"/>
              <w:ind w:left="0"/>
              <w:contextualSpacing w:val="0"/>
              <w:jc w:val="center"/>
              <w:rPr>
                <w:b/>
                <w:color w:val="000000"/>
                <w:szCs w:val="24"/>
                <w:lang w:val="en-US"/>
              </w:rPr>
            </w:pPr>
            <w:r>
              <w:rPr>
                <w:b/>
                <w:color w:val="000000"/>
                <w:szCs w:val="24"/>
                <w:lang w:val="en-US"/>
              </w:rPr>
              <w:t>1812</w:t>
            </w:r>
          </w:p>
        </w:tc>
      </w:tr>
      <w:tr w:rsidR="00DB3596" w:rsidRPr="00E57871" w14:paraId="766C88BF" w14:textId="77777777" w:rsidTr="0080444F">
        <w:trPr>
          <w:trHeight w:val="419"/>
        </w:trPr>
        <w:tc>
          <w:tcPr>
            <w:tcW w:w="6659" w:type="dxa"/>
          </w:tcPr>
          <w:p w14:paraId="586491EB" w14:textId="2CD4BEAB" w:rsidR="00DB3596" w:rsidRPr="00745D31" w:rsidRDefault="00DB3596" w:rsidP="00AD7696">
            <w:pPr>
              <w:pStyle w:val="ListParagraph"/>
              <w:spacing w:before="60" w:after="60"/>
              <w:ind w:left="0"/>
              <w:contextualSpacing w:val="0"/>
              <w:rPr>
                <w:b/>
                <w:color w:val="000000"/>
                <w:szCs w:val="24"/>
              </w:rPr>
            </w:pPr>
            <w:r w:rsidRPr="00745D31">
              <w:rPr>
                <w:b/>
                <w:color w:val="000000"/>
                <w:szCs w:val="24"/>
              </w:rPr>
              <w:t>Preču drošuma testēšana (veic LPB vienlaicīgi ar proves noteikšanu)</w:t>
            </w:r>
          </w:p>
        </w:tc>
        <w:tc>
          <w:tcPr>
            <w:tcW w:w="2618" w:type="dxa"/>
          </w:tcPr>
          <w:p w14:paraId="253ED48A" w14:textId="2E581D80" w:rsidR="00DB3596" w:rsidRDefault="002F671E" w:rsidP="00E57871">
            <w:pPr>
              <w:pStyle w:val="ListParagraph"/>
              <w:spacing w:before="60" w:after="60"/>
              <w:ind w:left="0"/>
              <w:contextualSpacing w:val="0"/>
              <w:jc w:val="center"/>
              <w:rPr>
                <w:b/>
                <w:color w:val="000000"/>
                <w:szCs w:val="24"/>
                <w:lang w:val="en-US"/>
              </w:rPr>
            </w:pPr>
            <w:r>
              <w:t>29900</w:t>
            </w:r>
          </w:p>
        </w:tc>
      </w:tr>
      <w:tr w:rsidR="00DB3596" w:rsidRPr="00E57871" w14:paraId="7F807EE5" w14:textId="77777777" w:rsidTr="0080444F">
        <w:trPr>
          <w:trHeight w:val="419"/>
        </w:trPr>
        <w:tc>
          <w:tcPr>
            <w:tcW w:w="6659" w:type="dxa"/>
          </w:tcPr>
          <w:p w14:paraId="4970A94D" w14:textId="510D81D5" w:rsidR="00DB3596" w:rsidRDefault="00DB3596" w:rsidP="00422489">
            <w:pPr>
              <w:pStyle w:val="ListParagraph"/>
              <w:spacing w:before="60" w:after="60"/>
              <w:ind w:left="0"/>
              <w:contextualSpacing w:val="0"/>
              <w:jc w:val="right"/>
              <w:rPr>
                <w:b/>
                <w:color w:val="000000"/>
                <w:szCs w:val="24"/>
                <w:lang w:val="en-US"/>
              </w:rPr>
            </w:pPr>
            <w:r>
              <w:rPr>
                <w:b/>
                <w:color w:val="000000"/>
                <w:szCs w:val="24"/>
                <w:lang w:val="en-US"/>
              </w:rPr>
              <w:t>Kopā</w:t>
            </w:r>
          </w:p>
        </w:tc>
        <w:tc>
          <w:tcPr>
            <w:tcW w:w="2618" w:type="dxa"/>
          </w:tcPr>
          <w:p w14:paraId="021BCC7D" w14:textId="77777777" w:rsidR="00DB3596" w:rsidRPr="008416D4" w:rsidRDefault="00DB3596" w:rsidP="00E57871">
            <w:pPr>
              <w:pStyle w:val="ListParagraph"/>
              <w:spacing w:before="60" w:after="60"/>
              <w:ind w:left="0"/>
              <w:contextualSpacing w:val="0"/>
              <w:jc w:val="center"/>
            </w:pPr>
          </w:p>
        </w:tc>
      </w:tr>
    </w:tbl>
    <w:p w14:paraId="2993410F" w14:textId="77777777" w:rsidR="00B41D3A" w:rsidRDefault="00B41D3A" w:rsidP="00E36722">
      <w:pPr>
        <w:ind w:firstLine="720"/>
      </w:pPr>
    </w:p>
    <w:p w14:paraId="1133A9B4" w14:textId="77777777" w:rsidR="00BE627B" w:rsidRDefault="00BE627B" w:rsidP="00BE627B">
      <w:pPr>
        <w:ind w:firstLine="720"/>
      </w:pPr>
      <w:r>
        <w:t>Līdz ar to, i</w:t>
      </w:r>
      <w:r w:rsidR="004960FD">
        <w:t>evērojot</w:t>
      </w:r>
      <w:r w:rsidRPr="008E3A3E">
        <w:t xml:space="preserve">, ka VSIA </w:t>
      </w:r>
      <w:r w:rsidR="000B440F">
        <w:t>“</w:t>
      </w:r>
      <w:r w:rsidRPr="008E3A3E">
        <w:t>Latvijas Proves birojs</w:t>
      </w:r>
      <w:r w:rsidR="000B440F">
        <w:t>”</w:t>
      </w:r>
      <w:r w:rsidRPr="008E3A3E">
        <w:t xml:space="preserve"> kapitāla daļu atsavin</w:t>
      </w:r>
      <w:r w:rsidR="004960FD">
        <w:t>āšanas finansiālie riski liecināja</w:t>
      </w:r>
      <w:r w:rsidRPr="008E3A3E">
        <w:t xml:space="preserve"> par </w:t>
      </w:r>
      <w:r>
        <w:t xml:space="preserve">atsavināšanas </w:t>
      </w:r>
      <w:r w:rsidRPr="008E3A3E">
        <w:t xml:space="preserve">procesa nelietderīgumu, Finanšu ministrija </w:t>
      </w:r>
      <w:r>
        <w:t xml:space="preserve">2014.gada 7.februārī </w:t>
      </w:r>
      <w:r w:rsidRPr="008E3A3E">
        <w:t xml:space="preserve">atsauca iepriekš (2012.gada 2.martā) Valsts kancelejā iesniegtos likuma </w:t>
      </w:r>
      <w:r w:rsidR="000B440F">
        <w:t>“</w:t>
      </w:r>
      <w:r w:rsidRPr="008E3A3E">
        <w:t>Par valsts proves uzraudzību</w:t>
      </w:r>
      <w:r w:rsidR="000B440F">
        <w:t>”</w:t>
      </w:r>
      <w:r w:rsidRPr="008E3A3E">
        <w:t xml:space="preserve">, Ķīmisko vielu likuma un likuma </w:t>
      </w:r>
      <w:r w:rsidR="000B440F">
        <w:t>“</w:t>
      </w:r>
      <w:r w:rsidRPr="008E3A3E">
        <w:t>Par Konvenciju par dārgmetālu izstrādājumu pārbaudi uz zīmogošanu un tās grozījumiem</w:t>
      </w:r>
      <w:r w:rsidR="000B440F">
        <w:t>”</w:t>
      </w:r>
      <w:r w:rsidRPr="008E3A3E">
        <w:t xml:space="preserve"> grozījumu projektus</w:t>
      </w:r>
      <w:r>
        <w:t>.</w:t>
      </w:r>
    </w:p>
    <w:p w14:paraId="06021C49" w14:textId="77777777" w:rsidR="003425F6" w:rsidRDefault="003425F6" w:rsidP="00BE627B">
      <w:pPr>
        <w:ind w:firstLine="720"/>
      </w:pPr>
    </w:p>
    <w:p w14:paraId="1A03D159" w14:textId="77777777" w:rsidR="008416D4" w:rsidRDefault="004C70E1" w:rsidP="00BE627B">
      <w:pPr>
        <w:ind w:firstLine="720"/>
      </w:pPr>
      <w:r>
        <w:t xml:space="preserve">Ņemot vērā to, ka kopš 2014.gada 28.oktobra, kad tika Ministru kabineta sēdē skatīts jautājums par valsts līdzdalības saglabāšanu VSIA </w:t>
      </w:r>
      <w:r w:rsidR="000B440F">
        <w:t>“</w:t>
      </w:r>
      <w:r>
        <w:t>Latvijas Proves birojs</w:t>
      </w:r>
      <w:r w:rsidR="000B440F">
        <w:t>”</w:t>
      </w:r>
      <w:r>
        <w:t xml:space="preserve">  faktiskā situācija nav mainījusies, Finanšu ministrija </w:t>
      </w:r>
      <w:r w:rsidR="00EC619D">
        <w:t>ierosina saglabāt līdz</w:t>
      </w:r>
      <w:r w:rsidR="0080444F">
        <w:t>d</w:t>
      </w:r>
      <w:r w:rsidR="00EC619D">
        <w:t xml:space="preserve">alību VSIA </w:t>
      </w:r>
      <w:r w:rsidR="000B440F">
        <w:t>“</w:t>
      </w:r>
      <w:r w:rsidR="00EC619D">
        <w:t>Latvijas Proves birojs</w:t>
      </w:r>
      <w:r w:rsidR="003C3245">
        <w:t>”, ievērojot</w:t>
      </w:r>
      <w:r w:rsidR="00CC1450" w:rsidRPr="00CC1450">
        <w:t xml:space="preserve"> </w:t>
      </w:r>
      <w:r w:rsidR="00CC1450">
        <w:t>Valsts pārvaldes iekārtas likuma 88.panta pirmās da</w:t>
      </w:r>
      <w:r w:rsidR="003C3245">
        <w:t>ļas 1.punktu</w:t>
      </w:r>
      <w:r w:rsidR="00EC619D">
        <w:t xml:space="preserve">. </w:t>
      </w:r>
    </w:p>
    <w:p w14:paraId="1F82F8FC" w14:textId="77777777" w:rsidR="008416D4" w:rsidRDefault="008416D4" w:rsidP="00BE627B">
      <w:pPr>
        <w:ind w:firstLine="720"/>
      </w:pPr>
    </w:p>
    <w:p w14:paraId="7E96911E" w14:textId="77777777" w:rsidR="004C4CC7" w:rsidRPr="00EF4DDA" w:rsidRDefault="002B3982" w:rsidP="004C4CC7">
      <w:pPr>
        <w:ind w:firstLine="720"/>
        <w:jc w:val="center"/>
        <w:rPr>
          <w:b/>
        </w:rPr>
      </w:pPr>
      <w:r>
        <w:rPr>
          <w:b/>
        </w:rPr>
        <w:t>4</w:t>
      </w:r>
      <w:r w:rsidR="004C4CC7" w:rsidRPr="00EF4DDA">
        <w:rPr>
          <w:b/>
        </w:rPr>
        <w:t>. Priekšlikumi turpmākai rīcībai</w:t>
      </w:r>
    </w:p>
    <w:p w14:paraId="714A273A" w14:textId="77777777" w:rsidR="004C4CC7" w:rsidRPr="00EF4DDA" w:rsidRDefault="004C4CC7" w:rsidP="00BE627B">
      <w:pPr>
        <w:ind w:firstLine="720"/>
      </w:pPr>
    </w:p>
    <w:p w14:paraId="44CFDBAC" w14:textId="77777777" w:rsidR="005872DB" w:rsidRDefault="00BE627B" w:rsidP="004C4CC7">
      <w:pPr>
        <w:ind w:firstLine="720"/>
        <w:rPr>
          <w:szCs w:val="24"/>
        </w:rPr>
      </w:pPr>
      <w:r w:rsidRPr="00EF4DDA">
        <w:rPr>
          <w:szCs w:val="24"/>
        </w:rPr>
        <w:t xml:space="preserve">Ņemot vērā iepriekš minēto, Finanšu ministrija </w:t>
      </w:r>
      <w:r w:rsidR="004C4CC7" w:rsidRPr="00EF4DDA">
        <w:rPr>
          <w:szCs w:val="24"/>
        </w:rPr>
        <w:t xml:space="preserve">ierosina saglabāt valsts līdzdalību VSIA </w:t>
      </w:r>
      <w:r w:rsidR="000B440F">
        <w:rPr>
          <w:szCs w:val="24"/>
        </w:rPr>
        <w:t>“</w:t>
      </w:r>
      <w:r w:rsidR="004C4CC7" w:rsidRPr="00EF4DDA">
        <w:rPr>
          <w:szCs w:val="24"/>
        </w:rPr>
        <w:t>Latvijas Proves birojs</w:t>
      </w:r>
      <w:r w:rsidR="000B440F">
        <w:rPr>
          <w:szCs w:val="24"/>
        </w:rPr>
        <w:t>”</w:t>
      </w:r>
      <w:r w:rsidR="004C4CC7" w:rsidRPr="00EF4DDA">
        <w:rPr>
          <w:szCs w:val="24"/>
        </w:rPr>
        <w:t>.</w:t>
      </w:r>
      <w:r w:rsidR="004C4CC7">
        <w:rPr>
          <w:szCs w:val="24"/>
        </w:rPr>
        <w:t xml:space="preserve"> </w:t>
      </w:r>
    </w:p>
    <w:p w14:paraId="752B3C35" w14:textId="77777777" w:rsidR="004C4CC7" w:rsidRDefault="004C4CC7" w:rsidP="004C4CC7">
      <w:pPr>
        <w:ind w:firstLine="720"/>
        <w:rPr>
          <w:szCs w:val="24"/>
        </w:rPr>
      </w:pPr>
    </w:p>
    <w:p w14:paraId="16B1BE95" w14:textId="77777777" w:rsidR="004C4CC7" w:rsidRDefault="004C4CC7" w:rsidP="004C4CC7">
      <w:pPr>
        <w:ind w:firstLine="720"/>
        <w:rPr>
          <w:szCs w:val="24"/>
        </w:rPr>
      </w:pPr>
    </w:p>
    <w:p w14:paraId="3BE92163" w14:textId="77777777" w:rsidR="007E36C0" w:rsidRDefault="007E36C0" w:rsidP="004C4CC7">
      <w:pPr>
        <w:ind w:firstLine="720"/>
        <w:rPr>
          <w:szCs w:val="24"/>
        </w:rPr>
      </w:pPr>
    </w:p>
    <w:p w14:paraId="79B2A2D6" w14:textId="77777777" w:rsidR="004C4CC7" w:rsidRDefault="004C4CC7" w:rsidP="004C4CC7">
      <w:pPr>
        <w:ind w:firstLine="720"/>
        <w:rPr>
          <w:szCs w:val="24"/>
        </w:rPr>
      </w:pPr>
      <w:r>
        <w:rPr>
          <w:szCs w:val="24"/>
        </w:rPr>
        <w:t>Finanšu ministre                                                                              D.Reizniece - Ozola</w:t>
      </w:r>
    </w:p>
    <w:p w14:paraId="551DDDB5" w14:textId="77777777" w:rsidR="003B3223" w:rsidRDefault="003B3223" w:rsidP="003B3223"/>
    <w:p w14:paraId="75CF4D3B" w14:textId="77777777" w:rsidR="00EC619D" w:rsidRDefault="00EC619D" w:rsidP="003B3223"/>
    <w:p w14:paraId="2CD2C087" w14:textId="35952DA3" w:rsidR="00EC619D" w:rsidRDefault="00EC619D" w:rsidP="003B3223"/>
    <w:p w14:paraId="3704A3BA" w14:textId="3B74A5CF" w:rsidR="001B1A48" w:rsidRDefault="001B1A48" w:rsidP="003B3223"/>
    <w:p w14:paraId="0509D536" w14:textId="6DB5B9C9" w:rsidR="001B1A48" w:rsidRDefault="001B1A48" w:rsidP="003B3223"/>
    <w:p w14:paraId="6FA53952" w14:textId="77777777" w:rsidR="001B1A48" w:rsidRDefault="001B1A48" w:rsidP="003B3223"/>
    <w:p w14:paraId="2C30CAB1" w14:textId="77777777" w:rsidR="00EC619D" w:rsidRDefault="00EC619D" w:rsidP="003B3223"/>
    <w:p w14:paraId="66DCC55C" w14:textId="77777777" w:rsidR="00441E53" w:rsidRDefault="00441E53" w:rsidP="003B3223"/>
    <w:p w14:paraId="293125F7" w14:textId="2FF312BC" w:rsidR="00EC619D" w:rsidRPr="00EC619D" w:rsidRDefault="00745D31" w:rsidP="003B3223">
      <w:pPr>
        <w:rPr>
          <w:sz w:val="16"/>
        </w:rPr>
      </w:pPr>
      <w:bookmarkStart w:id="0" w:name="_GoBack"/>
      <w:r>
        <w:rPr>
          <w:sz w:val="16"/>
        </w:rPr>
        <w:t>Leit</w:t>
      </w:r>
      <w:r w:rsidR="00EC619D" w:rsidRPr="00EC619D">
        <w:rPr>
          <w:sz w:val="16"/>
        </w:rPr>
        <w:t>āne-Šķēle, 67095428</w:t>
      </w:r>
      <w:bookmarkEnd w:id="0"/>
    </w:p>
    <w:sectPr w:rsidR="00EC619D" w:rsidRPr="00EC619D" w:rsidSect="00E319E1">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2DDD8" w14:textId="77777777" w:rsidR="003B7F9F" w:rsidRDefault="003B7F9F" w:rsidP="00FF03F8">
      <w:r>
        <w:separator/>
      </w:r>
    </w:p>
  </w:endnote>
  <w:endnote w:type="continuationSeparator" w:id="0">
    <w:p w14:paraId="00CBCCC3" w14:textId="77777777" w:rsidR="003B7F9F" w:rsidRDefault="003B7F9F" w:rsidP="00F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Segoe UI">
    <w:altName w:val="Calibr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363B" w14:textId="1E128E49" w:rsidR="00DB3596" w:rsidRPr="00EC619D" w:rsidRDefault="00745D31">
    <w:pPr>
      <w:pStyle w:val="Footer"/>
      <w:rPr>
        <w:sz w:val="20"/>
      </w:rPr>
    </w:pPr>
    <w:r>
      <w:rPr>
        <w:sz w:val="20"/>
      </w:rPr>
      <w:t>FMinfo_2205</w:t>
    </w:r>
    <w:r w:rsidR="00DB3596" w:rsidRPr="00EC619D">
      <w:rPr>
        <w:sz w:val="20"/>
      </w:rPr>
      <w:t xml:space="preserve">17_Prove;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274E" w14:textId="041C1BBD" w:rsidR="00DB3596" w:rsidRPr="00EC619D" w:rsidRDefault="00DB3596" w:rsidP="00323EE2">
    <w:pPr>
      <w:autoSpaceDE w:val="0"/>
      <w:autoSpaceDN w:val="0"/>
      <w:adjustRightInd w:val="0"/>
      <w:rPr>
        <w:sz w:val="20"/>
        <w:szCs w:val="16"/>
        <w:lang w:eastAsia="lv-LV"/>
      </w:rPr>
    </w:pPr>
    <w:r w:rsidRPr="00EC619D">
      <w:rPr>
        <w:sz w:val="32"/>
      </w:rPr>
      <w:t xml:space="preserve"> </w:t>
    </w:r>
    <w:r w:rsidR="00745D31">
      <w:rPr>
        <w:sz w:val="20"/>
        <w:szCs w:val="16"/>
      </w:rPr>
      <w:t>FMinfo_2205</w:t>
    </w:r>
    <w:r w:rsidRPr="00EC619D">
      <w:rPr>
        <w:sz w:val="20"/>
        <w:szCs w:val="16"/>
      </w:rPr>
      <w:t>17_Prove;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93A62" w14:textId="77777777" w:rsidR="003B7F9F" w:rsidRDefault="003B7F9F" w:rsidP="00FF03F8">
      <w:r>
        <w:separator/>
      </w:r>
    </w:p>
  </w:footnote>
  <w:footnote w:type="continuationSeparator" w:id="0">
    <w:p w14:paraId="191684DD" w14:textId="77777777" w:rsidR="003B7F9F" w:rsidRDefault="003B7F9F" w:rsidP="00FF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83556"/>
      <w:docPartObj>
        <w:docPartGallery w:val="Page Numbers (Top of Page)"/>
        <w:docPartUnique/>
      </w:docPartObj>
    </w:sdtPr>
    <w:sdtEndPr>
      <w:rPr>
        <w:noProof/>
      </w:rPr>
    </w:sdtEndPr>
    <w:sdtContent>
      <w:p w14:paraId="351B210E" w14:textId="672B778E" w:rsidR="00DB3596" w:rsidRDefault="00DB3596">
        <w:pPr>
          <w:pStyle w:val="Header"/>
          <w:jc w:val="center"/>
        </w:pPr>
        <w:r>
          <w:fldChar w:fldCharType="begin"/>
        </w:r>
        <w:r>
          <w:instrText xml:space="preserve"> PAGE   \* MERGEFORMAT </w:instrText>
        </w:r>
        <w:r>
          <w:fldChar w:fldCharType="separate"/>
        </w:r>
        <w:r w:rsidR="009370E3">
          <w:rPr>
            <w:noProof/>
          </w:rPr>
          <w:t>7</w:t>
        </w:r>
        <w:r>
          <w:rPr>
            <w:noProof/>
          </w:rPr>
          <w:fldChar w:fldCharType="end"/>
        </w:r>
      </w:p>
    </w:sdtContent>
  </w:sdt>
  <w:p w14:paraId="6CCFF086" w14:textId="77777777" w:rsidR="00DB3596" w:rsidRDefault="00DB3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23"/>
    <w:multiLevelType w:val="hybridMultilevel"/>
    <w:tmpl w:val="BB0434A2"/>
    <w:lvl w:ilvl="0" w:tplc="0D12D7B8">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F405BA"/>
    <w:multiLevelType w:val="hybridMultilevel"/>
    <w:tmpl w:val="DEB8EF6E"/>
    <w:lvl w:ilvl="0" w:tplc="AC26C6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F318BC"/>
    <w:multiLevelType w:val="hybridMultilevel"/>
    <w:tmpl w:val="EDA2E2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7D24F73"/>
    <w:multiLevelType w:val="hybridMultilevel"/>
    <w:tmpl w:val="1FF4277C"/>
    <w:lvl w:ilvl="0" w:tplc="04260005">
      <w:start w:val="1"/>
      <w:numFmt w:val="bullet"/>
      <w:lvlText w:val=""/>
      <w:lvlJc w:val="left"/>
      <w:pPr>
        <w:ind w:left="1020" w:hanging="360"/>
      </w:pPr>
      <w:rPr>
        <w:rFonts w:ascii="Wingdings" w:hAnsi="Wingdings" w:hint="default"/>
      </w:rPr>
    </w:lvl>
    <w:lvl w:ilvl="1" w:tplc="0A8883E8">
      <w:start w:val="1"/>
      <w:numFmt w:val="decimal"/>
      <w:lvlText w:val="%2)"/>
      <w:lvlJc w:val="left"/>
      <w:pPr>
        <w:ind w:left="1740" w:hanging="360"/>
      </w:pPr>
      <w:rPr>
        <w:rFonts w:hint="default"/>
      </w:rPr>
    </w:lvl>
    <w:lvl w:ilvl="2" w:tplc="0426001B">
      <w:start w:val="1"/>
      <w:numFmt w:val="lowerRoman"/>
      <w:lvlText w:val="%3."/>
      <w:lvlJc w:val="right"/>
      <w:pPr>
        <w:ind w:left="2460" w:hanging="180"/>
      </w:pPr>
    </w:lvl>
    <w:lvl w:ilvl="3" w:tplc="196ED6C8">
      <w:numFmt w:val="bullet"/>
      <w:lvlText w:val="•"/>
      <w:lvlJc w:val="left"/>
      <w:pPr>
        <w:ind w:left="4260" w:hanging="1440"/>
      </w:pPr>
      <w:rPr>
        <w:rFonts w:ascii="Times New Roman" w:eastAsia="Times New Roman" w:hAnsi="Times New Roman" w:cs="Times New Roman" w:hint="default"/>
      </w:r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29183D77"/>
    <w:multiLevelType w:val="hybridMultilevel"/>
    <w:tmpl w:val="CD527908"/>
    <w:lvl w:ilvl="0" w:tplc="63E4B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3E11FC"/>
    <w:multiLevelType w:val="hybridMultilevel"/>
    <w:tmpl w:val="23C0FE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3861F3"/>
    <w:multiLevelType w:val="hybridMultilevel"/>
    <w:tmpl w:val="9E5237B6"/>
    <w:lvl w:ilvl="0" w:tplc="1ECE1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3FF6EF7"/>
    <w:multiLevelType w:val="hybridMultilevel"/>
    <w:tmpl w:val="8A30B6A2"/>
    <w:lvl w:ilvl="0" w:tplc="04260005">
      <w:start w:val="1"/>
      <w:numFmt w:val="bullet"/>
      <w:lvlText w:val=""/>
      <w:lvlJc w:val="left"/>
      <w:pPr>
        <w:ind w:left="3562" w:hanging="360"/>
      </w:pPr>
      <w:rPr>
        <w:rFonts w:ascii="Wingdings" w:hAnsi="Wingdings" w:hint="default"/>
      </w:rPr>
    </w:lvl>
    <w:lvl w:ilvl="1" w:tplc="04260003" w:tentative="1">
      <w:start w:val="1"/>
      <w:numFmt w:val="bullet"/>
      <w:lvlText w:val="o"/>
      <w:lvlJc w:val="left"/>
      <w:pPr>
        <w:ind w:left="4282" w:hanging="360"/>
      </w:pPr>
      <w:rPr>
        <w:rFonts w:ascii="Courier New" w:hAnsi="Courier New" w:cs="Courier New" w:hint="default"/>
      </w:rPr>
    </w:lvl>
    <w:lvl w:ilvl="2" w:tplc="04260005" w:tentative="1">
      <w:start w:val="1"/>
      <w:numFmt w:val="bullet"/>
      <w:lvlText w:val=""/>
      <w:lvlJc w:val="left"/>
      <w:pPr>
        <w:ind w:left="5002" w:hanging="360"/>
      </w:pPr>
      <w:rPr>
        <w:rFonts w:ascii="Wingdings" w:hAnsi="Wingdings" w:hint="default"/>
      </w:rPr>
    </w:lvl>
    <w:lvl w:ilvl="3" w:tplc="04260001" w:tentative="1">
      <w:start w:val="1"/>
      <w:numFmt w:val="bullet"/>
      <w:lvlText w:val=""/>
      <w:lvlJc w:val="left"/>
      <w:pPr>
        <w:ind w:left="5722" w:hanging="360"/>
      </w:pPr>
      <w:rPr>
        <w:rFonts w:ascii="Symbol" w:hAnsi="Symbol" w:hint="default"/>
      </w:rPr>
    </w:lvl>
    <w:lvl w:ilvl="4" w:tplc="04260003" w:tentative="1">
      <w:start w:val="1"/>
      <w:numFmt w:val="bullet"/>
      <w:lvlText w:val="o"/>
      <w:lvlJc w:val="left"/>
      <w:pPr>
        <w:ind w:left="6442" w:hanging="360"/>
      </w:pPr>
      <w:rPr>
        <w:rFonts w:ascii="Courier New" w:hAnsi="Courier New" w:cs="Courier New" w:hint="default"/>
      </w:rPr>
    </w:lvl>
    <w:lvl w:ilvl="5" w:tplc="04260005" w:tentative="1">
      <w:start w:val="1"/>
      <w:numFmt w:val="bullet"/>
      <w:lvlText w:val=""/>
      <w:lvlJc w:val="left"/>
      <w:pPr>
        <w:ind w:left="7162" w:hanging="360"/>
      </w:pPr>
      <w:rPr>
        <w:rFonts w:ascii="Wingdings" w:hAnsi="Wingdings" w:hint="default"/>
      </w:rPr>
    </w:lvl>
    <w:lvl w:ilvl="6" w:tplc="04260001" w:tentative="1">
      <w:start w:val="1"/>
      <w:numFmt w:val="bullet"/>
      <w:lvlText w:val=""/>
      <w:lvlJc w:val="left"/>
      <w:pPr>
        <w:ind w:left="7882" w:hanging="360"/>
      </w:pPr>
      <w:rPr>
        <w:rFonts w:ascii="Symbol" w:hAnsi="Symbol" w:hint="default"/>
      </w:rPr>
    </w:lvl>
    <w:lvl w:ilvl="7" w:tplc="04260003" w:tentative="1">
      <w:start w:val="1"/>
      <w:numFmt w:val="bullet"/>
      <w:lvlText w:val="o"/>
      <w:lvlJc w:val="left"/>
      <w:pPr>
        <w:ind w:left="8602" w:hanging="360"/>
      </w:pPr>
      <w:rPr>
        <w:rFonts w:ascii="Courier New" w:hAnsi="Courier New" w:cs="Courier New" w:hint="default"/>
      </w:rPr>
    </w:lvl>
    <w:lvl w:ilvl="8" w:tplc="04260005" w:tentative="1">
      <w:start w:val="1"/>
      <w:numFmt w:val="bullet"/>
      <w:lvlText w:val=""/>
      <w:lvlJc w:val="left"/>
      <w:pPr>
        <w:ind w:left="9322" w:hanging="360"/>
      </w:pPr>
      <w:rPr>
        <w:rFonts w:ascii="Wingdings" w:hAnsi="Wingdings" w:hint="default"/>
      </w:rPr>
    </w:lvl>
  </w:abstractNum>
  <w:abstractNum w:abstractNumId="8" w15:restartNumberingAfterBreak="0">
    <w:nsid w:val="399002C8"/>
    <w:multiLevelType w:val="hybridMultilevel"/>
    <w:tmpl w:val="D750BC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A08729E"/>
    <w:multiLevelType w:val="hybridMultilevel"/>
    <w:tmpl w:val="F2E03E9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FDD33DA"/>
    <w:multiLevelType w:val="hybridMultilevel"/>
    <w:tmpl w:val="B9B02E54"/>
    <w:lvl w:ilvl="0" w:tplc="04260011">
      <w:start w:val="1"/>
      <w:numFmt w:val="decimal"/>
      <w:lvlText w:val="%1)"/>
      <w:lvlJc w:val="left"/>
      <w:pPr>
        <w:ind w:left="3562" w:hanging="360"/>
      </w:pPr>
    </w:lvl>
    <w:lvl w:ilvl="1" w:tplc="04260011">
      <w:start w:val="1"/>
      <w:numFmt w:val="decimal"/>
      <w:lvlText w:val="%2)"/>
      <w:lvlJc w:val="left"/>
      <w:pPr>
        <w:ind w:left="4282" w:hanging="360"/>
      </w:pPr>
    </w:lvl>
    <w:lvl w:ilvl="2" w:tplc="0426001B" w:tentative="1">
      <w:start w:val="1"/>
      <w:numFmt w:val="lowerRoman"/>
      <w:lvlText w:val="%3."/>
      <w:lvlJc w:val="right"/>
      <w:pPr>
        <w:ind w:left="5002" w:hanging="180"/>
      </w:pPr>
    </w:lvl>
    <w:lvl w:ilvl="3" w:tplc="0426000F" w:tentative="1">
      <w:start w:val="1"/>
      <w:numFmt w:val="decimal"/>
      <w:lvlText w:val="%4."/>
      <w:lvlJc w:val="left"/>
      <w:pPr>
        <w:ind w:left="5722" w:hanging="360"/>
      </w:pPr>
    </w:lvl>
    <w:lvl w:ilvl="4" w:tplc="04260019" w:tentative="1">
      <w:start w:val="1"/>
      <w:numFmt w:val="lowerLetter"/>
      <w:lvlText w:val="%5."/>
      <w:lvlJc w:val="left"/>
      <w:pPr>
        <w:ind w:left="6442" w:hanging="360"/>
      </w:pPr>
    </w:lvl>
    <w:lvl w:ilvl="5" w:tplc="0426001B" w:tentative="1">
      <w:start w:val="1"/>
      <w:numFmt w:val="lowerRoman"/>
      <w:lvlText w:val="%6."/>
      <w:lvlJc w:val="right"/>
      <w:pPr>
        <w:ind w:left="7162" w:hanging="180"/>
      </w:pPr>
    </w:lvl>
    <w:lvl w:ilvl="6" w:tplc="0426000F" w:tentative="1">
      <w:start w:val="1"/>
      <w:numFmt w:val="decimal"/>
      <w:lvlText w:val="%7."/>
      <w:lvlJc w:val="left"/>
      <w:pPr>
        <w:ind w:left="7882" w:hanging="360"/>
      </w:pPr>
    </w:lvl>
    <w:lvl w:ilvl="7" w:tplc="04260019" w:tentative="1">
      <w:start w:val="1"/>
      <w:numFmt w:val="lowerLetter"/>
      <w:lvlText w:val="%8."/>
      <w:lvlJc w:val="left"/>
      <w:pPr>
        <w:ind w:left="8602" w:hanging="360"/>
      </w:pPr>
    </w:lvl>
    <w:lvl w:ilvl="8" w:tplc="0426001B" w:tentative="1">
      <w:start w:val="1"/>
      <w:numFmt w:val="lowerRoman"/>
      <w:lvlText w:val="%9."/>
      <w:lvlJc w:val="right"/>
      <w:pPr>
        <w:ind w:left="9322" w:hanging="180"/>
      </w:pPr>
    </w:lvl>
  </w:abstractNum>
  <w:abstractNum w:abstractNumId="11" w15:restartNumberingAfterBreak="0">
    <w:nsid w:val="544B02F2"/>
    <w:multiLevelType w:val="hybridMultilevel"/>
    <w:tmpl w:val="EAAEB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28585B"/>
    <w:multiLevelType w:val="hybridMultilevel"/>
    <w:tmpl w:val="A38A5AC6"/>
    <w:lvl w:ilvl="0" w:tplc="04260019">
      <w:start w:val="1"/>
      <w:numFmt w:val="lowerLetter"/>
      <w:lvlText w:val="%1."/>
      <w:lvlJc w:val="left"/>
      <w:pPr>
        <w:ind w:left="1020" w:hanging="360"/>
      </w:pPr>
      <w:rPr>
        <w:rFonts w:hint="default"/>
      </w:rPr>
    </w:lvl>
    <w:lvl w:ilvl="1" w:tplc="0A8883E8">
      <w:start w:val="1"/>
      <w:numFmt w:val="decimal"/>
      <w:lvlText w:val="%2)"/>
      <w:lvlJc w:val="left"/>
      <w:pPr>
        <w:ind w:left="1740" w:hanging="360"/>
      </w:pPr>
      <w:rPr>
        <w:rFonts w:hint="default"/>
      </w:rPr>
    </w:lvl>
    <w:lvl w:ilvl="2" w:tplc="0426001B">
      <w:start w:val="1"/>
      <w:numFmt w:val="lowerRoman"/>
      <w:lvlText w:val="%3."/>
      <w:lvlJc w:val="right"/>
      <w:pPr>
        <w:ind w:left="2460" w:hanging="180"/>
      </w:pPr>
    </w:lvl>
    <w:lvl w:ilvl="3" w:tplc="196ED6C8">
      <w:numFmt w:val="bullet"/>
      <w:lvlText w:val="•"/>
      <w:lvlJc w:val="left"/>
      <w:pPr>
        <w:ind w:left="4260" w:hanging="1440"/>
      </w:pPr>
      <w:rPr>
        <w:rFonts w:ascii="Times New Roman" w:eastAsia="Times New Roman" w:hAnsi="Times New Roman" w:cs="Times New Roman" w:hint="default"/>
      </w:r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15:restartNumberingAfterBreak="0">
    <w:nsid w:val="62B871DB"/>
    <w:multiLevelType w:val="hybridMultilevel"/>
    <w:tmpl w:val="6242E1F8"/>
    <w:lvl w:ilvl="0" w:tplc="04260011">
      <w:start w:val="1"/>
      <w:numFmt w:val="decimal"/>
      <w:lvlText w:val="%1)"/>
      <w:lvlJc w:val="left"/>
      <w:pPr>
        <w:ind w:left="3562" w:hanging="360"/>
      </w:pPr>
      <w:rPr>
        <w:rFonts w:hint="default"/>
      </w:rPr>
    </w:lvl>
    <w:lvl w:ilvl="1" w:tplc="04260003" w:tentative="1">
      <w:start w:val="1"/>
      <w:numFmt w:val="bullet"/>
      <w:lvlText w:val="o"/>
      <w:lvlJc w:val="left"/>
      <w:pPr>
        <w:ind w:left="4282" w:hanging="360"/>
      </w:pPr>
      <w:rPr>
        <w:rFonts w:ascii="Courier New" w:hAnsi="Courier New" w:cs="Courier New" w:hint="default"/>
      </w:rPr>
    </w:lvl>
    <w:lvl w:ilvl="2" w:tplc="04260005" w:tentative="1">
      <w:start w:val="1"/>
      <w:numFmt w:val="bullet"/>
      <w:lvlText w:val=""/>
      <w:lvlJc w:val="left"/>
      <w:pPr>
        <w:ind w:left="5002" w:hanging="360"/>
      </w:pPr>
      <w:rPr>
        <w:rFonts w:ascii="Wingdings" w:hAnsi="Wingdings" w:hint="default"/>
      </w:rPr>
    </w:lvl>
    <w:lvl w:ilvl="3" w:tplc="04260001" w:tentative="1">
      <w:start w:val="1"/>
      <w:numFmt w:val="bullet"/>
      <w:lvlText w:val=""/>
      <w:lvlJc w:val="left"/>
      <w:pPr>
        <w:ind w:left="5722" w:hanging="360"/>
      </w:pPr>
      <w:rPr>
        <w:rFonts w:ascii="Symbol" w:hAnsi="Symbol" w:hint="default"/>
      </w:rPr>
    </w:lvl>
    <w:lvl w:ilvl="4" w:tplc="04260003" w:tentative="1">
      <w:start w:val="1"/>
      <w:numFmt w:val="bullet"/>
      <w:lvlText w:val="o"/>
      <w:lvlJc w:val="left"/>
      <w:pPr>
        <w:ind w:left="6442" w:hanging="360"/>
      </w:pPr>
      <w:rPr>
        <w:rFonts w:ascii="Courier New" w:hAnsi="Courier New" w:cs="Courier New" w:hint="default"/>
      </w:rPr>
    </w:lvl>
    <w:lvl w:ilvl="5" w:tplc="04260005" w:tentative="1">
      <w:start w:val="1"/>
      <w:numFmt w:val="bullet"/>
      <w:lvlText w:val=""/>
      <w:lvlJc w:val="left"/>
      <w:pPr>
        <w:ind w:left="7162" w:hanging="360"/>
      </w:pPr>
      <w:rPr>
        <w:rFonts w:ascii="Wingdings" w:hAnsi="Wingdings" w:hint="default"/>
      </w:rPr>
    </w:lvl>
    <w:lvl w:ilvl="6" w:tplc="04260001" w:tentative="1">
      <w:start w:val="1"/>
      <w:numFmt w:val="bullet"/>
      <w:lvlText w:val=""/>
      <w:lvlJc w:val="left"/>
      <w:pPr>
        <w:ind w:left="7882" w:hanging="360"/>
      </w:pPr>
      <w:rPr>
        <w:rFonts w:ascii="Symbol" w:hAnsi="Symbol" w:hint="default"/>
      </w:rPr>
    </w:lvl>
    <w:lvl w:ilvl="7" w:tplc="04260003" w:tentative="1">
      <w:start w:val="1"/>
      <w:numFmt w:val="bullet"/>
      <w:lvlText w:val="o"/>
      <w:lvlJc w:val="left"/>
      <w:pPr>
        <w:ind w:left="8602" w:hanging="360"/>
      </w:pPr>
      <w:rPr>
        <w:rFonts w:ascii="Courier New" w:hAnsi="Courier New" w:cs="Courier New" w:hint="default"/>
      </w:rPr>
    </w:lvl>
    <w:lvl w:ilvl="8" w:tplc="04260005" w:tentative="1">
      <w:start w:val="1"/>
      <w:numFmt w:val="bullet"/>
      <w:lvlText w:val=""/>
      <w:lvlJc w:val="left"/>
      <w:pPr>
        <w:ind w:left="9322" w:hanging="360"/>
      </w:pPr>
      <w:rPr>
        <w:rFonts w:ascii="Wingdings" w:hAnsi="Wingdings" w:hint="default"/>
      </w:rPr>
    </w:lvl>
  </w:abstractNum>
  <w:abstractNum w:abstractNumId="14" w15:restartNumberingAfterBreak="0">
    <w:nsid w:val="678E0412"/>
    <w:multiLevelType w:val="hybridMultilevel"/>
    <w:tmpl w:val="C3703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C25067"/>
    <w:multiLevelType w:val="hybridMultilevel"/>
    <w:tmpl w:val="242272EC"/>
    <w:lvl w:ilvl="0" w:tplc="4824EE0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15:restartNumberingAfterBreak="0">
    <w:nsid w:val="69930007"/>
    <w:multiLevelType w:val="hybridMultilevel"/>
    <w:tmpl w:val="AE9C1A48"/>
    <w:lvl w:ilvl="0" w:tplc="1DC0C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C1D59E2"/>
    <w:multiLevelType w:val="hybridMultilevel"/>
    <w:tmpl w:val="9F169ED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D33870"/>
    <w:multiLevelType w:val="hybridMultilevel"/>
    <w:tmpl w:val="9A9A6F5E"/>
    <w:lvl w:ilvl="0" w:tplc="04260011">
      <w:start w:val="1"/>
      <w:numFmt w:val="decimal"/>
      <w:lvlText w:val="%1)"/>
      <w:lvlJc w:val="left"/>
      <w:pPr>
        <w:ind w:left="3562" w:hanging="360"/>
      </w:pPr>
    </w:lvl>
    <w:lvl w:ilvl="1" w:tplc="04260019">
      <w:start w:val="1"/>
      <w:numFmt w:val="lowerLetter"/>
      <w:lvlText w:val="%2."/>
      <w:lvlJc w:val="left"/>
      <w:pPr>
        <w:ind w:left="4282" w:hanging="360"/>
      </w:pPr>
    </w:lvl>
    <w:lvl w:ilvl="2" w:tplc="0426001B" w:tentative="1">
      <w:start w:val="1"/>
      <w:numFmt w:val="lowerRoman"/>
      <w:lvlText w:val="%3."/>
      <w:lvlJc w:val="right"/>
      <w:pPr>
        <w:ind w:left="5002" w:hanging="180"/>
      </w:pPr>
    </w:lvl>
    <w:lvl w:ilvl="3" w:tplc="0426000F" w:tentative="1">
      <w:start w:val="1"/>
      <w:numFmt w:val="decimal"/>
      <w:lvlText w:val="%4."/>
      <w:lvlJc w:val="left"/>
      <w:pPr>
        <w:ind w:left="5722" w:hanging="360"/>
      </w:pPr>
    </w:lvl>
    <w:lvl w:ilvl="4" w:tplc="04260019" w:tentative="1">
      <w:start w:val="1"/>
      <w:numFmt w:val="lowerLetter"/>
      <w:lvlText w:val="%5."/>
      <w:lvlJc w:val="left"/>
      <w:pPr>
        <w:ind w:left="6442" w:hanging="360"/>
      </w:pPr>
    </w:lvl>
    <w:lvl w:ilvl="5" w:tplc="0426001B" w:tentative="1">
      <w:start w:val="1"/>
      <w:numFmt w:val="lowerRoman"/>
      <w:lvlText w:val="%6."/>
      <w:lvlJc w:val="right"/>
      <w:pPr>
        <w:ind w:left="7162" w:hanging="180"/>
      </w:pPr>
    </w:lvl>
    <w:lvl w:ilvl="6" w:tplc="0426000F" w:tentative="1">
      <w:start w:val="1"/>
      <w:numFmt w:val="decimal"/>
      <w:lvlText w:val="%7."/>
      <w:lvlJc w:val="left"/>
      <w:pPr>
        <w:ind w:left="7882" w:hanging="360"/>
      </w:pPr>
    </w:lvl>
    <w:lvl w:ilvl="7" w:tplc="04260019" w:tentative="1">
      <w:start w:val="1"/>
      <w:numFmt w:val="lowerLetter"/>
      <w:lvlText w:val="%8."/>
      <w:lvlJc w:val="left"/>
      <w:pPr>
        <w:ind w:left="8602" w:hanging="360"/>
      </w:pPr>
    </w:lvl>
    <w:lvl w:ilvl="8" w:tplc="0426001B" w:tentative="1">
      <w:start w:val="1"/>
      <w:numFmt w:val="lowerRoman"/>
      <w:lvlText w:val="%9."/>
      <w:lvlJc w:val="right"/>
      <w:pPr>
        <w:ind w:left="9322" w:hanging="180"/>
      </w:pPr>
    </w:lvl>
  </w:abstractNum>
  <w:abstractNum w:abstractNumId="19" w15:restartNumberingAfterBreak="0">
    <w:nsid w:val="6F585E1B"/>
    <w:multiLevelType w:val="hybridMultilevel"/>
    <w:tmpl w:val="0076F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200066"/>
    <w:multiLevelType w:val="multilevel"/>
    <w:tmpl w:val="5276EE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16"/>
  </w:num>
  <w:num w:numId="5">
    <w:abstractNumId w:val="6"/>
  </w:num>
  <w:num w:numId="6">
    <w:abstractNumId w:val="1"/>
  </w:num>
  <w:num w:numId="7">
    <w:abstractNumId w:val="14"/>
  </w:num>
  <w:num w:numId="8">
    <w:abstractNumId w:val="3"/>
  </w:num>
  <w:num w:numId="9">
    <w:abstractNumId w:val="0"/>
  </w:num>
  <w:num w:numId="10">
    <w:abstractNumId w:val="20"/>
  </w:num>
  <w:num w:numId="11">
    <w:abstractNumId w:val="11"/>
  </w:num>
  <w:num w:numId="12">
    <w:abstractNumId w:val="17"/>
  </w:num>
  <w:num w:numId="13">
    <w:abstractNumId w:val="15"/>
  </w:num>
  <w:num w:numId="14">
    <w:abstractNumId w:val="2"/>
  </w:num>
  <w:num w:numId="15">
    <w:abstractNumId w:val="8"/>
  </w:num>
  <w:num w:numId="16">
    <w:abstractNumId w:val="7"/>
  </w:num>
  <w:num w:numId="17">
    <w:abstractNumId w:val="5"/>
  </w:num>
  <w:num w:numId="18">
    <w:abstractNumId w:val="9"/>
  </w:num>
  <w:num w:numId="19">
    <w:abstractNumId w:val="13"/>
  </w:num>
  <w:num w:numId="20">
    <w:abstractNumId w:val="18"/>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F8"/>
    <w:rsid w:val="00003727"/>
    <w:rsid w:val="00006E41"/>
    <w:rsid w:val="00020A2A"/>
    <w:rsid w:val="000458D6"/>
    <w:rsid w:val="00076739"/>
    <w:rsid w:val="00087477"/>
    <w:rsid w:val="000B440F"/>
    <w:rsid w:val="000F79D2"/>
    <w:rsid w:val="00101D9E"/>
    <w:rsid w:val="001031F7"/>
    <w:rsid w:val="00106389"/>
    <w:rsid w:val="00126A0C"/>
    <w:rsid w:val="00141308"/>
    <w:rsid w:val="001435C1"/>
    <w:rsid w:val="00150947"/>
    <w:rsid w:val="00164778"/>
    <w:rsid w:val="001877B3"/>
    <w:rsid w:val="001903B2"/>
    <w:rsid w:val="001A75AE"/>
    <w:rsid w:val="001B1A48"/>
    <w:rsid w:val="001B397B"/>
    <w:rsid w:val="001D49F1"/>
    <w:rsid w:val="001D7971"/>
    <w:rsid w:val="001F07FB"/>
    <w:rsid w:val="001F0CF8"/>
    <w:rsid w:val="001F3AE6"/>
    <w:rsid w:val="001F7584"/>
    <w:rsid w:val="00201063"/>
    <w:rsid w:val="00230D3A"/>
    <w:rsid w:val="00261AA6"/>
    <w:rsid w:val="00290F66"/>
    <w:rsid w:val="002B3982"/>
    <w:rsid w:val="002B4DC3"/>
    <w:rsid w:val="002C383A"/>
    <w:rsid w:val="002E4B59"/>
    <w:rsid w:val="002E5FF4"/>
    <w:rsid w:val="002F4408"/>
    <w:rsid w:val="002F45AE"/>
    <w:rsid w:val="002F4CF0"/>
    <w:rsid w:val="002F671E"/>
    <w:rsid w:val="00306D96"/>
    <w:rsid w:val="00323EE2"/>
    <w:rsid w:val="003425F6"/>
    <w:rsid w:val="00343E7B"/>
    <w:rsid w:val="003713DF"/>
    <w:rsid w:val="0037562F"/>
    <w:rsid w:val="00381927"/>
    <w:rsid w:val="003838BA"/>
    <w:rsid w:val="00390B31"/>
    <w:rsid w:val="003A4A16"/>
    <w:rsid w:val="003B3223"/>
    <w:rsid w:val="003B36F1"/>
    <w:rsid w:val="003B7F9F"/>
    <w:rsid w:val="003C169E"/>
    <w:rsid w:val="003C3245"/>
    <w:rsid w:val="004218BD"/>
    <w:rsid w:val="00422489"/>
    <w:rsid w:val="004415E1"/>
    <w:rsid w:val="00441E53"/>
    <w:rsid w:val="004513C1"/>
    <w:rsid w:val="00452020"/>
    <w:rsid w:val="00462FF0"/>
    <w:rsid w:val="004732F7"/>
    <w:rsid w:val="004815ED"/>
    <w:rsid w:val="004830B9"/>
    <w:rsid w:val="004960FD"/>
    <w:rsid w:val="004C453A"/>
    <w:rsid w:val="004C4CC7"/>
    <w:rsid w:val="004C70E1"/>
    <w:rsid w:val="0050405E"/>
    <w:rsid w:val="00506B31"/>
    <w:rsid w:val="005270C1"/>
    <w:rsid w:val="00527285"/>
    <w:rsid w:val="00532A69"/>
    <w:rsid w:val="00532B65"/>
    <w:rsid w:val="00544F99"/>
    <w:rsid w:val="005731AE"/>
    <w:rsid w:val="005872DB"/>
    <w:rsid w:val="00593844"/>
    <w:rsid w:val="005B1A96"/>
    <w:rsid w:val="005E1439"/>
    <w:rsid w:val="006261D9"/>
    <w:rsid w:val="006266F9"/>
    <w:rsid w:val="00657F76"/>
    <w:rsid w:val="006C634D"/>
    <w:rsid w:val="006C63D7"/>
    <w:rsid w:val="006E1528"/>
    <w:rsid w:val="00702EC5"/>
    <w:rsid w:val="00705F20"/>
    <w:rsid w:val="00714E17"/>
    <w:rsid w:val="00727CB7"/>
    <w:rsid w:val="007415E8"/>
    <w:rsid w:val="00745D31"/>
    <w:rsid w:val="00746206"/>
    <w:rsid w:val="007537B4"/>
    <w:rsid w:val="00763296"/>
    <w:rsid w:val="0077311C"/>
    <w:rsid w:val="00775B91"/>
    <w:rsid w:val="007846B4"/>
    <w:rsid w:val="007979E7"/>
    <w:rsid w:val="007B6ADD"/>
    <w:rsid w:val="007E36C0"/>
    <w:rsid w:val="007E53F4"/>
    <w:rsid w:val="007F12E2"/>
    <w:rsid w:val="007F3197"/>
    <w:rsid w:val="007F338F"/>
    <w:rsid w:val="0080444F"/>
    <w:rsid w:val="00816716"/>
    <w:rsid w:val="00830E2E"/>
    <w:rsid w:val="008416D4"/>
    <w:rsid w:val="008553C4"/>
    <w:rsid w:val="008559C2"/>
    <w:rsid w:val="00870B02"/>
    <w:rsid w:val="008A7AB0"/>
    <w:rsid w:val="008C7B21"/>
    <w:rsid w:val="008D2C7E"/>
    <w:rsid w:val="009114BE"/>
    <w:rsid w:val="009370E3"/>
    <w:rsid w:val="009445C3"/>
    <w:rsid w:val="00953CA3"/>
    <w:rsid w:val="00956915"/>
    <w:rsid w:val="0096394E"/>
    <w:rsid w:val="009917B1"/>
    <w:rsid w:val="009A3C33"/>
    <w:rsid w:val="009C44A5"/>
    <w:rsid w:val="009C566F"/>
    <w:rsid w:val="009D3633"/>
    <w:rsid w:val="00A21717"/>
    <w:rsid w:val="00A40CC4"/>
    <w:rsid w:val="00A809A2"/>
    <w:rsid w:val="00A81838"/>
    <w:rsid w:val="00A838E2"/>
    <w:rsid w:val="00A868B2"/>
    <w:rsid w:val="00A961E0"/>
    <w:rsid w:val="00AA029E"/>
    <w:rsid w:val="00AD5D50"/>
    <w:rsid w:val="00AD7696"/>
    <w:rsid w:val="00AE216D"/>
    <w:rsid w:val="00B17EAB"/>
    <w:rsid w:val="00B377CB"/>
    <w:rsid w:val="00B41D3A"/>
    <w:rsid w:val="00B44444"/>
    <w:rsid w:val="00B67C18"/>
    <w:rsid w:val="00B76CC7"/>
    <w:rsid w:val="00B9106A"/>
    <w:rsid w:val="00B96ADB"/>
    <w:rsid w:val="00BA108C"/>
    <w:rsid w:val="00BB1183"/>
    <w:rsid w:val="00BC2338"/>
    <w:rsid w:val="00BC722C"/>
    <w:rsid w:val="00BE1DA2"/>
    <w:rsid w:val="00BE627B"/>
    <w:rsid w:val="00BF548F"/>
    <w:rsid w:val="00C003A7"/>
    <w:rsid w:val="00C756AF"/>
    <w:rsid w:val="00C77E2D"/>
    <w:rsid w:val="00C83F5A"/>
    <w:rsid w:val="00CB2B68"/>
    <w:rsid w:val="00CB3D2F"/>
    <w:rsid w:val="00CC1450"/>
    <w:rsid w:val="00CC1BDD"/>
    <w:rsid w:val="00CD0A52"/>
    <w:rsid w:val="00CD2DD6"/>
    <w:rsid w:val="00CF3036"/>
    <w:rsid w:val="00D11B88"/>
    <w:rsid w:val="00D13371"/>
    <w:rsid w:val="00D577E0"/>
    <w:rsid w:val="00D61E7C"/>
    <w:rsid w:val="00D67550"/>
    <w:rsid w:val="00DA1EC3"/>
    <w:rsid w:val="00DB1CE0"/>
    <w:rsid w:val="00DB1F9E"/>
    <w:rsid w:val="00DB3596"/>
    <w:rsid w:val="00DE737F"/>
    <w:rsid w:val="00E023CE"/>
    <w:rsid w:val="00E211FE"/>
    <w:rsid w:val="00E319E1"/>
    <w:rsid w:val="00E338A8"/>
    <w:rsid w:val="00E342AB"/>
    <w:rsid w:val="00E36722"/>
    <w:rsid w:val="00E414D2"/>
    <w:rsid w:val="00E430C1"/>
    <w:rsid w:val="00E4751B"/>
    <w:rsid w:val="00E535C1"/>
    <w:rsid w:val="00E55996"/>
    <w:rsid w:val="00E57871"/>
    <w:rsid w:val="00E72D42"/>
    <w:rsid w:val="00E9079B"/>
    <w:rsid w:val="00EB15A5"/>
    <w:rsid w:val="00EB41C4"/>
    <w:rsid w:val="00EC3202"/>
    <w:rsid w:val="00EC619D"/>
    <w:rsid w:val="00EC7A10"/>
    <w:rsid w:val="00ED25F2"/>
    <w:rsid w:val="00EF1801"/>
    <w:rsid w:val="00EF4DDA"/>
    <w:rsid w:val="00F01B03"/>
    <w:rsid w:val="00F0758C"/>
    <w:rsid w:val="00F4122E"/>
    <w:rsid w:val="00F45642"/>
    <w:rsid w:val="00F8083E"/>
    <w:rsid w:val="00FC083D"/>
    <w:rsid w:val="00FC17C8"/>
    <w:rsid w:val="00FF03F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7D604"/>
  <w15:docId w15:val="{9C591DB7-7193-4DDA-8F37-AA70FD32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F8"/>
    <w:pPr>
      <w:jc w:val="both"/>
    </w:pPr>
    <w:rPr>
      <w:rFonts w:eastAsia="Times New Roman" w:cs="Times New Roman"/>
      <w:szCs w:val="20"/>
    </w:rPr>
  </w:style>
  <w:style w:type="paragraph" w:styleId="Heading1">
    <w:name w:val="heading 1"/>
    <w:basedOn w:val="Normal"/>
    <w:next w:val="Normal"/>
    <w:link w:val="Heading1Char"/>
    <w:uiPriority w:val="9"/>
    <w:qFormat/>
    <w:rsid w:val="006C634D"/>
    <w:pPr>
      <w:keepNext/>
      <w:keepLines/>
      <w:numPr>
        <w:numId w:val="10"/>
      </w:numPr>
      <w:spacing w:before="240" w:line="276" w:lineRule="auto"/>
      <w:jc w:val="left"/>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6C634D"/>
    <w:pPr>
      <w:keepNext/>
      <w:keepLines/>
      <w:numPr>
        <w:ilvl w:val="1"/>
        <w:numId w:val="10"/>
      </w:numPr>
      <w:spacing w:before="240" w:after="120" w:line="276" w:lineRule="auto"/>
      <w:jc w:val="left"/>
      <w:outlineLvl w:val="1"/>
    </w:pPr>
    <w:rPr>
      <w:rFonts w:asciiTheme="minorHAnsi" w:eastAsiaTheme="majorEastAsia" w:hAnsiTheme="minorHAnsi" w:cstheme="majorBidi"/>
      <w:b/>
      <w:szCs w:val="24"/>
    </w:rPr>
  </w:style>
  <w:style w:type="paragraph" w:styleId="Heading3">
    <w:name w:val="heading 3"/>
    <w:basedOn w:val="Normal"/>
    <w:next w:val="Normal"/>
    <w:link w:val="Heading3Char"/>
    <w:uiPriority w:val="9"/>
    <w:unhideWhenUsed/>
    <w:qFormat/>
    <w:rsid w:val="006C634D"/>
    <w:pPr>
      <w:keepNext/>
      <w:keepLines/>
      <w:numPr>
        <w:ilvl w:val="2"/>
        <w:numId w:val="10"/>
      </w:numPr>
      <w:spacing w:before="40" w:line="276" w:lineRule="auto"/>
      <w:jc w:val="left"/>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C634D"/>
    <w:pPr>
      <w:keepNext/>
      <w:keepLines/>
      <w:numPr>
        <w:ilvl w:val="3"/>
        <w:numId w:val="10"/>
      </w:numPr>
      <w:spacing w:before="40" w:line="276" w:lineRule="auto"/>
      <w:jc w:val="left"/>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6C634D"/>
    <w:pPr>
      <w:keepNext/>
      <w:keepLines/>
      <w:numPr>
        <w:ilvl w:val="4"/>
        <w:numId w:val="10"/>
      </w:numPr>
      <w:spacing w:before="40" w:line="276" w:lineRule="auto"/>
      <w:jc w:val="left"/>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6C634D"/>
    <w:pPr>
      <w:keepNext/>
      <w:keepLines/>
      <w:numPr>
        <w:ilvl w:val="5"/>
        <w:numId w:val="10"/>
      </w:numPr>
      <w:spacing w:before="40" w:line="276" w:lineRule="auto"/>
      <w:jc w:val="left"/>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6C634D"/>
    <w:pPr>
      <w:keepNext/>
      <w:keepLines/>
      <w:numPr>
        <w:ilvl w:val="6"/>
        <w:numId w:val="10"/>
      </w:numPr>
      <w:spacing w:before="40" w:line="276" w:lineRule="auto"/>
      <w:jc w:val="left"/>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6C634D"/>
    <w:pPr>
      <w:keepNext/>
      <w:keepLines/>
      <w:numPr>
        <w:ilvl w:val="7"/>
        <w:numId w:val="10"/>
      </w:numPr>
      <w:spacing w:before="40" w:line="276" w:lineRule="auto"/>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634D"/>
    <w:pPr>
      <w:keepNext/>
      <w:keepLines/>
      <w:numPr>
        <w:ilvl w:val="8"/>
        <w:numId w:val="10"/>
      </w:numPr>
      <w:spacing w:before="40" w:line="276"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F8"/>
    <w:pPr>
      <w:ind w:left="720"/>
      <w:contextualSpacing/>
      <w:jc w:val="left"/>
    </w:pPr>
    <w:rPr>
      <w:rFonts w:eastAsiaTheme="minorHAnsi" w:cstheme="minorBidi"/>
      <w:szCs w:val="22"/>
    </w:rPr>
  </w:style>
  <w:style w:type="character" w:styleId="Hyperlink">
    <w:name w:val="Hyperlink"/>
    <w:basedOn w:val="DefaultParagraphFont"/>
    <w:uiPriority w:val="99"/>
    <w:unhideWhenUsed/>
    <w:rsid w:val="00FF03F8"/>
    <w:rPr>
      <w:color w:val="0000FF"/>
      <w:u w:val="single"/>
    </w:rPr>
  </w:style>
  <w:style w:type="paragraph" w:styleId="Header">
    <w:name w:val="header"/>
    <w:basedOn w:val="Normal"/>
    <w:link w:val="HeaderChar"/>
    <w:uiPriority w:val="99"/>
    <w:unhideWhenUsed/>
    <w:rsid w:val="00FF03F8"/>
    <w:pPr>
      <w:tabs>
        <w:tab w:val="center" w:pos="4153"/>
        <w:tab w:val="right" w:pos="8306"/>
      </w:tabs>
    </w:pPr>
  </w:style>
  <w:style w:type="character" w:customStyle="1" w:styleId="HeaderChar">
    <w:name w:val="Header Char"/>
    <w:basedOn w:val="DefaultParagraphFont"/>
    <w:link w:val="Header"/>
    <w:uiPriority w:val="99"/>
    <w:rsid w:val="00FF03F8"/>
    <w:rPr>
      <w:rFonts w:eastAsia="Times New Roman" w:cs="Times New Roman"/>
      <w:szCs w:val="20"/>
    </w:rPr>
  </w:style>
  <w:style w:type="paragraph" w:styleId="Footer">
    <w:name w:val="footer"/>
    <w:basedOn w:val="Normal"/>
    <w:link w:val="FooterChar"/>
    <w:uiPriority w:val="99"/>
    <w:unhideWhenUsed/>
    <w:rsid w:val="00FF03F8"/>
    <w:pPr>
      <w:tabs>
        <w:tab w:val="center" w:pos="4153"/>
        <w:tab w:val="right" w:pos="8306"/>
      </w:tabs>
    </w:pPr>
  </w:style>
  <w:style w:type="character" w:customStyle="1" w:styleId="FooterChar">
    <w:name w:val="Footer Char"/>
    <w:basedOn w:val="DefaultParagraphFont"/>
    <w:link w:val="Footer"/>
    <w:uiPriority w:val="99"/>
    <w:rsid w:val="00FF03F8"/>
    <w:rPr>
      <w:rFonts w:eastAsia="Times New Roman" w:cs="Times New Roman"/>
      <w:szCs w:val="20"/>
    </w:rPr>
  </w:style>
  <w:style w:type="paragraph" w:styleId="BalloonText">
    <w:name w:val="Balloon Text"/>
    <w:basedOn w:val="Normal"/>
    <w:link w:val="BalloonTextChar"/>
    <w:uiPriority w:val="99"/>
    <w:semiHidden/>
    <w:unhideWhenUsed/>
    <w:rsid w:val="00FF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F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C634D"/>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6C634D"/>
    <w:rPr>
      <w:rFonts w:asciiTheme="minorHAnsi" w:eastAsiaTheme="majorEastAsia" w:hAnsiTheme="minorHAnsi" w:cstheme="majorBidi"/>
      <w:b/>
      <w:szCs w:val="24"/>
    </w:rPr>
  </w:style>
  <w:style w:type="character" w:customStyle="1" w:styleId="Heading3Char">
    <w:name w:val="Heading 3 Char"/>
    <w:basedOn w:val="DefaultParagraphFont"/>
    <w:link w:val="Heading3"/>
    <w:uiPriority w:val="9"/>
    <w:rsid w:val="006C634D"/>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6C634D"/>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6C634D"/>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6C634D"/>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6C634D"/>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6C63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634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37562F"/>
    <w:pPr>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7562F"/>
    <w:rPr>
      <w:rFonts w:asciiTheme="minorHAnsi" w:hAnsiTheme="minorHAnsi"/>
      <w:sz w:val="20"/>
      <w:szCs w:val="20"/>
    </w:rPr>
  </w:style>
  <w:style w:type="character" w:styleId="FootnoteReference">
    <w:name w:val="footnote reference"/>
    <w:basedOn w:val="DefaultParagraphFont"/>
    <w:uiPriority w:val="99"/>
    <w:semiHidden/>
    <w:unhideWhenUsed/>
    <w:rsid w:val="0037562F"/>
    <w:rPr>
      <w:vertAlign w:val="superscript"/>
    </w:rPr>
  </w:style>
  <w:style w:type="table" w:styleId="LightList-Accent1">
    <w:name w:val="Light List Accent 1"/>
    <w:basedOn w:val="TableNormal"/>
    <w:uiPriority w:val="61"/>
    <w:rsid w:val="0037562F"/>
    <w:rPr>
      <w:rFonts w:asciiTheme="minorHAnsi" w:hAnsiTheme="minorHAnsi"/>
      <w:sz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2B4DC3"/>
    <w:rPr>
      <w:sz w:val="16"/>
      <w:szCs w:val="16"/>
    </w:rPr>
  </w:style>
  <w:style w:type="paragraph" w:styleId="CommentText">
    <w:name w:val="annotation text"/>
    <w:basedOn w:val="Normal"/>
    <w:link w:val="CommentTextChar"/>
    <w:uiPriority w:val="99"/>
    <w:semiHidden/>
    <w:unhideWhenUsed/>
    <w:rsid w:val="002B4DC3"/>
    <w:rPr>
      <w:sz w:val="20"/>
    </w:rPr>
  </w:style>
  <w:style w:type="character" w:customStyle="1" w:styleId="CommentTextChar">
    <w:name w:val="Comment Text Char"/>
    <w:basedOn w:val="DefaultParagraphFont"/>
    <w:link w:val="CommentText"/>
    <w:uiPriority w:val="99"/>
    <w:semiHidden/>
    <w:rsid w:val="002B4DC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DC3"/>
    <w:rPr>
      <w:b/>
      <w:bCs/>
    </w:rPr>
  </w:style>
  <w:style w:type="character" w:customStyle="1" w:styleId="CommentSubjectChar">
    <w:name w:val="Comment Subject Char"/>
    <w:basedOn w:val="CommentTextChar"/>
    <w:link w:val="CommentSubject"/>
    <w:uiPriority w:val="99"/>
    <w:semiHidden/>
    <w:rsid w:val="002B4DC3"/>
    <w:rPr>
      <w:rFonts w:eastAsia="Times New Roman" w:cs="Times New Roman"/>
      <w:b/>
      <w:bCs/>
      <w:sz w:val="20"/>
      <w:szCs w:val="20"/>
    </w:rPr>
  </w:style>
  <w:style w:type="table" w:styleId="TableGrid">
    <w:name w:val="Table Grid"/>
    <w:basedOn w:val="TableNormal"/>
    <w:uiPriority w:val="39"/>
    <w:rsid w:val="00B4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416D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42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38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ak.lv/index.php?option=com_institucijas&amp;view=institucijas&amp;type=t&amp;Itemid=110&amp;lang=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F6E3-7436-4FBE-98F6-5288AE28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11251</Words>
  <Characters>6414</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līdzdalības kapitālsabiedrībās izvērtēšanu un ar Ministru prezidenta 2012.gada 19.jūnija rīkojumu Nr.233 izveidotās darba grupas priekšlikumiem turpmākai rīcībai”</vt:lpstr>
      <vt:lpstr>Informatīvais ziņojums  “Par valsts līdzdalības kapitālsabiedrībās izvērtēšanu un ar Ministru prezidenta 2012.gada 19.jūnija rīkojumu Nr.233 izveidotās darba grupas priekšlikumiem turpmākai rīcībai”</vt:lpstr>
    </vt:vector>
  </TitlesOfParts>
  <Company>Finanšu ministrija</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kapitālsabiedrībās izvērtēšanu un ar Ministru prezidenta 2012.gada 19.jūnija rīkojumu Nr.233 izveidotās darba grupas priekšlikumiem turpmākai rīcībai”</dc:title>
  <dc:creator>agija.leitane-skele@fm.gov.lv</dc:creator>
  <dc:description>Leitāne-Šķēle, 67095428</dc:description>
  <cp:lastModifiedBy>Zane Zute</cp:lastModifiedBy>
  <cp:revision>8</cp:revision>
  <cp:lastPrinted>2017-05-23T09:56:00Z</cp:lastPrinted>
  <dcterms:created xsi:type="dcterms:W3CDTF">2017-05-02T12:24:00Z</dcterms:created>
  <dcterms:modified xsi:type="dcterms:W3CDTF">2017-05-25T08:18:00Z</dcterms:modified>
</cp:coreProperties>
</file>