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0D" w:rsidRDefault="005128C9" w:rsidP="00A85F0F">
      <w:pPr>
        <w:pStyle w:val="NormalWeb"/>
        <w:spacing w:before="0" w:beforeAutospacing="0" w:after="0" w:afterAutospacing="0"/>
        <w:jc w:val="center"/>
        <w:rPr>
          <w:b/>
          <w:bCs/>
          <w:sz w:val="28"/>
          <w:szCs w:val="28"/>
        </w:rPr>
      </w:pPr>
      <w:r w:rsidRPr="005128C9">
        <w:rPr>
          <w:b/>
          <w:bCs/>
          <w:sz w:val="28"/>
          <w:szCs w:val="28"/>
        </w:rPr>
        <w:t xml:space="preserve">Ministru kabineta </w:t>
      </w:r>
      <w:r w:rsidR="00E57FA2">
        <w:rPr>
          <w:b/>
          <w:bCs/>
          <w:sz w:val="28"/>
          <w:szCs w:val="28"/>
        </w:rPr>
        <w:t xml:space="preserve">rīkojuma </w:t>
      </w:r>
      <w:r w:rsidRPr="005128C9">
        <w:rPr>
          <w:b/>
          <w:bCs/>
          <w:sz w:val="28"/>
          <w:szCs w:val="28"/>
        </w:rPr>
        <w:t xml:space="preserve">projekta </w:t>
      </w:r>
    </w:p>
    <w:p w:rsidR="00D32E0D" w:rsidRDefault="005128C9" w:rsidP="00A85F0F">
      <w:pPr>
        <w:pStyle w:val="Heading3"/>
        <w:spacing w:before="0" w:beforeAutospacing="0" w:after="0" w:afterAutospacing="0"/>
        <w:jc w:val="center"/>
        <w:rPr>
          <w:b w:val="0"/>
          <w:bCs w:val="0"/>
          <w:sz w:val="28"/>
          <w:szCs w:val="28"/>
        </w:rPr>
      </w:pPr>
      <w:r w:rsidRPr="005128C9">
        <w:rPr>
          <w:sz w:val="28"/>
          <w:szCs w:val="28"/>
        </w:rPr>
        <w:t>„</w:t>
      </w:r>
      <w:r w:rsidR="00A85F0F">
        <w:t>Grozījumi Ministru kabineta 2014</w:t>
      </w:r>
      <w:r w:rsidR="006F0F90">
        <w:t xml:space="preserve">. </w:t>
      </w:r>
      <w:r w:rsidR="00A85F0F">
        <w:t xml:space="preserve"> gada 29.</w:t>
      </w:r>
      <w:r w:rsidR="006F0F90">
        <w:t xml:space="preserve"> </w:t>
      </w:r>
      <w:r w:rsidR="00A85F0F">
        <w:t>jūlija rīkojumā Nr. 382 “Par Iekšlietu ministrijas ilgtermiņa saistībām ceļu satiksmes pārkāpumu fiksēšanas tehnisko līdzekļu (fotoradaru) darbības nodrošināšanai”</w:t>
      </w:r>
    </w:p>
    <w:p w:rsidR="005128C9" w:rsidRPr="005128C9" w:rsidRDefault="005128C9" w:rsidP="00A85F0F">
      <w:pPr>
        <w:pStyle w:val="NormalWeb"/>
        <w:spacing w:before="0" w:beforeAutospacing="0" w:after="0" w:afterAutospacing="0"/>
        <w:jc w:val="center"/>
        <w:rPr>
          <w:b/>
          <w:bCs/>
          <w:sz w:val="28"/>
          <w:szCs w:val="28"/>
        </w:rPr>
      </w:pPr>
      <w:r w:rsidRPr="005128C9">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Pr="005128C9">
          <w:rPr>
            <w:b/>
            <w:bCs/>
            <w:sz w:val="28"/>
            <w:szCs w:val="28"/>
          </w:rPr>
          <w:t>ziņojums</w:t>
        </w:r>
      </w:smartTag>
      <w:r w:rsidRPr="005128C9">
        <w:rPr>
          <w:b/>
          <w:bCs/>
          <w:sz w:val="28"/>
          <w:szCs w:val="28"/>
        </w:rPr>
        <w:t xml:space="preserve"> (anotācija)</w:t>
      </w:r>
    </w:p>
    <w:p w:rsidR="007F6B1C" w:rsidRPr="005128C9" w:rsidRDefault="007F6B1C" w:rsidP="007F6B1C">
      <w:pPr>
        <w:pStyle w:val="naisf"/>
        <w:spacing w:before="0" w:beforeAutospacing="0" w:after="0" w:afterAutospacing="0"/>
        <w:jc w:val="right"/>
        <w:rPr>
          <w:sz w:val="28"/>
          <w:szCs w:val="28"/>
        </w:rPr>
      </w:pPr>
    </w:p>
    <w:tbl>
      <w:tblPr>
        <w:tblpPr w:leftFromText="180" w:rightFromText="180" w:vertAnchor="text" w:horzAnchor="margin" w:tblpXSpec="center" w:tblpY="149"/>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129"/>
        <w:gridCol w:w="6930"/>
      </w:tblGrid>
      <w:tr w:rsidR="00626411" w:rsidRPr="00626411" w:rsidTr="00A85F0F">
        <w:trPr>
          <w:trHeight w:val="419"/>
        </w:trPr>
        <w:tc>
          <w:tcPr>
            <w:tcW w:w="5000" w:type="pct"/>
            <w:gridSpan w:val="3"/>
            <w:vAlign w:val="center"/>
          </w:tcPr>
          <w:p w:rsidR="007F6B1C" w:rsidRPr="00626411" w:rsidRDefault="007F6B1C" w:rsidP="006A32EF">
            <w:pPr>
              <w:pStyle w:val="naisnod"/>
              <w:spacing w:before="0" w:beforeAutospacing="0" w:after="0" w:afterAutospacing="0"/>
              <w:ind w:left="57" w:right="57"/>
              <w:jc w:val="center"/>
              <w:rPr>
                <w:b/>
                <w:color w:val="7030A0"/>
              </w:rPr>
            </w:pPr>
            <w:r w:rsidRPr="00626411">
              <w:rPr>
                <w:b/>
              </w:rPr>
              <w:t>I. Tiesību akta projekta izstrādes nepieciešamība</w:t>
            </w:r>
          </w:p>
        </w:tc>
      </w:tr>
      <w:tr w:rsidR="00626411" w:rsidRPr="00626411" w:rsidTr="00A85F0F">
        <w:trPr>
          <w:trHeight w:val="415"/>
        </w:trPr>
        <w:tc>
          <w:tcPr>
            <w:tcW w:w="221" w:type="pct"/>
          </w:tcPr>
          <w:p w:rsidR="007F6B1C" w:rsidRPr="00626411" w:rsidRDefault="007F6B1C" w:rsidP="006A32EF">
            <w:pPr>
              <w:pStyle w:val="naiskr"/>
              <w:spacing w:before="0" w:beforeAutospacing="0" w:after="0" w:afterAutospacing="0"/>
              <w:ind w:left="57" w:right="57"/>
              <w:jc w:val="center"/>
            </w:pPr>
            <w:r w:rsidRPr="00626411">
              <w:t>1.</w:t>
            </w:r>
          </w:p>
        </w:tc>
        <w:tc>
          <w:tcPr>
            <w:tcW w:w="1123" w:type="pct"/>
          </w:tcPr>
          <w:p w:rsidR="00E51480" w:rsidRPr="00626411" w:rsidRDefault="007F6B1C" w:rsidP="006A32EF">
            <w:pPr>
              <w:pStyle w:val="naiskr"/>
              <w:spacing w:before="0" w:beforeAutospacing="0" w:after="0" w:afterAutospacing="0"/>
              <w:ind w:left="57" w:right="57"/>
            </w:pPr>
            <w:r w:rsidRPr="00626411">
              <w:t>Pamatojums</w:t>
            </w:r>
          </w:p>
          <w:p w:rsidR="00E51480" w:rsidRPr="00626411" w:rsidRDefault="00E51480" w:rsidP="00E51480">
            <w:pPr>
              <w:rPr>
                <w:lang w:eastAsia="lv-LV"/>
              </w:rPr>
            </w:pPr>
          </w:p>
          <w:p w:rsidR="00E51480" w:rsidRPr="00626411" w:rsidRDefault="00E51480" w:rsidP="00E51480">
            <w:pPr>
              <w:rPr>
                <w:lang w:eastAsia="lv-LV"/>
              </w:rPr>
            </w:pPr>
          </w:p>
          <w:p w:rsidR="00E51480" w:rsidRPr="00626411" w:rsidRDefault="00E51480" w:rsidP="00E51480">
            <w:pPr>
              <w:rPr>
                <w:lang w:eastAsia="lv-LV"/>
              </w:rPr>
            </w:pPr>
          </w:p>
          <w:p w:rsidR="007F6B1C" w:rsidRPr="00626411" w:rsidRDefault="007F6B1C" w:rsidP="00E51480">
            <w:pPr>
              <w:ind w:firstLine="720"/>
              <w:rPr>
                <w:lang w:eastAsia="lv-LV"/>
              </w:rPr>
            </w:pPr>
          </w:p>
        </w:tc>
        <w:tc>
          <w:tcPr>
            <w:tcW w:w="3656" w:type="pct"/>
          </w:tcPr>
          <w:p w:rsidR="00942314" w:rsidRPr="00626411" w:rsidRDefault="000A25FF" w:rsidP="00603AF9">
            <w:pPr>
              <w:pStyle w:val="naiskr"/>
              <w:spacing w:before="0" w:beforeAutospacing="0" w:after="0" w:afterAutospacing="0"/>
              <w:ind w:firstLine="424"/>
              <w:jc w:val="both"/>
              <w:rPr>
                <w:color w:val="7030A0"/>
              </w:rPr>
            </w:pPr>
            <w:r w:rsidRPr="00626411">
              <w:t>Ministru kabineta rīkojuma projekts „</w:t>
            </w:r>
            <w:r w:rsidR="00A85F0F" w:rsidRPr="00626411">
              <w:t>Grozījumi Ministru kabineta 2014</w:t>
            </w:r>
            <w:r w:rsidR="00603AF9">
              <w:t>.</w:t>
            </w:r>
            <w:r w:rsidR="00A85F0F" w:rsidRPr="00626411">
              <w:t xml:space="preserve"> gada</w:t>
            </w:r>
            <w:r w:rsidR="006B72B9" w:rsidRPr="00626411">
              <w:t xml:space="preserve"> 29.</w:t>
            </w:r>
            <w:r w:rsidR="00603AF9">
              <w:t xml:space="preserve"> </w:t>
            </w:r>
            <w:r w:rsidR="006B72B9" w:rsidRPr="00626411">
              <w:t>jūlija rīkojumā Nr.</w:t>
            </w:r>
            <w:r w:rsidR="00A85F0F" w:rsidRPr="00626411">
              <w:t>382 “Par Iekšlietu ministrijas ilgtermiņa saistībām ceļu satiksmes pārkāpumu fiksēšanas tehnisko līdzekļu (fotoradaru) darbības nodrošināšanai”</w:t>
            </w:r>
            <w:r w:rsidRPr="00626411">
              <w:t>” (turpmāk – rīkojuma projek</w:t>
            </w:r>
            <w:r w:rsidR="00465061" w:rsidRPr="00626411">
              <w:t>ts) sagatavots, pamatojoties uz</w:t>
            </w:r>
            <w:r w:rsidR="00603AF9">
              <w:t xml:space="preserve"> Ministru kabineta </w:t>
            </w:r>
            <w:r w:rsidR="00603AF9" w:rsidRPr="00626411">
              <w:t>2014</w:t>
            </w:r>
            <w:r w:rsidR="00603AF9">
              <w:t>.</w:t>
            </w:r>
            <w:r w:rsidR="00603AF9" w:rsidRPr="00626411">
              <w:t xml:space="preserve"> gada 29.</w:t>
            </w:r>
            <w:r w:rsidR="00603AF9">
              <w:t xml:space="preserve"> jūlija rīkojuma</w:t>
            </w:r>
            <w:r w:rsidR="00603AF9" w:rsidRPr="00626411">
              <w:t xml:space="preserve"> Nr.382 “Par Iekšlietu ministrijas ilgtermiņa saistībām ceļu satiksmes pārkāpumu fiksēšanas tehnisko līdzekļu (fotor</w:t>
            </w:r>
            <w:r w:rsidR="0081606D">
              <w:t>adaru) darbības nodrošināšanai”</w:t>
            </w:r>
            <w:r w:rsidR="00603AF9">
              <w:t xml:space="preserve"> </w:t>
            </w:r>
            <w:r w:rsidR="00BA007D">
              <w:t xml:space="preserve">(turpmāk – rīkojums Nr.382) </w:t>
            </w:r>
            <w:r w:rsidR="00603AF9">
              <w:t>6.punktu.</w:t>
            </w:r>
          </w:p>
        </w:tc>
      </w:tr>
      <w:tr w:rsidR="00626411" w:rsidRPr="00626411" w:rsidTr="00A37380">
        <w:trPr>
          <w:trHeight w:val="472"/>
        </w:trPr>
        <w:tc>
          <w:tcPr>
            <w:tcW w:w="221" w:type="pct"/>
          </w:tcPr>
          <w:p w:rsidR="007F6B1C" w:rsidRPr="00E30405" w:rsidRDefault="007F6B1C" w:rsidP="006A32EF">
            <w:pPr>
              <w:pStyle w:val="naiskr"/>
              <w:spacing w:before="0" w:beforeAutospacing="0" w:after="0" w:afterAutospacing="0"/>
              <w:ind w:left="57" w:right="57"/>
              <w:jc w:val="center"/>
            </w:pPr>
            <w:r w:rsidRPr="00E30405">
              <w:t>2.</w:t>
            </w:r>
          </w:p>
        </w:tc>
        <w:tc>
          <w:tcPr>
            <w:tcW w:w="1123" w:type="pct"/>
          </w:tcPr>
          <w:p w:rsidR="007F6B1C" w:rsidRPr="00E30405" w:rsidRDefault="007F6B1C" w:rsidP="006A32EF">
            <w:pPr>
              <w:pStyle w:val="naiskr"/>
              <w:tabs>
                <w:tab w:val="left" w:pos="170"/>
              </w:tabs>
              <w:spacing w:before="0" w:beforeAutospacing="0" w:after="0" w:afterAutospacing="0"/>
              <w:ind w:left="57" w:right="57"/>
            </w:pPr>
            <w:r w:rsidRPr="00E30405">
              <w:t>Pašreizējā situācija un problēmas, kuru risināšanai tiesību akta projekts izstrādāts, tiesiskā regulējuma mērķis un būtība</w:t>
            </w:r>
          </w:p>
        </w:tc>
        <w:tc>
          <w:tcPr>
            <w:tcW w:w="3656" w:type="pct"/>
            <w:shd w:val="clear" w:color="auto" w:fill="auto"/>
          </w:tcPr>
          <w:p w:rsidR="003B1C56" w:rsidRPr="00EB4905" w:rsidRDefault="008A10F2" w:rsidP="006F0F90">
            <w:pPr>
              <w:spacing w:after="0" w:line="240" w:lineRule="auto"/>
              <w:ind w:firstLine="282"/>
              <w:jc w:val="both"/>
              <w:rPr>
                <w:rFonts w:ascii="Times New Roman" w:hAnsi="Times New Roman" w:cs="Times New Roman"/>
                <w:sz w:val="24"/>
                <w:szCs w:val="24"/>
                <w:shd w:val="clear" w:color="auto" w:fill="F1F1F1"/>
              </w:rPr>
            </w:pPr>
            <w:r w:rsidRPr="00EB4905">
              <w:rPr>
                <w:rFonts w:ascii="Times New Roman" w:hAnsi="Times New Roman" w:cs="Times New Roman"/>
                <w:sz w:val="24"/>
                <w:szCs w:val="24"/>
              </w:rPr>
              <w:t>R</w:t>
            </w:r>
            <w:r w:rsidR="00A85ED2" w:rsidRPr="00EB4905">
              <w:rPr>
                <w:rFonts w:ascii="Times New Roman" w:hAnsi="Times New Roman" w:cs="Times New Roman"/>
                <w:sz w:val="24"/>
                <w:szCs w:val="24"/>
              </w:rPr>
              <w:t>īkojuma</w:t>
            </w:r>
            <w:r w:rsidR="00942314" w:rsidRPr="00EB4905">
              <w:rPr>
                <w:rFonts w:ascii="Times New Roman" w:hAnsi="Times New Roman" w:cs="Times New Roman"/>
                <w:sz w:val="24"/>
                <w:szCs w:val="24"/>
              </w:rPr>
              <w:t xml:space="preserve"> Nr.</w:t>
            </w:r>
            <w:r w:rsidR="003B1C56" w:rsidRPr="00EB4905">
              <w:rPr>
                <w:rFonts w:ascii="Times New Roman" w:hAnsi="Times New Roman" w:cs="Times New Roman"/>
                <w:sz w:val="24"/>
                <w:szCs w:val="24"/>
              </w:rPr>
              <w:t>382</w:t>
            </w:r>
            <w:r w:rsidRPr="00EB4905">
              <w:rPr>
                <w:rFonts w:ascii="Times New Roman" w:hAnsi="Times New Roman" w:cs="Times New Roman"/>
                <w:sz w:val="24"/>
                <w:szCs w:val="24"/>
              </w:rPr>
              <w:t xml:space="preserve"> </w:t>
            </w:r>
            <w:r w:rsidR="003B1C56" w:rsidRPr="00EB4905">
              <w:rPr>
                <w:rFonts w:ascii="Times New Roman" w:hAnsi="Times New Roman" w:cs="Times New Roman"/>
                <w:sz w:val="24"/>
                <w:szCs w:val="24"/>
              </w:rPr>
              <w:t>6</w:t>
            </w:r>
            <w:r w:rsidR="00A85ED2" w:rsidRPr="00EB4905">
              <w:rPr>
                <w:rFonts w:ascii="Times New Roman" w:hAnsi="Times New Roman" w:cs="Times New Roman"/>
                <w:sz w:val="24"/>
                <w:szCs w:val="24"/>
              </w:rPr>
              <w:t xml:space="preserve">.punkts </w:t>
            </w:r>
            <w:r w:rsidR="00D06492" w:rsidRPr="00EB4905">
              <w:rPr>
                <w:rFonts w:ascii="Times New Roman" w:hAnsi="Times New Roman" w:cs="Times New Roman"/>
                <w:sz w:val="24"/>
                <w:szCs w:val="24"/>
              </w:rPr>
              <w:t>paredz</w:t>
            </w:r>
            <w:r w:rsidR="005B59AA" w:rsidRPr="00EB4905">
              <w:rPr>
                <w:rFonts w:ascii="Times New Roman" w:hAnsi="Times New Roman" w:cs="Times New Roman"/>
                <w:sz w:val="24"/>
                <w:szCs w:val="24"/>
              </w:rPr>
              <w:t xml:space="preserve"> – </w:t>
            </w:r>
            <w:r w:rsidR="005B59AA" w:rsidRPr="007854EF">
              <w:rPr>
                <w:rFonts w:ascii="Times New Roman" w:hAnsi="Times New Roman" w:cs="Times New Roman"/>
                <w:sz w:val="24"/>
                <w:szCs w:val="24"/>
              </w:rPr>
              <w:t>ja nepieciešams, Iekšlietu ministrija likumprojekta par valsts budžetu kārtējam gadam un likumprojekta par vidēja termiņa budžeta ietvaru sagatavošanas procesā var iesniegt izskatīšanai Ministru kabinetā pamatotus priekšlikumus plānoto valsts pamatbudžeta ieņēmumu, kā arī ilgtermiņa saistību precizēšanai, ievērojot, ka ilgtermiņa saistības atļauts palielināt tikai tad, ja palielinās valsts pamatbudžeta ieņēmumi un ilgtermiņa saistību palielinājums saistīts ar konkrētu izdevumu palielināšanos (piemēram, palielinās sagatavojamo protokolu – lēmumu skaits).</w:t>
            </w:r>
          </w:p>
          <w:p w:rsidR="005B59AA" w:rsidRPr="00EB4905" w:rsidRDefault="0063687B" w:rsidP="0063687B">
            <w:pPr>
              <w:spacing w:after="0" w:line="240" w:lineRule="auto"/>
              <w:ind w:firstLine="424"/>
              <w:jc w:val="both"/>
              <w:rPr>
                <w:rFonts w:ascii="Times New Roman" w:hAnsi="Times New Roman" w:cs="Times New Roman"/>
                <w:sz w:val="24"/>
                <w:szCs w:val="24"/>
                <w:shd w:val="clear" w:color="auto" w:fill="F1F1F1"/>
              </w:rPr>
            </w:pPr>
            <w:r w:rsidRPr="00E52E9E">
              <w:rPr>
                <w:rFonts w:ascii="Times New Roman" w:hAnsi="Times New Roman" w:cs="Times New Roman"/>
                <w:b/>
                <w:sz w:val="24"/>
                <w:szCs w:val="24"/>
              </w:rPr>
              <w:t>I.</w:t>
            </w:r>
            <w:r w:rsidRPr="00E52E9E">
              <w:rPr>
                <w:rFonts w:ascii="Times New Roman" w:hAnsi="Times New Roman" w:cs="Times New Roman"/>
                <w:sz w:val="24"/>
                <w:szCs w:val="24"/>
              </w:rPr>
              <w:t xml:space="preserve"> </w:t>
            </w:r>
            <w:r w:rsidR="00211635" w:rsidRPr="00E52E9E">
              <w:rPr>
                <w:rFonts w:ascii="Times New Roman" w:hAnsi="Times New Roman" w:cs="Times New Roman"/>
                <w:sz w:val="24"/>
                <w:szCs w:val="24"/>
              </w:rPr>
              <w:t xml:space="preserve">Prognozēto </w:t>
            </w:r>
            <w:r w:rsidR="00211635" w:rsidRPr="00E52E9E">
              <w:rPr>
                <w:rFonts w:ascii="Times New Roman" w:hAnsi="Times New Roman" w:cs="Times New Roman"/>
                <w:b/>
                <w:sz w:val="24"/>
                <w:szCs w:val="24"/>
              </w:rPr>
              <w:t>v</w:t>
            </w:r>
            <w:r w:rsidR="005B59AA" w:rsidRPr="00E52E9E">
              <w:rPr>
                <w:rFonts w:ascii="Times New Roman" w:hAnsi="Times New Roman" w:cs="Times New Roman"/>
                <w:b/>
                <w:sz w:val="24"/>
                <w:szCs w:val="24"/>
              </w:rPr>
              <w:t>alsts pamatbudžeta ieņ</w:t>
            </w:r>
            <w:r w:rsidR="00211635" w:rsidRPr="00E52E9E">
              <w:rPr>
                <w:rFonts w:ascii="Times New Roman" w:hAnsi="Times New Roman" w:cs="Times New Roman"/>
                <w:b/>
                <w:sz w:val="24"/>
                <w:szCs w:val="24"/>
              </w:rPr>
              <w:t>ēmumu apmēru</w:t>
            </w:r>
            <w:r w:rsidR="00211635" w:rsidRPr="00E52E9E">
              <w:rPr>
                <w:rFonts w:ascii="Times New Roman" w:hAnsi="Times New Roman" w:cs="Times New Roman"/>
                <w:sz w:val="24"/>
                <w:szCs w:val="24"/>
              </w:rPr>
              <w:t xml:space="preserve"> no naudas sodiem, ko uzliek Valsts policija pa pārkāpumiem ceļu satiksmē, kas fiksēti ar valsts akciju sabiedrībai “Ceļu satiksmes drošības direkcija”</w:t>
            </w:r>
            <w:r w:rsidR="008955F8">
              <w:rPr>
                <w:rFonts w:ascii="Times New Roman" w:hAnsi="Times New Roman" w:cs="Times New Roman"/>
                <w:sz w:val="24"/>
                <w:szCs w:val="24"/>
              </w:rPr>
              <w:t xml:space="preserve"> (turpmāk – CSDD) </w:t>
            </w:r>
            <w:r w:rsidR="00211635" w:rsidRPr="00E52E9E">
              <w:rPr>
                <w:rFonts w:ascii="Times New Roman" w:hAnsi="Times New Roman" w:cs="Times New Roman"/>
                <w:sz w:val="24"/>
                <w:szCs w:val="24"/>
              </w:rPr>
              <w:t xml:space="preserve">piederošajiem tehniskajiem līdzekļiem </w:t>
            </w:r>
            <w:r w:rsidR="006F0F90" w:rsidRPr="00E52E9E">
              <w:rPr>
                <w:rFonts w:ascii="Times New Roman" w:hAnsi="Times New Roman" w:cs="Times New Roman"/>
                <w:sz w:val="24"/>
                <w:szCs w:val="24"/>
              </w:rPr>
              <w:t>(</w:t>
            </w:r>
            <w:r w:rsidR="00684497" w:rsidRPr="00E52E9E">
              <w:rPr>
                <w:rFonts w:ascii="Times New Roman" w:hAnsi="Times New Roman" w:cs="Times New Roman"/>
                <w:sz w:val="24"/>
                <w:szCs w:val="24"/>
              </w:rPr>
              <w:t>fotoradariem</w:t>
            </w:r>
            <w:r w:rsidR="006F0F90" w:rsidRPr="00E52E9E">
              <w:rPr>
                <w:rFonts w:ascii="Times New Roman" w:hAnsi="Times New Roman" w:cs="Times New Roman"/>
                <w:sz w:val="24"/>
                <w:szCs w:val="24"/>
              </w:rPr>
              <w:t>)</w:t>
            </w:r>
            <w:r w:rsidR="00EA1E25" w:rsidRPr="00E52E9E">
              <w:rPr>
                <w:rFonts w:ascii="Times New Roman" w:hAnsi="Times New Roman" w:cs="Times New Roman"/>
                <w:sz w:val="24"/>
                <w:szCs w:val="24"/>
              </w:rPr>
              <w:t xml:space="preserve"> </w:t>
            </w:r>
            <w:r w:rsidR="00211635" w:rsidRPr="00E52E9E">
              <w:rPr>
                <w:rFonts w:ascii="Times New Roman" w:hAnsi="Times New Roman" w:cs="Times New Roman"/>
                <w:sz w:val="24"/>
                <w:szCs w:val="24"/>
              </w:rPr>
              <w:t>ietekmē šādi faktori:</w:t>
            </w:r>
          </w:p>
          <w:p w:rsidR="00711E41" w:rsidRPr="00CC698D" w:rsidRDefault="00711E41" w:rsidP="00CC698D">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Protokolu – lēmumu skaita izmaiņas.</w:t>
            </w:r>
          </w:p>
          <w:p w:rsidR="000F0590" w:rsidRPr="00711E41" w:rsidRDefault="00952586" w:rsidP="00B27F84">
            <w:pPr>
              <w:spacing w:after="0" w:line="240" w:lineRule="auto"/>
              <w:ind w:firstLine="282"/>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Balstoties uz</w:t>
            </w:r>
            <w:r w:rsidR="00153DE3" w:rsidRPr="00A71A0C">
              <w:rPr>
                <w:rFonts w:ascii="Times New Roman" w:hAnsi="Times New Roman" w:cs="Times New Roman"/>
                <w:sz w:val="24"/>
                <w:szCs w:val="24"/>
              </w:rPr>
              <w:t xml:space="preserve"> statistikas datiem par 2016</w:t>
            </w:r>
            <w:r w:rsidR="000F0590" w:rsidRPr="00A71A0C">
              <w:rPr>
                <w:rFonts w:ascii="Times New Roman" w:hAnsi="Times New Roman" w:cs="Times New Roman"/>
                <w:sz w:val="24"/>
                <w:szCs w:val="24"/>
              </w:rPr>
              <w:t>. gadu</w:t>
            </w:r>
            <w:r w:rsidR="00153DE3" w:rsidRPr="00A71A0C">
              <w:rPr>
                <w:rFonts w:ascii="Times New Roman" w:hAnsi="Times New Roman" w:cs="Times New Roman"/>
                <w:sz w:val="24"/>
                <w:szCs w:val="24"/>
              </w:rPr>
              <w:t xml:space="preserve"> un 2017.</w:t>
            </w:r>
            <w:r w:rsidR="000F0590" w:rsidRPr="00A71A0C">
              <w:rPr>
                <w:rFonts w:ascii="Times New Roman" w:hAnsi="Times New Roman" w:cs="Times New Roman"/>
                <w:sz w:val="24"/>
                <w:szCs w:val="24"/>
              </w:rPr>
              <w:t xml:space="preserve"> </w:t>
            </w:r>
            <w:r w:rsidR="00153DE3" w:rsidRPr="00A71A0C">
              <w:rPr>
                <w:rFonts w:ascii="Times New Roman" w:hAnsi="Times New Roman" w:cs="Times New Roman"/>
                <w:sz w:val="24"/>
                <w:szCs w:val="24"/>
              </w:rPr>
              <w:t xml:space="preserve">gada </w:t>
            </w:r>
            <w:r w:rsidR="008955F8">
              <w:rPr>
                <w:rFonts w:ascii="Times New Roman" w:hAnsi="Times New Roman" w:cs="Times New Roman"/>
                <w:sz w:val="24"/>
                <w:szCs w:val="24"/>
              </w:rPr>
              <w:t>pieciem</w:t>
            </w:r>
            <w:r w:rsidR="00153DE3" w:rsidRPr="00A71A0C">
              <w:rPr>
                <w:rFonts w:ascii="Times New Roman" w:hAnsi="Times New Roman" w:cs="Times New Roman"/>
                <w:sz w:val="24"/>
                <w:szCs w:val="24"/>
              </w:rPr>
              <w:t xml:space="preserve"> mēne</w:t>
            </w:r>
            <w:r w:rsidR="000F0590" w:rsidRPr="00A71A0C">
              <w:rPr>
                <w:rFonts w:ascii="Times New Roman" w:hAnsi="Times New Roman" w:cs="Times New Roman"/>
                <w:sz w:val="24"/>
                <w:szCs w:val="24"/>
              </w:rPr>
              <w:t xml:space="preserve">šiem, </w:t>
            </w:r>
            <w:r w:rsidR="00153DE3" w:rsidRPr="00A71A0C">
              <w:rPr>
                <w:rFonts w:ascii="Times New Roman" w:hAnsi="Times New Roman" w:cs="Times New Roman"/>
                <w:sz w:val="24"/>
                <w:szCs w:val="24"/>
              </w:rPr>
              <w:t>tiek prognozēts šāds viena tehniskā līdzekļa (fotoradara)</w:t>
            </w:r>
            <w:r w:rsidR="000F0590" w:rsidRPr="00A71A0C">
              <w:rPr>
                <w:rFonts w:ascii="Times New Roman" w:hAnsi="Times New Roman" w:cs="Times New Roman"/>
                <w:sz w:val="24"/>
                <w:szCs w:val="24"/>
              </w:rPr>
              <w:t xml:space="preserve"> fiksēto pārkāpumu, par kuriem tiek nosūtīts protokols – lēmums, skaits</w:t>
            </w:r>
            <w:r w:rsidR="00E30405" w:rsidRPr="00A71A0C">
              <w:rPr>
                <w:rFonts w:ascii="Times New Roman" w:hAnsi="Times New Roman" w:cs="Times New Roman"/>
                <w:sz w:val="24"/>
                <w:szCs w:val="24"/>
              </w:rPr>
              <w:t>:</w:t>
            </w:r>
          </w:p>
          <w:p w:rsidR="000F0590" w:rsidRPr="00EB4905" w:rsidRDefault="000F0590"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 xml:space="preserve">2017. gadā </w:t>
            </w:r>
            <w:r w:rsidR="008955F8">
              <w:rPr>
                <w:rFonts w:ascii="Times New Roman" w:hAnsi="Times New Roman" w:cs="Times New Roman"/>
                <w:sz w:val="24"/>
                <w:szCs w:val="24"/>
              </w:rPr>
              <w:t xml:space="preserve">– </w:t>
            </w:r>
            <w:r w:rsidRPr="00A71A0C">
              <w:rPr>
                <w:rFonts w:ascii="Times New Roman" w:hAnsi="Times New Roman" w:cs="Times New Roman"/>
                <w:sz w:val="24"/>
                <w:szCs w:val="24"/>
              </w:rPr>
              <w:t xml:space="preserve">17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E30405" w:rsidRPr="00A71A0C">
              <w:rPr>
                <w:rFonts w:ascii="Times New Roman" w:hAnsi="Times New Roman" w:cs="Times New Roman"/>
                <w:sz w:val="24"/>
                <w:szCs w:val="24"/>
              </w:rPr>
              <w:t xml:space="preserve"> Nr.382</w:t>
            </w:r>
            <w:r w:rsidRPr="00A71A0C">
              <w:rPr>
                <w:rFonts w:ascii="Times New Roman" w:hAnsi="Times New Roman" w:cs="Times New Roman"/>
                <w:sz w:val="24"/>
                <w:szCs w:val="24"/>
              </w:rPr>
              <w:t xml:space="preserve"> </w:t>
            </w:r>
            <w:r w:rsidR="008955F8">
              <w:rPr>
                <w:rFonts w:ascii="Times New Roman" w:hAnsi="Times New Roman" w:cs="Times New Roman"/>
                <w:sz w:val="24"/>
                <w:szCs w:val="24"/>
              </w:rPr>
              <w:t xml:space="preserve">(anotācijā) </w:t>
            </w:r>
            <w:r w:rsidRPr="00A71A0C">
              <w:rPr>
                <w:rFonts w:ascii="Times New Roman" w:hAnsi="Times New Roman" w:cs="Times New Roman"/>
                <w:sz w:val="24"/>
                <w:szCs w:val="24"/>
              </w:rPr>
              <w:t xml:space="preserve">plānots – </w:t>
            </w:r>
            <w:r w:rsidR="008955F8">
              <w:rPr>
                <w:rFonts w:ascii="Times New Roman" w:hAnsi="Times New Roman" w:cs="Times New Roman"/>
                <w:sz w:val="24"/>
                <w:szCs w:val="24"/>
              </w:rPr>
              <w:t>11</w:t>
            </w:r>
            <w:r w:rsidRPr="00A71A0C">
              <w:rPr>
                <w:rFonts w:ascii="Times New Roman" w:hAnsi="Times New Roman" w:cs="Times New Roman"/>
                <w:sz w:val="24"/>
                <w:szCs w:val="24"/>
              </w:rPr>
              <w:t>),</w:t>
            </w:r>
          </w:p>
          <w:p w:rsidR="000F0590" w:rsidRPr="00EB4905" w:rsidRDefault="000F0590"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 xml:space="preserve">2018. gadā </w:t>
            </w:r>
            <w:r w:rsidR="008955F8">
              <w:rPr>
                <w:rFonts w:ascii="Times New Roman" w:hAnsi="Times New Roman" w:cs="Times New Roman"/>
                <w:sz w:val="24"/>
                <w:szCs w:val="24"/>
              </w:rPr>
              <w:t xml:space="preserve">– </w:t>
            </w:r>
            <w:r w:rsidRPr="00A71A0C">
              <w:rPr>
                <w:rFonts w:ascii="Times New Roman" w:hAnsi="Times New Roman" w:cs="Times New Roman"/>
                <w:sz w:val="24"/>
                <w:szCs w:val="24"/>
              </w:rPr>
              <w:t xml:space="preserve">17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 xml:space="preserve">(anotācijā) </w:t>
            </w:r>
            <w:r w:rsidR="008955F8" w:rsidRPr="00A71A0C">
              <w:rPr>
                <w:rFonts w:ascii="Times New Roman" w:hAnsi="Times New Roman" w:cs="Times New Roman"/>
                <w:sz w:val="24"/>
                <w:szCs w:val="24"/>
              </w:rPr>
              <w:t xml:space="preserve">plānots </w:t>
            </w:r>
            <w:r w:rsidRPr="00A71A0C">
              <w:rPr>
                <w:rFonts w:ascii="Times New Roman" w:hAnsi="Times New Roman" w:cs="Times New Roman"/>
                <w:sz w:val="24"/>
                <w:szCs w:val="24"/>
              </w:rPr>
              <w:t xml:space="preserve">– </w:t>
            </w:r>
            <w:r w:rsidR="008955F8">
              <w:rPr>
                <w:rFonts w:ascii="Times New Roman" w:hAnsi="Times New Roman" w:cs="Times New Roman"/>
                <w:sz w:val="24"/>
                <w:szCs w:val="24"/>
              </w:rPr>
              <w:t>10</w:t>
            </w:r>
            <w:r w:rsidRPr="00A71A0C">
              <w:rPr>
                <w:rFonts w:ascii="Times New Roman" w:hAnsi="Times New Roman" w:cs="Times New Roman"/>
                <w:sz w:val="24"/>
                <w:szCs w:val="24"/>
              </w:rPr>
              <w:t>),</w:t>
            </w:r>
          </w:p>
          <w:p w:rsidR="00E30405" w:rsidRPr="00EB4905" w:rsidRDefault="00E30405"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 xml:space="preserve">2019. gadā </w:t>
            </w:r>
            <w:r w:rsidR="008955F8">
              <w:rPr>
                <w:rFonts w:ascii="Times New Roman" w:hAnsi="Times New Roman" w:cs="Times New Roman"/>
                <w:sz w:val="24"/>
                <w:szCs w:val="24"/>
              </w:rPr>
              <w:t xml:space="preserve">– 16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 xml:space="preserve">(anotācijā) </w:t>
            </w:r>
            <w:r w:rsidR="008955F8" w:rsidRPr="00A71A0C">
              <w:rPr>
                <w:rFonts w:ascii="Times New Roman" w:hAnsi="Times New Roman" w:cs="Times New Roman"/>
                <w:sz w:val="24"/>
                <w:szCs w:val="24"/>
              </w:rPr>
              <w:t>plānots</w:t>
            </w:r>
            <w:r w:rsidR="008955F8">
              <w:rPr>
                <w:rFonts w:ascii="Times New Roman" w:hAnsi="Times New Roman" w:cs="Times New Roman"/>
                <w:sz w:val="24"/>
                <w:szCs w:val="24"/>
              </w:rPr>
              <w:t xml:space="preserve"> – 10</w:t>
            </w:r>
            <w:r w:rsidRPr="00A71A0C">
              <w:rPr>
                <w:rFonts w:ascii="Times New Roman" w:hAnsi="Times New Roman" w:cs="Times New Roman"/>
                <w:sz w:val="24"/>
                <w:szCs w:val="24"/>
              </w:rPr>
              <w:t>),</w:t>
            </w:r>
          </w:p>
          <w:p w:rsidR="00E30405" w:rsidRPr="00EB4905" w:rsidRDefault="00E30405"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 xml:space="preserve">2020. gadā </w:t>
            </w:r>
            <w:r w:rsidR="008955F8">
              <w:rPr>
                <w:rFonts w:ascii="Times New Roman" w:hAnsi="Times New Roman" w:cs="Times New Roman"/>
                <w:sz w:val="24"/>
                <w:szCs w:val="24"/>
              </w:rPr>
              <w:t xml:space="preserve">– 15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(anotācijā) plānots – 10</w:t>
            </w:r>
            <w:r w:rsidRPr="00A71A0C">
              <w:rPr>
                <w:rFonts w:ascii="Times New Roman" w:hAnsi="Times New Roman" w:cs="Times New Roman"/>
                <w:sz w:val="24"/>
                <w:szCs w:val="24"/>
              </w:rPr>
              <w:t>),</w:t>
            </w:r>
          </w:p>
          <w:p w:rsidR="00E30405" w:rsidRPr="00EB4905" w:rsidRDefault="00E30405"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20</w:t>
            </w:r>
            <w:r w:rsidR="006D3832" w:rsidRPr="00A71A0C">
              <w:rPr>
                <w:rFonts w:ascii="Times New Roman" w:hAnsi="Times New Roman" w:cs="Times New Roman"/>
                <w:sz w:val="24"/>
                <w:szCs w:val="24"/>
              </w:rPr>
              <w:t>21</w:t>
            </w:r>
            <w:r w:rsidRPr="00A71A0C">
              <w:rPr>
                <w:rFonts w:ascii="Times New Roman" w:hAnsi="Times New Roman" w:cs="Times New Roman"/>
                <w:sz w:val="24"/>
                <w:szCs w:val="24"/>
              </w:rPr>
              <w:t xml:space="preserve">. gadā </w:t>
            </w:r>
            <w:r w:rsidR="008955F8">
              <w:rPr>
                <w:rFonts w:ascii="Times New Roman" w:hAnsi="Times New Roman" w:cs="Times New Roman"/>
                <w:sz w:val="24"/>
                <w:szCs w:val="24"/>
              </w:rPr>
              <w:t xml:space="preserve">– </w:t>
            </w:r>
            <w:r w:rsidR="006D3832" w:rsidRPr="00A71A0C">
              <w:rPr>
                <w:rFonts w:ascii="Times New Roman" w:hAnsi="Times New Roman" w:cs="Times New Roman"/>
                <w:sz w:val="24"/>
                <w:szCs w:val="24"/>
              </w:rPr>
              <w:t>14</w:t>
            </w:r>
            <w:r w:rsidR="008955F8">
              <w:rPr>
                <w:rFonts w:ascii="Times New Roman" w:hAnsi="Times New Roman" w:cs="Times New Roman"/>
                <w:sz w:val="24"/>
                <w:szCs w:val="24"/>
              </w:rPr>
              <w:t xml:space="preserve">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(anotācijā) plānots – 10</w:t>
            </w:r>
            <w:r w:rsidRPr="00A71A0C">
              <w:rPr>
                <w:rFonts w:ascii="Times New Roman" w:hAnsi="Times New Roman" w:cs="Times New Roman"/>
                <w:sz w:val="24"/>
                <w:szCs w:val="24"/>
              </w:rPr>
              <w:t>),</w:t>
            </w:r>
          </w:p>
          <w:p w:rsidR="006D3832" w:rsidRPr="00EB4905" w:rsidRDefault="006D3832"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B4905">
              <w:rPr>
                <w:rFonts w:ascii="Times New Roman" w:hAnsi="Times New Roman" w:cs="Times New Roman"/>
                <w:sz w:val="24"/>
                <w:szCs w:val="24"/>
                <w:shd w:val="clear" w:color="auto" w:fill="F1F1F1"/>
              </w:rPr>
              <w:t xml:space="preserve">2022. gadā </w:t>
            </w:r>
            <w:r w:rsidR="008955F8">
              <w:rPr>
                <w:rFonts w:ascii="Times New Roman" w:hAnsi="Times New Roman" w:cs="Times New Roman"/>
                <w:sz w:val="24"/>
                <w:szCs w:val="24"/>
              </w:rPr>
              <w:t xml:space="preserve">– </w:t>
            </w:r>
            <w:r w:rsidR="008955F8">
              <w:rPr>
                <w:rFonts w:ascii="Times New Roman" w:hAnsi="Times New Roman" w:cs="Times New Roman"/>
                <w:sz w:val="24"/>
                <w:szCs w:val="24"/>
                <w:shd w:val="clear" w:color="auto" w:fill="F1F1F1"/>
              </w:rPr>
              <w:t xml:space="preserve">13 </w:t>
            </w:r>
            <w:proofErr w:type="gramStart"/>
            <w:r w:rsidR="00604589">
              <w:rPr>
                <w:rFonts w:ascii="Times New Roman" w:hAnsi="Times New Roman" w:cs="Times New Roman"/>
                <w:sz w:val="24"/>
                <w:szCs w:val="24"/>
                <w:shd w:val="clear" w:color="auto" w:fill="F1F1F1"/>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 xml:space="preserve">(anotācijā) </w:t>
            </w:r>
            <w:r w:rsidR="008955F8">
              <w:rPr>
                <w:rFonts w:ascii="Times New Roman" w:hAnsi="Times New Roman" w:cs="Times New Roman"/>
                <w:sz w:val="24"/>
                <w:szCs w:val="24"/>
                <w:shd w:val="clear" w:color="auto" w:fill="F1F1F1"/>
              </w:rPr>
              <w:t>plānots – 10</w:t>
            </w:r>
            <w:r w:rsidRPr="00EB4905">
              <w:rPr>
                <w:rFonts w:ascii="Times New Roman" w:hAnsi="Times New Roman" w:cs="Times New Roman"/>
                <w:sz w:val="24"/>
                <w:szCs w:val="24"/>
                <w:shd w:val="clear" w:color="auto" w:fill="F1F1F1"/>
              </w:rPr>
              <w:t>),</w:t>
            </w:r>
          </w:p>
          <w:p w:rsidR="006D3832" w:rsidRDefault="006D3832"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B4905">
              <w:rPr>
                <w:rFonts w:ascii="Times New Roman" w:hAnsi="Times New Roman" w:cs="Times New Roman"/>
                <w:sz w:val="24"/>
                <w:szCs w:val="24"/>
                <w:shd w:val="clear" w:color="auto" w:fill="F1F1F1"/>
              </w:rPr>
              <w:t xml:space="preserve">2023. gadā </w:t>
            </w:r>
            <w:r w:rsidR="008955F8">
              <w:rPr>
                <w:rFonts w:ascii="Times New Roman" w:hAnsi="Times New Roman" w:cs="Times New Roman"/>
                <w:sz w:val="24"/>
                <w:szCs w:val="24"/>
              </w:rPr>
              <w:t xml:space="preserve">– </w:t>
            </w:r>
            <w:r w:rsidR="008955F8">
              <w:rPr>
                <w:rFonts w:ascii="Times New Roman" w:hAnsi="Times New Roman" w:cs="Times New Roman"/>
                <w:sz w:val="24"/>
                <w:szCs w:val="24"/>
                <w:shd w:val="clear" w:color="auto" w:fill="F1F1F1"/>
              </w:rPr>
              <w:t xml:space="preserve">12 </w:t>
            </w:r>
            <w:r w:rsidRPr="00EB4905">
              <w:rPr>
                <w:rFonts w:ascii="Times New Roman" w:hAnsi="Times New Roman" w:cs="Times New Roman"/>
                <w:sz w:val="24"/>
                <w:szCs w:val="24"/>
                <w:shd w:val="clear" w:color="auto" w:fill="F1F1F1"/>
              </w:rPr>
              <w:t>(</w:t>
            </w:r>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 xml:space="preserve">(anotācijā) </w:t>
            </w:r>
            <w:r w:rsidR="00604589">
              <w:rPr>
                <w:rFonts w:ascii="Times New Roman" w:hAnsi="Times New Roman" w:cs="Times New Roman"/>
                <w:sz w:val="24"/>
                <w:szCs w:val="24"/>
              </w:rPr>
              <w:t xml:space="preserve">nav </w:t>
            </w:r>
            <w:r w:rsidR="008A04E2">
              <w:rPr>
                <w:rFonts w:ascii="Times New Roman" w:hAnsi="Times New Roman" w:cs="Times New Roman"/>
                <w:sz w:val="24"/>
                <w:szCs w:val="24"/>
                <w:shd w:val="clear" w:color="auto" w:fill="F1F1F1"/>
              </w:rPr>
              <w:t>plānots</w:t>
            </w:r>
            <w:r w:rsidRPr="00EB4905">
              <w:rPr>
                <w:rFonts w:ascii="Times New Roman" w:hAnsi="Times New Roman" w:cs="Times New Roman"/>
                <w:sz w:val="24"/>
                <w:szCs w:val="24"/>
                <w:shd w:val="clear" w:color="auto" w:fill="F1F1F1"/>
              </w:rPr>
              <w:t>).</w:t>
            </w:r>
          </w:p>
          <w:p w:rsidR="00CC698D" w:rsidRPr="005D5878" w:rsidRDefault="005D5878" w:rsidP="005D5878">
            <w:p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Ietekme: palielinās valsts pamatbudžeta ieņēmumi</w:t>
            </w:r>
            <w:r>
              <w:rPr>
                <w:rFonts w:ascii="Times New Roman" w:hAnsi="Times New Roman" w:cs="Times New Roman"/>
                <w:sz w:val="24"/>
                <w:szCs w:val="24"/>
                <w:shd w:val="clear" w:color="auto" w:fill="F1F1F1"/>
              </w:rPr>
              <w:t>.</w:t>
            </w:r>
          </w:p>
          <w:p w:rsidR="00711E41" w:rsidRPr="00CC698D" w:rsidRDefault="00711E41" w:rsidP="00CC698D">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Tehnisko līdzekļu (fotoradaru) skaita izmaiņas</w:t>
            </w:r>
            <w:r w:rsidRPr="00CC698D">
              <w:rPr>
                <w:rFonts w:ascii="Times New Roman" w:hAnsi="Times New Roman" w:cs="Times New Roman"/>
                <w:sz w:val="24"/>
                <w:szCs w:val="24"/>
                <w:shd w:val="clear" w:color="auto" w:fill="F1F1F1"/>
              </w:rPr>
              <w:t>.</w:t>
            </w:r>
          </w:p>
          <w:p w:rsidR="005D5878" w:rsidRDefault="00E468F9" w:rsidP="00711E41">
            <w:pPr>
              <w:spacing w:after="0" w:line="240" w:lineRule="auto"/>
              <w:ind w:firstLine="566"/>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Saskaņā ar Ministru kabineta 2016.</w:t>
            </w:r>
            <w:r w:rsidR="00FC33BE" w:rsidRPr="00A71A0C">
              <w:rPr>
                <w:rFonts w:ascii="Times New Roman" w:hAnsi="Times New Roman" w:cs="Times New Roman"/>
                <w:sz w:val="24"/>
                <w:szCs w:val="24"/>
              </w:rPr>
              <w:t xml:space="preserve"> </w:t>
            </w:r>
            <w:r w:rsidRPr="00A71A0C">
              <w:rPr>
                <w:rFonts w:ascii="Times New Roman" w:hAnsi="Times New Roman" w:cs="Times New Roman"/>
                <w:sz w:val="24"/>
                <w:szCs w:val="24"/>
              </w:rPr>
              <w:t>gada 14.</w:t>
            </w:r>
            <w:r w:rsidR="00FC33BE" w:rsidRPr="00A71A0C">
              <w:rPr>
                <w:rFonts w:ascii="Times New Roman" w:hAnsi="Times New Roman" w:cs="Times New Roman"/>
                <w:sz w:val="24"/>
                <w:szCs w:val="24"/>
              </w:rPr>
              <w:t xml:space="preserve"> </w:t>
            </w:r>
            <w:r w:rsidRPr="00A71A0C">
              <w:rPr>
                <w:rFonts w:ascii="Times New Roman" w:hAnsi="Times New Roman" w:cs="Times New Roman"/>
                <w:sz w:val="24"/>
                <w:szCs w:val="24"/>
              </w:rPr>
              <w:t>novembra rīkojumu Nr.678 “Par</w:t>
            </w:r>
            <w:r w:rsidR="006F0F90" w:rsidRPr="00A71A0C">
              <w:t xml:space="preserve"> </w:t>
            </w:r>
            <w:r w:rsidR="00CC698D" w:rsidRPr="00A71A0C">
              <w:rPr>
                <w:rFonts w:ascii="Times New Roman" w:hAnsi="Times New Roman" w:cs="Times New Roman"/>
                <w:sz w:val="24"/>
                <w:szCs w:val="24"/>
              </w:rPr>
              <w:t xml:space="preserve">konceptuālo ziņojumu </w:t>
            </w:r>
            <w:r w:rsidR="00271CCF" w:rsidRPr="00A71A0C">
              <w:rPr>
                <w:rFonts w:ascii="Times New Roman" w:hAnsi="Times New Roman" w:cs="Times New Roman"/>
                <w:sz w:val="24"/>
                <w:szCs w:val="24"/>
              </w:rPr>
              <w:t>“Par valsts akciju sabie</w:t>
            </w:r>
            <w:r w:rsidR="00CC698D" w:rsidRPr="00A71A0C">
              <w:rPr>
                <w:rFonts w:ascii="Times New Roman" w:hAnsi="Times New Roman" w:cs="Times New Roman"/>
                <w:sz w:val="24"/>
                <w:szCs w:val="24"/>
              </w:rPr>
              <w:t>drības “Ceļu satiksmes drošības</w:t>
            </w:r>
            <w:r w:rsidR="00271CCF" w:rsidRPr="00A71A0C">
              <w:rPr>
                <w:rFonts w:ascii="Times New Roman" w:hAnsi="Times New Roman" w:cs="Times New Roman"/>
                <w:sz w:val="24"/>
                <w:szCs w:val="24"/>
              </w:rPr>
              <w:t xml:space="preserve"> direkcija” uzstādīto stacionāro fotoradaru darbības rezultātiem, priekšlikumiem par tehnisko līdzekļu (</w:t>
            </w:r>
            <w:proofErr w:type="spellStart"/>
            <w:r w:rsidR="00271CCF" w:rsidRPr="00A71A0C">
              <w:rPr>
                <w:rFonts w:ascii="Times New Roman" w:hAnsi="Times New Roman" w:cs="Times New Roman"/>
                <w:sz w:val="24"/>
                <w:szCs w:val="24"/>
              </w:rPr>
              <w:t>fotoiekārtu</w:t>
            </w:r>
            <w:proofErr w:type="spellEnd"/>
            <w:r w:rsidR="00271CCF" w:rsidRPr="00A71A0C">
              <w:rPr>
                <w:rFonts w:ascii="Times New Roman" w:hAnsi="Times New Roman" w:cs="Times New Roman"/>
                <w:sz w:val="24"/>
                <w:szCs w:val="24"/>
              </w:rPr>
              <w:t xml:space="preserve"> vai videoiekārtu) turpmāko izmantošanu un fotoradaru iegādes, uzstādīšanas un darbības nodrošinā</w:t>
            </w:r>
            <w:r w:rsidR="00A71A0C">
              <w:rPr>
                <w:rFonts w:ascii="Times New Roman" w:hAnsi="Times New Roman" w:cs="Times New Roman"/>
                <w:sz w:val="24"/>
                <w:szCs w:val="24"/>
              </w:rPr>
              <w:t xml:space="preserve">šanas finansēšanu”” </w:t>
            </w:r>
            <w:r w:rsidR="00271CCF" w:rsidRPr="00A71A0C">
              <w:rPr>
                <w:rFonts w:ascii="Times New Roman" w:hAnsi="Times New Roman" w:cs="Times New Roman"/>
                <w:sz w:val="24"/>
                <w:szCs w:val="24"/>
              </w:rPr>
              <w:t xml:space="preserve">(turpmāk – rīkojums Nr.678) </w:t>
            </w:r>
            <w:r w:rsidR="00271CCF" w:rsidRPr="00A71A0C">
              <w:rPr>
                <w:rFonts w:ascii="Times New Roman" w:hAnsi="Times New Roman" w:cs="Times New Roman"/>
                <w:sz w:val="24"/>
                <w:szCs w:val="24"/>
              </w:rPr>
              <w:lastRenderedPageBreak/>
              <w:t>1.1.apakšpunktu tik</w:t>
            </w:r>
            <w:r w:rsidR="008E6958">
              <w:rPr>
                <w:rFonts w:ascii="Times New Roman" w:hAnsi="Times New Roman" w:cs="Times New Roman"/>
                <w:sz w:val="24"/>
                <w:szCs w:val="24"/>
              </w:rPr>
              <w:t>a</w:t>
            </w:r>
            <w:r w:rsidR="00271CCF" w:rsidRPr="00A71A0C">
              <w:rPr>
                <w:rFonts w:ascii="Times New Roman" w:hAnsi="Times New Roman" w:cs="Times New Roman"/>
                <w:sz w:val="24"/>
                <w:szCs w:val="24"/>
              </w:rPr>
              <w:t xml:space="preserve"> atbalstīts turpmākās tehnisko līdzekļu (fotoradaru) ieviešanas risinājuma 2. variants, kas paredz</w:t>
            </w:r>
            <w:r w:rsidR="0023609B" w:rsidRPr="00A71A0C">
              <w:rPr>
                <w:rFonts w:ascii="Times New Roman" w:hAnsi="Times New Roman" w:cs="Times New Roman"/>
                <w:sz w:val="24"/>
                <w:szCs w:val="24"/>
              </w:rPr>
              <w:t xml:space="preserve"> ieviest 100 fotoradarus 4 kārtās šādos termiņos: 1.kārta – 16 (realizēta 2015.</w:t>
            </w:r>
            <w:r w:rsidR="008E6958">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2.kārta – 24 (realizēta 2016.</w:t>
            </w:r>
            <w:r w:rsidR="008E6958">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3.kārta – 20 (2017.</w:t>
            </w:r>
            <w:r w:rsidR="008E6958">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4.kārta – 40 (2018.</w:t>
            </w:r>
            <w:r w:rsidR="008E6958">
              <w:rPr>
                <w:rFonts w:ascii="Times New Roman" w:hAnsi="Times New Roman" w:cs="Times New Roman"/>
                <w:sz w:val="24"/>
                <w:szCs w:val="24"/>
              </w:rPr>
              <w:t xml:space="preserve"> </w:t>
            </w:r>
            <w:r w:rsidR="0023609B" w:rsidRPr="00A71A0C">
              <w:rPr>
                <w:rFonts w:ascii="Times New Roman" w:hAnsi="Times New Roman" w:cs="Times New Roman"/>
                <w:sz w:val="24"/>
                <w:szCs w:val="24"/>
              </w:rPr>
              <w:t xml:space="preserve">gadā).  Saskaņā ar rīkojumu Nr.382 valsts pamatbudžeta ieņēmumu apmērs no naudas sodiem, ko uzliek Valsts policija pa pārkāpumiem ceļu satiksmē, kas fiksēti ar </w:t>
            </w:r>
            <w:r w:rsidR="0017100F">
              <w:rPr>
                <w:rFonts w:ascii="Times New Roman" w:hAnsi="Times New Roman" w:cs="Times New Roman"/>
                <w:sz w:val="24"/>
                <w:szCs w:val="24"/>
              </w:rPr>
              <w:t xml:space="preserve">CSDD </w:t>
            </w:r>
            <w:r w:rsidR="0023609B" w:rsidRPr="00A71A0C">
              <w:rPr>
                <w:rFonts w:ascii="Times New Roman" w:hAnsi="Times New Roman" w:cs="Times New Roman"/>
                <w:sz w:val="24"/>
                <w:szCs w:val="24"/>
              </w:rPr>
              <w:t>piederošajiem tehniskajiem līdzekļiem</w:t>
            </w:r>
            <w:r w:rsidR="0017100F">
              <w:rPr>
                <w:rFonts w:ascii="Times New Roman" w:hAnsi="Times New Roman" w:cs="Times New Roman"/>
                <w:sz w:val="24"/>
                <w:szCs w:val="24"/>
              </w:rPr>
              <w:t>,</w:t>
            </w:r>
            <w:r w:rsidR="0023609B" w:rsidRPr="00A71A0C">
              <w:rPr>
                <w:rFonts w:ascii="Times New Roman" w:hAnsi="Times New Roman" w:cs="Times New Roman"/>
                <w:sz w:val="24"/>
                <w:szCs w:val="24"/>
              </w:rPr>
              <w:t xml:space="preserve"> prognozēts, ņemot vērā to, ka ir uzstādīti 60 tehniskie līdzekļi (fotoradari): 1.kārta – 16 (realizēta 2015.</w:t>
            </w:r>
            <w:r w:rsidR="00333978" w:rsidRPr="00A71A0C">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2.kārta – 24 (realizēta 2016.</w:t>
            </w:r>
            <w:r w:rsidR="00333978" w:rsidRPr="00A71A0C">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3.kārta – 20 (2017.</w:t>
            </w:r>
            <w:r w:rsidR="00D0784D" w:rsidRPr="00A71A0C">
              <w:rPr>
                <w:rFonts w:ascii="Times New Roman" w:hAnsi="Times New Roman" w:cs="Times New Roman"/>
                <w:sz w:val="24"/>
                <w:szCs w:val="24"/>
              </w:rPr>
              <w:t xml:space="preserve"> </w:t>
            </w:r>
            <w:r w:rsidR="0023609B" w:rsidRPr="00A71A0C">
              <w:rPr>
                <w:rFonts w:ascii="Times New Roman" w:hAnsi="Times New Roman" w:cs="Times New Roman"/>
                <w:sz w:val="24"/>
                <w:szCs w:val="24"/>
              </w:rPr>
              <w:t>gadā)</w:t>
            </w:r>
            <w:r w:rsidR="0023609B" w:rsidRPr="00711E41">
              <w:rPr>
                <w:rFonts w:ascii="Times New Roman" w:hAnsi="Times New Roman" w:cs="Times New Roman"/>
                <w:sz w:val="24"/>
                <w:szCs w:val="24"/>
                <w:shd w:val="clear" w:color="auto" w:fill="F1F1F1"/>
              </w:rPr>
              <w:t>.</w:t>
            </w:r>
            <w:r w:rsidR="00711E41" w:rsidRPr="00711E41">
              <w:rPr>
                <w:rFonts w:ascii="Times New Roman" w:hAnsi="Times New Roman" w:cs="Times New Roman"/>
                <w:sz w:val="24"/>
                <w:szCs w:val="24"/>
                <w:shd w:val="clear" w:color="auto" w:fill="F1F1F1"/>
              </w:rPr>
              <w:t xml:space="preserve"> </w:t>
            </w:r>
          </w:p>
          <w:p w:rsidR="00211635" w:rsidRPr="00711E41" w:rsidRDefault="005D5878" w:rsidP="005D5878">
            <w:p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 xml:space="preserve">Ietekme: pieaugot </w:t>
            </w:r>
            <w:r w:rsidR="00711E41" w:rsidRPr="00A37380">
              <w:rPr>
                <w:rFonts w:ascii="Times New Roman" w:hAnsi="Times New Roman" w:cs="Times New Roman"/>
                <w:sz w:val="24"/>
                <w:szCs w:val="24"/>
              </w:rPr>
              <w:t>uzstādāmo tehni</w:t>
            </w:r>
            <w:r w:rsidRPr="00A37380">
              <w:rPr>
                <w:rFonts w:ascii="Times New Roman" w:hAnsi="Times New Roman" w:cs="Times New Roman"/>
                <w:sz w:val="24"/>
                <w:szCs w:val="24"/>
              </w:rPr>
              <w:t>sko līdzekļu (fotoradaru) skaitam</w:t>
            </w:r>
            <w:r w:rsidR="00711E41" w:rsidRPr="00A37380">
              <w:rPr>
                <w:rFonts w:ascii="Times New Roman" w:hAnsi="Times New Roman" w:cs="Times New Roman"/>
                <w:sz w:val="24"/>
                <w:szCs w:val="24"/>
              </w:rPr>
              <w:t>,</w:t>
            </w:r>
            <w:r w:rsidRPr="00A37380">
              <w:rPr>
                <w:rFonts w:ascii="Times New Roman" w:hAnsi="Times New Roman" w:cs="Times New Roman"/>
                <w:sz w:val="24"/>
                <w:szCs w:val="24"/>
              </w:rPr>
              <w:t xml:space="preserve"> palielinās protokolu – lēmumus skaits, tādejādi </w:t>
            </w:r>
            <w:r w:rsidR="00711E41" w:rsidRPr="00A37380">
              <w:rPr>
                <w:rFonts w:ascii="Times New Roman" w:hAnsi="Times New Roman" w:cs="Times New Roman"/>
                <w:sz w:val="24"/>
                <w:szCs w:val="24"/>
              </w:rPr>
              <w:t xml:space="preserve">palielinās </w:t>
            </w:r>
            <w:r w:rsidRPr="00A37380">
              <w:rPr>
                <w:rFonts w:ascii="Times New Roman" w:hAnsi="Times New Roman" w:cs="Times New Roman"/>
                <w:sz w:val="24"/>
                <w:szCs w:val="24"/>
              </w:rPr>
              <w:t>valsts pamatbudžeta ieņēmumi</w:t>
            </w:r>
            <w:r>
              <w:rPr>
                <w:rFonts w:ascii="Times New Roman" w:hAnsi="Times New Roman" w:cs="Times New Roman"/>
                <w:sz w:val="24"/>
                <w:szCs w:val="24"/>
                <w:shd w:val="clear" w:color="auto" w:fill="F1F1F1"/>
              </w:rPr>
              <w:t>.</w:t>
            </w:r>
            <w:r w:rsidR="00711E41" w:rsidRPr="00711E41">
              <w:rPr>
                <w:rFonts w:ascii="Times New Roman" w:hAnsi="Times New Roman" w:cs="Times New Roman"/>
                <w:sz w:val="24"/>
                <w:szCs w:val="24"/>
                <w:shd w:val="clear" w:color="auto" w:fill="F1F1F1"/>
              </w:rPr>
              <w:t xml:space="preserve"> </w:t>
            </w:r>
          </w:p>
          <w:p w:rsidR="001103AA" w:rsidRDefault="001103AA" w:rsidP="00017002">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K</w:t>
            </w:r>
            <w:r w:rsidR="00D1635E" w:rsidRPr="00A37380">
              <w:rPr>
                <w:rFonts w:ascii="Times New Roman" w:hAnsi="Times New Roman" w:cs="Times New Roman"/>
                <w:sz w:val="24"/>
                <w:szCs w:val="24"/>
              </w:rPr>
              <w:t>oriģējošo</w:t>
            </w:r>
            <w:r w:rsidRPr="00A37380">
              <w:rPr>
                <w:rFonts w:ascii="Times New Roman" w:hAnsi="Times New Roman" w:cs="Times New Roman"/>
                <w:sz w:val="24"/>
                <w:szCs w:val="24"/>
              </w:rPr>
              <w:t xml:space="preserve"> koeficientu precizēšana</w:t>
            </w:r>
            <w:r w:rsidR="00B27F84">
              <w:rPr>
                <w:rFonts w:ascii="Times New Roman" w:hAnsi="Times New Roman" w:cs="Times New Roman"/>
                <w:sz w:val="24"/>
                <w:szCs w:val="24"/>
                <w:shd w:val="clear" w:color="auto" w:fill="F1F1F1"/>
              </w:rPr>
              <w:t>.</w:t>
            </w:r>
          </w:p>
          <w:p w:rsidR="00AC4B40" w:rsidRPr="001103AA" w:rsidRDefault="00333978" w:rsidP="001103AA">
            <w:pPr>
              <w:spacing w:after="0" w:line="240" w:lineRule="auto"/>
              <w:ind w:firstLine="566"/>
              <w:jc w:val="both"/>
              <w:rPr>
                <w:rFonts w:ascii="Times New Roman" w:hAnsi="Times New Roman" w:cs="Times New Roman"/>
                <w:sz w:val="24"/>
                <w:szCs w:val="24"/>
                <w:shd w:val="clear" w:color="auto" w:fill="F1F1F1"/>
              </w:rPr>
            </w:pPr>
            <w:r w:rsidRPr="0017100F">
              <w:rPr>
                <w:rFonts w:ascii="Times New Roman" w:hAnsi="Times New Roman" w:cs="Times New Roman"/>
                <w:sz w:val="24"/>
                <w:szCs w:val="24"/>
                <w:shd w:val="clear" w:color="auto" w:fill="FFFFFF" w:themeFill="background1"/>
              </w:rPr>
              <w:t>Saskaņā ar rīkojumu Nr.382 valsts pamatbudžeta ieņēmumus koriģējošais koeficients</w:t>
            </w:r>
            <w:r w:rsidR="00AC4B40" w:rsidRPr="001103AA">
              <w:rPr>
                <w:rFonts w:ascii="Times New Roman" w:hAnsi="Times New Roman" w:cs="Times New Roman"/>
                <w:sz w:val="24"/>
                <w:szCs w:val="24"/>
                <w:shd w:val="clear" w:color="auto" w:fill="F1F1F1"/>
              </w:rPr>
              <w:t>:</w:t>
            </w:r>
          </w:p>
          <w:p w:rsidR="00AC4B40" w:rsidRDefault="00333978"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(maksājumu nobīde) plānots no 0,75 līdz 0,95. V</w:t>
            </w:r>
            <w:r w:rsidR="001C2310" w:rsidRPr="00A37380">
              <w:rPr>
                <w:rFonts w:ascii="Times New Roman" w:hAnsi="Times New Roman" w:cs="Times New Roman"/>
                <w:sz w:val="24"/>
                <w:szCs w:val="24"/>
              </w:rPr>
              <w:t>alsts pamatbudžeta ieņēmumus koriģējošais koeficients (maksājumu nobīde)</w:t>
            </w:r>
            <w:r w:rsidRPr="00A37380">
              <w:rPr>
                <w:rFonts w:ascii="Times New Roman" w:hAnsi="Times New Roman" w:cs="Times New Roman"/>
                <w:sz w:val="24"/>
                <w:szCs w:val="24"/>
              </w:rPr>
              <w:t xml:space="preserve"> precizēts</w:t>
            </w:r>
            <w:r w:rsidR="001C2310" w:rsidRPr="00A37380">
              <w:rPr>
                <w:rFonts w:ascii="Times New Roman" w:hAnsi="Times New Roman" w:cs="Times New Roman"/>
                <w:sz w:val="24"/>
                <w:szCs w:val="24"/>
              </w:rPr>
              <w:t xml:space="preserve">, nosakot šo koeficientu 0,73. Koeficienta </w:t>
            </w:r>
            <w:r w:rsidR="00D1635E" w:rsidRPr="00A37380">
              <w:rPr>
                <w:rFonts w:ascii="Times New Roman" w:hAnsi="Times New Roman" w:cs="Times New Roman"/>
                <w:sz w:val="24"/>
                <w:szCs w:val="24"/>
              </w:rPr>
              <w:t>precizēšanā</w:t>
            </w:r>
            <w:r w:rsidR="001C2310" w:rsidRPr="00A37380">
              <w:rPr>
                <w:rFonts w:ascii="Times New Roman" w:hAnsi="Times New Roman" w:cs="Times New Roman"/>
                <w:sz w:val="24"/>
                <w:szCs w:val="24"/>
              </w:rPr>
              <w:t xml:space="preserve"> ņemti vērā valsts pamatbudžeta </w:t>
            </w:r>
            <w:r w:rsidRPr="00A37380">
              <w:rPr>
                <w:rFonts w:ascii="Times New Roman" w:hAnsi="Times New Roman" w:cs="Times New Roman"/>
                <w:sz w:val="24"/>
                <w:szCs w:val="24"/>
              </w:rPr>
              <w:t>ieņēmumu un uzlikto naudas sodu apmēra attiecība 2016. gadā (0,74) un 2017. gada 4 mēnešos (0,72) (vid</w:t>
            </w:r>
            <w:r w:rsidR="00017002" w:rsidRPr="00A37380">
              <w:rPr>
                <w:rFonts w:ascii="Times New Roman" w:hAnsi="Times New Roman" w:cs="Times New Roman"/>
                <w:sz w:val="24"/>
                <w:szCs w:val="24"/>
              </w:rPr>
              <w:t>ēji 0,73). Ietekme: samazinās valsts pamatbudžeta ieņēmumi</w:t>
            </w:r>
            <w:r w:rsidR="00017002">
              <w:rPr>
                <w:rFonts w:ascii="Times New Roman" w:hAnsi="Times New Roman" w:cs="Times New Roman"/>
                <w:sz w:val="24"/>
                <w:szCs w:val="24"/>
                <w:shd w:val="clear" w:color="auto" w:fill="F1F1F1"/>
              </w:rPr>
              <w:t>.</w:t>
            </w:r>
            <w:r w:rsidR="001103AA">
              <w:rPr>
                <w:rFonts w:ascii="Times New Roman" w:hAnsi="Times New Roman" w:cs="Times New Roman"/>
                <w:sz w:val="24"/>
                <w:szCs w:val="24"/>
                <w:shd w:val="clear" w:color="auto" w:fill="F1F1F1"/>
              </w:rPr>
              <w:t xml:space="preserve"> </w:t>
            </w:r>
          </w:p>
          <w:p w:rsidR="000C2BCE" w:rsidRPr="000C2BCE" w:rsidRDefault="002E76FD"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C4B40">
              <w:rPr>
                <w:rFonts w:ascii="Times New Roman" w:hAnsi="Times New Roman" w:cs="Times New Roman"/>
                <w:sz w:val="24"/>
                <w:szCs w:val="24"/>
                <w:shd w:val="clear" w:color="auto" w:fill="F1F1F1"/>
              </w:rPr>
              <w:t xml:space="preserve"> </w:t>
            </w:r>
            <w:r w:rsidRPr="00A37380">
              <w:rPr>
                <w:rFonts w:ascii="Times New Roman" w:hAnsi="Times New Roman" w:cs="Times New Roman"/>
                <w:sz w:val="24"/>
                <w:szCs w:val="24"/>
              </w:rPr>
              <w:t>(riska koeficients) plānots 0,90.  Valsts pamatbudžeta ieņēmumus koriģējošais koeficients (riska koeficients)</w:t>
            </w:r>
            <w:r w:rsidR="00AC4B40" w:rsidRPr="00A37380">
              <w:rPr>
                <w:rFonts w:ascii="Times New Roman" w:hAnsi="Times New Roman" w:cs="Times New Roman"/>
                <w:sz w:val="24"/>
                <w:szCs w:val="24"/>
              </w:rPr>
              <w:t xml:space="preserve"> precizēts</w:t>
            </w:r>
            <w:r w:rsidRPr="00A37380">
              <w:rPr>
                <w:rFonts w:ascii="Times New Roman" w:hAnsi="Times New Roman" w:cs="Times New Roman"/>
                <w:sz w:val="24"/>
                <w:szCs w:val="24"/>
              </w:rPr>
              <w:t xml:space="preserve">, nosakot šo koeficientu 0,96.  Koeficienta </w:t>
            </w:r>
            <w:r w:rsidR="00860992" w:rsidRPr="00A37380">
              <w:rPr>
                <w:rFonts w:ascii="Times New Roman" w:hAnsi="Times New Roman" w:cs="Times New Roman"/>
                <w:sz w:val="24"/>
                <w:szCs w:val="24"/>
              </w:rPr>
              <w:t>precizēts, ņemot</w:t>
            </w:r>
            <w:r w:rsidRPr="00A37380">
              <w:rPr>
                <w:rFonts w:ascii="Times New Roman" w:hAnsi="Times New Roman" w:cs="Times New Roman"/>
                <w:sz w:val="24"/>
                <w:szCs w:val="24"/>
              </w:rPr>
              <w:t xml:space="preserve"> vēr</w:t>
            </w:r>
            <w:r w:rsidR="00860992" w:rsidRPr="00A37380">
              <w:rPr>
                <w:rFonts w:ascii="Times New Roman" w:hAnsi="Times New Roman" w:cs="Times New Roman"/>
                <w:sz w:val="24"/>
                <w:szCs w:val="24"/>
              </w:rPr>
              <w:t>ā to</w:t>
            </w:r>
            <w:r w:rsidRPr="00A37380">
              <w:rPr>
                <w:rFonts w:ascii="Times New Roman" w:hAnsi="Times New Roman" w:cs="Times New Roman"/>
                <w:sz w:val="24"/>
                <w:szCs w:val="24"/>
              </w:rPr>
              <w:t xml:space="preserve">s, ka </w:t>
            </w:r>
            <w:r w:rsidR="000A4C84" w:rsidRPr="00A37380">
              <w:rPr>
                <w:rFonts w:ascii="Times New Roman" w:hAnsi="Times New Roman" w:cs="Times New Roman"/>
                <w:sz w:val="24"/>
                <w:szCs w:val="24"/>
              </w:rPr>
              <w:t>valsts akciju sabiedrība “Ceļu satiksmes drošības direkcija”</w:t>
            </w:r>
            <w:r w:rsidR="00AC4B40" w:rsidRPr="00A37380">
              <w:rPr>
                <w:rFonts w:ascii="Times New Roman" w:hAnsi="Times New Roman" w:cs="Times New Roman"/>
                <w:sz w:val="24"/>
                <w:szCs w:val="24"/>
              </w:rPr>
              <w:t xml:space="preserve"> </w:t>
            </w:r>
            <w:r w:rsidR="000A4C84" w:rsidRPr="00A37380">
              <w:rPr>
                <w:rFonts w:ascii="Times New Roman" w:hAnsi="Times New Roman" w:cs="Times New Roman"/>
                <w:sz w:val="24"/>
                <w:szCs w:val="24"/>
              </w:rPr>
              <w:t>iepirkumu ir veikusi uz visiem atlikušajiem uzstādāmajiem tehnisk</w:t>
            </w:r>
            <w:r w:rsidR="001103AA" w:rsidRPr="00A37380">
              <w:rPr>
                <w:rFonts w:ascii="Times New Roman" w:hAnsi="Times New Roman" w:cs="Times New Roman"/>
                <w:sz w:val="24"/>
                <w:szCs w:val="24"/>
              </w:rPr>
              <w:t>ajiem līdzekļiem (fotoradariem)</w:t>
            </w:r>
            <w:r w:rsidR="00017002" w:rsidRPr="00A37380">
              <w:rPr>
                <w:rFonts w:ascii="Times New Roman" w:hAnsi="Times New Roman" w:cs="Times New Roman"/>
                <w:sz w:val="24"/>
                <w:szCs w:val="24"/>
              </w:rPr>
              <w:t xml:space="preserve">. </w:t>
            </w:r>
          </w:p>
          <w:p w:rsidR="000A4C84" w:rsidRPr="000C2BCE" w:rsidRDefault="00017002" w:rsidP="00D60216">
            <w:pPr>
              <w:spacing w:after="0" w:line="240" w:lineRule="auto"/>
              <w:ind w:left="1133"/>
              <w:jc w:val="both"/>
              <w:rPr>
                <w:rFonts w:ascii="Times New Roman" w:hAnsi="Times New Roman" w:cs="Times New Roman"/>
                <w:sz w:val="24"/>
                <w:szCs w:val="24"/>
                <w:shd w:val="clear" w:color="auto" w:fill="F1F1F1"/>
              </w:rPr>
            </w:pPr>
            <w:r w:rsidRPr="000C2BCE">
              <w:rPr>
                <w:rFonts w:ascii="Times New Roman" w:hAnsi="Times New Roman" w:cs="Times New Roman"/>
                <w:sz w:val="24"/>
                <w:szCs w:val="24"/>
              </w:rPr>
              <w:t>Ietekme: palielinās valsts pamatbudžeta ieņēmumi.</w:t>
            </w:r>
          </w:p>
          <w:p w:rsidR="00271CCF" w:rsidRPr="000A4C84" w:rsidRDefault="000A4C84" w:rsidP="00503CFE">
            <w:pPr>
              <w:spacing w:after="0" w:line="240" w:lineRule="auto"/>
              <w:ind w:firstLine="424"/>
              <w:jc w:val="both"/>
              <w:rPr>
                <w:rFonts w:ascii="Times New Roman" w:hAnsi="Times New Roman" w:cs="Times New Roman"/>
                <w:sz w:val="24"/>
                <w:szCs w:val="24"/>
                <w:shd w:val="clear" w:color="auto" w:fill="F1F1F1"/>
              </w:rPr>
            </w:pPr>
            <w:r w:rsidRPr="000A4C84">
              <w:rPr>
                <w:rFonts w:ascii="Times New Roman" w:hAnsi="Times New Roman" w:cs="Times New Roman"/>
                <w:sz w:val="24"/>
                <w:szCs w:val="24"/>
                <w:shd w:val="clear" w:color="auto" w:fill="F1F1F1"/>
              </w:rPr>
              <w:t xml:space="preserve"> </w:t>
            </w:r>
            <w:r w:rsidR="00C1554F" w:rsidRPr="00A37380">
              <w:rPr>
                <w:rFonts w:ascii="Times New Roman" w:hAnsi="Times New Roman" w:cs="Times New Roman"/>
                <w:b/>
                <w:sz w:val="24"/>
                <w:szCs w:val="24"/>
              </w:rPr>
              <w:t>II.</w:t>
            </w:r>
            <w:r w:rsidR="00C1554F" w:rsidRPr="00A37380">
              <w:rPr>
                <w:rFonts w:ascii="Times New Roman" w:hAnsi="Times New Roman" w:cs="Times New Roman"/>
                <w:sz w:val="24"/>
                <w:szCs w:val="24"/>
              </w:rPr>
              <w:t xml:space="preserve"> </w:t>
            </w:r>
            <w:r w:rsidR="00C1554F" w:rsidRPr="00A37380">
              <w:rPr>
                <w:rFonts w:ascii="Times New Roman" w:hAnsi="Times New Roman" w:cs="Times New Roman"/>
                <w:b/>
                <w:sz w:val="24"/>
                <w:szCs w:val="24"/>
              </w:rPr>
              <w:t>V</w:t>
            </w:r>
            <w:r w:rsidR="007E6064" w:rsidRPr="00A37380">
              <w:rPr>
                <w:rFonts w:ascii="Times New Roman" w:hAnsi="Times New Roman" w:cs="Times New Roman"/>
                <w:b/>
                <w:sz w:val="24"/>
                <w:szCs w:val="24"/>
              </w:rPr>
              <w:t>alsts pamatbudžeta izdevumu apmēru</w:t>
            </w:r>
            <w:r w:rsidR="007E6064" w:rsidRPr="00A37380">
              <w:rPr>
                <w:rFonts w:ascii="Times New Roman" w:hAnsi="Times New Roman" w:cs="Times New Roman"/>
                <w:sz w:val="24"/>
                <w:szCs w:val="24"/>
              </w:rPr>
              <w:t xml:space="preserve"> ietekmē šādi faktori</w:t>
            </w:r>
            <w:r w:rsidR="007E6064" w:rsidRPr="000A4C84">
              <w:rPr>
                <w:rFonts w:ascii="Times New Roman" w:hAnsi="Times New Roman" w:cs="Times New Roman"/>
                <w:sz w:val="24"/>
                <w:szCs w:val="24"/>
                <w:shd w:val="clear" w:color="auto" w:fill="F1F1F1"/>
              </w:rPr>
              <w:t>:</w:t>
            </w:r>
          </w:p>
          <w:p w:rsidR="00383208" w:rsidRDefault="00383208" w:rsidP="008B6076">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Protokolu – lēmumu skaita izmaiņas</w:t>
            </w:r>
            <w:r>
              <w:rPr>
                <w:rFonts w:ascii="Times New Roman" w:hAnsi="Times New Roman" w:cs="Times New Roman"/>
                <w:sz w:val="24"/>
                <w:szCs w:val="24"/>
                <w:shd w:val="clear" w:color="auto" w:fill="F1F1F1"/>
              </w:rPr>
              <w:t>.</w:t>
            </w:r>
          </w:p>
          <w:p w:rsidR="004B70CF" w:rsidRPr="00383208" w:rsidRDefault="004B70CF" w:rsidP="00383208">
            <w:pPr>
              <w:spacing w:after="0" w:line="240" w:lineRule="auto"/>
              <w:ind w:firstLine="424"/>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Palielinās plānoto tehnisko līdzekļu (fotoradaru) fiksēto pārkāpumu, par kuriem tiek nosūtīts protokols – lēmums, skaits:</w:t>
            </w:r>
          </w:p>
          <w:p w:rsidR="004B70CF" w:rsidRDefault="00F0065E"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D60216">
              <w:rPr>
                <w:rFonts w:ascii="Times New Roman" w:hAnsi="Times New Roman" w:cs="Times New Roman"/>
                <w:sz w:val="24"/>
                <w:szCs w:val="24"/>
                <w:shd w:val="clear" w:color="auto" w:fill="FFFFFF" w:themeFill="background1"/>
              </w:rPr>
              <w:t>precizēts 60 (jau uzstādīto un 2017.</w:t>
            </w:r>
            <w:r w:rsidR="00D60216" w:rsidRPr="00D60216">
              <w:rPr>
                <w:rFonts w:ascii="Times New Roman" w:hAnsi="Times New Roman" w:cs="Times New Roman"/>
                <w:sz w:val="24"/>
                <w:szCs w:val="24"/>
                <w:shd w:val="clear" w:color="auto" w:fill="FFFFFF" w:themeFill="background1"/>
              </w:rPr>
              <w:t xml:space="preserve"> gadā </w:t>
            </w:r>
            <w:r w:rsidRPr="00D60216">
              <w:rPr>
                <w:rFonts w:ascii="Times New Roman" w:hAnsi="Times New Roman" w:cs="Times New Roman"/>
                <w:sz w:val="24"/>
                <w:szCs w:val="24"/>
                <w:shd w:val="clear" w:color="auto" w:fill="FFFFFF" w:themeFill="background1"/>
              </w:rPr>
              <w:t>uzstādāmo)</w:t>
            </w:r>
            <w:r w:rsidR="00793074" w:rsidRPr="00D60216">
              <w:rPr>
                <w:rFonts w:ascii="Times New Roman" w:hAnsi="Times New Roman" w:cs="Times New Roman"/>
                <w:sz w:val="24"/>
                <w:szCs w:val="24"/>
                <w:shd w:val="clear" w:color="auto" w:fill="FFFFFF" w:themeFill="background1"/>
              </w:rPr>
              <w:t xml:space="preserve"> tehni</w:t>
            </w:r>
            <w:r w:rsidR="00D60216" w:rsidRPr="00D60216">
              <w:rPr>
                <w:rFonts w:ascii="Times New Roman" w:hAnsi="Times New Roman" w:cs="Times New Roman"/>
                <w:sz w:val="24"/>
                <w:szCs w:val="24"/>
                <w:shd w:val="clear" w:color="auto" w:fill="FFFFFF" w:themeFill="background1"/>
              </w:rPr>
              <w:t>sko līdzekļu (fotoradaru</w:t>
            </w:r>
            <w:r w:rsidR="00793074" w:rsidRPr="00D60216">
              <w:rPr>
                <w:rFonts w:ascii="Times New Roman" w:hAnsi="Times New Roman" w:cs="Times New Roman"/>
                <w:sz w:val="24"/>
                <w:szCs w:val="24"/>
                <w:shd w:val="clear" w:color="auto" w:fill="FFFFFF" w:themeFill="background1"/>
              </w:rPr>
              <w:t>) fiksēto pārkāpumu, par kuriem tiek nosūtīts protokols – lēmums, skaits</w:t>
            </w:r>
            <w:r w:rsidR="00173B0A" w:rsidRPr="00D60216">
              <w:rPr>
                <w:rFonts w:ascii="Times New Roman" w:hAnsi="Times New Roman" w:cs="Times New Roman"/>
                <w:sz w:val="24"/>
                <w:szCs w:val="24"/>
                <w:shd w:val="clear" w:color="auto" w:fill="FFFFFF" w:themeFill="background1"/>
              </w:rPr>
              <w:t xml:space="preserve"> (skatīt šīs sadaļas I. punktu</w:t>
            </w:r>
            <w:r w:rsidR="00173B0A">
              <w:rPr>
                <w:rFonts w:ascii="Times New Roman" w:hAnsi="Times New Roman" w:cs="Times New Roman"/>
                <w:sz w:val="24"/>
                <w:szCs w:val="24"/>
                <w:shd w:val="clear" w:color="auto" w:fill="F1F1F1"/>
              </w:rPr>
              <w:t>).</w:t>
            </w:r>
          </w:p>
          <w:p w:rsidR="004B70CF" w:rsidRDefault="004B70CF"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D60216">
              <w:rPr>
                <w:rFonts w:ascii="Times New Roman" w:hAnsi="Times New Roman" w:cs="Times New Roman"/>
                <w:sz w:val="24"/>
                <w:szCs w:val="24"/>
                <w:shd w:val="clear" w:color="auto" w:fill="FFFFFF" w:themeFill="background1"/>
              </w:rPr>
              <w:t>s</w:t>
            </w:r>
            <w:r w:rsidR="00AC4B40" w:rsidRPr="00D60216">
              <w:rPr>
                <w:rFonts w:ascii="Times New Roman" w:hAnsi="Times New Roman" w:cs="Times New Roman"/>
                <w:sz w:val="24"/>
                <w:szCs w:val="24"/>
                <w:shd w:val="clear" w:color="auto" w:fill="FFFFFF" w:themeFill="background1"/>
              </w:rPr>
              <w:t xml:space="preserve">askaņā ar </w:t>
            </w:r>
            <w:r w:rsidR="00EA1E25" w:rsidRPr="00D60216">
              <w:rPr>
                <w:rFonts w:ascii="Times New Roman" w:hAnsi="Times New Roman" w:cs="Times New Roman"/>
                <w:sz w:val="24"/>
                <w:szCs w:val="24"/>
                <w:shd w:val="clear" w:color="auto" w:fill="FFFFFF" w:themeFill="background1"/>
              </w:rPr>
              <w:t>rīkojumu</w:t>
            </w:r>
            <w:r w:rsidR="00AC4B40" w:rsidRPr="00D60216">
              <w:rPr>
                <w:rFonts w:ascii="Times New Roman" w:hAnsi="Times New Roman" w:cs="Times New Roman"/>
                <w:sz w:val="24"/>
                <w:szCs w:val="24"/>
                <w:shd w:val="clear" w:color="auto" w:fill="FFFFFF" w:themeFill="background1"/>
              </w:rPr>
              <w:t xml:space="preserve"> Nr.678 </w:t>
            </w:r>
            <w:r w:rsidR="00EA1E25" w:rsidRPr="00D60216">
              <w:rPr>
                <w:rFonts w:ascii="Times New Roman" w:hAnsi="Times New Roman" w:cs="Times New Roman"/>
                <w:sz w:val="24"/>
                <w:szCs w:val="24"/>
                <w:shd w:val="clear" w:color="auto" w:fill="FFFFFF" w:themeFill="background1"/>
              </w:rPr>
              <w:t>2018.</w:t>
            </w:r>
            <w:r w:rsidR="00A23B26" w:rsidRPr="00D60216">
              <w:rPr>
                <w:rFonts w:ascii="Times New Roman" w:hAnsi="Times New Roman" w:cs="Times New Roman"/>
                <w:sz w:val="24"/>
                <w:szCs w:val="24"/>
                <w:shd w:val="clear" w:color="auto" w:fill="FFFFFF" w:themeFill="background1"/>
              </w:rPr>
              <w:t xml:space="preserve"> </w:t>
            </w:r>
            <w:r w:rsidR="00EA1E25" w:rsidRPr="00D60216">
              <w:rPr>
                <w:rFonts w:ascii="Times New Roman" w:hAnsi="Times New Roman" w:cs="Times New Roman"/>
                <w:sz w:val="24"/>
                <w:szCs w:val="24"/>
                <w:shd w:val="clear" w:color="auto" w:fill="FFFFFF" w:themeFill="background1"/>
              </w:rPr>
              <w:t>gadā plānots uzstādīt 40</w:t>
            </w:r>
            <w:r w:rsidR="00197508" w:rsidRPr="00D60216">
              <w:rPr>
                <w:rFonts w:ascii="Times New Roman" w:hAnsi="Times New Roman" w:cs="Times New Roman"/>
                <w:sz w:val="24"/>
                <w:szCs w:val="24"/>
                <w:shd w:val="clear" w:color="auto" w:fill="FFFFFF" w:themeFill="background1"/>
              </w:rPr>
              <w:t xml:space="preserve"> tehniskos līdzekļus (fotoradarus)</w:t>
            </w:r>
            <w:r w:rsidR="00261B93" w:rsidRPr="00D60216">
              <w:rPr>
                <w:rFonts w:ascii="Times New Roman" w:hAnsi="Times New Roman" w:cs="Times New Roman"/>
                <w:sz w:val="24"/>
                <w:szCs w:val="24"/>
                <w:shd w:val="clear" w:color="auto" w:fill="FFFFFF" w:themeFill="background1"/>
              </w:rPr>
              <w:t>, kas arī palielina plān</w:t>
            </w:r>
            <w:r w:rsidR="00173B0A" w:rsidRPr="00D60216">
              <w:rPr>
                <w:rFonts w:ascii="Times New Roman" w:hAnsi="Times New Roman" w:cs="Times New Roman"/>
                <w:sz w:val="24"/>
                <w:szCs w:val="24"/>
                <w:shd w:val="clear" w:color="auto" w:fill="FFFFFF" w:themeFill="background1"/>
              </w:rPr>
              <w:t>ojamo protokolu – lēmumu skaitu</w:t>
            </w:r>
            <w:r w:rsidR="00173B0A">
              <w:rPr>
                <w:rFonts w:ascii="Times New Roman" w:hAnsi="Times New Roman" w:cs="Times New Roman"/>
                <w:sz w:val="24"/>
                <w:szCs w:val="24"/>
                <w:shd w:val="clear" w:color="auto" w:fill="F1F1F1"/>
              </w:rPr>
              <w:t>.</w:t>
            </w:r>
          </w:p>
          <w:p w:rsidR="00173B0A" w:rsidRPr="009E5CB0" w:rsidRDefault="009E5CB0" w:rsidP="00D60216">
            <w:pPr>
              <w:spacing w:after="0" w:line="240" w:lineRule="auto"/>
              <w:ind w:firstLine="424"/>
              <w:jc w:val="both"/>
              <w:rPr>
                <w:rFonts w:ascii="Times New Roman" w:hAnsi="Times New Roman" w:cs="Times New Roman"/>
                <w:sz w:val="24"/>
                <w:szCs w:val="24"/>
                <w:shd w:val="clear" w:color="auto" w:fill="F1F1F1"/>
              </w:rPr>
            </w:pPr>
            <w:r w:rsidRPr="00D60216">
              <w:rPr>
                <w:rFonts w:ascii="Times New Roman" w:hAnsi="Times New Roman" w:cs="Times New Roman"/>
                <w:sz w:val="24"/>
                <w:szCs w:val="24"/>
                <w:shd w:val="clear" w:color="auto" w:fill="FFFFFF" w:themeFill="background1"/>
              </w:rPr>
              <w:t xml:space="preserve">Ietekme: palielinās Valsts policijas </w:t>
            </w:r>
            <w:r w:rsidR="00D60216">
              <w:rPr>
                <w:rFonts w:ascii="Times New Roman" w:hAnsi="Times New Roman" w:cs="Times New Roman"/>
                <w:sz w:val="24"/>
                <w:szCs w:val="24"/>
                <w:shd w:val="clear" w:color="auto" w:fill="FFFFFF" w:themeFill="background1"/>
              </w:rPr>
              <w:t xml:space="preserve">un CSDD </w:t>
            </w:r>
            <w:r w:rsidRPr="00D60216">
              <w:rPr>
                <w:rFonts w:ascii="Times New Roman" w:hAnsi="Times New Roman" w:cs="Times New Roman"/>
                <w:sz w:val="24"/>
                <w:szCs w:val="24"/>
                <w:shd w:val="clear" w:color="auto" w:fill="FFFFFF" w:themeFill="background1"/>
              </w:rPr>
              <w:t>izdevumi</w:t>
            </w:r>
            <w:r>
              <w:rPr>
                <w:rFonts w:ascii="Times New Roman" w:hAnsi="Times New Roman" w:cs="Times New Roman"/>
                <w:sz w:val="24"/>
                <w:szCs w:val="24"/>
                <w:shd w:val="clear" w:color="auto" w:fill="F1F1F1"/>
              </w:rPr>
              <w:t>.</w:t>
            </w:r>
          </w:p>
          <w:p w:rsidR="00383208" w:rsidRDefault="00173B0A" w:rsidP="00173B0A">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T</w:t>
            </w:r>
            <w:r w:rsidR="00383208" w:rsidRPr="00A37380">
              <w:rPr>
                <w:rFonts w:ascii="Times New Roman" w:hAnsi="Times New Roman" w:cs="Times New Roman"/>
                <w:sz w:val="24"/>
                <w:szCs w:val="24"/>
              </w:rPr>
              <w:t>ehniskā līdzekļa (fotoradara) darbības dienas (turpmāk – radardiena) izmaksu aprēķinā iekļauto pozīciju izmaiņas</w:t>
            </w:r>
            <w:r w:rsidR="00383208">
              <w:rPr>
                <w:rFonts w:ascii="Times New Roman" w:hAnsi="Times New Roman" w:cs="Times New Roman"/>
                <w:sz w:val="24"/>
                <w:szCs w:val="24"/>
                <w:shd w:val="clear" w:color="auto" w:fill="F1F1F1"/>
              </w:rPr>
              <w:t>.</w:t>
            </w:r>
          </w:p>
          <w:p w:rsidR="002C5869" w:rsidRPr="00383208" w:rsidRDefault="00945240" w:rsidP="00383208">
            <w:pPr>
              <w:spacing w:after="0" w:line="240" w:lineRule="auto"/>
              <w:ind w:firstLine="424"/>
              <w:jc w:val="both"/>
              <w:rPr>
                <w:rFonts w:ascii="Times New Roman" w:hAnsi="Times New Roman" w:cs="Times New Roman"/>
                <w:sz w:val="24"/>
                <w:szCs w:val="24"/>
                <w:shd w:val="clear" w:color="auto" w:fill="F1F1F1"/>
              </w:rPr>
            </w:pPr>
            <w:r w:rsidRPr="00D60216">
              <w:rPr>
                <w:rFonts w:ascii="Times New Roman" w:hAnsi="Times New Roman" w:cs="Times New Roman"/>
                <w:sz w:val="24"/>
                <w:szCs w:val="24"/>
                <w:shd w:val="clear" w:color="auto" w:fill="FFFFFF" w:themeFill="background1"/>
              </w:rPr>
              <w:t xml:space="preserve">Precizētas </w:t>
            </w:r>
            <w:r w:rsidR="00383208" w:rsidRPr="00D60216">
              <w:rPr>
                <w:rFonts w:ascii="Times New Roman" w:hAnsi="Times New Roman" w:cs="Times New Roman"/>
                <w:sz w:val="24"/>
                <w:szCs w:val="24"/>
                <w:shd w:val="clear" w:color="auto" w:fill="FFFFFF" w:themeFill="background1"/>
              </w:rPr>
              <w:t>radardienas</w:t>
            </w:r>
            <w:r w:rsidR="002C5869" w:rsidRPr="00D60216">
              <w:rPr>
                <w:rFonts w:ascii="Times New Roman" w:hAnsi="Times New Roman" w:cs="Times New Roman"/>
                <w:sz w:val="24"/>
                <w:szCs w:val="24"/>
                <w:shd w:val="clear" w:color="auto" w:fill="FFFFFF" w:themeFill="background1"/>
              </w:rPr>
              <w:t xml:space="preserve"> </w:t>
            </w:r>
            <w:r w:rsidR="00793074" w:rsidRPr="00D60216">
              <w:rPr>
                <w:rFonts w:ascii="Times New Roman" w:hAnsi="Times New Roman" w:cs="Times New Roman"/>
                <w:sz w:val="24"/>
                <w:szCs w:val="24"/>
                <w:shd w:val="clear" w:color="auto" w:fill="FFFFFF" w:themeFill="background1"/>
              </w:rPr>
              <w:t>izmaksas</w:t>
            </w:r>
            <w:r w:rsidR="002C5869" w:rsidRPr="00D60216">
              <w:rPr>
                <w:rFonts w:ascii="Times New Roman" w:hAnsi="Times New Roman" w:cs="Times New Roman"/>
                <w:sz w:val="24"/>
                <w:szCs w:val="24"/>
                <w:shd w:val="clear" w:color="auto" w:fill="FFFFFF" w:themeFill="background1"/>
              </w:rPr>
              <w:t xml:space="preserve">. </w:t>
            </w:r>
            <w:r w:rsidR="00711E41" w:rsidRPr="00D60216">
              <w:rPr>
                <w:rFonts w:ascii="Times New Roman" w:hAnsi="Times New Roman" w:cs="Times New Roman"/>
                <w:sz w:val="24"/>
                <w:szCs w:val="24"/>
                <w:shd w:val="clear" w:color="auto" w:fill="FFFFFF" w:themeFill="background1"/>
              </w:rPr>
              <w:t>Radardienas izmaksas ietekmē</w:t>
            </w:r>
            <w:r w:rsidR="00711E41" w:rsidRPr="00383208">
              <w:rPr>
                <w:rFonts w:ascii="Times New Roman" w:hAnsi="Times New Roman" w:cs="Times New Roman"/>
                <w:sz w:val="24"/>
                <w:szCs w:val="24"/>
                <w:shd w:val="clear" w:color="auto" w:fill="F1F1F1"/>
              </w:rPr>
              <w:t xml:space="preserve">: </w:t>
            </w:r>
          </w:p>
          <w:p w:rsidR="007D6B21" w:rsidRDefault="00FC33BE"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 xml:space="preserve">valsts akciju sabiedrības “Ceļu satiksmes drošības direkcija” </w:t>
            </w:r>
            <w:r w:rsidR="00261B93" w:rsidRPr="00A37380">
              <w:rPr>
                <w:rFonts w:ascii="Times New Roman" w:hAnsi="Times New Roman" w:cs="Times New Roman"/>
                <w:sz w:val="24"/>
                <w:szCs w:val="24"/>
              </w:rPr>
              <w:t xml:space="preserve">2016. </w:t>
            </w:r>
            <w:r w:rsidRPr="00A37380">
              <w:rPr>
                <w:rFonts w:ascii="Times New Roman" w:hAnsi="Times New Roman" w:cs="Times New Roman"/>
                <w:sz w:val="24"/>
                <w:szCs w:val="24"/>
              </w:rPr>
              <w:t>gada pārskata rezultāti. Tiek precizētas šādas radardienas izmaksu aprēķinā iekļautās pozīcijas: administrācijas izmaksas 9,114% (rīkojumā Nr.382 plānota</w:t>
            </w:r>
            <w:r w:rsidR="00261B93" w:rsidRPr="00A37380">
              <w:rPr>
                <w:rFonts w:ascii="Times New Roman" w:hAnsi="Times New Roman" w:cs="Times New Roman"/>
                <w:sz w:val="24"/>
                <w:szCs w:val="24"/>
              </w:rPr>
              <w:t>s</w:t>
            </w:r>
            <w:r w:rsidRPr="00A37380">
              <w:rPr>
                <w:rFonts w:ascii="Times New Roman" w:hAnsi="Times New Roman" w:cs="Times New Roman"/>
                <w:sz w:val="24"/>
                <w:szCs w:val="24"/>
              </w:rPr>
              <w:t xml:space="preserve"> </w:t>
            </w:r>
            <w:r w:rsidR="00261B93" w:rsidRPr="00A37380">
              <w:rPr>
                <w:rFonts w:ascii="Times New Roman" w:hAnsi="Times New Roman" w:cs="Times New Roman"/>
                <w:sz w:val="24"/>
                <w:szCs w:val="24"/>
              </w:rPr>
              <w:lastRenderedPageBreak/>
              <w:t>11,38% apmērā), neatgūstamā PVN daļa 15% (rīkojumā Nr.382 plānota 17% apmērā), informatīvās sistēmas uzturēšanas un datu pārraides izmaksas 6,18% (rīkojumā Nr.382 plānotas 6,72% apmērā)</w:t>
            </w:r>
            <w:r w:rsidR="009E5CB0" w:rsidRPr="00A37380">
              <w:rPr>
                <w:rFonts w:ascii="Times New Roman" w:hAnsi="Times New Roman" w:cs="Times New Roman"/>
                <w:sz w:val="24"/>
                <w:szCs w:val="24"/>
              </w:rPr>
              <w:t>. Ietekme: sama</w:t>
            </w:r>
            <w:r w:rsidR="00D60216">
              <w:rPr>
                <w:rFonts w:ascii="Times New Roman" w:hAnsi="Times New Roman" w:cs="Times New Roman"/>
                <w:sz w:val="24"/>
                <w:szCs w:val="24"/>
              </w:rPr>
              <w:t>z</w:t>
            </w:r>
            <w:r w:rsidR="009E5CB0" w:rsidRPr="00A37380">
              <w:rPr>
                <w:rFonts w:ascii="Times New Roman" w:hAnsi="Times New Roman" w:cs="Times New Roman"/>
                <w:sz w:val="24"/>
                <w:szCs w:val="24"/>
              </w:rPr>
              <w:t>inās</w:t>
            </w:r>
            <w:r w:rsidR="00313AB8" w:rsidRPr="00A37380">
              <w:rPr>
                <w:rFonts w:ascii="Times New Roman" w:hAnsi="Times New Roman" w:cs="Times New Roman"/>
                <w:sz w:val="24"/>
                <w:szCs w:val="24"/>
              </w:rPr>
              <w:t xml:space="preserve"> </w:t>
            </w:r>
            <w:r w:rsidR="009E5CB0" w:rsidRPr="00A37380">
              <w:rPr>
                <w:rFonts w:ascii="Times New Roman" w:hAnsi="Times New Roman" w:cs="Times New Roman"/>
                <w:sz w:val="24"/>
                <w:szCs w:val="24"/>
              </w:rPr>
              <w:t xml:space="preserve">radardienas izmaksas; samazinās Valsts policijas </w:t>
            </w:r>
            <w:r w:rsidR="00D60216">
              <w:rPr>
                <w:rFonts w:ascii="Times New Roman" w:hAnsi="Times New Roman" w:cs="Times New Roman"/>
                <w:sz w:val="24"/>
                <w:szCs w:val="24"/>
              </w:rPr>
              <w:t xml:space="preserve">un CSDD </w:t>
            </w:r>
            <w:r w:rsidR="009E5CB0" w:rsidRPr="00A37380">
              <w:rPr>
                <w:rFonts w:ascii="Times New Roman" w:hAnsi="Times New Roman" w:cs="Times New Roman"/>
                <w:sz w:val="24"/>
                <w:szCs w:val="24"/>
              </w:rPr>
              <w:t>izdevumi.</w:t>
            </w:r>
          </w:p>
          <w:p w:rsidR="00261B93" w:rsidRDefault="00575F1F"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atsevišķu pakalpojumu cenu izmaiņas</w:t>
            </w:r>
            <w:r w:rsidR="00797E6A" w:rsidRPr="00A37380">
              <w:rPr>
                <w:rFonts w:ascii="Times New Roman" w:hAnsi="Times New Roman" w:cs="Times New Roman"/>
                <w:sz w:val="24"/>
                <w:szCs w:val="24"/>
              </w:rPr>
              <w:t xml:space="preserve"> atbildoši noslēgtajiem līgumiem</w:t>
            </w:r>
            <w:r w:rsidRPr="00A37380">
              <w:rPr>
                <w:rFonts w:ascii="Times New Roman" w:hAnsi="Times New Roman" w:cs="Times New Roman"/>
                <w:sz w:val="24"/>
                <w:szCs w:val="24"/>
              </w:rPr>
              <w:t>. Tiek preciz</w:t>
            </w:r>
            <w:r w:rsidR="004905C1" w:rsidRPr="00A37380">
              <w:rPr>
                <w:rFonts w:ascii="Times New Roman" w:hAnsi="Times New Roman" w:cs="Times New Roman"/>
                <w:sz w:val="24"/>
                <w:szCs w:val="24"/>
              </w:rPr>
              <w:t>ēti</w:t>
            </w:r>
            <w:r w:rsidRPr="00A37380">
              <w:rPr>
                <w:rFonts w:ascii="Times New Roman" w:hAnsi="Times New Roman" w:cs="Times New Roman"/>
                <w:sz w:val="24"/>
                <w:szCs w:val="24"/>
              </w:rPr>
              <w:t xml:space="preserve"> </w:t>
            </w:r>
            <w:r w:rsidR="00351989" w:rsidRPr="00A37380">
              <w:rPr>
                <w:rFonts w:ascii="Times New Roman" w:hAnsi="Times New Roman" w:cs="Times New Roman"/>
                <w:sz w:val="24"/>
                <w:szCs w:val="24"/>
              </w:rPr>
              <w:t>apdrošinā</w:t>
            </w:r>
            <w:r w:rsidR="004905C1" w:rsidRPr="00A37380">
              <w:rPr>
                <w:rFonts w:ascii="Times New Roman" w:hAnsi="Times New Roman" w:cs="Times New Roman"/>
                <w:sz w:val="24"/>
                <w:szCs w:val="24"/>
              </w:rPr>
              <w:t>šanas maksājumi</w:t>
            </w:r>
            <w:r w:rsidR="00351989" w:rsidRPr="00A37380">
              <w:rPr>
                <w:rFonts w:ascii="Times New Roman" w:hAnsi="Times New Roman" w:cs="Times New Roman"/>
                <w:sz w:val="24"/>
                <w:szCs w:val="24"/>
              </w:rPr>
              <w:t>, plānojot t</w:t>
            </w:r>
            <w:r w:rsidR="004905C1" w:rsidRPr="00A37380">
              <w:rPr>
                <w:rFonts w:ascii="Times New Roman" w:hAnsi="Times New Roman" w:cs="Times New Roman"/>
                <w:sz w:val="24"/>
                <w:szCs w:val="24"/>
              </w:rPr>
              <w:t>os</w:t>
            </w:r>
            <w:r w:rsidR="00351989" w:rsidRPr="00A37380">
              <w:rPr>
                <w:rFonts w:ascii="Times New Roman" w:hAnsi="Times New Roman" w:cs="Times New Roman"/>
                <w:sz w:val="24"/>
                <w:szCs w:val="24"/>
              </w:rPr>
              <w:t xml:space="preserve"> 953 </w:t>
            </w:r>
            <w:r w:rsidR="00351989" w:rsidRPr="00A37380">
              <w:rPr>
                <w:rFonts w:ascii="Times New Roman" w:hAnsi="Times New Roman" w:cs="Times New Roman"/>
                <w:i/>
                <w:sz w:val="24"/>
                <w:szCs w:val="24"/>
              </w:rPr>
              <w:t>euro</w:t>
            </w:r>
            <w:r w:rsidR="00351989" w:rsidRPr="00A37380">
              <w:rPr>
                <w:rFonts w:ascii="Times New Roman" w:hAnsi="Times New Roman" w:cs="Times New Roman"/>
                <w:sz w:val="24"/>
                <w:szCs w:val="24"/>
              </w:rPr>
              <w:t xml:space="preserve"> apmērā (rīkojumā Nr.382</w:t>
            </w:r>
            <w:r w:rsidR="004905C1" w:rsidRPr="00A37380">
              <w:rPr>
                <w:rFonts w:ascii="Times New Roman" w:hAnsi="Times New Roman" w:cs="Times New Roman"/>
                <w:sz w:val="24"/>
                <w:szCs w:val="24"/>
              </w:rPr>
              <w:t xml:space="preserve"> plānoti</w:t>
            </w:r>
            <w:r w:rsidR="00351989" w:rsidRPr="00A37380">
              <w:rPr>
                <w:rFonts w:ascii="Times New Roman" w:hAnsi="Times New Roman" w:cs="Times New Roman"/>
                <w:sz w:val="24"/>
                <w:szCs w:val="24"/>
              </w:rPr>
              <w:t xml:space="preserve"> 160 </w:t>
            </w:r>
            <w:r w:rsidR="00351989" w:rsidRPr="00A37380">
              <w:rPr>
                <w:rFonts w:ascii="Times New Roman" w:hAnsi="Times New Roman" w:cs="Times New Roman"/>
                <w:i/>
                <w:sz w:val="24"/>
                <w:szCs w:val="24"/>
              </w:rPr>
              <w:t>euro</w:t>
            </w:r>
            <w:r w:rsidR="00351989" w:rsidRPr="00A37380">
              <w:rPr>
                <w:rFonts w:ascii="Times New Roman" w:hAnsi="Times New Roman" w:cs="Times New Roman"/>
                <w:sz w:val="24"/>
                <w:szCs w:val="24"/>
              </w:rPr>
              <w:t xml:space="preserve"> apmērā)</w:t>
            </w:r>
            <w:r w:rsidR="009E5CB0" w:rsidRPr="00A37380">
              <w:rPr>
                <w:rFonts w:ascii="Times New Roman" w:hAnsi="Times New Roman" w:cs="Times New Roman"/>
                <w:sz w:val="24"/>
                <w:szCs w:val="24"/>
              </w:rPr>
              <w:t xml:space="preserve">. Ietekme: </w:t>
            </w:r>
            <w:r w:rsidR="00383208" w:rsidRPr="00A37380">
              <w:rPr>
                <w:rFonts w:ascii="Times New Roman" w:hAnsi="Times New Roman" w:cs="Times New Roman"/>
                <w:sz w:val="24"/>
                <w:szCs w:val="24"/>
              </w:rPr>
              <w:t>pal</w:t>
            </w:r>
            <w:r w:rsidR="009E5CB0" w:rsidRPr="00A37380">
              <w:rPr>
                <w:rFonts w:ascii="Times New Roman" w:hAnsi="Times New Roman" w:cs="Times New Roman"/>
                <w:sz w:val="24"/>
                <w:szCs w:val="24"/>
              </w:rPr>
              <w:t>ielinās radardienas izmaksas; palielinās Val</w:t>
            </w:r>
            <w:r w:rsidR="00D60216">
              <w:rPr>
                <w:rFonts w:ascii="Times New Roman" w:hAnsi="Times New Roman" w:cs="Times New Roman"/>
                <w:sz w:val="24"/>
                <w:szCs w:val="24"/>
              </w:rPr>
              <w:t>s</w:t>
            </w:r>
            <w:r w:rsidR="009E5CB0" w:rsidRPr="00A37380">
              <w:rPr>
                <w:rFonts w:ascii="Times New Roman" w:hAnsi="Times New Roman" w:cs="Times New Roman"/>
                <w:sz w:val="24"/>
                <w:szCs w:val="24"/>
              </w:rPr>
              <w:t xml:space="preserve">ts policijas </w:t>
            </w:r>
            <w:r w:rsidR="00D60216">
              <w:rPr>
                <w:rFonts w:ascii="Times New Roman" w:hAnsi="Times New Roman" w:cs="Times New Roman"/>
                <w:sz w:val="24"/>
                <w:szCs w:val="24"/>
              </w:rPr>
              <w:t xml:space="preserve">un CSDD </w:t>
            </w:r>
            <w:r w:rsidR="009E5CB0" w:rsidRPr="00A37380">
              <w:rPr>
                <w:rFonts w:ascii="Times New Roman" w:hAnsi="Times New Roman" w:cs="Times New Roman"/>
                <w:sz w:val="24"/>
                <w:szCs w:val="24"/>
              </w:rPr>
              <w:t>izdevumi</w:t>
            </w:r>
            <w:r w:rsidR="009E5CB0">
              <w:rPr>
                <w:rFonts w:ascii="Times New Roman" w:hAnsi="Times New Roman" w:cs="Times New Roman"/>
                <w:sz w:val="24"/>
                <w:szCs w:val="24"/>
                <w:shd w:val="clear" w:color="auto" w:fill="F1F1F1"/>
              </w:rPr>
              <w:t>.</w:t>
            </w:r>
            <w:r w:rsidR="00D60216">
              <w:rPr>
                <w:rFonts w:ascii="Times New Roman" w:hAnsi="Times New Roman" w:cs="Times New Roman"/>
                <w:sz w:val="24"/>
                <w:szCs w:val="24"/>
                <w:shd w:val="clear" w:color="auto" w:fill="F1F1F1"/>
              </w:rPr>
              <w:t xml:space="preserve"> </w:t>
            </w:r>
            <w:r w:rsidR="00D60216" w:rsidRPr="00AC66E0">
              <w:rPr>
                <w:rFonts w:ascii="Times New Roman" w:hAnsi="Times New Roman" w:cs="Times New Roman"/>
                <w:sz w:val="24"/>
                <w:szCs w:val="24"/>
              </w:rPr>
              <w:t>Tas saistīts ar tehniskajiem līdzekļiem (fotoradariem) nodarītajiem bojājumiem</w:t>
            </w:r>
            <w:r w:rsidR="00D60216">
              <w:rPr>
                <w:rFonts w:ascii="Times New Roman" w:hAnsi="Times New Roman" w:cs="Times New Roman"/>
                <w:sz w:val="24"/>
                <w:szCs w:val="24"/>
                <w:shd w:val="clear" w:color="auto" w:fill="F1F1F1"/>
              </w:rPr>
              <w:t>.</w:t>
            </w:r>
          </w:p>
          <w:p w:rsidR="00E3293E" w:rsidRPr="00E3293E" w:rsidRDefault="00E3293E" w:rsidP="00E3293E">
            <w:pPr>
              <w:spacing w:after="0" w:line="240" w:lineRule="auto"/>
              <w:jc w:val="both"/>
              <w:rPr>
                <w:rFonts w:ascii="Times New Roman" w:hAnsi="Times New Roman" w:cs="Times New Roman"/>
                <w:sz w:val="24"/>
                <w:szCs w:val="24"/>
                <w:shd w:val="clear" w:color="auto" w:fill="F1F1F1"/>
              </w:rPr>
            </w:pPr>
            <w:r w:rsidRPr="00AC66E0">
              <w:rPr>
                <w:rFonts w:ascii="Times New Roman" w:hAnsi="Times New Roman" w:cs="Times New Roman"/>
                <w:sz w:val="24"/>
                <w:szCs w:val="24"/>
              </w:rPr>
              <w:t>Kopumā: Valsts policijas izdevumi pieaug, jo pieaug CSDD izdevumi</w:t>
            </w:r>
            <w:r>
              <w:rPr>
                <w:rFonts w:ascii="Times New Roman" w:hAnsi="Times New Roman" w:cs="Times New Roman"/>
                <w:sz w:val="24"/>
                <w:szCs w:val="24"/>
                <w:shd w:val="clear" w:color="auto" w:fill="F1F1F1"/>
              </w:rPr>
              <w:t>.</w:t>
            </w:r>
          </w:p>
          <w:p w:rsidR="005D74AA" w:rsidRDefault="005D74AA" w:rsidP="005D74AA">
            <w:pPr>
              <w:spacing w:after="0" w:line="240" w:lineRule="auto"/>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 xml:space="preserve">Tādējādi Valsts policijai nepieciešams papildu finansējums, lai segtu izdevumus par </w:t>
            </w:r>
            <w:r w:rsidR="00E3293E" w:rsidRPr="00E3293E">
              <w:rPr>
                <w:rFonts w:ascii="Times New Roman" w:hAnsi="Times New Roman" w:cs="Times New Roman"/>
                <w:sz w:val="24"/>
                <w:szCs w:val="24"/>
                <w:shd w:val="clear" w:color="auto" w:fill="FFFFFF" w:themeFill="background1"/>
              </w:rPr>
              <w:t xml:space="preserve">CSDD </w:t>
            </w:r>
            <w:r w:rsidRPr="00E3293E">
              <w:rPr>
                <w:rFonts w:ascii="Times New Roman" w:hAnsi="Times New Roman" w:cs="Times New Roman"/>
                <w:sz w:val="24"/>
                <w:szCs w:val="24"/>
                <w:shd w:val="clear" w:color="auto" w:fill="FFFFFF" w:themeFill="background1"/>
              </w:rPr>
              <w:t>deleģēto valsts pārvaldes uzdevumu izpildi; kā arī Valsts policijai jāpalielina kapacitāte, lai veiktu normatīvajos aktos noteiktās funkcijas saistībā ar pārkāpumiem, kas fiksēti ar tehniskajiem līdzekļiem (fotoradariem) (darba apjoma palielināšanās).</w:t>
            </w:r>
            <w:r w:rsidR="00DF1D99" w:rsidRPr="00E3293E">
              <w:rPr>
                <w:rFonts w:ascii="Times New Roman" w:hAnsi="Times New Roman" w:cs="Times New Roman"/>
                <w:sz w:val="24"/>
                <w:szCs w:val="24"/>
                <w:shd w:val="clear" w:color="auto" w:fill="FFFFFF" w:themeFill="background1"/>
              </w:rPr>
              <w:t xml:space="preserve"> Detalizētu informāciju skatīt anotācijas 1.pielikum</w:t>
            </w:r>
            <w:r w:rsidR="00635C5E" w:rsidRPr="00E3293E">
              <w:rPr>
                <w:rFonts w:ascii="Times New Roman" w:hAnsi="Times New Roman" w:cs="Times New Roman"/>
                <w:sz w:val="24"/>
                <w:szCs w:val="24"/>
                <w:shd w:val="clear" w:color="auto" w:fill="FFFFFF" w:themeFill="background1"/>
              </w:rPr>
              <w:t>ā</w:t>
            </w:r>
            <w:r w:rsidR="00DF1D99">
              <w:rPr>
                <w:rFonts w:ascii="Times New Roman" w:hAnsi="Times New Roman" w:cs="Times New Roman"/>
                <w:sz w:val="24"/>
                <w:szCs w:val="24"/>
                <w:shd w:val="clear" w:color="auto" w:fill="F1F1F1"/>
              </w:rPr>
              <w:t xml:space="preserve">. </w:t>
            </w:r>
          </w:p>
          <w:p w:rsidR="006507C9" w:rsidRPr="009160AE" w:rsidRDefault="009B18DF" w:rsidP="009C4F53">
            <w:pPr>
              <w:pStyle w:val="NormalWeb"/>
              <w:spacing w:before="0" w:beforeAutospacing="0" w:after="0" w:afterAutospacing="0"/>
              <w:ind w:firstLine="424"/>
              <w:jc w:val="both"/>
            </w:pPr>
            <w:r w:rsidRPr="009160AE">
              <w:rPr>
                <w:shd w:val="clear" w:color="auto" w:fill="F1F1F1"/>
              </w:rPr>
              <w:t>Valsts kontrole</w:t>
            </w:r>
            <w:r w:rsidR="00C47FAE" w:rsidRPr="009160AE">
              <w:rPr>
                <w:shd w:val="clear" w:color="auto" w:fill="F1F1F1"/>
              </w:rPr>
              <w:t xml:space="preserve"> </w:t>
            </w:r>
            <w:r w:rsidRPr="009160AE">
              <w:t>revīzijas ziņojumā revīzijas lietā Nr.2.4.1-22/2016 “Par Iekšlietu ministrijas 2016.</w:t>
            </w:r>
            <w:r w:rsidR="009160AE">
              <w:t xml:space="preserve"> </w:t>
            </w:r>
            <w:r w:rsidRPr="009160AE">
              <w:t xml:space="preserve">gada pārskatu” (turpmāk – revīzijas ziņojums) ir </w:t>
            </w:r>
            <w:r w:rsidR="006507C9" w:rsidRPr="009160AE">
              <w:t>izteikusi ieteikumu (revīzijas ziņojuma 7.ieteikums), kas paredz uzdevumu Iekšlietu ministrijai rosināt Ministru kabinetam izlemt par rīcību ar uzkrāto nolietojumu, ko noslēgtā valsts pārvaldes uzdevuma deleģēšanas līguma ietvaros Valsts policija samaksāja CSDD 2015. un 2016. gadā. Lai nodrošinātu revīzijas ziņojumā norādīto trūkumu novēršanu un ietiekuma ievie</w:t>
            </w:r>
            <w:r w:rsidR="009160AE" w:rsidRPr="009160AE">
              <w:t>šanu un</w:t>
            </w:r>
            <w:r w:rsidR="006507C9" w:rsidRPr="009160AE">
              <w:t xml:space="preserve"> saskaņā ar Iekšlietu ministrijas 2017. gada 25. maija rīkojumu Nr.1-12/1224</w:t>
            </w:r>
            <w:r w:rsidR="009160AE" w:rsidRPr="009160AE">
              <w:t>,</w:t>
            </w:r>
            <w:r w:rsidR="006507C9" w:rsidRPr="009160AE">
              <w:t xml:space="preserve"> ir paredzēta šāda rīcība – priekšlikumi rīcībai ar uzkrāto nolietojumu jāietver Ministru kabineta rīkojuma projekta par CSDD valstij dividendēs izmaksājamo peļņas daļu anotācijā un rīkojuma projektā, paredzot attiecīgus grozījumus rīkojuma Nr.382 8.</w:t>
            </w:r>
            <w:r w:rsidR="005B4C8D">
              <w:t xml:space="preserve"> </w:t>
            </w:r>
            <w:r w:rsidR="006507C9" w:rsidRPr="009160AE">
              <w:t>punktā.</w:t>
            </w:r>
          </w:p>
          <w:p w:rsidR="00C47FAE" w:rsidRDefault="00C47FAE" w:rsidP="005D74AA">
            <w:pPr>
              <w:spacing w:after="0" w:line="240" w:lineRule="auto"/>
              <w:jc w:val="both"/>
              <w:rPr>
                <w:rFonts w:ascii="Times New Roman" w:hAnsi="Times New Roman" w:cs="Times New Roman"/>
                <w:sz w:val="24"/>
                <w:szCs w:val="24"/>
                <w:shd w:val="clear" w:color="auto" w:fill="F1F1F1"/>
              </w:rPr>
            </w:pPr>
          </w:p>
          <w:p w:rsidR="00C152C7" w:rsidRDefault="007E6064" w:rsidP="00E3293E">
            <w:pPr>
              <w:pStyle w:val="ListParagraph"/>
              <w:shd w:val="clear" w:color="auto" w:fill="FFFFFF" w:themeFill="background1"/>
              <w:spacing w:after="0" w:line="240" w:lineRule="auto"/>
              <w:ind w:left="-1" w:firstLine="349"/>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Līdz ar to nepieciešams precizēt</w:t>
            </w:r>
            <w:r w:rsidR="00C152C7">
              <w:rPr>
                <w:rFonts w:ascii="Times New Roman" w:hAnsi="Times New Roman" w:cs="Times New Roman"/>
                <w:sz w:val="24"/>
                <w:szCs w:val="24"/>
                <w:shd w:val="clear" w:color="auto" w:fill="F1F1F1"/>
              </w:rPr>
              <w:t>:</w:t>
            </w:r>
          </w:p>
          <w:p w:rsidR="00945240" w:rsidRDefault="00945240" w:rsidP="005B265B">
            <w:pPr>
              <w:pStyle w:val="ListParagraph"/>
              <w:numPr>
                <w:ilvl w:val="0"/>
                <w:numId w:val="18"/>
              </w:numPr>
              <w:spacing w:after="0" w:line="240" w:lineRule="auto"/>
              <w:ind w:left="141" w:firstLine="283"/>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valsts pamatbudžeta ieņēmumu apmēru no naudas sodiem, ko uzliek Valsts policija pa pārkāpumiem ceļu satiksmē, kas fiksēti ar</w:t>
            </w:r>
            <w:r w:rsidR="00E3293E">
              <w:rPr>
                <w:rFonts w:ascii="Times New Roman" w:hAnsi="Times New Roman" w:cs="Times New Roman"/>
                <w:sz w:val="24"/>
                <w:szCs w:val="24"/>
              </w:rPr>
              <w:t xml:space="preserve"> CSDD</w:t>
            </w:r>
            <w:r w:rsidRPr="00A37380">
              <w:rPr>
                <w:rFonts w:ascii="Times New Roman" w:hAnsi="Times New Roman" w:cs="Times New Roman"/>
                <w:sz w:val="24"/>
                <w:szCs w:val="24"/>
              </w:rPr>
              <w:t xml:space="preserve"> piederošajiem tehniskajiem līdzekļiem (</w:t>
            </w:r>
            <w:r w:rsidR="00684497" w:rsidRPr="00A37380">
              <w:rPr>
                <w:rFonts w:ascii="Times New Roman" w:hAnsi="Times New Roman" w:cs="Times New Roman"/>
                <w:sz w:val="24"/>
                <w:szCs w:val="24"/>
              </w:rPr>
              <w:t>fotoradariem</w:t>
            </w:r>
            <w:r w:rsidRPr="00A37380">
              <w:rPr>
                <w:rFonts w:ascii="Times New Roman" w:hAnsi="Times New Roman" w:cs="Times New Roman"/>
                <w:sz w:val="24"/>
                <w:szCs w:val="24"/>
              </w:rPr>
              <w:t>)</w:t>
            </w:r>
            <w:r w:rsidR="00684497" w:rsidRPr="00A37380">
              <w:rPr>
                <w:rFonts w:ascii="Times New Roman" w:hAnsi="Times New Roman" w:cs="Times New Roman"/>
                <w:sz w:val="24"/>
                <w:szCs w:val="24"/>
              </w:rPr>
              <w:t>;</w:t>
            </w:r>
          </w:p>
          <w:p w:rsidR="007E6064" w:rsidRPr="005D6DCF" w:rsidRDefault="007E6064" w:rsidP="005B265B">
            <w:pPr>
              <w:pStyle w:val="ListParagraph"/>
              <w:numPr>
                <w:ilvl w:val="0"/>
                <w:numId w:val="18"/>
              </w:numPr>
              <w:spacing w:after="0" w:line="240" w:lineRule="auto"/>
              <w:ind w:left="141" w:firstLine="283"/>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Valsts policijas izdevumus, kas saistīti</w:t>
            </w:r>
            <w:r w:rsidRPr="005D6DCF">
              <w:rPr>
                <w:rFonts w:ascii="Times New Roman" w:hAnsi="Times New Roman" w:cs="Times New Roman"/>
                <w:sz w:val="24"/>
                <w:szCs w:val="24"/>
                <w:shd w:val="clear" w:color="auto" w:fill="F1F1F1"/>
              </w:rPr>
              <w:t xml:space="preserve">: </w:t>
            </w:r>
          </w:p>
          <w:p w:rsidR="007E6064" w:rsidRDefault="007E6064"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ar naudas soda uzlikšanu (atlīdzībai</w:t>
            </w:r>
            <w:r>
              <w:rPr>
                <w:rFonts w:ascii="Times New Roman" w:hAnsi="Times New Roman" w:cs="Times New Roman"/>
                <w:sz w:val="24"/>
                <w:szCs w:val="24"/>
                <w:shd w:val="clear" w:color="auto" w:fill="F1F1F1"/>
              </w:rPr>
              <w:t>);</w:t>
            </w:r>
          </w:p>
          <w:p w:rsidR="00C92439" w:rsidRDefault="00C92439"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amata vietu nodrošināšanu (darba vietu aprīkojums</w:t>
            </w:r>
            <w:r>
              <w:rPr>
                <w:rFonts w:ascii="Times New Roman" w:hAnsi="Times New Roman" w:cs="Times New Roman"/>
                <w:sz w:val="24"/>
                <w:szCs w:val="24"/>
                <w:shd w:val="clear" w:color="auto" w:fill="F1F1F1"/>
              </w:rPr>
              <w:t>);</w:t>
            </w:r>
          </w:p>
          <w:p w:rsidR="003831A5" w:rsidRPr="003831A5" w:rsidRDefault="007A5011"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deleģēto valsts pārvaldes uzdevumu izpildi (</w:t>
            </w:r>
            <w:r w:rsidR="00E3293E">
              <w:rPr>
                <w:rFonts w:ascii="Times New Roman" w:hAnsi="Times New Roman" w:cs="Times New Roman"/>
                <w:sz w:val="24"/>
                <w:szCs w:val="24"/>
                <w:shd w:val="clear" w:color="auto" w:fill="FFFFFF" w:themeFill="background1"/>
              </w:rPr>
              <w:t>CSDD</w:t>
            </w:r>
            <w:r w:rsidR="003831A5">
              <w:rPr>
                <w:rFonts w:ascii="Times New Roman" w:hAnsi="Times New Roman" w:cs="Times New Roman"/>
                <w:sz w:val="24"/>
                <w:szCs w:val="24"/>
                <w:shd w:val="clear" w:color="auto" w:fill="F1F1F1"/>
              </w:rPr>
              <w:t>);</w:t>
            </w:r>
          </w:p>
          <w:p w:rsidR="005D6DCF" w:rsidRDefault="007E6064" w:rsidP="005B265B">
            <w:pPr>
              <w:pStyle w:val="ListParagraph"/>
              <w:numPr>
                <w:ilvl w:val="0"/>
                <w:numId w:val="18"/>
              </w:numPr>
              <w:spacing w:after="0" w:line="240" w:lineRule="auto"/>
              <w:ind w:left="141" w:firstLine="283"/>
              <w:jc w:val="both"/>
              <w:rPr>
                <w:rFonts w:ascii="Times New Roman" w:hAnsi="Times New Roman" w:cs="Times New Roman"/>
                <w:sz w:val="24"/>
                <w:szCs w:val="24"/>
                <w:shd w:val="clear" w:color="auto" w:fill="F1F1F1"/>
              </w:rPr>
            </w:pPr>
            <w:r w:rsidRPr="004F20A4">
              <w:rPr>
                <w:rFonts w:ascii="Times New Roman" w:hAnsi="Times New Roman" w:cs="Times New Roman"/>
                <w:sz w:val="24"/>
                <w:szCs w:val="24"/>
              </w:rPr>
              <w:t>Iekšlietu ministrijas Informācijas centra izdevumus, kas nepieciešami, lai nodrošinātu nodarbinātos ar sakaru pakalpojumiem</w:t>
            </w:r>
            <w:r w:rsidR="00C92439" w:rsidRPr="004F20A4">
              <w:rPr>
                <w:rFonts w:ascii="Times New Roman" w:hAnsi="Times New Roman" w:cs="Times New Roman"/>
                <w:sz w:val="24"/>
                <w:szCs w:val="24"/>
              </w:rPr>
              <w:t>, datortehniku un informācijas tehnoloģiju pakalpojumiem;</w:t>
            </w:r>
            <w:r>
              <w:rPr>
                <w:rFonts w:ascii="Times New Roman" w:hAnsi="Times New Roman" w:cs="Times New Roman"/>
                <w:sz w:val="24"/>
                <w:szCs w:val="24"/>
                <w:shd w:val="clear" w:color="auto" w:fill="F1F1F1"/>
              </w:rPr>
              <w:t xml:space="preserve"> </w:t>
            </w:r>
          </w:p>
          <w:p w:rsidR="0095384F" w:rsidRDefault="0095384F" w:rsidP="007E2556">
            <w:pPr>
              <w:pStyle w:val="ListParagraph"/>
              <w:numPr>
                <w:ilvl w:val="0"/>
                <w:numId w:val="18"/>
              </w:numPr>
              <w:spacing w:after="0" w:line="240" w:lineRule="auto"/>
              <w:ind w:left="141" w:firstLine="283"/>
              <w:jc w:val="both"/>
              <w:rPr>
                <w:rFonts w:ascii="Times New Roman" w:hAnsi="Times New Roman" w:cs="Times New Roman"/>
                <w:sz w:val="24"/>
                <w:szCs w:val="24"/>
                <w:shd w:val="clear" w:color="auto" w:fill="F1F1F1"/>
              </w:rPr>
            </w:pPr>
            <w:r w:rsidRPr="00AC66E0">
              <w:rPr>
                <w:rFonts w:ascii="Times New Roman" w:hAnsi="Times New Roman" w:cs="Times New Roman"/>
                <w:sz w:val="24"/>
                <w:szCs w:val="24"/>
              </w:rPr>
              <w:t>tehnisko līdzekļu (fotoradaru) iegādes finansēšanas avotu, kā finansēšanas avotu paredzot arī no valsts budžeta līdzekļiem 2015. gadā un 2016. gadā finansēto fotoradaru nolietojumam atbils</w:t>
            </w:r>
            <w:r w:rsidR="006507C9" w:rsidRPr="00AC66E0">
              <w:rPr>
                <w:rFonts w:ascii="Times New Roman" w:hAnsi="Times New Roman" w:cs="Times New Roman"/>
                <w:sz w:val="24"/>
                <w:szCs w:val="24"/>
              </w:rPr>
              <w:t>tošās summas uzkrājuma atlikumu</w:t>
            </w:r>
            <w:r w:rsidR="006507C9">
              <w:rPr>
                <w:rFonts w:ascii="Times New Roman" w:hAnsi="Times New Roman" w:cs="Times New Roman"/>
                <w:sz w:val="24"/>
                <w:szCs w:val="24"/>
                <w:shd w:val="clear" w:color="auto" w:fill="F1F1F1"/>
              </w:rPr>
              <w:t>;</w:t>
            </w:r>
          </w:p>
          <w:p w:rsidR="006507C9" w:rsidRPr="006507C9" w:rsidRDefault="006507C9" w:rsidP="006507C9">
            <w:pPr>
              <w:pStyle w:val="ListParagraph"/>
              <w:numPr>
                <w:ilvl w:val="0"/>
                <w:numId w:val="18"/>
              </w:numPr>
              <w:spacing w:after="0" w:line="240" w:lineRule="auto"/>
              <w:ind w:left="141" w:firstLine="283"/>
              <w:jc w:val="both"/>
              <w:rPr>
                <w:rFonts w:ascii="Times New Roman" w:hAnsi="Times New Roman" w:cs="Times New Roman"/>
                <w:color w:val="7030A0"/>
                <w:sz w:val="24"/>
                <w:szCs w:val="24"/>
              </w:rPr>
            </w:pPr>
            <w:r w:rsidRPr="00AC66E0">
              <w:rPr>
                <w:rFonts w:ascii="Times New Roman" w:hAnsi="Times New Roman" w:cs="Times New Roman"/>
                <w:sz w:val="24"/>
                <w:szCs w:val="24"/>
              </w:rPr>
              <w:t>vienas radardienas izmaksu apmēru</w:t>
            </w:r>
            <w:r>
              <w:rPr>
                <w:rFonts w:ascii="Times New Roman" w:hAnsi="Times New Roman" w:cs="Times New Roman"/>
                <w:sz w:val="24"/>
                <w:szCs w:val="24"/>
                <w:shd w:val="clear" w:color="auto" w:fill="F1F1F1"/>
              </w:rPr>
              <w:t>.</w:t>
            </w:r>
          </w:p>
          <w:p w:rsidR="000C68C9" w:rsidRPr="005B265B" w:rsidRDefault="00B26813" w:rsidP="00685C2D">
            <w:pPr>
              <w:spacing w:after="0" w:line="240" w:lineRule="auto"/>
              <w:ind w:firstLine="425"/>
              <w:jc w:val="both"/>
              <w:rPr>
                <w:rFonts w:ascii="Times New Roman" w:hAnsi="Times New Roman" w:cs="Times New Roman"/>
                <w:sz w:val="24"/>
                <w:szCs w:val="24"/>
              </w:rPr>
            </w:pPr>
            <w:r w:rsidRPr="005B265B">
              <w:rPr>
                <w:rFonts w:ascii="Times New Roman" w:hAnsi="Times New Roman" w:cs="Times New Roman"/>
                <w:sz w:val="24"/>
                <w:szCs w:val="24"/>
              </w:rPr>
              <w:lastRenderedPageBreak/>
              <w:t xml:space="preserve">Rīkojuma </w:t>
            </w:r>
            <w:r w:rsidR="00666400" w:rsidRPr="005B265B">
              <w:rPr>
                <w:rFonts w:ascii="Times New Roman" w:hAnsi="Times New Roman" w:cs="Times New Roman"/>
                <w:sz w:val="24"/>
                <w:szCs w:val="24"/>
              </w:rPr>
              <w:t>projekts paredz</w:t>
            </w:r>
            <w:r w:rsidR="000C68C9" w:rsidRPr="005B265B">
              <w:rPr>
                <w:rFonts w:ascii="Times New Roman" w:hAnsi="Times New Roman" w:cs="Times New Roman"/>
                <w:sz w:val="24"/>
                <w:szCs w:val="24"/>
              </w:rPr>
              <w:t>:</w:t>
            </w:r>
          </w:p>
          <w:p w:rsidR="00A7505D" w:rsidRPr="005B265B" w:rsidRDefault="00E3293E" w:rsidP="00AA1966">
            <w:pPr>
              <w:pStyle w:val="naiskr"/>
              <w:numPr>
                <w:ilvl w:val="0"/>
                <w:numId w:val="18"/>
              </w:numPr>
              <w:spacing w:before="0" w:beforeAutospacing="0" w:after="0" w:afterAutospacing="0"/>
              <w:ind w:left="141" w:firstLine="283"/>
              <w:jc w:val="both"/>
              <w:rPr>
                <w:b/>
              </w:rPr>
            </w:pPr>
            <w:r>
              <w:rPr>
                <w:bCs/>
              </w:rPr>
              <w:t>precizēt Iekšlietu ministrijas</w:t>
            </w:r>
            <w:r w:rsidR="00016770" w:rsidRPr="005B265B">
              <w:rPr>
                <w:bCs/>
              </w:rPr>
              <w:t xml:space="preserve"> ilgtermiņa saistības tehnisko līdzekļu (fotoradaru) darbības nodrošināša</w:t>
            </w:r>
            <w:r w:rsidR="005B265B" w:rsidRPr="005B265B">
              <w:rPr>
                <w:bCs/>
              </w:rPr>
              <w:t>nai laikposmā no 2015.  līdz 2023</w:t>
            </w:r>
            <w:r w:rsidR="00016770" w:rsidRPr="005B265B">
              <w:rPr>
                <w:bCs/>
              </w:rPr>
              <w:t>.</w:t>
            </w:r>
            <w:r w:rsidR="005B265B" w:rsidRPr="005B265B">
              <w:rPr>
                <w:bCs/>
              </w:rPr>
              <w:t xml:space="preserve"> </w:t>
            </w:r>
            <w:r w:rsidR="00016770" w:rsidRPr="005B265B">
              <w:rPr>
                <w:bCs/>
              </w:rPr>
              <w:t xml:space="preserve">gadam, tai skaitā sadalījumā pa </w:t>
            </w:r>
            <w:r>
              <w:rPr>
                <w:bCs/>
              </w:rPr>
              <w:t>gadiem, atstājot nemainīgu 2015.–2017. gadu, jo saistību apmērs iekļauts attiecīgo gadu budžeta likumā un nav grozāms;</w:t>
            </w:r>
          </w:p>
          <w:p w:rsidR="00363705" w:rsidRPr="005B265B" w:rsidRDefault="00363705" w:rsidP="00AA1966">
            <w:pPr>
              <w:pStyle w:val="naiskr"/>
              <w:numPr>
                <w:ilvl w:val="0"/>
                <w:numId w:val="18"/>
              </w:numPr>
              <w:spacing w:before="0" w:beforeAutospacing="0" w:after="0" w:afterAutospacing="0"/>
              <w:ind w:left="141" w:firstLine="283"/>
              <w:jc w:val="both"/>
              <w:rPr>
                <w:b/>
              </w:rPr>
            </w:pPr>
            <w:r w:rsidRPr="005B265B">
              <w:rPr>
                <w:bCs/>
              </w:rPr>
              <w:t xml:space="preserve">atļaut Valsts policijai noslēgt valsts pārvaldes uzdevumu deleģēšanas līgumu ar </w:t>
            </w:r>
            <w:r w:rsidR="00E3293E">
              <w:rPr>
                <w:bCs/>
              </w:rPr>
              <w:t>CSDD</w:t>
            </w:r>
            <w:r w:rsidR="005B265B" w:rsidRPr="005B265B">
              <w:t xml:space="preserve"> par 100</w:t>
            </w:r>
            <w:r w:rsidRPr="005B265B">
              <w:t xml:space="preserve"> tehnisko līdzekļu (fotoradaru) uzstādīšanu un to darbības nodrošināšanu</w:t>
            </w:r>
            <w:r w:rsidR="00E3293E">
              <w:t xml:space="preserve"> (palielinājums par 40 fotoradariem)</w:t>
            </w:r>
            <w:r w:rsidRPr="005B265B">
              <w:t>;</w:t>
            </w:r>
          </w:p>
          <w:p w:rsidR="001F796F" w:rsidRPr="005B265B" w:rsidRDefault="00E3293E" w:rsidP="00AA1966">
            <w:pPr>
              <w:pStyle w:val="naiskr"/>
              <w:numPr>
                <w:ilvl w:val="0"/>
                <w:numId w:val="18"/>
              </w:numPr>
              <w:spacing w:before="0" w:beforeAutospacing="0" w:after="0" w:afterAutospacing="0"/>
              <w:ind w:left="141" w:firstLine="283"/>
              <w:jc w:val="both"/>
              <w:rPr>
                <w:bCs/>
              </w:rPr>
            </w:pPr>
            <w:r>
              <w:rPr>
                <w:bCs/>
              </w:rPr>
              <w:t>precizēt</w:t>
            </w:r>
            <w:r w:rsidR="001F796F" w:rsidRPr="005B265B">
              <w:rPr>
                <w:bCs/>
              </w:rPr>
              <w:t xml:space="preserve"> prognozēto valsts pamatbudžeta ieņēmumu apmēru no naudas sodiem, ko uzliek Valsts policija par pārkāpumiem ceļu satiksmē, kas fiksēti ar </w:t>
            </w:r>
            <w:r>
              <w:rPr>
                <w:bCs/>
              </w:rPr>
              <w:t>CSDD</w:t>
            </w:r>
            <w:r w:rsidR="001F796F" w:rsidRPr="005B265B">
              <w:rPr>
                <w:bCs/>
              </w:rPr>
              <w:t xml:space="preserve"> piederošajiem tehniskajiem līdzekļiem</w:t>
            </w:r>
            <w:r w:rsidR="00232342" w:rsidRPr="005B265B">
              <w:rPr>
                <w:bCs/>
              </w:rPr>
              <w:t xml:space="preserve"> (fotoradariem)</w:t>
            </w:r>
            <w:r w:rsidR="001F796F" w:rsidRPr="005B265B">
              <w:rPr>
                <w:bCs/>
              </w:rPr>
              <w:t>:</w:t>
            </w:r>
          </w:p>
          <w:p w:rsidR="00383B9A" w:rsidRPr="005B265B" w:rsidRDefault="00E3293E" w:rsidP="00AA1966">
            <w:pPr>
              <w:pStyle w:val="naiskr"/>
              <w:numPr>
                <w:ilvl w:val="0"/>
                <w:numId w:val="18"/>
              </w:numPr>
              <w:spacing w:before="0" w:beforeAutospacing="0" w:after="0" w:afterAutospacing="0"/>
              <w:ind w:left="141" w:firstLine="283"/>
              <w:jc w:val="both"/>
              <w:rPr>
                <w:bCs/>
              </w:rPr>
            </w:pPr>
            <w:r>
              <w:rPr>
                <w:bCs/>
              </w:rPr>
              <w:t>precizēt</w:t>
            </w:r>
            <w:r w:rsidR="00383B9A" w:rsidRPr="005B265B">
              <w:rPr>
                <w:bCs/>
              </w:rPr>
              <w:t xml:space="preserve"> Iekšlietu ministrijas ilgtermiņa saistību apmēru pasākumam “Ceļu satiksmes pārkāpumu fiksēšanas tehnisko līdzekļu (fotoradaru) darbības nodrošināšana” sadalījumā pa gadiem un budžeta apakšprogrammām;</w:t>
            </w:r>
          </w:p>
          <w:p w:rsidR="00D815F0" w:rsidRPr="006531B6" w:rsidRDefault="00D815F0" w:rsidP="006531B6">
            <w:pPr>
              <w:pStyle w:val="naiskr"/>
              <w:numPr>
                <w:ilvl w:val="0"/>
                <w:numId w:val="18"/>
              </w:numPr>
              <w:spacing w:before="0" w:beforeAutospacing="0" w:after="0" w:afterAutospacing="0"/>
              <w:ind w:left="142" w:firstLine="284"/>
              <w:jc w:val="both"/>
              <w:rPr>
                <w:bCs/>
              </w:rPr>
            </w:pPr>
            <w:r>
              <w:rPr>
                <w:bCs/>
              </w:rPr>
              <w:t>noteikt, ka</w:t>
            </w:r>
            <w:r w:rsidR="006531B6" w:rsidRPr="006531B6">
              <w:rPr>
                <w:bCs/>
              </w:rPr>
              <w:t xml:space="preserve"> 2018. gadā tehnisko līdzekļu (fotoradaru) iegādes finansēšanas avoti ir CSDD peļņas daļa, kā arī no valsts budžeta līdzekļiem 2015. gadā un 2016. gadā finansētais fotoradaru nolietojumam atbilstošās summas uzkrājuma atlikums</w:t>
            </w:r>
            <w:r w:rsidR="006531B6">
              <w:rPr>
                <w:bCs/>
              </w:rPr>
              <w:t>;</w:t>
            </w:r>
          </w:p>
          <w:p w:rsidR="00016770" w:rsidRPr="005B265B" w:rsidRDefault="00D815F0" w:rsidP="00AA1966">
            <w:pPr>
              <w:pStyle w:val="naiskr"/>
              <w:numPr>
                <w:ilvl w:val="0"/>
                <w:numId w:val="18"/>
              </w:numPr>
              <w:spacing w:before="0" w:beforeAutospacing="0" w:after="0" w:afterAutospacing="0"/>
              <w:ind w:left="141" w:firstLine="283"/>
              <w:jc w:val="both"/>
              <w:rPr>
                <w:b/>
              </w:rPr>
            </w:pPr>
            <w:r>
              <w:t>no 2018. gada 1. janvāra precizēt</w:t>
            </w:r>
            <w:r w:rsidR="004A1CD7" w:rsidRPr="005B265B">
              <w:t xml:space="preserve"> izmaksu apmēru par:</w:t>
            </w:r>
          </w:p>
          <w:p w:rsidR="00CA133C" w:rsidRPr="005B265B" w:rsidRDefault="005B265B" w:rsidP="00AA1966">
            <w:pPr>
              <w:pStyle w:val="ListParagraph"/>
              <w:numPr>
                <w:ilvl w:val="0"/>
                <w:numId w:val="18"/>
              </w:numPr>
              <w:autoSpaceDE w:val="0"/>
              <w:autoSpaceDN w:val="0"/>
              <w:adjustRightInd w:val="0"/>
              <w:spacing w:after="0" w:line="240" w:lineRule="auto"/>
              <w:ind w:left="991" w:firstLine="0"/>
              <w:jc w:val="both"/>
              <w:rPr>
                <w:rFonts w:ascii="Times New Roman" w:hAnsi="Times New Roman" w:cs="Times New Roman"/>
                <w:sz w:val="24"/>
                <w:szCs w:val="24"/>
                <w:lang w:eastAsia="lv-LV"/>
              </w:rPr>
            </w:pPr>
            <w:r w:rsidRPr="005B265B">
              <w:rPr>
                <w:rFonts w:ascii="Times New Roman" w:hAnsi="Times New Roman" w:cs="Times New Roman"/>
                <w:sz w:val="24"/>
                <w:szCs w:val="24"/>
              </w:rPr>
              <w:t xml:space="preserve"> </w:t>
            </w:r>
            <w:r w:rsidR="00E8344C" w:rsidRPr="005B265B">
              <w:rPr>
                <w:rFonts w:ascii="Times New Roman" w:hAnsi="Times New Roman" w:cs="Times New Roman"/>
                <w:sz w:val="24"/>
                <w:szCs w:val="24"/>
              </w:rPr>
              <w:t>tehnisko līdzekļu (fotoradaru), kas iegādāti</w:t>
            </w:r>
            <w:r w:rsidR="00CA133C" w:rsidRPr="005B265B">
              <w:rPr>
                <w:rFonts w:ascii="Times New Roman" w:hAnsi="Times New Roman" w:cs="Times New Roman"/>
                <w:sz w:val="24"/>
                <w:szCs w:val="24"/>
              </w:rPr>
              <w:t xml:space="preserve"> 2015.</w:t>
            </w:r>
            <w:r w:rsidRPr="005B265B">
              <w:rPr>
                <w:rFonts w:ascii="Times New Roman" w:hAnsi="Times New Roman" w:cs="Times New Roman"/>
                <w:sz w:val="24"/>
                <w:szCs w:val="24"/>
              </w:rPr>
              <w:t xml:space="preserve"> </w:t>
            </w:r>
            <w:r w:rsidR="00CA133C" w:rsidRPr="005B265B">
              <w:rPr>
                <w:rFonts w:ascii="Times New Roman" w:hAnsi="Times New Roman" w:cs="Times New Roman"/>
                <w:sz w:val="24"/>
                <w:szCs w:val="24"/>
              </w:rPr>
              <w:t>gadā,</w:t>
            </w:r>
            <w:proofErr w:type="gramStart"/>
            <w:r w:rsidR="00CA133C" w:rsidRPr="005B265B">
              <w:rPr>
                <w:rFonts w:ascii="Times New Roman" w:hAnsi="Times New Roman" w:cs="Times New Roman"/>
                <w:sz w:val="24"/>
                <w:szCs w:val="24"/>
                <w:lang w:eastAsia="lv-LV"/>
              </w:rPr>
              <w:t xml:space="preserve">  </w:t>
            </w:r>
            <w:proofErr w:type="gramEnd"/>
            <w:r w:rsidR="00CA133C" w:rsidRPr="005B265B">
              <w:rPr>
                <w:rFonts w:ascii="Times New Roman" w:hAnsi="Times New Roman" w:cs="Times New Roman"/>
                <w:sz w:val="24"/>
                <w:szCs w:val="24"/>
                <w:lang w:eastAsia="lv-LV"/>
              </w:rPr>
              <w:t xml:space="preserve">vienu </w:t>
            </w:r>
            <w:r w:rsidRPr="005B265B">
              <w:rPr>
                <w:rFonts w:ascii="Times New Roman" w:hAnsi="Times New Roman" w:cs="Times New Roman"/>
                <w:sz w:val="24"/>
                <w:szCs w:val="24"/>
                <w:lang w:eastAsia="lv-LV"/>
              </w:rPr>
              <w:t>radardienu  (32,55</w:t>
            </w:r>
            <w:r w:rsidR="00CA133C" w:rsidRPr="005B265B">
              <w:rPr>
                <w:rFonts w:ascii="Times New Roman" w:hAnsi="Times New Roman" w:cs="Times New Roman"/>
                <w:sz w:val="24"/>
                <w:szCs w:val="24"/>
                <w:lang w:eastAsia="lv-LV"/>
              </w:rPr>
              <w:t xml:space="preserve"> </w:t>
            </w:r>
            <w:r w:rsidR="00CA133C" w:rsidRPr="005B265B">
              <w:rPr>
                <w:rFonts w:ascii="Times New Roman" w:hAnsi="Times New Roman" w:cs="Times New Roman"/>
                <w:i/>
                <w:sz w:val="24"/>
                <w:szCs w:val="24"/>
                <w:lang w:eastAsia="lv-LV"/>
              </w:rPr>
              <w:t>euro</w:t>
            </w:r>
            <w:r w:rsidR="00CA133C" w:rsidRPr="005B265B">
              <w:rPr>
                <w:rFonts w:ascii="Times New Roman" w:hAnsi="Times New Roman" w:cs="Times New Roman"/>
                <w:sz w:val="24"/>
                <w:szCs w:val="24"/>
                <w:lang w:eastAsia="lv-LV"/>
              </w:rPr>
              <w:t>);</w:t>
            </w:r>
          </w:p>
          <w:p w:rsidR="00075F29" w:rsidRPr="00D815F0" w:rsidRDefault="005B265B" w:rsidP="00D815F0">
            <w:pPr>
              <w:pStyle w:val="ListParagraph"/>
              <w:numPr>
                <w:ilvl w:val="0"/>
                <w:numId w:val="18"/>
              </w:numPr>
              <w:autoSpaceDE w:val="0"/>
              <w:autoSpaceDN w:val="0"/>
              <w:adjustRightInd w:val="0"/>
              <w:spacing w:after="0" w:line="240" w:lineRule="auto"/>
              <w:ind w:left="991" w:firstLine="0"/>
              <w:jc w:val="both"/>
              <w:rPr>
                <w:rFonts w:ascii="Times New Roman" w:hAnsi="Times New Roman" w:cs="Times New Roman"/>
                <w:sz w:val="24"/>
                <w:szCs w:val="24"/>
              </w:rPr>
            </w:pPr>
            <w:r w:rsidRPr="005B265B">
              <w:rPr>
                <w:rFonts w:ascii="Times New Roman" w:hAnsi="Times New Roman" w:cs="Times New Roman"/>
                <w:sz w:val="24"/>
                <w:szCs w:val="24"/>
              </w:rPr>
              <w:t xml:space="preserve"> </w:t>
            </w:r>
            <w:r w:rsidR="00E8344C" w:rsidRPr="005B265B">
              <w:rPr>
                <w:rFonts w:ascii="Times New Roman" w:hAnsi="Times New Roman" w:cs="Times New Roman"/>
                <w:sz w:val="24"/>
                <w:szCs w:val="24"/>
              </w:rPr>
              <w:t>tehnisko līdzekļu (fotoradaru), kas iegādāti</w:t>
            </w:r>
            <w:r w:rsidR="00CA133C" w:rsidRPr="005B265B">
              <w:rPr>
                <w:rFonts w:ascii="Times New Roman" w:hAnsi="Times New Roman" w:cs="Times New Roman"/>
                <w:sz w:val="24"/>
                <w:szCs w:val="24"/>
              </w:rPr>
              <w:t xml:space="preserve"> pēc 2015.</w:t>
            </w:r>
            <w:r w:rsidRPr="005B265B">
              <w:rPr>
                <w:rFonts w:ascii="Times New Roman" w:hAnsi="Times New Roman" w:cs="Times New Roman"/>
                <w:sz w:val="24"/>
                <w:szCs w:val="24"/>
              </w:rPr>
              <w:t xml:space="preserve"> </w:t>
            </w:r>
            <w:r w:rsidR="00CA133C" w:rsidRPr="005B265B">
              <w:rPr>
                <w:rFonts w:ascii="Times New Roman" w:hAnsi="Times New Roman" w:cs="Times New Roman"/>
                <w:sz w:val="24"/>
                <w:szCs w:val="24"/>
              </w:rPr>
              <w:t xml:space="preserve">gada, vienu </w:t>
            </w:r>
            <w:r w:rsidRPr="005B265B">
              <w:rPr>
                <w:rFonts w:ascii="Times New Roman" w:hAnsi="Times New Roman" w:cs="Times New Roman"/>
                <w:sz w:val="24"/>
                <w:szCs w:val="24"/>
              </w:rPr>
              <w:t>radardienu (41,74</w:t>
            </w:r>
            <w:r w:rsidR="00CA133C" w:rsidRPr="005B265B">
              <w:rPr>
                <w:rFonts w:ascii="Times New Roman" w:hAnsi="Times New Roman" w:cs="Times New Roman"/>
                <w:sz w:val="24"/>
                <w:szCs w:val="24"/>
              </w:rPr>
              <w:t xml:space="preserve"> </w:t>
            </w:r>
            <w:r w:rsidR="00CA133C" w:rsidRPr="005B265B">
              <w:rPr>
                <w:rFonts w:ascii="Times New Roman" w:hAnsi="Times New Roman" w:cs="Times New Roman"/>
                <w:i/>
                <w:sz w:val="24"/>
                <w:szCs w:val="24"/>
              </w:rPr>
              <w:t>euro</w:t>
            </w:r>
            <w:r>
              <w:rPr>
                <w:rFonts w:ascii="Times New Roman" w:hAnsi="Times New Roman" w:cs="Times New Roman"/>
                <w:sz w:val="24"/>
                <w:szCs w:val="24"/>
              </w:rPr>
              <w:t>).</w:t>
            </w:r>
          </w:p>
        </w:tc>
      </w:tr>
      <w:tr w:rsidR="00626411" w:rsidRPr="00626411" w:rsidTr="00A85F0F">
        <w:trPr>
          <w:trHeight w:val="476"/>
        </w:trPr>
        <w:tc>
          <w:tcPr>
            <w:tcW w:w="221" w:type="pct"/>
          </w:tcPr>
          <w:p w:rsidR="007F6B1C" w:rsidRPr="004D68E7" w:rsidRDefault="007F6B1C" w:rsidP="006A32EF">
            <w:pPr>
              <w:pStyle w:val="naiskr"/>
              <w:spacing w:before="0" w:beforeAutospacing="0" w:after="0" w:afterAutospacing="0"/>
              <w:ind w:left="57" w:right="57"/>
              <w:jc w:val="center"/>
            </w:pPr>
            <w:r w:rsidRPr="004D68E7">
              <w:lastRenderedPageBreak/>
              <w:t>3.</w:t>
            </w:r>
          </w:p>
        </w:tc>
        <w:tc>
          <w:tcPr>
            <w:tcW w:w="1123" w:type="pct"/>
          </w:tcPr>
          <w:p w:rsidR="007F6B1C" w:rsidRPr="004D68E7" w:rsidRDefault="007F6B1C" w:rsidP="006A32EF">
            <w:pPr>
              <w:pStyle w:val="naiskr"/>
              <w:spacing w:before="0" w:beforeAutospacing="0" w:after="0" w:afterAutospacing="0"/>
              <w:ind w:left="57" w:right="57"/>
            </w:pPr>
            <w:r w:rsidRPr="004D68E7">
              <w:t>Projekta izstrādē iesaistītās institūcijas</w:t>
            </w:r>
          </w:p>
        </w:tc>
        <w:tc>
          <w:tcPr>
            <w:tcW w:w="3656" w:type="pct"/>
          </w:tcPr>
          <w:p w:rsidR="007F6B1C" w:rsidRPr="004D68E7" w:rsidRDefault="00687885" w:rsidP="004D68E7">
            <w:pPr>
              <w:pStyle w:val="naiskr"/>
              <w:spacing w:before="0" w:beforeAutospacing="0" w:after="0" w:afterAutospacing="0"/>
              <w:ind w:right="57"/>
              <w:jc w:val="both"/>
              <w:rPr>
                <w:b/>
              </w:rPr>
            </w:pPr>
            <w:r w:rsidRPr="004D68E7">
              <w:t>Iekšlietu ministrija</w:t>
            </w:r>
            <w:r w:rsidR="00D815F0">
              <w:t>, Valsts policijas, CSDD.</w:t>
            </w:r>
          </w:p>
        </w:tc>
      </w:tr>
      <w:tr w:rsidR="00626411" w:rsidRPr="00626411" w:rsidTr="00A85F0F">
        <w:tc>
          <w:tcPr>
            <w:tcW w:w="221" w:type="pct"/>
          </w:tcPr>
          <w:p w:rsidR="007F6B1C" w:rsidRPr="004D68E7" w:rsidRDefault="007F6B1C" w:rsidP="006A32EF">
            <w:pPr>
              <w:pStyle w:val="naiskr"/>
              <w:spacing w:before="0" w:beforeAutospacing="0" w:after="0" w:afterAutospacing="0"/>
              <w:ind w:left="57" w:right="57"/>
              <w:jc w:val="center"/>
            </w:pPr>
            <w:r w:rsidRPr="004D68E7">
              <w:t>4.</w:t>
            </w:r>
          </w:p>
        </w:tc>
        <w:tc>
          <w:tcPr>
            <w:tcW w:w="1123" w:type="pct"/>
          </w:tcPr>
          <w:p w:rsidR="007F6B1C" w:rsidRPr="004D68E7" w:rsidRDefault="007F6B1C" w:rsidP="006A32EF">
            <w:pPr>
              <w:pStyle w:val="naiskr"/>
              <w:spacing w:before="0" w:beforeAutospacing="0" w:after="0" w:afterAutospacing="0"/>
              <w:ind w:left="57" w:right="57"/>
            </w:pPr>
            <w:r w:rsidRPr="004D68E7">
              <w:t>Cita informācija</w:t>
            </w:r>
          </w:p>
        </w:tc>
        <w:tc>
          <w:tcPr>
            <w:tcW w:w="3656" w:type="pct"/>
          </w:tcPr>
          <w:p w:rsidR="007F6B1C" w:rsidRPr="004D68E7" w:rsidRDefault="00687885" w:rsidP="006A32EF">
            <w:pPr>
              <w:pStyle w:val="naiskr"/>
              <w:spacing w:before="0" w:beforeAutospacing="0" w:after="0" w:afterAutospacing="0"/>
              <w:ind w:left="57" w:right="57"/>
            </w:pPr>
            <w:r w:rsidRPr="004D68E7">
              <w:t>Nav.</w:t>
            </w:r>
          </w:p>
        </w:tc>
      </w:tr>
    </w:tbl>
    <w:p w:rsidR="007F6B1C" w:rsidRPr="00626411" w:rsidRDefault="004A544B" w:rsidP="004A544B">
      <w:pPr>
        <w:tabs>
          <w:tab w:val="left" w:pos="913"/>
        </w:tabs>
        <w:spacing w:after="0" w:line="240" w:lineRule="auto"/>
        <w:rPr>
          <w:rFonts w:ascii="Times New Roman" w:hAnsi="Times New Roman" w:cs="Times New Roman"/>
          <w:color w:val="7030A0"/>
          <w:sz w:val="24"/>
          <w:szCs w:val="24"/>
        </w:rPr>
      </w:pPr>
      <w:r w:rsidRPr="00626411">
        <w:rPr>
          <w:rFonts w:ascii="Times New Roman" w:hAnsi="Times New Roman" w:cs="Times New Roman"/>
          <w:color w:val="7030A0"/>
          <w:sz w:val="24"/>
          <w:szCs w:val="24"/>
        </w:rPr>
        <w:tab/>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487"/>
        <w:gridCol w:w="1527"/>
        <w:gridCol w:w="1441"/>
        <w:gridCol w:w="1469"/>
        <w:gridCol w:w="1441"/>
      </w:tblGrid>
      <w:tr w:rsidR="0045200E" w:rsidRPr="005128C9" w:rsidTr="0081606D">
        <w:trPr>
          <w:trHeight w:val="361"/>
          <w:jc w:val="center"/>
        </w:trPr>
        <w:tc>
          <w:tcPr>
            <w:tcW w:w="9257" w:type="dxa"/>
            <w:gridSpan w:val="6"/>
            <w:vAlign w:val="center"/>
          </w:tcPr>
          <w:p w:rsidR="0045200E" w:rsidRPr="005128C9" w:rsidRDefault="0045200E" w:rsidP="0081606D">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45200E" w:rsidRPr="005128C9" w:rsidTr="0081606D">
        <w:trPr>
          <w:jc w:val="center"/>
        </w:trPr>
        <w:tc>
          <w:tcPr>
            <w:tcW w:w="3199" w:type="dxa"/>
            <w:vMerge w:val="restart"/>
            <w:vAlign w:val="center"/>
          </w:tcPr>
          <w:p w:rsidR="0045200E" w:rsidRPr="005128C9" w:rsidRDefault="0045200E" w:rsidP="0081606D">
            <w:pPr>
              <w:pStyle w:val="naisf"/>
              <w:spacing w:before="0" w:beforeAutospacing="0" w:after="0" w:afterAutospacing="0"/>
              <w:jc w:val="center"/>
              <w:rPr>
                <w:b/>
              </w:rPr>
            </w:pPr>
            <w:r w:rsidRPr="005128C9">
              <w:rPr>
                <w:b/>
              </w:rPr>
              <w:t>Rādītāji</w:t>
            </w:r>
          </w:p>
        </w:tc>
        <w:tc>
          <w:tcPr>
            <w:tcW w:w="2563" w:type="dxa"/>
            <w:gridSpan w:val="2"/>
            <w:vMerge w:val="restart"/>
            <w:vAlign w:val="center"/>
          </w:tcPr>
          <w:p w:rsidR="0045200E" w:rsidRPr="005128C9" w:rsidRDefault="00576E40" w:rsidP="0081606D">
            <w:pPr>
              <w:pStyle w:val="naisf"/>
              <w:spacing w:before="0" w:beforeAutospacing="0" w:after="0" w:afterAutospacing="0"/>
              <w:jc w:val="center"/>
              <w:rPr>
                <w:b/>
              </w:rPr>
            </w:pPr>
            <w:r>
              <w:rPr>
                <w:b/>
              </w:rPr>
              <w:t>2017</w:t>
            </w:r>
          </w:p>
        </w:tc>
        <w:tc>
          <w:tcPr>
            <w:tcW w:w="3495" w:type="dxa"/>
            <w:gridSpan w:val="3"/>
            <w:vAlign w:val="center"/>
          </w:tcPr>
          <w:p w:rsidR="0045200E" w:rsidRPr="005128C9" w:rsidRDefault="0045200E" w:rsidP="0081606D">
            <w:pPr>
              <w:pStyle w:val="naisf"/>
              <w:spacing w:before="0" w:beforeAutospacing="0" w:after="0" w:afterAutospacing="0"/>
              <w:jc w:val="center"/>
              <w:rPr>
                <w:b/>
                <w:i/>
              </w:rPr>
            </w:pPr>
            <w:r>
              <w:t>Turpmākie trīs gadi (</w:t>
            </w:r>
            <w:r w:rsidRPr="00E7737A">
              <w:rPr>
                <w:i/>
              </w:rPr>
              <w:t>euro</w:t>
            </w:r>
            <w:r w:rsidRPr="005128C9">
              <w:t>)</w:t>
            </w:r>
          </w:p>
        </w:tc>
      </w:tr>
      <w:tr w:rsidR="0045200E" w:rsidRPr="005128C9" w:rsidTr="0081606D">
        <w:trPr>
          <w:jc w:val="center"/>
        </w:trPr>
        <w:tc>
          <w:tcPr>
            <w:tcW w:w="3199" w:type="dxa"/>
            <w:vMerge/>
            <w:vAlign w:val="center"/>
          </w:tcPr>
          <w:p w:rsidR="0045200E" w:rsidRPr="005128C9" w:rsidRDefault="0045200E" w:rsidP="0081606D">
            <w:pPr>
              <w:pStyle w:val="naisf"/>
              <w:spacing w:before="0" w:beforeAutospacing="0" w:after="0" w:afterAutospacing="0"/>
              <w:jc w:val="center"/>
              <w:rPr>
                <w:b/>
                <w:i/>
              </w:rPr>
            </w:pPr>
          </w:p>
        </w:tc>
        <w:tc>
          <w:tcPr>
            <w:tcW w:w="2563" w:type="dxa"/>
            <w:gridSpan w:val="2"/>
            <w:vMerge/>
            <w:vAlign w:val="center"/>
          </w:tcPr>
          <w:p w:rsidR="0045200E" w:rsidRPr="005128C9" w:rsidRDefault="0045200E" w:rsidP="0081606D">
            <w:pPr>
              <w:pStyle w:val="naisf"/>
              <w:spacing w:before="0" w:beforeAutospacing="0" w:after="0" w:afterAutospacing="0"/>
              <w:jc w:val="center"/>
              <w:rPr>
                <w:b/>
                <w:i/>
              </w:rPr>
            </w:pPr>
          </w:p>
        </w:tc>
        <w:tc>
          <w:tcPr>
            <w:tcW w:w="1150" w:type="dxa"/>
            <w:vAlign w:val="center"/>
          </w:tcPr>
          <w:p w:rsidR="0045200E" w:rsidRPr="005128C9" w:rsidRDefault="00576E40" w:rsidP="0081606D">
            <w:pPr>
              <w:pStyle w:val="naisf"/>
              <w:spacing w:before="0" w:beforeAutospacing="0" w:after="0" w:afterAutospacing="0"/>
              <w:jc w:val="center"/>
              <w:rPr>
                <w:b/>
                <w:i/>
              </w:rPr>
            </w:pPr>
            <w:r>
              <w:rPr>
                <w:b/>
                <w:bCs/>
              </w:rPr>
              <w:t>2018</w:t>
            </w:r>
          </w:p>
        </w:tc>
        <w:tc>
          <w:tcPr>
            <w:tcW w:w="1195" w:type="dxa"/>
            <w:vAlign w:val="center"/>
          </w:tcPr>
          <w:p w:rsidR="0045200E" w:rsidRPr="005128C9" w:rsidRDefault="00576E40" w:rsidP="0081606D">
            <w:pPr>
              <w:pStyle w:val="naisf"/>
              <w:spacing w:before="0" w:beforeAutospacing="0" w:after="0" w:afterAutospacing="0"/>
              <w:jc w:val="center"/>
              <w:rPr>
                <w:b/>
                <w:i/>
              </w:rPr>
            </w:pPr>
            <w:r>
              <w:rPr>
                <w:b/>
                <w:bCs/>
              </w:rPr>
              <w:t>2019</w:t>
            </w:r>
          </w:p>
        </w:tc>
        <w:tc>
          <w:tcPr>
            <w:tcW w:w="1150" w:type="dxa"/>
            <w:vAlign w:val="center"/>
          </w:tcPr>
          <w:p w:rsidR="0045200E" w:rsidRPr="005128C9" w:rsidRDefault="00576E40" w:rsidP="0081606D">
            <w:pPr>
              <w:pStyle w:val="naisf"/>
              <w:spacing w:before="0" w:beforeAutospacing="0" w:after="0" w:afterAutospacing="0"/>
              <w:jc w:val="center"/>
              <w:rPr>
                <w:b/>
                <w:i/>
              </w:rPr>
            </w:pPr>
            <w:r>
              <w:rPr>
                <w:b/>
                <w:bCs/>
              </w:rPr>
              <w:t>2020</w:t>
            </w:r>
          </w:p>
        </w:tc>
      </w:tr>
      <w:tr w:rsidR="0045200E" w:rsidRPr="005128C9" w:rsidTr="0081606D">
        <w:trPr>
          <w:jc w:val="center"/>
        </w:trPr>
        <w:tc>
          <w:tcPr>
            <w:tcW w:w="3199" w:type="dxa"/>
            <w:vMerge/>
            <w:vAlign w:val="center"/>
          </w:tcPr>
          <w:p w:rsidR="0045200E" w:rsidRPr="005128C9" w:rsidRDefault="0045200E" w:rsidP="0081606D">
            <w:pPr>
              <w:pStyle w:val="naisf"/>
              <w:spacing w:before="0" w:beforeAutospacing="0" w:after="0" w:afterAutospacing="0"/>
              <w:jc w:val="center"/>
              <w:rPr>
                <w:b/>
                <w:i/>
              </w:rPr>
            </w:pPr>
          </w:p>
        </w:tc>
        <w:tc>
          <w:tcPr>
            <w:tcW w:w="1276" w:type="dxa"/>
            <w:vAlign w:val="center"/>
          </w:tcPr>
          <w:p w:rsidR="0045200E" w:rsidRPr="005128C9" w:rsidRDefault="0045200E" w:rsidP="0081606D">
            <w:pPr>
              <w:pStyle w:val="naisf"/>
              <w:spacing w:before="0" w:beforeAutospacing="0" w:after="0" w:afterAutospacing="0"/>
              <w:jc w:val="center"/>
              <w:rPr>
                <w:b/>
                <w:i/>
              </w:rPr>
            </w:pPr>
            <w:r w:rsidRPr="005128C9">
              <w:t>saskaņā ar valsts budžetu kārtējam gadam</w:t>
            </w:r>
          </w:p>
        </w:tc>
        <w:tc>
          <w:tcPr>
            <w:tcW w:w="1287" w:type="dxa"/>
            <w:vAlign w:val="center"/>
          </w:tcPr>
          <w:p w:rsidR="0045200E" w:rsidRPr="005128C9" w:rsidRDefault="0045200E" w:rsidP="0081606D">
            <w:pPr>
              <w:pStyle w:val="naisf"/>
              <w:spacing w:before="0" w:beforeAutospacing="0" w:after="0" w:afterAutospacing="0"/>
              <w:jc w:val="center"/>
              <w:rPr>
                <w:b/>
                <w:i/>
              </w:rPr>
            </w:pPr>
            <w:r w:rsidRPr="005128C9">
              <w:t>izmaiņas kārtējā gadā, salīdzinot ar budžetu kārtējam gadam</w:t>
            </w:r>
          </w:p>
        </w:tc>
        <w:tc>
          <w:tcPr>
            <w:tcW w:w="1150" w:type="dxa"/>
            <w:vAlign w:val="center"/>
          </w:tcPr>
          <w:p w:rsidR="0045200E" w:rsidRPr="005128C9" w:rsidRDefault="0045200E" w:rsidP="0081606D">
            <w:pPr>
              <w:pStyle w:val="naisf"/>
              <w:spacing w:before="0" w:beforeAutospacing="0" w:after="0" w:afterAutospacing="0"/>
              <w:jc w:val="center"/>
              <w:rPr>
                <w:b/>
                <w:i/>
              </w:rPr>
            </w:pPr>
            <w:r w:rsidRPr="005128C9">
              <w:t xml:space="preserve">izmaiņas, </w:t>
            </w:r>
            <w:r w:rsidR="00724415">
              <w:t>salīdzinot ar kārtējo 2017.</w:t>
            </w:r>
            <w:r w:rsidRPr="005128C9">
              <w:t xml:space="preserve"> gadu</w:t>
            </w:r>
          </w:p>
        </w:tc>
        <w:tc>
          <w:tcPr>
            <w:tcW w:w="1195" w:type="dxa"/>
            <w:vAlign w:val="center"/>
          </w:tcPr>
          <w:p w:rsidR="0045200E" w:rsidRPr="005128C9" w:rsidRDefault="0045200E" w:rsidP="00724415">
            <w:pPr>
              <w:pStyle w:val="naisf"/>
              <w:spacing w:before="0" w:beforeAutospacing="0" w:after="0" w:afterAutospacing="0"/>
              <w:jc w:val="center"/>
              <w:rPr>
                <w:b/>
                <w:i/>
              </w:rPr>
            </w:pPr>
            <w:r w:rsidRPr="005128C9">
              <w:t xml:space="preserve">izmaiņas, salīdzinot ar kārtējo </w:t>
            </w:r>
            <w:r w:rsidR="00724415">
              <w:t>2017.</w:t>
            </w:r>
            <w:r w:rsidRPr="005128C9">
              <w:t xml:space="preserve"> gadu</w:t>
            </w:r>
          </w:p>
        </w:tc>
        <w:tc>
          <w:tcPr>
            <w:tcW w:w="1150" w:type="dxa"/>
            <w:vAlign w:val="center"/>
          </w:tcPr>
          <w:p w:rsidR="0045200E" w:rsidRPr="005128C9" w:rsidRDefault="0045200E" w:rsidP="00724415">
            <w:pPr>
              <w:pStyle w:val="naisf"/>
              <w:spacing w:before="0" w:beforeAutospacing="0" w:after="0" w:afterAutospacing="0"/>
              <w:jc w:val="center"/>
              <w:rPr>
                <w:b/>
                <w:i/>
              </w:rPr>
            </w:pPr>
            <w:r w:rsidRPr="005128C9">
              <w:t xml:space="preserve">izmaiņas, salīdzinot ar kārtējo </w:t>
            </w:r>
            <w:r w:rsidR="00724415">
              <w:t>2017.</w:t>
            </w:r>
            <w:r w:rsidRPr="005128C9">
              <w:t xml:space="preserve"> gadu</w:t>
            </w:r>
          </w:p>
        </w:tc>
      </w:tr>
      <w:tr w:rsidR="0045200E" w:rsidRPr="005128C9" w:rsidTr="0081606D">
        <w:trPr>
          <w:jc w:val="center"/>
        </w:trPr>
        <w:tc>
          <w:tcPr>
            <w:tcW w:w="3199"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1</w:t>
            </w:r>
          </w:p>
        </w:tc>
        <w:tc>
          <w:tcPr>
            <w:tcW w:w="1276"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2</w:t>
            </w:r>
          </w:p>
        </w:tc>
        <w:tc>
          <w:tcPr>
            <w:tcW w:w="1287"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3</w:t>
            </w:r>
          </w:p>
        </w:tc>
        <w:tc>
          <w:tcPr>
            <w:tcW w:w="1150"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4</w:t>
            </w:r>
          </w:p>
        </w:tc>
        <w:tc>
          <w:tcPr>
            <w:tcW w:w="1195"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5</w:t>
            </w:r>
          </w:p>
        </w:tc>
        <w:tc>
          <w:tcPr>
            <w:tcW w:w="1150"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6</w:t>
            </w:r>
          </w:p>
        </w:tc>
      </w:tr>
      <w:tr w:rsidR="0045200E" w:rsidRPr="00E7737A" w:rsidTr="0081606D">
        <w:trPr>
          <w:jc w:val="center"/>
        </w:trPr>
        <w:tc>
          <w:tcPr>
            <w:tcW w:w="3199" w:type="dxa"/>
          </w:tcPr>
          <w:p w:rsidR="0045200E" w:rsidRPr="005128C9" w:rsidRDefault="0045200E" w:rsidP="0081606D">
            <w:pPr>
              <w:pStyle w:val="naisf"/>
              <w:spacing w:before="0" w:beforeAutospacing="0" w:after="0" w:afterAutospacing="0"/>
              <w:rPr>
                <w:i/>
              </w:rPr>
            </w:pPr>
            <w:r w:rsidRPr="005128C9">
              <w:t>1. Budžeta ieņēmumi:</w:t>
            </w:r>
          </w:p>
        </w:tc>
        <w:tc>
          <w:tcPr>
            <w:tcW w:w="1276" w:type="dxa"/>
          </w:tcPr>
          <w:p w:rsidR="0045200E" w:rsidRPr="001773C5" w:rsidRDefault="001773C5" w:rsidP="0081606D">
            <w:pPr>
              <w:pStyle w:val="naisf"/>
              <w:spacing w:before="0" w:beforeAutospacing="0" w:after="0" w:afterAutospacing="0"/>
              <w:jc w:val="center"/>
              <w:rPr>
                <w:sz w:val="22"/>
                <w:szCs w:val="22"/>
              </w:rPr>
            </w:pPr>
            <w:r w:rsidRPr="001773C5">
              <w:rPr>
                <w:sz w:val="22"/>
                <w:szCs w:val="22"/>
              </w:rPr>
              <w:t>4 796 549</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6 989 281</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10 329 799</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7 871 908</w:t>
            </w:r>
          </w:p>
        </w:tc>
      </w:tr>
      <w:tr w:rsidR="0045200E" w:rsidRPr="00E7737A" w:rsidTr="0081606D">
        <w:trPr>
          <w:jc w:val="center"/>
        </w:trPr>
        <w:tc>
          <w:tcPr>
            <w:tcW w:w="3199" w:type="dxa"/>
          </w:tcPr>
          <w:p w:rsidR="0045200E" w:rsidRPr="005128C9" w:rsidRDefault="0045200E" w:rsidP="0081606D">
            <w:pPr>
              <w:pStyle w:val="naisf"/>
              <w:spacing w:before="0" w:beforeAutospacing="0" w:after="0" w:afterAutospacing="0"/>
              <w:rPr>
                <w:i/>
              </w:rPr>
            </w:pPr>
            <w:r w:rsidRPr="005128C9">
              <w:t xml:space="preserve">1.1. valsts pamatbudžets, tai skaitā ieņēmumi no maksas </w:t>
            </w:r>
            <w:r w:rsidRPr="005128C9">
              <w:lastRenderedPageBreak/>
              <w:t>pakalpojumiem un citi pašu ieņēmumi</w:t>
            </w:r>
          </w:p>
        </w:tc>
        <w:tc>
          <w:tcPr>
            <w:tcW w:w="1276" w:type="dxa"/>
          </w:tcPr>
          <w:p w:rsidR="0045200E" w:rsidRPr="001773C5" w:rsidRDefault="001773C5" w:rsidP="0081606D">
            <w:pPr>
              <w:pStyle w:val="naisf"/>
              <w:spacing w:before="0" w:beforeAutospacing="0" w:after="0" w:afterAutospacing="0"/>
              <w:jc w:val="center"/>
              <w:rPr>
                <w:sz w:val="22"/>
                <w:szCs w:val="22"/>
              </w:rPr>
            </w:pPr>
            <w:r w:rsidRPr="001773C5">
              <w:rPr>
                <w:sz w:val="22"/>
                <w:szCs w:val="22"/>
              </w:rPr>
              <w:lastRenderedPageBreak/>
              <w:t>4 796 549</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6 989 281</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10 329 799</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7 871 908</w:t>
            </w:r>
          </w:p>
        </w:tc>
      </w:tr>
      <w:tr w:rsidR="0045200E" w:rsidRPr="00E7737A" w:rsidTr="0081606D">
        <w:trPr>
          <w:jc w:val="center"/>
        </w:trPr>
        <w:tc>
          <w:tcPr>
            <w:tcW w:w="3199" w:type="dxa"/>
          </w:tcPr>
          <w:p w:rsidR="0045200E" w:rsidRPr="005128C9" w:rsidRDefault="0045200E" w:rsidP="0081606D">
            <w:pPr>
              <w:pStyle w:val="naisf"/>
              <w:spacing w:before="0" w:beforeAutospacing="0" w:after="0" w:afterAutospacing="0"/>
              <w:rPr>
                <w:i/>
              </w:rPr>
            </w:pPr>
            <w:r w:rsidRPr="005128C9">
              <w:t>1.2. valsts speciālais budžets</w:t>
            </w:r>
          </w:p>
        </w:tc>
        <w:tc>
          <w:tcPr>
            <w:tcW w:w="1276"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pStyle w:val="naisf"/>
              <w:spacing w:before="0" w:beforeAutospacing="0" w:after="0" w:afterAutospacing="0"/>
              <w:rPr>
                <w:i/>
              </w:rPr>
            </w:pPr>
            <w:r w:rsidRPr="005128C9">
              <w:t>1.3. pašvaldību budžets</w:t>
            </w:r>
          </w:p>
        </w:tc>
        <w:tc>
          <w:tcPr>
            <w:tcW w:w="1276"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76" w:type="dxa"/>
          </w:tcPr>
          <w:p w:rsidR="0045200E" w:rsidRPr="00E92D91" w:rsidRDefault="001773C5" w:rsidP="0081606D">
            <w:pPr>
              <w:pStyle w:val="naisf"/>
              <w:spacing w:before="0" w:beforeAutospacing="0" w:after="0" w:afterAutospacing="0"/>
              <w:jc w:val="center"/>
              <w:rPr>
                <w:sz w:val="22"/>
                <w:szCs w:val="22"/>
              </w:rPr>
            </w:pPr>
            <w:r>
              <w:rPr>
                <w:sz w:val="22"/>
                <w:szCs w:val="22"/>
              </w:rPr>
              <w:t>1 289 843</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1 190 799</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1 796 703</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1 500 182</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76" w:type="dxa"/>
          </w:tcPr>
          <w:p w:rsidR="0045200E" w:rsidRPr="00E92D91" w:rsidRDefault="001773C5" w:rsidP="0081606D">
            <w:pPr>
              <w:pStyle w:val="naisf"/>
              <w:spacing w:before="0" w:beforeAutospacing="0" w:after="0" w:afterAutospacing="0"/>
              <w:jc w:val="center"/>
              <w:rPr>
                <w:sz w:val="22"/>
                <w:szCs w:val="22"/>
              </w:rPr>
            </w:pPr>
            <w:r>
              <w:rPr>
                <w:sz w:val="22"/>
                <w:szCs w:val="22"/>
              </w:rPr>
              <w:t>1 289 843</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1 190 799</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1 796 703</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1 500 182</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76"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76"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76" w:type="dxa"/>
            <w:shd w:val="clear" w:color="auto" w:fill="auto"/>
            <w:vAlign w:val="center"/>
          </w:tcPr>
          <w:p w:rsidR="0045200E" w:rsidRPr="00E92D91" w:rsidRDefault="004B7466" w:rsidP="0081606D">
            <w:pPr>
              <w:pStyle w:val="naisf"/>
              <w:spacing w:before="0" w:beforeAutospacing="0" w:after="0" w:afterAutospacing="0"/>
              <w:jc w:val="center"/>
              <w:rPr>
                <w:sz w:val="22"/>
                <w:szCs w:val="22"/>
              </w:rPr>
            </w:pPr>
            <w:r>
              <w:rPr>
                <w:sz w:val="22"/>
                <w:szCs w:val="22"/>
              </w:rPr>
              <w:t>3 506 706</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5 798 482</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8 533 096</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6 371 726</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76" w:type="dxa"/>
            <w:shd w:val="clear" w:color="auto" w:fill="auto"/>
          </w:tcPr>
          <w:p w:rsidR="0045200E" w:rsidRPr="00E92D91" w:rsidRDefault="004B7466" w:rsidP="0081606D">
            <w:pPr>
              <w:pStyle w:val="naisf"/>
              <w:spacing w:before="0" w:beforeAutospacing="0" w:after="0" w:afterAutospacing="0"/>
              <w:jc w:val="center"/>
              <w:rPr>
                <w:sz w:val="22"/>
                <w:szCs w:val="22"/>
              </w:rPr>
            </w:pPr>
            <w:r>
              <w:rPr>
                <w:sz w:val="22"/>
                <w:szCs w:val="22"/>
              </w:rPr>
              <w:t>3 506 706</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5 798 482</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8 533 096</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6 371 726</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3.2. speciālais budžets</w:t>
            </w:r>
          </w:p>
        </w:tc>
        <w:tc>
          <w:tcPr>
            <w:tcW w:w="1276" w:type="dxa"/>
            <w:shd w:val="clear" w:color="auto" w:fill="auto"/>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76" w:type="dxa"/>
            <w:shd w:val="clear" w:color="auto" w:fill="auto"/>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vMerge w:val="restart"/>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rsidR="0045200E" w:rsidRPr="00E92D91" w:rsidRDefault="0045200E" w:rsidP="0081606D">
            <w:pPr>
              <w:pStyle w:val="naisf"/>
              <w:spacing w:before="0" w:beforeAutospacing="0" w:after="0" w:afterAutospacing="0"/>
              <w:jc w:val="center"/>
              <w:rPr>
                <w:i/>
                <w:sz w:val="22"/>
                <w:szCs w:val="22"/>
              </w:rPr>
            </w:pPr>
            <w:r w:rsidRPr="00E92D91">
              <w:rPr>
                <w:sz w:val="22"/>
                <w:szCs w:val="22"/>
              </w:rPr>
              <w:t>X</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vMerge/>
          </w:tcPr>
          <w:p w:rsidR="0045200E" w:rsidRPr="005128C9" w:rsidRDefault="0045200E" w:rsidP="0081606D">
            <w:pPr>
              <w:spacing w:after="0" w:line="240" w:lineRule="auto"/>
              <w:rPr>
                <w:rFonts w:ascii="Times New Roman" w:hAnsi="Times New Roman" w:cs="Times New Roman"/>
                <w:sz w:val="24"/>
                <w:szCs w:val="24"/>
              </w:rPr>
            </w:pPr>
          </w:p>
        </w:tc>
        <w:tc>
          <w:tcPr>
            <w:tcW w:w="1276" w:type="dxa"/>
            <w:vMerge/>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vMerge/>
          </w:tcPr>
          <w:p w:rsidR="0045200E" w:rsidRPr="005128C9" w:rsidRDefault="0045200E" w:rsidP="0081606D">
            <w:pPr>
              <w:spacing w:after="0" w:line="240" w:lineRule="auto"/>
              <w:rPr>
                <w:rFonts w:ascii="Times New Roman" w:hAnsi="Times New Roman" w:cs="Times New Roman"/>
                <w:sz w:val="24"/>
                <w:szCs w:val="24"/>
              </w:rPr>
            </w:pPr>
          </w:p>
        </w:tc>
        <w:tc>
          <w:tcPr>
            <w:tcW w:w="1276" w:type="dxa"/>
            <w:vMerge/>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76" w:type="dxa"/>
            <w:vMerge w:val="restart"/>
          </w:tcPr>
          <w:p w:rsidR="0045200E" w:rsidRPr="00E92D91" w:rsidRDefault="0045200E" w:rsidP="0081606D">
            <w:pPr>
              <w:pStyle w:val="naisf"/>
              <w:spacing w:before="0" w:beforeAutospacing="0" w:after="0" w:afterAutospacing="0"/>
              <w:jc w:val="center"/>
              <w:rPr>
                <w:i/>
                <w:sz w:val="22"/>
                <w:szCs w:val="22"/>
              </w:rPr>
            </w:pPr>
            <w:r w:rsidRPr="00E92D91">
              <w:rPr>
                <w:sz w:val="22"/>
                <w:szCs w:val="22"/>
              </w:rPr>
              <w:t>X</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5 798 482</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8 533 096</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6 371 726</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76" w:type="dxa"/>
            <w:vMerge/>
            <w:vAlign w:val="center"/>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5 798 482</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8 533 096</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6 371 726</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76" w:type="dxa"/>
            <w:vMerge/>
            <w:vAlign w:val="center"/>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76" w:type="dxa"/>
            <w:vMerge/>
            <w:vAlign w:val="center"/>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5128C9" w:rsidTr="00341A7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 Detalizēts ieņēmumu un izdevumu aprēķins (ja nepie</w:t>
            </w:r>
            <w:r w:rsidRPr="005128C9">
              <w:rPr>
                <w:rFonts w:ascii="Times New Roman" w:hAnsi="Times New Roman" w:cs="Times New Roman"/>
                <w:sz w:val="24"/>
                <w:szCs w:val="24"/>
              </w:rPr>
              <w:softHyphen/>
              <w:t xml:space="preserve">ciešams, detalizētu ieņēmumu un </w:t>
            </w:r>
            <w:r w:rsidRPr="005128C9">
              <w:rPr>
                <w:rFonts w:ascii="Times New Roman" w:hAnsi="Times New Roman" w:cs="Times New Roman"/>
                <w:sz w:val="24"/>
                <w:szCs w:val="24"/>
              </w:rPr>
              <w:lastRenderedPageBreak/>
              <w:t>izdevumu aprēķinu var pie</w:t>
            </w:r>
            <w:r w:rsidRPr="005128C9">
              <w:rPr>
                <w:rFonts w:ascii="Times New Roman" w:hAnsi="Times New Roman" w:cs="Times New Roman"/>
                <w:sz w:val="24"/>
                <w:szCs w:val="24"/>
              </w:rPr>
              <w:softHyphen/>
              <w:t>vienot anotācijas pielikumā):</w:t>
            </w:r>
          </w:p>
        </w:tc>
        <w:tc>
          <w:tcPr>
            <w:tcW w:w="6058" w:type="dxa"/>
            <w:gridSpan w:val="5"/>
            <w:vMerge w:val="restart"/>
          </w:tcPr>
          <w:p w:rsidR="00641FC7" w:rsidRDefault="00641FC7" w:rsidP="00641FC7">
            <w:pPr>
              <w:pStyle w:val="naisf"/>
              <w:spacing w:before="0" w:beforeAutospacing="0" w:after="0" w:afterAutospacing="0"/>
              <w:jc w:val="both"/>
            </w:pPr>
            <w:r>
              <w:lastRenderedPageBreak/>
              <w:t>Saskaņā ar likumu “Par valsts budžetu 2017. gadam” 2017.</w:t>
            </w:r>
            <w:r w:rsidR="00C92439">
              <w:t xml:space="preserve"> </w:t>
            </w:r>
            <w:r>
              <w:t>gadam:</w:t>
            </w:r>
          </w:p>
          <w:p w:rsidR="00641FC7" w:rsidRDefault="00641FC7" w:rsidP="00641FC7">
            <w:pPr>
              <w:pStyle w:val="naisf"/>
              <w:numPr>
                <w:ilvl w:val="0"/>
                <w:numId w:val="25"/>
              </w:numPr>
              <w:spacing w:before="0" w:beforeAutospacing="0" w:after="0" w:afterAutospacing="0"/>
              <w:jc w:val="both"/>
            </w:pPr>
            <w:r>
              <w:t xml:space="preserve">ieņēmumi no naudas sodiem, ko uzliek Valsts policija par pārkāpumiem ceļu satiksmē, kas fiksēti ar valsts akciju sabiedrībai “Ceļu satiksmes drošības direkcija” piederošajiem tehniskajiem līdzekļiem, plānoti 4 796 549 </w:t>
            </w:r>
            <w:r w:rsidRPr="00641FC7">
              <w:rPr>
                <w:i/>
              </w:rPr>
              <w:t>euro</w:t>
            </w:r>
            <w:r>
              <w:t xml:space="preserve"> apmērā;</w:t>
            </w:r>
          </w:p>
          <w:p w:rsidR="00641FC7" w:rsidRDefault="00641FC7" w:rsidP="00641FC7">
            <w:pPr>
              <w:pStyle w:val="naisf"/>
              <w:numPr>
                <w:ilvl w:val="0"/>
                <w:numId w:val="25"/>
              </w:numPr>
              <w:spacing w:before="0" w:beforeAutospacing="0" w:after="0" w:afterAutospacing="0"/>
              <w:jc w:val="both"/>
            </w:pPr>
            <w:r>
              <w:lastRenderedPageBreak/>
              <w:t xml:space="preserve">ilgtermiņa saistības pasākumam “Ceļu satiksmes pārkāpumu fiksēšanas tehnisko līdzekļu (fotoradaru) darbības nodrošināšana” plānotas budžeta apakšprogrammā 06.01.00 “Valsts policija” 1 268 077 </w:t>
            </w:r>
            <w:r w:rsidRPr="00641FC7">
              <w:rPr>
                <w:i/>
              </w:rPr>
              <w:t>euro</w:t>
            </w:r>
            <w:r>
              <w:t xml:space="preserve"> apmērā un budžeta apakšprogrammā 02.03.00 “Vienotās sakaru un informācijas sistēmas uzturēšana un vadība” 21 766 </w:t>
            </w:r>
            <w:r w:rsidRPr="00641FC7">
              <w:rPr>
                <w:i/>
              </w:rPr>
              <w:t>euro</w:t>
            </w:r>
            <w:r>
              <w:t xml:space="preserve"> apmēr</w:t>
            </w:r>
            <w:r w:rsidR="00AF3AB6">
              <w:t xml:space="preserve">ā </w:t>
            </w:r>
            <w:r>
              <w:t xml:space="preserve">(kopā: 1 289 843 </w:t>
            </w:r>
            <w:r w:rsidRPr="00641FC7">
              <w:rPr>
                <w:i/>
              </w:rPr>
              <w:t>euro</w:t>
            </w:r>
            <w:r>
              <w:t>).</w:t>
            </w:r>
          </w:p>
          <w:tbl>
            <w:tblPr>
              <w:tblW w:w="7139" w:type="dxa"/>
              <w:tblLook w:val="04A0" w:firstRow="1" w:lastRow="0" w:firstColumn="1" w:lastColumn="0" w:noHBand="0" w:noVBand="1"/>
            </w:tblPr>
            <w:tblGrid>
              <w:gridCol w:w="874"/>
              <w:gridCol w:w="851"/>
              <w:gridCol w:w="900"/>
              <w:gridCol w:w="888"/>
              <w:gridCol w:w="900"/>
              <w:gridCol w:w="914"/>
              <w:gridCol w:w="900"/>
              <w:gridCol w:w="912"/>
            </w:tblGrid>
            <w:tr w:rsidR="003344F4" w:rsidRPr="003344F4" w:rsidTr="00724415">
              <w:trPr>
                <w:trHeight w:val="334"/>
              </w:trPr>
              <w:tc>
                <w:tcPr>
                  <w:tcW w:w="874"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color w:val="000000"/>
                      <w:sz w:val="16"/>
                      <w:szCs w:val="16"/>
                      <w:lang w:eastAsia="lv-LV"/>
                    </w:rPr>
                  </w:pPr>
                  <w:r w:rsidRPr="003344F4">
                    <w:rPr>
                      <w:rFonts w:ascii="Times New Roman" w:eastAsia="Times New Roman" w:hAnsi="Times New Roman" w:cs="Times New Roman"/>
                      <w:color w:val="000000"/>
                      <w:sz w:val="16"/>
                      <w:szCs w:val="16"/>
                      <w:lang w:eastAsia="lv-LV"/>
                    </w:rPr>
                    <w:t>Rādītāji</w:t>
                  </w:r>
                </w:p>
              </w:tc>
              <w:tc>
                <w:tcPr>
                  <w:tcW w:w="851" w:type="dxa"/>
                  <w:vMerge w:val="restart"/>
                  <w:tcBorders>
                    <w:top w:val="single" w:sz="4" w:space="0" w:color="A6A6A6"/>
                    <w:left w:val="single" w:sz="4" w:space="0" w:color="A6A6A6"/>
                    <w:bottom w:val="single" w:sz="4" w:space="0" w:color="A6A6A6"/>
                    <w:right w:val="single" w:sz="4" w:space="0" w:color="A6A6A6"/>
                  </w:tcBorders>
                  <w:shd w:val="clear" w:color="000000" w:fill="D9D9D9"/>
                  <w:vAlign w:val="center"/>
                  <w:hideMark/>
                </w:tcPr>
                <w:p w:rsidR="003344F4" w:rsidRPr="003344F4" w:rsidRDefault="003344F4" w:rsidP="003344F4">
                  <w:pPr>
                    <w:spacing w:after="0" w:line="240" w:lineRule="auto"/>
                    <w:jc w:val="center"/>
                    <w:rPr>
                      <w:rFonts w:ascii="Times New Roman" w:eastAsia="Times New Roman" w:hAnsi="Times New Roman" w:cs="Times New Roman"/>
                      <w:color w:val="000000"/>
                      <w:sz w:val="16"/>
                      <w:szCs w:val="16"/>
                      <w:lang w:eastAsia="lv-LV"/>
                    </w:rPr>
                  </w:pPr>
                  <w:r w:rsidRPr="003344F4">
                    <w:rPr>
                      <w:rFonts w:ascii="Times New Roman" w:eastAsia="Times New Roman" w:hAnsi="Times New Roman" w:cs="Times New Roman"/>
                      <w:color w:val="000000"/>
                      <w:sz w:val="16"/>
                      <w:szCs w:val="16"/>
                      <w:lang w:eastAsia="lv-LV"/>
                    </w:rPr>
                    <w:t>2017.</w:t>
                  </w:r>
                  <w:r>
                    <w:rPr>
                      <w:rFonts w:ascii="Times New Roman" w:eastAsia="Times New Roman" w:hAnsi="Times New Roman" w:cs="Times New Roman"/>
                      <w:color w:val="000000"/>
                      <w:sz w:val="16"/>
                      <w:szCs w:val="16"/>
                      <w:lang w:eastAsia="lv-LV"/>
                    </w:rPr>
                    <w:t xml:space="preserve"> </w:t>
                  </w:r>
                  <w:r w:rsidRPr="003344F4">
                    <w:rPr>
                      <w:rFonts w:ascii="Times New Roman" w:eastAsia="Times New Roman" w:hAnsi="Times New Roman" w:cs="Times New Roman"/>
                      <w:color w:val="000000"/>
                      <w:sz w:val="16"/>
                      <w:szCs w:val="16"/>
                      <w:lang w:eastAsia="lv-LV"/>
                    </w:rPr>
                    <w:t>gada plāns</w:t>
                  </w:r>
                </w:p>
              </w:tc>
              <w:tc>
                <w:tcPr>
                  <w:tcW w:w="1788" w:type="dxa"/>
                  <w:gridSpan w:val="2"/>
                  <w:tcBorders>
                    <w:top w:val="single" w:sz="4" w:space="0" w:color="A6A6A6"/>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b/>
                      <w:bCs/>
                      <w:color w:val="000000"/>
                      <w:sz w:val="16"/>
                      <w:szCs w:val="16"/>
                      <w:lang w:eastAsia="lv-LV"/>
                    </w:rPr>
                  </w:pPr>
                  <w:r w:rsidRPr="003344F4">
                    <w:rPr>
                      <w:rFonts w:ascii="Times New Roman" w:eastAsia="Times New Roman" w:hAnsi="Times New Roman" w:cs="Times New Roman"/>
                      <w:b/>
                      <w:bCs/>
                      <w:color w:val="000000"/>
                      <w:sz w:val="16"/>
                      <w:szCs w:val="16"/>
                      <w:lang w:eastAsia="lv-LV"/>
                    </w:rPr>
                    <w:t>2018.</w:t>
                  </w:r>
                  <w:r>
                    <w:rPr>
                      <w:rFonts w:ascii="Times New Roman" w:eastAsia="Times New Roman" w:hAnsi="Times New Roman" w:cs="Times New Roman"/>
                      <w:b/>
                      <w:bCs/>
                      <w:color w:val="000000"/>
                      <w:sz w:val="16"/>
                      <w:szCs w:val="16"/>
                      <w:lang w:eastAsia="lv-LV"/>
                    </w:rPr>
                    <w:t xml:space="preserve"> </w:t>
                  </w:r>
                  <w:r w:rsidRPr="003344F4">
                    <w:rPr>
                      <w:rFonts w:ascii="Times New Roman" w:eastAsia="Times New Roman" w:hAnsi="Times New Roman" w:cs="Times New Roman"/>
                      <w:b/>
                      <w:bCs/>
                      <w:color w:val="000000"/>
                      <w:sz w:val="16"/>
                      <w:szCs w:val="16"/>
                      <w:lang w:eastAsia="lv-LV"/>
                    </w:rPr>
                    <w:t>gads</w:t>
                  </w:r>
                </w:p>
              </w:tc>
              <w:tc>
                <w:tcPr>
                  <w:tcW w:w="1814" w:type="dxa"/>
                  <w:gridSpan w:val="2"/>
                  <w:tcBorders>
                    <w:top w:val="single" w:sz="4" w:space="0" w:color="A6A6A6"/>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b/>
                      <w:bCs/>
                      <w:color w:val="000000"/>
                      <w:sz w:val="16"/>
                      <w:szCs w:val="16"/>
                      <w:lang w:eastAsia="lv-LV"/>
                    </w:rPr>
                  </w:pPr>
                  <w:r w:rsidRPr="003344F4">
                    <w:rPr>
                      <w:rFonts w:ascii="Times New Roman" w:eastAsia="Times New Roman" w:hAnsi="Times New Roman" w:cs="Times New Roman"/>
                      <w:b/>
                      <w:bCs/>
                      <w:color w:val="000000"/>
                      <w:sz w:val="16"/>
                      <w:szCs w:val="16"/>
                      <w:lang w:eastAsia="lv-LV"/>
                    </w:rPr>
                    <w:t>2019.</w:t>
                  </w:r>
                  <w:r>
                    <w:rPr>
                      <w:rFonts w:ascii="Times New Roman" w:eastAsia="Times New Roman" w:hAnsi="Times New Roman" w:cs="Times New Roman"/>
                      <w:b/>
                      <w:bCs/>
                      <w:color w:val="000000"/>
                      <w:sz w:val="16"/>
                      <w:szCs w:val="16"/>
                      <w:lang w:eastAsia="lv-LV"/>
                    </w:rPr>
                    <w:t xml:space="preserve"> </w:t>
                  </w:r>
                  <w:r w:rsidRPr="003344F4">
                    <w:rPr>
                      <w:rFonts w:ascii="Times New Roman" w:eastAsia="Times New Roman" w:hAnsi="Times New Roman" w:cs="Times New Roman"/>
                      <w:b/>
                      <w:bCs/>
                      <w:color w:val="000000"/>
                      <w:sz w:val="16"/>
                      <w:szCs w:val="16"/>
                      <w:lang w:eastAsia="lv-LV"/>
                    </w:rPr>
                    <w:t>gads</w:t>
                  </w:r>
                </w:p>
              </w:tc>
              <w:tc>
                <w:tcPr>
                  <w:tcW w:w="1812" w:type="dxa"/>
                  <w:gridSpan w:val="2"/>
                  <w:tcBorders>
                    <w:top w:val="single" w:sz="4" w:space="0" w:color="A6A6A6"/>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b/>
                      <w:bCs/>
                      <w:color w:val="000000"/>
                      <w:sz w:val="16"/>
                      <w:szCs w:val="16"/>
                      <w:lang w:eastAsia="lv-LV"/>
                    </w:rPr>
                  </w:pPr>
                  <w:r w:rsidRPr="003344F4">
                    <w:rPr>
                      <w:rFonts w:ascii="Times New Roman" w:eastAsia="Times New Roman" w:hAnsi="Times New Roman" w:cs="Times New Roman"/>
                      <w:b/>
                      <w:bCs/>
                      <w:color w:val="000000"/>
                      <w:sz w:val="16"/>
                      <w:szCs w:val="16"/>
                      <w:lang w:eastAsia="lv-LV"/>
                    </w:rPr>
                    <w:t>2020.</w:t>
                  </w:r>
                  <w:r>
                    <w:rPr>
                      <w:rFonts w:ascii="Times New Roman" w:eastAsia="Times New Roman" w:hAnsi="Times New Roman" w:cs="Times New Roman"/>
                      <w:b/>
                      <w:bCs/>
                      <w:color w:val="000000"/>
                      <w:sz w:val="16"/>
                      <w:szCs w:val="16"/>
                      <w:lang w:eastAsia="lv-LV"/>
                    </w:rPr>
                    <w:t xml:space="preserve"> </w:t>
                  </w:r>
                  <w:r w:rsidRPr="003344F4">
                    <w:rPr>
                      <w:rFonts w:ascii="Times New Roman" w:eastAsia="Times New Roman" w:hAnsi="Times New Roman" w:cs="Times New Roman"/>
                      <w:b/>
                      <w:bCs/>
                      <w:color w:val="000000"/>
                      <w:sz w:val="16"/>
                      <w:szCs w:val="16"/>
                      <w:lang w:eastAsia="lv-LV"/>
                    </w:rPr>
                    <w:t>gads</w:t>
                  </w:r>
                </w:p>
              </w:tc>
            </w:tr>
            <w:tr w:rsidR="003344F4" w:rsidRPr="003344F4" w:rsidTr="003344F4">
              <w:trPr>
                <w:trHeight w:val="675"/>
              </w:trPr>
              <w:tc>
                <w:tcPr>
                  <w:tcW w:w="874" w:type="dxa"/>
                  <w:vMerge/>
                  <w:tcBorders>
                    <w:top w:val="single" w:sz="4" w:space="0" w:color="A6A6A6"/>
                    <w:left w:val="single" w:sz="4" w:space="0" w:color="A6A6A6"/>
                    <w:bottom w:val="single" w:sz="4" w:space="0" w:color="A6A6A6"/>
                    <w:right w:val="single" w:sz="4" w:space="0" w:color="A6A6A6"/>
                  </w:tcBorders>
                  <w:vAlign w:val="center"/>
                  <w:hideMark/>
                </w:tcPr>
                <w:p w:rsidR="003344F4" w:rsidRPr="003344F4" w:rsidRDefault="003344F4" w:rsidP="003344F4">
                  <w:pPr>
                    <w:spacing w:after="0" w:line="240" w:lineRule="auto"/>
                    <w:rPr>
                      <w:rFonts w:ascii="Times New Roman" w:eastAsia="Times New Roman" w:hAnsi="Times New Roman" w:cs="Times New Roman"/>
                      <w:color w:val="000000"/>
                      <w:sz w:val="16"/>
                      <w:szCs w:val="16"/>
                      <w:lang w:eastAsia="lv-LV"/>
                    </w:rPr>
                  </w:pPr>
                </w:p>
              </w:tc>
              <w:tc>
                <w:tcPr>
                  <w:tcW w:w="851" w:type="dxa"/>
                  <w:vMerge/>
                  <w:tcBorders>
                    <w:top w:val="single" w:sz="4" w:space="0" w:color="A6A6A6"/>
                    <w:left w:val="single" w:sz="4" w:space="0" w:color="A6A6A6"/>
                    <w:bottom w:val="single" w:sz="4" w:space="0" w:color="A6A6A6"/>
                    <w:right w:val="single" w:sz="4" w:space="0" w:color="A6A6A6"/>
                  </w:tcBorders>
                  <w:vAlign w:val="center"/>
                  <w:hideMark/>
                </w:tcPr>
                <w:p w:rsidR="003344F4" w:rsidRPr="003344F4" w:rsidRDefault="003344F4" w:rsidP="003344F4">
                  <w:pPr>
                    <w:spacing w:after="0" w:line="240" w:lineRule="auto"/>
                    <w:rPr>
                      <w:rFonts w:ascii="Times New Roman" w:eastAsia="Times New Roman" w:hAnsi="Times New Roman" w:cs="Times New Roman"/>
                      <w:color w:val="000000"/>
                      <w:sz w:val="16"/>
                      <w:szCs w:val="16"/>
                      <w:lang w:eastAsia="lv-LV"/>
                    </w:rPr>
                  </w:pPr>
                </w:p>
              </w:tc>
              <w:tc>
                <w:tcPr>
                  <w:tcW w:w="900" w:type="dxa"/>
                  <w:tcBorders>
                    <w:top w:val="nil"/>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w:t>
                  </w:r>
                  <w:r w:rsidRPr="003344F4">
                    <w:rPr>
                      <w:rFonts w:ascii="Times New Roman" w:eastAsia="Times New Roman" w:hAnsi="Times New Roman" w:cs="Times New Roman"/>
                      <w:color w:val="000000"/>
                      <w:sz w:val="16"/>
                      <w:szCs w:val="16"/>
                      <w:lang w:eastAsia="lv-LV"/>
                    </w:rPr>
                    <w:t>recizētais plāns</w:t>
                  </w:r>
                </w:p>
              </w:tc>
              <w:tc>
                <w:tcPr>
                  <w:tcW w:w="888" w:type="dxa"/>
                  <w:tcBorders>
                    <w:top w:val="nil"/>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izmaiņas</w:t>
                  </w:r>
                  <w:r w:rsidRPr="003344F4">
                    <w:rPr>
                      <w:rFonts w:ascii="Times New Roman" w:eastAsia="Times New Roman" w:hAnsi="Times New Roman" w:cs="Times New Roman"/>
                      <w:color w:val="000000"/>
                      <w:sz w:val="16"/>
                      <w:szCs w:val="16"/>
                      <w:lang w:eastAsia="lv-LV"/>
                    </w:rPr>
                    <w:t xml:space="preserve"> salīdzinot ar 2017.</w:t>
                  </w:r>
                  <w:r>
                    <w:rPr>
                      <w:rFonts w:ascii="Times New Roman" w:eastAsia="Times New Roman" w:hAnsi="Times New Roman" w:cs="Times New Roman"/>
                      <w:color w:val="000000"/>
                      <w:sz w:val="16"/>
                      <w:szCs w:val="16"/>
                      <w:lang w:eastAsia="lv-LV"/>
                    </w:rPr>
                    <w:t xml:space="preserve"> </w:t>
                  </w:r>
                  <w:r w:rsidRPr="003344F4">
                    <w:rPr>
                      <w:rFonts w:ascii="Times New Roman" w:eastAsia="Times New Roman" w:hAnsi="Times New Roman" w:cs="Times New Roman"/>
                      <w:color w:val="000000"/>
                      <w:sz w:val="16"/>
                      <w:szCs w:val="16"/>
                      <w:lang w:eastAsia="lv-LV"/>
                    </w:rPr>
                    <w:t>gadu</w:t>
                  </w:r>
                </w:p>
              </w:tc>
              <w:tc>
                <w:tcPr>
                  <w:tcW w:w="900" w:type="dxa"/>
                  <w:tcBorders>
                    <w:top w:val="nil"/>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w:t>
                  </w:r>
                  <w:r w:rsidRPr="003344F4">
                    <w:rPr>
                      <w:rFonts w:ascii="Times New Roman" w:eastAsia="Times New Roman" w:hAnsi="Times New Roman" w:cs="Times New Roman"/>
                      <w:color w:val="000000"/>
                      <w:sz w:val="16"/>
                      <w:szCs w:val="16"/>
                      <w:lang w:eastAsia="lv-LV"/>
                    </w:rPr>
                    <w:t>recizētais plāns</w:t>
                  </w:r>
                </w:p>
              </w:tc>
              <w:tc>
                <w:tcPr>
                  <w:tcW w:w="914" w:type="dxa"/>
                  <w:tcBorders>
                    <w:top w:val="nil"/>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izmaiņas </w:t>
                  </w:r>
                  <w:r w:rsidRPr="003344F4">
                    <w:rPr>
                      <w:rFonts w:ascii="Times New Roman" w:eastAsia="Times New Roman" w:hAnsi="Times New Roman" w:cs="Times New Roman"/>
                      <w:color w:val="000000"/>
                      <w:sz w:val="16"/>
                      <w:szCs w:val="16"/>
                      <w:lang w:eastAsia="lv-LV"/>
                    </w:rPr>
                    <w:t>salīdzinot ar 2017.</w:t>
                  </w:r>
                  <w:r>
                    <w:rPr>
                      <w:rFonts w:ascii="Times New Roman" w:eastAsia="Times New Roman" w:hAnsi="Times New Roman" w:cs="Times New Roman"/>
                      <w:color w:val="000000"/>
                      <w:sz w:val="16"/>
                      <w:szCs w:val="16"/>
                      <w:lang w:eastAsia="lv-LV"/>
                    </w:rPr>
                    <w:t xml:space="preserve"> </w:t>
                  </w:r>
                  <w:r w:rsidRPr="003344F4">
                    <w:rPr>
                      <w:rFonts w:ascii="Times New Roman" w:eastAsia="Times New Roman" w:hAnsi="Times New Roman" w:cs="Times New Roman"/>
                      <w:color w:val="000000"/>
                      <w:sz w:val="16"/>
                      <w:szCs w:val="16"/>
                      <w:lang w:eastAsia="lv-LV"/>
                    </w:rPr>
                    <w:t>gadu</w:t>
                  </w:r>
                </w:p>
              </w:tc>
              <w:tc>
                <w:tcPr>
                  <w:tcW w:w="900" w:type="dxa"/>
                  <w:tcBorders>
                    <w:top w:val="nil"/>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w:t>
                  </w:r>
                  <w:r w:rsidRPr="003344F4">
                    <w:rPr>
                      <w:rFonts w:ascii="Times New Roman" w:eastAsia="Times New Roman" w:hAnsi="Times New Roman" w:cs="Times New Roman"/>
                      <w:color w:val="000000"/>
                      <w:sz w:val="16"/>
                      <w:szCs w:val="16"/>
                      <w:lang w:eastAsia="lv-LV"/>
                    </w:rPr>
                    <w:t>recizētais plāns</w:t>
                  </w:r>
                </w:p>
              </w:tc>
              <w:tc>
                <w:tcPr>
                  <w:tcW w:w="912" w:type="dxa"/>
                  <w:tcBorders>
                    <w:top w:val="nil"/>
                    <w:left w:val="nil"/>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izmaiņas</w:t>
                  </w:r>
                  <w:r w:rsidRPr="003344F4">
                    <w:rPr>
                      <w:rFonts w:ascii="Times New Roman" w:eastAsia="Times New Roman" w:hAnsi="Times New Roman" w:cs="Times New Roman"/>
                      <w:color w:val="000000"/>
                      <w:sz w:val="16"/>
                      <w:szCs w:val="16"/>
                      <w:lang w:eastAsia="lv-LV"/>
                    </w:rPr>
                    <w:t xml:space="preserve"> salīdzinot ar 2017.</w:t>
                  </w:r>
                  <w:r>
                    <w:rPr>
                      <w:rFonts w:ascii="Times New Roman" w:eastAsia="Times New Roman" w:hAnsi="Times New Roman" w:cs="Times New Roman"/>
                      <w:color w:val="000000"/>
                      <w:sz w:val="16"/>
                      <w:szCs w:val="16"/>
                      <w:lang w:eastAsia="lv-LV"/>
                    </w:rPr>
                    <w:t xml:space="preserve"> </w:t>
                  </w:r>
                  <w:r w:rsidRPr="003344F4">
                    <w:rPr>
                      <w:rFonts w:ascii="Times New Roman" w:eastAsia="Times New Roman" w:hAnsi="Times New Roman" w:cs="Times New Roman"/>
                      <w:color w:val="000000"/>
                      <w:sz w:val="16"/>
                      <w:szCs w:val="16"/>
                      <w:lang w:eastAsia="lv-LV"/>
                    </w:rPr>
                    <w:t>gadu</w:t>
                  </w:r>
                </w:p>
              </w:tc>
            </w:tr>
            <w:tr w:rsidR="003344F4" w:rsidRPr="003344F4" w:rsidTr="003344F4">
              <w:trPr>
                <w:trHeight w:val="450"/>
              </w:trPr>
              <w:tc>
                <w:tcPr>
                  <w:tcW w:w="874" w:type="dxa"/>
                  <w:tcBorders>
                    <w:top w:val="nil"/>
                    <w:left w:val="single" w:sz="4" w:space="0" w:color="A6A6A6"/>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rPr>
                      <w:rFonts w:ascii="Times New Roman" w:eastAsia="Times New Roman" w:hAnsi="Times New Roman" w:cs="Times New Roman"/>
                      <w:color w:val="000000"/>
                      <w:sz w:val="16"/>
                      <w:szCs w:val="16"/>
                      <w:lang w:eastAsia="lv-LV"/>
                    </w:rPr>
                  </w:pPr>
                  <w:r w:rsidRPr="003344F4">
                    <w:rPr>
                      <w:rFonts w:ascii="Times New Roman" w:eastAsia="Times New Roman" w:hAnsi="Times New Roman" w:cs="Times New Roman"/>
                      <w:color w:val="000000"/>
                      <w:sz w:val="16"/>
                      <w:szCs w:val="16"/>
                      <w:lang w:eastAsia="lv-LV"/>
                    </w:rPr>
                    <w:t>Ieņēmumi no valsts nodevas</w:t>
                  </w:r>
                </w:p>
              </w:tc>
              <w:tc>
                <w:tcPr>
                  <w:tcW w:w="851" w:type="dxa"/>
                  <w:tcBorders>
                    <w:top w:val="nil"/>
                    <w:left w:val="nil"/>
                    <w:bottom w:val="single" w:sz="4" w:space="0" w:color="A6A6A6"/>
                    <w:right w:val="single" w:sz="4" w:space="0" w:color="A6A6A6"/>
                  </w:tcBorders>
                  <w:shd w:val="clear" w:color="000000" w:fill="D9D9D9"/>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4 796 549</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11 785 830</w:t>
                  </w:r>
                </w:p>
              </w:tc>
              <w:tc>
                <w:tcPr>
                  <w:tcW w:w="888"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6 989 281</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15 126 348</w:t>
                  </w:r>
                </w:p>
              </w:tc>
              <w:tc>
                <w:tcPr>
                  <w:tcW w:w="914"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10 329 799</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12 668 457</w:t>
                  </w:r>
                </w:p>
              </w:tc>
              <w:tc>
                <w:tcPr>
                  <w:tcW w:w="912"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7 871 908</w:t>
                  </w:r>
                </w:p>
              </w:tc>
            </w:tr>
            <w:tr w:rsidR="003344F4" w:rsidRPr="003344F4" w:rsidTr="003344F4">
              <w:trPr>
                <w:trHeight w:val="390"/>
              </w:trPr>
              <w:tc>
                <w:tcPr>
                  <w:tcW w:w="874" w:type="dxa"/>
                  <w:tcBorders>
                    <w:top w:val="nil"/>
                    <w:left w:val="single" w:sz="4" w:space="0" w:color="A6A6A6"/>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rPr>
                      <w:rFonts w:ascii="Times New Roman" w:eastAsia="Times New Roman" w:hAnsi="Times New Roman" w:cs="Times New Roman"/>
                      <w:color w:val="000000"/>
                      <w:sz w:val="16"/>
                      <w:szCs w:val="16"/>
                      <w:lang w:eastAsia="lv-LV"/>
                    </w:rPr>
                  </w:pPr>
                  <w:r w:rsidRPr="003344F4">
                    <w:rPr>
                      <w:rFonts w:ascii="Times New Roman" w:eastAsia="Times New Roman" w:hAnsi="Times New Roman" w:cs="Times New Roman"/>
                      <w:color w:val="000000"/>
                      <w:sz w:val="16"/>
                      <w:szCs w:val="16"/>
                      <w:lang w:eastAsia="lv-LV"/>
                    </w:rPr>
                    <w:t>Izdevumi - kopā</w:t>
                  </w:r>
                </w:p>
              </w:tc>
              <w:tc>
                <w:tcPr>
                  <w:tcW w:w="851" w:type="dxa"/>
                  <w:tcBorders>
                    <w:top w:val="nil"/>
                    <w:left w:val="nil"/>
                    <w:bottom w:val="single" w:sz="4" w:space="0" w:color="A6A6A6"/>
                    <w:right w:val="single" w:sz="4" w:space="0" w:color="A6A6A6"/>
                  </w:tcBorders>
                  <w:shd w:val="clear" w:color="000000" w:fill="D9D9D9"/>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1 289 843</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2 480 642</w:t>
                  </w:r>
                </w:p>
              </w:tc>
              <w:tc>
                <w:tcPr>
                  <w:tcW w:w="888"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1 190 799</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3 086 546</w:t>
                  </w:r>
                </w:p>
              </w:tc>
              <w:tc>
                <w:tcPr>
                  <w:tcW w:w="914"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1 796 703</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2 790 025</w:t>
                  </w:r>
                </w:p>
              </w:tc>
              <w:tc>
                <w:tcPr>
                  <w:tcW w:w="912"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1 500 182</w:t>
                  </w:r>
                </w:p>
              </w:tc>
            </w:tr>
            <w:tr w:rsidR="003344F4" w:rsidRPr="003344F4" w:rsidTr="003344F4">
              <w:trPr>
                <w:trHeight w:val="450"/>
              </w:trPr>
              <w:tc>
                <w:tcPr>
                  <w:tcW w:w="874" w:type="dxa"/>
                  <w:tcBorders>
                    <w:top w:val="nil"/>
                    <w:left w:val="single" w:sz="4" w:space="0" w:color="A6A6A6"/>
                    <w:bottom w:val="single" w:sz="4" w:space="0" w:color="A6A6A6"/>
                    <w:right w:val="single" w:sz="4" w:space="0" w:color="A6A6A6"/>
                  </w:tcBorders>
                  <w:shd w:val="clear" w:color="auto" w:fill="auto"/>
                  <w:vAlign w:val="center"/>
                  <w:hideMark/>
                </w:tcPr>
                <w:p w:rsidR="003344F4" w:rsidRPr="003344F4" w:rsidRDefault="003344F4" w:rsidP="003344F4">
                  <w:pPr>
                    <w:spacing w:after="0" w:line="240" w:lineRule="auto"/>
                    <w:rPr>
                      <w:rFonts w:ascii="Times New Roman" w:eastAsia="Times New Roman" w:hAnsi="Times New Roman" w:cs="Times New Roman"/>
                      <w:color w:val="000000"/>
                      <w:sz w:val="16"/>
                      <w:szCs w:val="16"/>
                      <w:lang w:eastAsia="lv-LV"/>
                    </w:rPr>
                  </w:pPr>
                  <w:r w:rsidRPr="003344F4">
                    <w:rPr>
                      <w:rFonts w:ascii="Times New Roman" w:eastAsia="Times New Roman" w:hAnsi="Times New Roman" w:cs="Times New Roman"/>
                      <w:color w:val="000000"/>
                      <w:sz w:val="16"/>
                      <w:szCs w:val="16"/>
                      <w:lang w:eastAsia="lv-LV"/>
                    </w:rPr>
                    <w:t>Finansiālā ietekme</w:t>
                  </w:r>
                </w:p>
              </w:tc>
              <w:tc>
                <w:tcPr>
                  <w:tcW w:w="851" w:type="dxa"/>
                  <w:tcBorders>
                    <w:top w:val="nil"/>
                    <w:left w:val="nil"/>
                    <w:bottom w:val="single" w:sz="4" w:space="0" w:color="A6A6A6"/>
                    <w:right w:val="single" w:sz="4" w:space="0" w:color="A6A6A6"/>
                  </w:tcBorders>
                  <w:shd w:val="clear" w:color="000000" w:fill="D9D9D9"/>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3 506 706</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9 305 188</w:t>
                  </w:r>
                </w:p>
              </w:tc>
              <w:tc>
                <w:tcPr>
                  <w:tcW w:w="888"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b/>
                      <w:bCs/>
                      <w:color w:val="000000"/>
                      <w:sz w:val="14"/>
                      <w:szCs w:val="14"/>
                      <w:lang w:eastAsia="lv-LV"/>
                    </w:rPr>
                  </w:pPr>
                  <w:r w:rsidRPr="003344F4">
                    <w:rPr>
                      <w:rFonts w:ascii="Times New Roman" w:eastAsia="Times New Roman" w:hAnsi="Times New Roman" w:cs="Times New Roman"/>
                      <w:b/>
                      <w:bCs/>
                      <w:color w:val="000000"/>
                      <w:sz w:val="14"/>
                      <w:szCs w:val="14"/>
                      <w:lang w:eastAsia="lv-LV"/>
                    </w:rPr>
                    <w:t>5 798 482</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12 039 802</w:t>
                  </w:r>
                </w:p>
              </w:tc>
              <w:tc>
                <w:tcPr>
                  <w:tcW w:w="914"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b/>
                      <w:bCs/>
                      <w:color w:val="000000"/>
                      <w:sz w:val="14"/>
                      <w:szCs w:val="14"/>
                      <w:lang w:eastAsia="lv-LV"/>
                    </w:rPr>
                  </w:pPr>
                  <w:r w:rsidRPr="003344F4">
                    <w:rPr>
                      <w:rFonts w:ascii="Times New Roman" w:eastAsia="Times New Roman" w:hAnsi="Times New Roman" w:cs="Times New Roman"/>
                      <w:b/>
                      <w:bCs/>
                      <w:color w:val="000000"/>
                      <w:sz w:val="14"/>
                      <w:szCs w:val="14"/>
                      <w:lang w:eastAsia="lv-LV"/>
                    </w:rPr>
                    <w:t>8 533 096</w:t>
                  </w:r>
                </w:p>
              </w:tc>
              <w:tc>
                <w:tcPr>
                  <w:tcW w:w="900"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color w:val="000000"/>
                      <w:sz w:val="14"/>
                      <w:szCs w:val="14"/>
                      <w:lang w:eastAsia="lv-LV"/>
                    </w:rPr>
                  </w:pPr>
                  <w:r w:rsidRPr="003344F4">
                    <w:rPr>
                      <w:rFonts w:ascii="Times New Roman" w:eastAsia="Times New Roman" w:hAnsi="Times New Roman" w:cs="Times New Roman"/>
                      <w:color w:val="000000"/>
                      <w:sz w:val="14"/>
                      <w:szCs w:val="14"/>
                      <w:lang w:eastAsia="lv-LV"/>
                    </w:rPr>
                    <w:t>9 878 432</w:t>
                  </w:r>
                </w:p>
              </w:tc>
              <w:tc>
                <w:tcPr>
                  <w:tcW w:w="912" w:type="dxa"/>
                  <w:tcBorders>
                    <w:top w:val="nil"/>
                    <w:left w:val="nil"/>
                    <w:bottom w:val="single" w:sz="4" w:space="0" w:color="A6A6A6"/>
                    <w:right w:val="single" w:sz="4" w:space="0" w:color="A6A6A6"/>
                  </w:tcBorders>
                  <w:shd w:val="clear" w:color="auto" w:fill="auto"/>
                  <w:noWrap/>
                  <w:vAlign w:val="center"/>
                  <w:hideMark/>
                </w:tcPr>
                <w:p w:rsidR="003344F4" w:rsidRPr="003344F4" w:rsidRDefault="003344F4" w:rsidP="003344F4">
                  <w:pPr>
                    <w:spacing w:after="0" w:line="240" w:lineRule="auto"/>
                    <w:jc w:val="right"/>
                    <w:rPr>
                      <w:rFonts w:ascii="Times New Roman" w:eastAsia="Times New Roman" w:hAnsi="Times New Roman" w:cs="Times New Roman"/>
                      <w:b/>
                      <w:bCs/>
                      <w:color w:val="000000"/>
                      <w:sz w:val="14"/>
                      <w:szCs w:val="14"/>
                      <w:lang w:eastAsia="lv-LV"/>
                    </w:rPr>
                  </w:pPr>
                  <w:r w:rsidRPr="003344F4">
                    <w:rPr>
                      <w:rFonts w:ascii="Times New Roman" w:eastAsia="Times New Roman" w:hAnsi="Times New Roman" w:cs="Times New Roman"/>
                      <w:b/>
                      <w:bCs/>
                      <w:color w:val="000000"/>
                      <w:sz w:val="14"/>
                      <w:szCs w:val="14"/>
                      <w:lang w:eastAsia="lv-LV"/>
                    </w:rPr>
                    <w:t>6 371 726</w:t>
                  </w:r>
                </w:p>
              </w:tc>
            </w:tr>
          </w:tbl>
          <w:p w:rsidR="003517B3" w:rsidRDefault="003517B3" w:rsidP="003344F4">
            <w:pPr>
              <w:pStyle w:val="naisf"/>
              <w:spacing w:before="0" w:beforeAutospacing="0" w:after="0" w:afterAutospacing="0"/>
              <w:jc w:val="both"/>
            </w:pPr>
          </w:p>
          <w:p w:rsidR="003344F4" w:rsidRDefault="003517B3" w:rsidP="003344F4">
            <w:pPr>
              <w:pStyle w:val="naisf"/>
              <w:spacing w:before="0" w:beforeAutospacing="0" w:after="0" w:afterAutospacing="0"/>
              <w:jc w:val="both"/>
            </w:pPr>
            <w:r>
              <w:t>Ieņēmumi:</w:t>
            </w:r>
          </w:p>
          <w:p w:rsidR="00653A09" w:rsidRDefault="00653A09" w:rsidP="003344F4">
            <w:pPr>
              <w:pStyle w:val="naisf"/>
              <w:spacing w:before="0" w:beforeAutospacing="0" w:after="0" w:afterAutospacing="0"/>
              <w:jc w:val="both"/>
            </w:pPr>
            <w:r>
              <w:t xml:space="preserve">2017. gads: 4 796 549 </w:t>
            </w:r>
            <w:r w:rsidRPr="00653A09">
              <w:rPr>
                <w:i/>
              </w:rPr>
              <w:t xml:space="preserve">euro </w:t>
            </w:r>
            <w:r>
              <w:t xml:space="preserve">(informatīvi precizētais plāns: 7 767 933 </w:t>
            </w:r>
            <w:r w:rsidRPr="00653A09">
              <w:rPr>
                <w:i/>
              </w:rPr>
              <w:t>euro</w:t>
            </w:r>
            <w:r>
              <w:t>)</w:t>
            </w:r>
          </w:p>
          <w:p w:rsidR="003517B3" w:rsidRDefault="003517B3" w:rsidP="003344F4">
            <w:pPr>
              <w:pStyle w:val="naisf"/>
              <w:spacing w:before="0" w:beforeAutospacing="0" w:after="0" w:afterAutospacing="0"/>
              <w:jc w:val="both"/>
            </w:pPr>
            <w:r>
              <w:t>2018.</w:t>
            </w:r>
            <w:r w:rsidR="0014209F">
              <w:t xml:space="preserve"> </w:t>
            </w:r>
            <w:r>
              <w:t xml:space="preserve">gads: </w:t>
            </w:r>
            <w:r w:rsidR="0014209F">
              <w:t xml:space="preserve">11 785 83 </w:t>
            </w:r>
            <w:r w:rsidR="0014209F" w:rsidRPr="0014209F">
              <w:rPr>
                <w:i/>
              </w:rPr>
              <w:t>euro</w:t>
            </w:r>
            <w:r w:rsidR="009E1E7E">
              <w:t xml:space="preserve"> (</w:t>
            </w:r>
            <w:r w:rsidR="0014209F">
              <w:t xml:space="preserve">palielinājums pret attiecīgo gadu </w:t>
            </w:r>
            <w:r w:rsidR="00631450">
              <w:t xml:space="preserve">atbilstoši </w:t>
            </w:r>
            <w:r w:rsidR="00631450" w:rsidRPr="00EB4905">
              <w:t>Rīkojuma</w:t>
            </w:r>
            <w:r w:rsidR="00631450">
              <w:t>m</w:t>
            </w:r>
            <w:r w:rsidR="00631450" w:rsidRPr="00EB4905">
              <w:t xml:space="preserve"> Nr.382</w:t>
            </w:r>
            <w:r w:rsidR="00740F90">
              <w:t xml:space="preserve"> un likumu</w:t>
            </w:r>
            <w:r w:rsidR="00631450">
              <w:t xml:space="preserve"> “Par valsts budžetu 2017. gadam” </w:t>
            </w:r>
            <w:r w:rsidR="0014209F">
              <w:t>(turpmāk – palielinājums) 5 383</w:t>
            </w:r>
            <w:r w:rsidR="007424E9">
              <w:t> </w:t>
            </w:r>
            <w:r w:rsidR="0014209F">
              <w:t>590</w:t>
            </w:r>
            <w:r w:rsidR="007424E9">
              <w:t xml:space="preserve"> </w:t>
            </w:r>
            <w:r w:rsidR="007424E9" w:rsidRPr="0014209F">
              <w:rPr>
                <w:i/>
              </w:rPr>
              <w:t>euro</w:t>
            </w:r>
            <w:r w:rsidR="009E1E7E">
              <w:t>);</w:t>
            </w:r>
          </w:p>
          <w:p w:rsidR="00526754" w:rsidRDefault="00526754" w:rsidP="003344F4">
            <w:pPr>
              <w:pStyle w:val="naisf"/>
              <w:spacing w:before="0" w:beforeAutospacing="0" w:after="0" w:afterAutospacing="0"/>
              <w:jc w:val="both"/>
            </w:pPr>
            <w:r>
              <w:t xml:space="preserve">2019. gads: 15 126 348 </w:t>
            </w:r>
            <w:r w:rsidRPr="0014209F">
              <w:rPr>
                <w:i/>
              </w:rPr>
              <w:t>euro</w:t>
            </w:r>
            <w:r>
              <w:t xml:space="preserve"> (palielinājums 8 328 098 </w:t>
            </w:r>
            <w:r w:rsidRPr="0014209F">
              <w:rPr>
                <w:i/>
              </w:rPr>
              <w:t>euro</w:t>
            </w:r>
            <w:r>
              <w:t>);</w:t>
            </w:r>
          </w:p>
          <w:p w:rsidR="00526754" w:rsidRDefault="00526754" w:rsidP="00526754">
            <w:pPr>
              <w:pStyle w:val="naisf"/>
              <w:spacing w:before="0" w:beforeAutospacing="0" w:after="0" w:afterAutospacing="0"/>
              <w:jc w:val="both"/>
            </w:pPr>
            <w:r>
              <w:t xml:space="preserve">2020. gads: 12 668 457 </w:t>
            </w:r>
            <w:r w:rsidRPr="0014209F">
              <w:rPr>
                <w:i/>
              </w:rPr>
              <w:t>euro</w:t>
            </w:r>
            <w:r>
              <w:t xml:space="preserve"> (palielinājums 6 985 035 </w:t>
            </w:r>
            <w:r w:rsidRPr="0014209F">
              <w:rPr>
                <w:i/>
              </w:rPr>
              <w:t>euro</w:t>
            </w:r>
            <w:r>
              <w:t>);</w:t>
            </w:r>
          </w:p>
          <w:p w:rsidR="00526754" w:rsidRDefault="00526754" w:rsidP="00526754">
            <w:pPr>
              <w:pStyle w:val="naisf"/>
              <w:spacing w:before="0" w:beforeAutospacing="0" w:after="0" w:afterAutospacing="0"/>
              <w:jc w:val="both"/>
            </w:pPr>
            <w:r>
              <w:t xml:space="preserve">2021. gads: 10 746 843 </w:t>
            </w:r>
            <w:r w:rsidRPr="0014209F">
              <w:rPr>
                <w:i/>
              </w:rPr>
              <w:t>euro</w:t>
            </w:r>
            <w:r>
              <w:t xml:space="preserve"> (palielinājums 6 104 715 </w:t>
            </w:r>
            <w:r w:rsidRPr="0014209F">
              <w:rPr>
                <w:i/>
              </w:rPr>
              <w:t>euro</w:t>
            </w:r>
            <w:r>
              <w:t>);</w:t>
            </w:r>
          </w:p>
          <w:p w:rsidR="00AE0210" w:rsidRDefault="00AE0210" w:rsidP="00AE0210">
            <w:pPr>
              <w:pStyle w:val="naisf"/>
              <w:spacing w:before="0" w:beforeAutospacing="0" w:after="0" w:afterAutospacing="0"/>
              <w:jc w:val="both"/>
            </w:pPr>
            <w:r>
              <w:t xml:space="preserve">2022. gads: 6 349 724 </w:t>
            </w:r>
            <w:r w:rsidRPr="0014209F">
              <w:rPr>
                <w:i/>
              </w:rPr>
              <w:t>euro</w:t>
            </w:r>
            <w:r>
              <w:t xml:space="preserve"> (palielinājums</w:t>
            </w:r>
            <w:r w:rsidR="00302796">
              <w:t xml:space="preserve"> 4 359 563</w:t>
            </w:r>
            <w:r>
              <w:t xml:space="preserve"> </w:t>
            </w:r>
            <w:r w:rsidRPr="0014209F">
              <w:rPr>
                <w:i/>
              </w:rPr>
              <w:t>euro</w:t>
            </w:r>
            <w:r>
              <w:t>);</w:t>
            </w:r>
          </w:p>
          <w:p w:rsidR="006B16BA" w:rsidRDefault="006B16BA" w:rsidP="006B16BA">
            <w:pPr>
              <w:pStyle w:val="naisf"/>
              <w:spacing w:before="0" w:beforeAutospacing="0" w:after="0" w:afterAutospacing="0"/>
              <w:jc w:val="both"/>
            </w:pPr>
            <w:r>
              <w:t xml:space="preserve">2023. gads: 3 025 213 </w:t>
            </w:r>
            <w:r w:rsidRPr="0014209F">
              <w:rPr>
                <w:i/>
              </w:rPr>
              <w:t>euro</w:t>
            </w:r>
            <w:r>
              <w:t xml:space="preserve"> (palielinājums 2 759 479 </w:t>
            </w:r>
            <w:r w:rsidRPr="0014209F">
              <w:rPr>
                <w:i/>
              </w:rPr>
              <w:t>euro</w:t>
            </w:r>
            <w:r w:rsidR="00BE4BA4">
              <w:t>).</w:t>
            </w:r>
          </w:p>
          <w:p w:rsidR="00526754" w:rsidRDefault="00526754" w:rsidP="003344F4">
            <w:pPr>
              <w:pStyle w:val="naisf"/>
              <w:spacing w:before="0" w:beforeAutospacing="0" w:after="0" w:afterAutospacing="0"/>
              <w:jc w:val="both"/>
            </w:pPr>
          </w:p>
          <w:p w:rsidR="00A93C9C" w:rsidRDefault="00A93C9C" w:rsidP="003344F4">
            <w:pPr>
              <w:pStyle w:val="naisf"/>
              <w:spacing w:before="0" w:beforeAutospacing="0" w:after="0" w:afterAutospacing="0"/>
              <w:jc w:val="both"/>
            </w:pPr>
            <w:r>
              <w:t>Izdevumi:</w:t>
            </w:r>
          </w:p>
          <w:p w:rsidR="0033664E" w:rsidRDefault="0033664E" w:rsidP="003344F4">
            <w:pPr>
              <w:pStyle w:val="naisf"/>
              <w:spacing w:before="0" w:beforeAutospacing="0" w:after="0" w:afterAutospacing="0"/>
              <w:jc w:val="both"/>
            </w:pPr>
            <w:r>
              <w:t xml:space="preserve">2017. gads: 1 289 843 </w:t>
            </w:r>
            <w:r w:rsidRPr="0033664E">
              <w:rPr>
                <w:i/>
              </w:rPr>
              <w:t>euro</w:t>
            </w:r>
            <w:r w:rsidR="00EC7F12">
              <w:rPr>
                <w:i/>
              </w:rPr>
              <w:t>;</w:t>
            </w:r>
            <w:r>
              <w:t xml:space="preserve"> </w:t>
            </w:r>
          </w:p>
          <w:p w:rsidR="00A93C9C" w:rsidRDefault="00A93C9C" w:rsidP="003344F4">
            <w:pPr>
              <w:pStyle w:val="naisf"/>
              <w:spacing w:before="0" w:beforeAutospacing="0" w:after="0" w:afterAutospacing="0"/>
              <w:jc w:val="both"/>
            </w:pPr>
            <w:r>
              <w:t xml:space="preserve">2018. gads: </w:t>
            </w:r>
            <w:r w:rsidR="00FA4CA1">
              <w:t xml:space="preserve">2 480 642 </w:t>
            </w:r>
            <w:r w:rsidRPr="0014209F">
              <w:rPr>
                <w:i/>
              </w:rPr>
              <w:t>euro</w:t>
            </w:r>
            <w:r>
              <w:t xml:space="preserve"> (palielinājums </w:t>
            </w:r>
            <w:r w:rsidR="00FA4CA1">
              <w:t xml:space="preserve">978 685 </w:t>
            </w:r>
            <w:r w:rsidRPr="0014209F">
              <w:rPr>
                <w:i/>
              </w:rPr>
              <w:t>euro</w:t>
            </w:r>
            <w:r>
              <w:t>);</w:t>
            </w:r>
          </w:p>
          <w:p w:rsidR="00A93C9C" w:rsidRDefault="00FA4CA1" w:rsidP="00A93C9C">
            <w:pPr>
              <w:pStyle w:val="naisf"/>
              <w:spacing w:before="0" w:beforeAutospacing="0" w:after="0" w:afterAutospacing="0"/>
              <w:jc w:val="both"/>
            </w:pPr>
            <w:r>
              <w:t>2019</w:t>
            </w:r>
            <w:r w:rsidR="00A93C9C">
              <w:t xml:space="preserve">. gads: </w:t>
            </w:r>
            <w:r>
              <w:t xml:space="preserve">3 086 546 </w:t>
            </w:r>
            <w:r w:rsidR="00A93C9C" w:rsidRPr="0014209F">
              <w:rPr>
                <w:i/>
              </w:rPr>
              <w:t>euro</w:t>
            </w:r>
            <w:r w:rsidR="00A93C9C">
              <w:t xml:space="preserve"> (palielinājums </w:t>
            </w:r>
            <w:r w:rsidR="00483313">
              <w:t xml:space="preserve">1 584 589 </w:t>
            </w:r>
            <w:r w:rsidR="00A93C9C" w:rsidRPr="0014209F">
              <w:rPr>
                <w:i/>
              </w:rPr>
              <w:t>euro</w:t>
            </w:r>
            <w:r w:rsidR="00A93C9C">
              <w:t>);</w:t>
            </w:r>
          </w:p>
          <w:p w:rsidR="00A93C9C" w:rsidRDefault="00FA4CA1" w:rsidP="00A93C9C">
            <w:pPr>
              <w:pStyle w:val="naisf"/>
              <w:spacing w:before="0" w:beforeAutospacing="0" w:after="0" w:afterAutospacing="0"/>
              <w:jc w:val="both"/>
            </w:pPr>
            <w:r>
              <w:t>2020</w:t>
            </w:r>
            <w:r w:rsidR="00A93C9C">
              <w:t xml:space="preserve">. gads: </w:t>
            </w:r>
            <w:r>
              <w:t xml:space="preserve">2 790 025 </w:t>
            </w:r>
            <w:r w:rsidR="00A93C9C" w:rsidRPr="0014209F">
              <w:rPr>
                <w:i/>
              </w:rPr>
              <w:t>euro</w:t>
            </w:r>
            <w:r w:rsidR="00A93C9C">
              <w:t xml:space="preserve"> (palielinājums </w:t>
            </w:r>
            <w:r w:rsidR="00483313">
              <w:t xml:space="preserve">1 476 506 </w:t>
            </w:r>
            <w:r w:rsidR="00A93C9C" w:rsidRPr="0014209F">
              <w:rPr>
                <w:i/>
              </w:rPr>
              <w:t>euro</w:t>
            </w:r>
            <w:r w:rsidR="00A93C9C">
              <w:t>);</w:t>
            </w:r>
          </w:p>
          <w:p w:rsidR="00A93C9C" w:rsidRDefault="00FA4CA1" w:rsidP="00A93C9C">
            <w:pPr>
              <w:pStyle w:val="naisf"/>
              <w:spacing w:before="0" w:beforeAutospacing="0" w:after="0" w:afterAutospacing="0"/>
              <w:jc w:val="both"/>
            </w:pPr>
            <w:r>
              <w:t>2021</w:t>
            </w:r>
            <w:r w:rsidR="00A93C9C">
              <w:t xml:space="preserve">. gads: </w:t>
            </w:r>
            <w:r>
              <w:t xml:space="preserve">2 551 492 </w:t>
            </w:r>
            <w:r w:rsidR="00A93C9C" w:rsidRPr="0014209F">
              <w:rPr>
                <w:i/>
              </w:rPr>
              <w:t>euro</w:t>
            </w:r>
            <w:r w:rsidR="00A93C9C">
              <w:t xml:space="preserve"> (palielinājums </w:t>
            </w:r>
            <w:r w:rsidR="00483313">
              <w:t xml:space="preserve">1 465 190 </w:t>
            </w:r>
            <w:r w:rsidR="00A93C9C" w:rsidRPr="0014209F">
              <w:rPr>
                <w:i/>
              </w:rPr>
              <w:t>euro</w:t>
            </w:r>
            <w:r w:rsidR="00A93C9C">
              <w:t>);</w:t>
            </w:r>
          </w:p>
          <w:p w:rsidR="00A93C9C" w:rsidRDefault="00FA4CA1" w:rsidP="00A93C9C">
            <w:pPr>
              <w:pStyle w:val="naisf"/>
              <w:spacing w:before="0" w:beforeAutospacing="0" w:after="0" w:afterAutospacing="0"/>
              <w:jc w:val="both"/>
            </w:pPr>
            <w:r>
              <w:t>2022</w:t>
            </w:r>
            <w:r w:rsidR="00A93C9C">
              <w:t xml:space="preserve">. gads: </w:t>
            </w:r>
            <w:r>
              <w:t>1 </w:t>
            </w:r>
            <w:r w:rsidR="00483313">
              <w:t>803</w:t>
            </w:r>
            <w:r>
              <w:t xml:space="preserve"> 908 </w:t>
            </w:r>
            <w:r w:rsidR="00A93C9C" w:rsidRPr="0014209F">
              <w:rPr>
                <w:i/>
              </w:rPr>
              <w:t>euro</w:t>
            </w:r>
            <w:r w:rsidR="00A93C9C">
              <w:t xml:space="preserve"> (palielinājums </w:t>
            </w:r>
            <w:r w:rsidR="00483313">
              <w:t xml:space="preserve">1 263 595 </w:t>
            </w:r>
            <w:r w:rsidR="00A93C9C" w:rsidRPr="0014209F">
              <w:rPr>
                <w:i/>
              </w:rPr>
              <w:t>euro</w:t>
            </w:r>
            <w:r w:rsidR="00A93C9C">
              <w:t>);</w:t>
            </w:r>
          </w:p>
          <w:p w:rsidR="00A93C9C" w:rsidRDefault="00FA4CA1" w:rsidP="00A93C9C">
            <w:pPr>
              <w:pStyle w:val="naisf"/>
              <w:spacing w:before="0" w:beforeAutospacing="0" w:after="0" w:afterAutospacing="0"/>
              <w:jc w:val="both"/>
            </w:pPr>
            <w:r>
              <w:t>2023</w:t>
            </w:r>
            <w:r w:rsidR="00A93C9C">
              <w:t xml:space="preserve">. gads: </w:t>
            </w:r>
            <w:r>
              <w:t xml:space="preserve">1 199 111 </w:t>
            </w:r>
            <w:r w:rsidR="00A93C9C" w:rsidRPr="0014209F">
              <w:rPr>
                <w:i/>
              </w:rPr>
              <w:t>euro</w:t>
            </w:r>
            <w:r w:rsidR="00A93C9C">
              <w:t xml:space="preserve"> (palielinājums</w:t>
            </w:r>
            <w:r w:rsidR="00483313">
              <w:t xml:space="preserve"> 1 199 111</w:t>
            </w:r>
            <w:r w:rsidR="00A93C9C">
              <w:t xml:space="preserve"> </w:t>
            </w:r>
            <w:r w:rsidR="00A93C9C" w:rsidRPr="0014209F">
              <w:rPr>
                <w:i/>
              </w:rPr>
              <w:t>euro</w:t>
            </w:r>
            <w:r w:rsidR="00A93C9C">
              <w:t>)</w:t>
            </w:r>
            <w:r>
              <w:t>.</w:t>
            </w:r>
          </w:p>
          <w:p w:rsidR="003517B3" w:rsidRDefault="003517B3" w:rsidP="003344F4">
            <w:pPr>
              <w:pStyle w:val="naisf"/>
              <w:spacing w:before="0" w:beforeAutospacing="0" w:after="0" w:afterAutospacing="0"/>
              <w:jc w:val="both"/>
            </w:pPr>
          </w:p>
          <w:p w:rsidR="0045200E" w:rsidRDefault="00341A7D" w:rsidP="00341A7D">
            <w:pPr>
              <w:pStyle w:val="naisf"/>
              <w:spacing w:before="0" w:beforeAutospacing="0" w:after="0" w:afterAutospacing="0"/>
            </w:pPr>
            <w:r>
              <w:t xml:space="preserve">Detalizēti aprēķini iekļauti </w:t>
            </w:r>
            <w:r w:rsidR="003517B3">
              <w:t xml:space="preserve">šādos </w:t>
            </w:r>
            <w:r>
              <w:t>anotācijas pielikumos:</w:t>
            </w:r>
          </w:p>
          <w:p w:rsidR="00B23E4D" w:rsidRPr="00B23E4D" w:rsidRDefault="005A13C8" w:rsidP="00C169A1">
            <w:pPr>
              <w:pStyle w:val="naisf"/>
              <w:spacing w:before="0" w:beforeAutospacing="0" w:after="0" w:afterAutospacing="0"/>
              <w:ind w:firstLine="405"/>
              <w:jc w:val="both"/>
            </w:pPr>
            <w:r>
              <w:t>2</w:t>
            </w:r>
            <w:r w:rsidR="00341A7D" w:rsidRPr="00996BC5">
              <w:t>.pielikums “</w:t>
            </w:r>
            <w:r w:rsidR="00B23E4D" w:rsidRPr="00B23E4D">
              <w:t>Ieņēmumu no naudas sodiem, ko uzliek Valsts policija par pārkāpumiem ceļu satiksmē,</w:t>
            </w:r>
            <w:r w:rsidR="00B23E4D">
              <w:t xml:space="preserve"> </w:t>
            </w:r>
            <w:r w:rsidR="00B23E4D" w:rsidRPr="00B23E4D">
              <w:t>kas fiksēti ar valsts akciju sabiedrībai “Ceļu satiksmes drošības direkcija” piederošajiem tehniskajiem līdzekļiem,</w:t>
            </w:r>
            <w:r w:rsidR="00B23E4D">
              <w:t xml:space="preserve"> a</w:t>
            </w:r>
            <w:r w:rsidR="00B23E4D" w:rsidRPr="00B23E4D">
              <w:t>prēķins</w:t>
            </w:r>
            <w:r w:rsidR="00B23E4D">
              <w:t>”</w:t>
            </w:r>
            <w:r w:rsidR="00A962EE">
              <w:t>;</w:t>
            </w:r>
          </w:p>
          <w:p w:rsidR="00341A7D" w:rsidRPr="00996BC5" w:rsidRDefault="005A13C8" w:rsidP="00C169A1">
            <w:pPr>
              <w:pStyle w:val="naisf"/>
              <w:spacing w:before="0" w:beforeAutospacing="0" w:after="0" w:afterAutospacing="0"/>
              <w:ind w:firstLine="405"/>
              <w:jc w:val="both"/>
            </w:pPr>
            <w:r>
              <w:t>3</w:t>
            </w:r>
            <w:r w:rsidR="00341A7D" w:rsidRPr="00996BC5">
              <w:t>.pielikums “</w:t>
            </w:r>
            <w:r w:rsidR="00A962EE" w:rsidRPr="00A962EE">
              <w:t>Prognozēto izmaksu par valsts pārvaldes funkciju ietvaros sniegtajiem valsts akciju sabiedrības “Ceļu satiksmes drošības direkcija” pakalpojumiem aprēķins</w:t>
            </w:r>
            <w:r w:rsidR="00A962EE">
              <w:t>”;</w:t>
            </w:r>
          </w:p>
          <w:p w:rsidR="009C0BEC" w:rsidRPr="009C0BEC" w:rsidRDefault="005A13C8" w:rsidP="00C169A1">
            <w:pPr>
              <w:pStyle w:val="naisf"/>
              <w:spacing w:before="0" w:beforeAutospacing="0" w:after="0" w:afterAutospacing="0"/>
              <w:ind w:firstLine="405"/>
              <w:jc w:val="both"/>
            </w:pPr>
            <w:r>
              <w:t>4</w:t>
            </w:r>
            <w:r w:rsidR="00341A7D" w:rsidRPr="00996BC5">
              <w:t>.pielikums “</w:t>
            </w:r>
            <w:r w:rsidR="009C0BEC" w:rsidRPr="009C0BEC">
              <w:t>Aprēķins par Iekšlietu ministrijas Informācijas centra izdevumiem (Valsts policijas darbības nodrošināšanai) un Valsts policijas izdevumiem, kas saistīti ar naudas sodu uzlikšanu (amata vietu uzturēšanai)</w:t>
            </w:r>
            <w:r w:rsidR="009C0BEC">
              <w:t>;</w:t>
            </w:r>
          </w:p>
          <w:p w:rsidR="00341A7D" w:rsidRPr="00341A7D" w:rsidRDefault="005A13C8" w:rsidP="00501DD6">
            <w:pPr>
              <w:pStyle w:val="tv213"/>
              <w:spacing w:before="0" w:beforeAutospacing="0" w:after="0" w:afterAutospacing="0"/>
              <w:ind w:firstLine="405"/>
              <w:jc w:val="both"/>
            </w:pPr>
            <w:r>
              <w:t>5</w:t>
            </w:r>
            <w:r w:rsidR="00221313" w:rsidRPr="00221313">
              <w:t>.pielikums “Ceļu satiksmes pārkāpumu fiksēšanas</w:t>
            </w:r>
            <w:r w:rsidR="00501DD6">
              <w:t xml:space="preserve"> tehniskā līdzekļa (fotoradara)</w:t>
            </w:r>
            <w:r w:rsidR="00221313" w:rsidRPr="00221313">
              <w:t xml:space="preserve"> vienas darbības dienas izmaksu aprēķins un prognozētās </w:t>
            </w:r>
            <w:r w:rsidR="00221313" w:rsidRPr="00221313">
              <w:lastRenderedPageBreak/>
              <w:t>izmaksas par tehnisko līdzekļu (fotoradaru) uzstādīšanu un to darbības nodrošināšanu”</w:t>
            </w:r>
            <w:r w:rsidR="00CC23A1">
              <w:t>.</w:t>
            </w:r>
          </w:p>
        </w:tc>
      </w:tr>
      <w:tr w:rsidR="0045200E" w:rsidRPr="005128C9"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6.1. detalizēts ieņēmumu aprēķins</w:t>
            </w:r>
          </w:p>
        </w:tc>
        <w:tc>
          <w:tcPr>
            <w:tcW w:w="6058" w:type="dxa"/>
            <w:gridSpan w:val="5"/>
            <w:vMerge/>
          </w:tcPr>
          <w:p w:rsidR="0045200E" w:rsidRPr="005128C9" w:rsidRDefault="0045200E" w:rsidP="0081606D">
            <w:pPr>
              <w:pStyle w:val="naisf"/>
              <w:spacing w:before="0" w:beforeAutospacing="0" w:after="0" w:afterAutospacing="0"/>
              <w:rPr>
                <w:b/>
                <w:i/>
              </w:rPr>
            </w:pPr>
          </w:p>
        </w:tc>
      </w:tr>
      <w:tr w:rsidR="0045200E" w:rsidRPr="005128C9"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058" w:type="dxa"/>
            <w:gridSpan w:val="5"/>
            <w:vMerge/>
          </w:tcPr>
          <w:p w:rsidR="0045200E" w:rsidRPr="005128C9" w:rsidRDefault="0045200E" w:rsidP="0081606D">
            <w:pPr>
              <w:pStyle w:val="naisf"/>
              <w:spacing w:before="0" w:beforeAutospacing="0" w:after="0" w:afterAutospacing="0"/>
              <w:rPr>
                <w:b/>
                <w:i/>
              </w:rPr>
            </w:pPr>
          </w:p>
        </w:tc>
      </w:tr>
      <w:tr w:rsidR="0045200E" w:rsidRPr="005128C9" w:rsidTr="0081606D">
        <w:trPr>
          <w:trHeight w:val="556"/>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7. Cita informācija</w:t>
            </w:r>
          </w:p>
        </w:tc>
        <w:tc>
          <w:tcPr>
            <w:tcW w:w="6058" w:type="dxa"/>
            <w:gridSpan w:val="5"/>
          </w:tcPr>
          <w:p w:rsidR="004E38C7" w:rsidRDefault="004E38C7" w:rsidP="004E38C7">
            <w:pPr>
              <w:pStyle w:val="NoSpacing"/>
              <w:jc w:val="both"/>
              <w:rPr>
                <w:rFonts w:ascii="Times New Roman" w:hAnsi="Times New Roman"/>
                <w:sz w:val="24"/>
                <w:szCs w:val="24"/>
                <w:lang w:val="lv-LV"/>
              </w:rPr>
            </w:pPr>
            <w:r>
              <w:rPr>
                <w:rFonts w:ascii="Times New Roman" w:hAnsi="Times New Roman"/>
                <w:sz w:val="24"/>
                <w:szCs w:val="24"/>
                <w:lang w:val="lv-LV"/>
              </w:rPr>
              <w:t>Pievienotais Ministru kabineta sēdes protokollēmuma projekts paredz:</w:t>
            </w:r>
          </w:p>
          <w:p w:rsidR="004E38C7" w:rsidRPr="004E38C7" w:rsidRDefault="004E38C7" w:rsidP="004E38C7">
            <w:pPr>
              <w:pStyle w:val="NoSpacing"/>
              <w:numPr>
                <w:ilvl w:val="0"/>
                <w:numId w:val="27"/>
              </w:numPr>
              <w:ind w:left="0" w:firstLine="547"/>
              <w:jc w:val="both"/>
              <w:rPr>
                <w:rFonts w:ascii="Times New Roman" w:hAnsi="Times New Roman"/>
                <w:sz w:val="24"/>
                <w:szCs w:val="24"/>
                <w:lang w:val="lv-LV"/>
              </w:rPr>
            </w:pPr>
            <w:r>
              <w:rPr>
                <w:rFonts w:ascii="Times New Roman" w:hAnsi="Times New Roman"/>
                <w:sz w:val="24"/>
                <w:szCs w:val="24"/>
                <w:lang w:val="lv-LV"/>
              </w:rPr>
              <w:t>p</w:t>
            </w:r>
            <w:r w:rsidRPr="004E38C7">
              <w:rPr>
                <w:rFonts w:ascii="Times New Roman" w:hAnsi="Times New Roman"/>
                <w:sz w:val="24"/>
                <w:szCs w:val="24"/>
                <w:lang w:val="lv-LV"/>
              </w:rPr>
              <w:t xml:space="preserve">ieņemt zināšanai, ka precizētā valsts pamatbudžeta ieņēmumu prognoze no naudas sodiem, ko uzliek Valsts policija par pārkāpumiem ceļu satiksmē, kas fiksēti ar </w:t>
            </w:r>
            <w:r>
              <w:rPr>
                <w:rFonts w:ascii="Times New Roman" w:hAnsi="Times New Roman"/>
                <w:sz w:val="24"/>
                <w:szCs w:val="24"/>
                <w:lang w:val="lv-LV"/>
              </w:rPr>
              <w:t>CSDD</w:t>
            </w:r>
            <w:r w:rsidRPr="004E38C7">
              <w:rPr>
                <w:rFonts w:ascii="Times New Roman" w:hAnsi="Times New Roman"/>
                <w:sz w:val="24"/>
                <w:szCs w:val="24"/>
                <w:lang w:val="lv-LV"/>
              </w:rPr>
              <w:t xml:space="preserve"> piederošajiem teh</w:t>
            </w:r>
            <w:r w:rsidR="00EF6AF5">
              <w:rPr>
                <w:rFonts w:ascii="Times New Roman" w:hAnsi="Times New Roman"/>
                <w:sz w:val="24"/>
                <w:szCs w:val="24"/>
                <w:lang w:val="lv-LV"/>
              </w:rPr>
              <w:t>niskajiem līdzekļiem</w:t>
            </w:r>
            <w:r>
              <w:rPr>
                <w:rFonts w:ascii="Times New Roman" w:hAnsi="Times New Roman"/>
                <w:sz w:val="24"/>
                <w:szCs w:val="24"/>
                <w:lang w:val="lv-LV"/>
              </w:rPr>
              <w:t xml:space="preserve">, 2017. gadā ir 7 767 933 </w:t>
            </w:r>
            <w:r w:rsidRPr="004E38C7">
              <w:rPr>
                <w:rFonts w:ascii="Times New Roman" w:hAnsi="Times New Roman"/>
                <w:i/>
                <w:sz w:val="24"/>
                <w:szCs w:val="24"/>
                <w:lang w:val="lv-LV"/>
              </w:rPr>
              <w:t>euro</w:t>
            </w:r>
            <w:r w:rsidRPr="004E38C7">
              <w:rPr>
                <w:rFonts w:ascii="Times New Roman" w:hAnsi="Times New Roman"/>
                <w:sz w:val="24"/>
                <w:szCs w:val="24"/>
                <w:lang w:val="lv-LV"/>
              </w:rPr>
              <w:t xml:space="preserve"> (palielinājums, salīdzinot ar plānoto – 2 971 384 </w:t>
            </w:r>
            <w:r w:rsidRPr="004E38C7">
              <w:rPr>
                <w:rFonts w:ascii="Times New Roman" w:hAnsi="Times New Roman"/>
                <w:i/>
                <w:sz w:val="24"/>
                <w:szCs w:val="24"/>
                <w:lang w:val="lv-LV"/>
              </w:rPr>
              <w:t>euro</w:t>
            </w:r>
            <w:r w:rsidRPr="004E38C7">
              <w:rPr>
                <w:rFonts w:ascii="Times New Roman" w:hAnsi="Times New Roman"/>
                <w:sz w:val="24"/>
                <w:szCs w:val="24"/>
                <w:lang w:val="lv-LV"/>
              </w:rPr>
              <w:t>).</w:t>
            </w:r>
          </w:p>
          <w:p w:rsidR="004E38C7" w:rsidRPr="004E38C7" w:rsidRDefault="004E38C7" w:rsidP="004E38C7">
            <w:pPr>
              <w:pStyle w:val="NoSpacing"/>
              <w:numPr>
                <w:ilvl w:val="0"/>
                <w:numId w:val="27"/>
              </w:numPr>
              <w:ind w:left="0" w:firstLine="547"/>
              <w:jc w:val="both"/>
              <w:rPr>
                <w:rFonts w:ascii="Times New Roman" w:hAnsi="Times New Roman"/>
                <w:sz w:val="24"/>
                <w:szCs w:val="24"/>
                <w:lang w:val="lv-LV"/>
              </w:rPr>
            </w:pPr>
            <w:r>
              <w:rPr>
                <w:rFonts w:ascii="Times New Roman" w:hAnsi="Times New Roman"/>
                <w:sz w:val="24"/>
                <w:szCs w:val="24"/>
                <w:lang w:val="lv-LV"/>
              </w:rPr>
              <w:t xml:space="preserve"> j</w:t>
            </w:r>
            <w:r w:rsidRPr="004E38C7">
              <w:rPr>
                <w:rFonts w:ascii="Times New Roman" w:hAnsi="Times New Roman"/>
                <w:sz w:val="24"/>
                <w:szCs w:val="24"/>
                <w:lang w:val="lv-LV"/>
              </w:rPr>
              <w:t xml:space="preserve">a saistībā ar valsts pamatbudžeta ieņēmumu palielinājumu 2017. gadā palielinās </w:t>
            </w:r>
            <w:r>
              <w:rPr>
                <w:rFonts w:ascii="Times New Roman" w:hAnsi="Times New Roman"/>
                <w:sz w:val="24"/>
                <w:szCs w:val="24"/>
                <w:lang w:val="lv-LV"/>
              </w:rPr>
              <w:t>CSDD</w:t>
            </w:r>
            <w:r w:rsidRPr="004E38C7">
              <w:rPr>
                <w:rFonts w:ascii="Times New Roman" w:hAnsi="Times New Roman"/>
                <w:sz w:val="24"/>
                <w:szCs w:val="24"/>
                <w:lang w:val="lv-LV"/>
              </w:rPr>
              <w:t xml:space="preserve"> sagatavojamo un nosūtāmo protokolu – lēmumu skaits un ar to saistītie </w:t>
            </w:r>
            <w:r>
              <w:rPr>
                <w:rFonts w:ascii="Times New Roman" w:hAnsi="Times New Roman"/>
                <w:sz w:val="24"/>
                <w:szCs w:val="24"/>
                <w:lang w:val="lv-LV"/>
              </w:rPr>
              <w:t>CSDD</w:t>
            </w:r>
            <w:r w:rsidRPr="004E38C7">
              <w:rPr>
                <w:rFonts w:ascii="Times New Roman" w:hAnsi="Times New Roman"/>
                <w:sz w:val="24"/>
                <w:szCs w:val="24"/>
                <w:lang w:val="lv-LV"/>
              </w:rPr>
              <w:t xml:space="preserve"> izdevumi, noteikt, ka šos izdevumus </w:t>
            </w:r>
            <w:r>
              <w:rPr>
                <w:rFonts w:ascii="Times New Roman" w:hAnsi="Times New Roman"/>
                <w:sz w:val="24"/>
                <w:szCs w:val="24"/>
                <w:lang w:val="lv-LV"/>
              </w:rPr>
              <w:t>CSDD</w:t>
            </w:r>
            <w:r w:rsidRPr="004E38C7">
              <w:rPr>
                <w:rFonts w:ascii="Times New Roman" w:hAnsi="Times New Roman"/>
                <w:sz w:val="24"/>
                <w:szCs w:val="24"/>
                <w:lang w:val="lv-LV"/>
              </w:rPr>
              <w:t xml:space="preserve"> sedz no 2015. gadā un 2016. gadā no valsts budžeta līdzekļiem finansētā fotoradaru nolietojumam atbilstošās summas uzkrājuma. </w:t>
            </w:r>
          </w:p>
          <w:p w:rsidR="004E38C7" w:rsidRPr="004E38C7" w:rsidRDefault="004E38C7" w:rsidP="004E38C7">
            <w:pPr>
              <w:pStyle w:val="NoSpacing"/>
              <w:numPr>
                <w:ilvl w:val="0"/>
                <w:numId w:val="27"/>
              </w:numPr>
              <w:ind w:left="0" w:firstLine="360"/>
              <w:jc w:val="both"/>
              <w:rPr>
                <w:rFonts w:ascii="Times New Roman" w:hAnsi="Times New Roman"/>
                <w:sz w:val="24"/>
                <w:szCs w:val="24"/>
                <w:lang w:val="lv-LV"/>
              </w:rPr>
            </w:pPr>
            <w:r w:rsidRPr="004E38C7">
              <w:rPr>
                <w:rFonts w:ascii="Times New Roman" w:hAnsi="Times New Roman"/>
                <w:sz w:val="24"/>
                <w:szCs w:val="24"/>
                <w:lang w:val="lv-LV"/>
              </w:rPr>
              <w:t>Finanšu ministrijai likumprojektā “Par valsts budžetu 2018. gadam” iekļaut pantu, kas paredz noteikt, ka:</w:t>
            </w:r>
          </w:p>
          <w:p w:rsidR="004E38C7" w:rsidRPr="004E38C7" w:rsidRDefault="004E38C7" w:rsidP="004E38C7">
            <w:pPr>
              <w:pStyle w:val="NoSpacing"/>
              <w:numPr>
                <w:ilvl w:val="0"/>
                <w:numId w:val="27"/>
              </w:numPr>
              <w:ind w:left="714" w:hanging="357"/>
              <w:jc w:val="both"/>
              <w:rPr>
                <w:rFonts w:ascii="Times New Roman" w:hAnsi="Times New Roman"/>
                <w:sz w:val="24"/>
                <w:szCs w:val="24"/>
                <w:lang w:val="lv-LV"/>
              </w:rPr>
            </w:pPr>
            <w:r>
              <w:rPr>
                <w:rFonts w:ascii="Times New Roman" w:hAnsi="Times New Roman"/>
                <w:sz w:val="24"/>
                <w:szCs w:val="24"/>
                <w:lang w:val="lv-LV"/>
              </w:rPr>
              <w:softHyphen/>
            </w:r>
            <w:r w:rsidRPr="004E38C7">
              <w:rPr>
                <w:rFonts w:ascii="Times New Roman" w:hAnsi="Times New Roman"/>
                <w:sz w:val="24"/>
                <w:szCs w:val="24"/>
                <w:lang w:val="lv-LV"/>
              </w:rPr>
              <w:t xml:space="preserve">gadījumā, ja valsts pamatbudžeta ieņēmumu apmērs no naudas sodiem, ko uzliek Valsts policija par pārkāpumiem ceļu satiksmē, kas fiksēti ar </w:t>
            </w:r>
            <w:r>
              <w:rPr>
                <w:rFonts w:ascii="Times New Roman" w:hAnsi="Times New Roman"/>
                <w:sz w:val="24"/>
                <w:szCs w:val="24"/>
                <w:lang w:val="lv-LV"/>
              </w:rPr>
              <w:t>CSDD</w:t>
            </w:r>
            <w:r w:rsidRPr="004E38C7">
              <w:rPr>
                <w:rFonts w:ascii="Times New Roman" w:hAnsi="Times New Roman"/>
                <w:sz w:val="24"/>
                <w:szCs w:val="24"/>
                <w:lang w:val="lv-LV"/>
              </w:rPr>
              <w:t xml:space="preserve"> piederošajiem tehniskajiem līdzekļiem, pārsniedz plānoto, un saistībā ar to palielinās </w:t>
            </w:r>
            <w:r>
              <w:rPr>
                <w:rFonts w:ascii="Times New Roman" w:hAnsi="Times New Roman"/>
                <w:sz w:val="24"/>
                <w:szCs w:val="24"/>
                <w:lang w:val="lv-LV"/>
              </w:rPr>
              <w:t>CSDD</w:t>
            </w:r>
            <w:r w:rsidRPr="004E38C7">
              <w:rPr>
                <w:rFonts w:ascii="Times New Roman" w:hAnsi="Times New Roman"/>
                <w:sz w:val="24"/>
                <w:szCs w:val="24"/>
                <w:lang w:val="lv-LV"/>
              </w:rPr>
              <w:t xml:space="preserve"> sagatavojamo un nosūtāmo protokolu – lēmumu skaits un ar to saistītie </w:t>
            </w:r>
            <w:r>
              <w:rPr>
                <w:rFonts w:ascii="Times New Roman" w:hAnsi="Times New Roman"/>
                <w:sz w:val="24"/>
                <w:szCs w:val="24"/>
                <w:lang w:val="lv-LV"/>
              </w:rPr>
              <w:t>CSDD</w:t>
            </w:r>
            <w:r w:rsidRPr="004E38C7">
              <w:rPr>
                <w:rFonts w:ascii="Times New Roman" w:hAnsi="Times New Roman"/>
                <w:sz w:val="24"/>
                <w:szCs w:val="24"/>
                <w:lang w:val="lv-LV"/>
              </w:rPr>
              <w:t xml:space="preserve"> izdevumi, Iekšlietu ministrija iesniedz Ministru kabinetam priekšlikumu par attiecīgu apropriācijas palielināšanu, kā arī par valsts pamatbudžeta ieņēmumu palielināšanu, un Ministru kabinets pieņem attiecīgu lēmumu;</w:t>
            </w:r>
          </w:p>
          <w:p w:rsidR="0045200E" w:rsidRPr="00C21F31" w:rsidRDefault="004E38C7" w:rsidP="004E38C7">
            <w:pPr>
              <w:pStyle w:val="tv213"/>
              <w:numPr>
                <w:ilvl w:val="0"/>
                <w:numId w:val="27"/>
              </w:numPr>
              <w:spacing w:before="0" w:beforeAutospacing="0" w:after="0" w:afterAutospacing="0"/>
              <w:ind w:left="714" w:hanging="357"/>
              <w:jc w:val="both"/>
            </w:pPr>
            <w:r>
              <w:t>f</w:t>
            </w:r>
            <w:r w:rsidRPr="004E38C7">
              <w:t xml:space="preserve">inanšu ministram ir tiesības atbilstoši Ministru kabineta lēmumam, pirms tam informējot Saeimu, palielināt apropriāciju Iekšlietu ministrijai, paredzot papildu dotāciju no vispārējiem ieņēmumiem un izdevumus, kā arī palielināt valsts budžeta ieņēmumus no naudas sodiem, ko uzliek Valsts policija par pārkāpumiem ceļu satiksmē, kas fiksēti ar </w:t>
            </w:r>
            <w:r>
              <w:t>CSDD</w:t>
            </w:r>
            <w:r w:rsidRPr="004E38C7">
              <w:t xml:space="preserve"> piederošajiem tehniskajiem līdzekļiem. Apropriāciju Iekšlietu ministrijai un valsts pamatbudžeta ieņēmumus no naudas sodiem atļauts palielināt, ja Saeimas Budžeta un finanšu (nodokļu) komisija piecu darba dienu laikā no attiecīgās informācijas saņemšanas nav iebildusi pret to</w:t>
            </w:r>
            <w:r>
              <w:rPr>
                <w:sz w:val="28"/>
                <w:szCs w:val="28"/>
              </w:rPr>
              <w:t>.</w:t>
            </w:r>
          </w:p>
        </w:tc>
      </w:tr>
    </w:tbl>
    <w:p w:rsidR="007F6B1C" w:rsidRDefault="007F6B1C" w:rsidP="007F6B1C">
      <w:pPr>
        <w:spacing w:after="0" w:line="240" w:lineRule="auto"/>
        <w:rPr>
          <w:rFonts w:ascii="Times New Roman" w:hAnsi="Times New Roman" w:cs="Times New Roman"/>
          <w:color w:val="7030A0"/>
          <w:sz w:val="24"/>
          <w:szCs w:val="24"/>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056"/>
      </w:tblGrid>
      <w:tr w:rsidR="00E052EE" w:rsidRPr="005128C9" w:rsidTr="0081606D">
        <w:trPr>
          <w:trHeight w:val="461"/>
          <w:jc w:val="center"/>
        </w:trPr>
        <w:tc>
          <w:tcPr>
            <w:tcW w:w="9254" w:type="dxa"/>
            <w:gridSpan w:val="3"/>
            <w:vAlign w:val="center"/>
          </w:tcPr>
          <w:p w:rsidR="00E052EE" w:rsidRPr="005128C9" w:rsidRDefault="00E052EE" w:rsidP="0081606D">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E052EE" w:rsidRPr="005128C9" w:rsidTr="0081606D">
        <w:trPr>
          <w:jc w:val="center"/>
        </w:trPr>
        <w:tc>
          <w:tcPr>
            <w:tcW w:w="470" w:type="dxa"/>
          </w:tcPr>
          <w:p w:rsidR="00E052EE" w:rsidRPr="005128C9" w:rsidRDefault="00E052EE" w:rsidP="0081606D">
            <w:pPr>
              <w:pStyle w:val="naiskr"/>
              <w:tabs>
                <w:tab w:val="left" w:pos="2628"/>
              </w:tabs>
              <w:spacing w:before="0" w:beforeAutospacing="0" w:after="0" w:afterAutospacing="0"/>
              <w:jc w:val="both"/>
              <w:rPr>
                <w:iCs/>
              </w:rPr>
            </w:pPr>
            <w:r w:rsidRPr="005128C9">
              <w:rPr>
                <w:iCs/>
              </w:rPr>
              <w:t>1.</w:t>
            </w:r>
          </w:p>
        </w:tc>
        <w:tc>
          <w:tcPr>
            <w:tcW w:w="2728" w:type="dxa"/>
          </w:tcPr>
          <w:p w:rsidR="00E052EE" w:rsidRPr="005128C9" w:rsidRDefault="00E052EE" w:rsidP="0081606D">
            <w:pPr>
              <w:pStyle w:val="naiskr"/>
              <w:tabs>
                <w:tab w:val="left" w:pos="2628"/>
              </w:tabs>
              <w:spacing w:before="0" w:beforeAutospacing="0" w:after="0" w:afterAutospacing="0"/>
              <w:jc w:val="both"/>
              <w:rPr>
                <w:iCs/>
              </w:rPr>
            </w:pPr>
            <w:r w:rsidRPr="005128C9">
              <w:t>Nepieciešamie saistītie tiesību aktu projekti</w:t>
            </w:r>
          </w:p>
        </w:tc>
        <w:tc>
          <w:tcPr>
            <w:tcW w:w="6056" w:type="dxa"/>
          </w:tcPr>
          <w:p w:rsidR="003030E6" w:rsidRDefault="00675A2B" w:rsidP="00301953">
            <w:pPr>
              <w:pStyle w:val="tv213"/>
              <w:spacing w:before="0" w:beforeAutospacing="0" w:after="0" w:afterAutospacing="0"/>
              <w:jc w:val="both"/>
            </w:pPr>
            <w:r>
              <w:t xml:space="preserve">1. </w:t>
            </w:r>
            <w:r w:rsidR="003030E6" w:rsidRPr="003030E6">
              <w:t xml:space="preserve">Ministru kabineta </w:t>
            </w:r>
            <w:r w:rsidR="003030E6">
              <w:t xml:space="preserve">lēmums par </w:t>
            </w:r>
            <w:r w:rsidR="00B73499">
              <w:t>CSDD</w:t>
            </w:r>
            <w:r w:rsidR="005E4A76">
              <w:t xml:space="preserve"> 2016. gada peļņas novirzīšanu tehnisko līdzekļu (fotoradaru) iegādei.</w:t>
            </w:r>
            <w:r w:rsidR="005B7A60">
              <w:t xml:space="preserve"> Lai nodrošinātu 40 tehnisko līdzekļu (fotoradaru) iegādi 2018.</w:t>
            </w:r>
            <w:r w:rsidR="00B73499">
              <w:t xml:space="preserve"> </w:t>
            </w:r>
            <w:r w:rsidR="005B7A60">
              <w:t>gadā</w:t>
            </w:r>
            <w:r w:rsidR="00B73499">
              <w:t>,</w:t>
            </w:r>
            <w:r w:rsidR="005B7A60">
              <w:t xml:space="preserve"> nepieciešams Ministra kabineta lēmums par </w:t>
            </w:r>
            <w:r w:rsidR="00B73499">
              <w:t xml:space="preserve">peļņas (peļņas daļas) novirzīšanu. </w:t>
            </w:r>
          </w:p>
          <w:p w:rsidR="00E052EE" w:rsidRPr="005128C9" w:rsidRDefault="00F7197B" w:rsidP="00704D9C">
            <w:pPr>
              <w:pStyle w:val="tv213"/>
              <w:spacing w:before="0" w:beforeAutospacing="0" w:after="0" w:afterAutospacing="0"/>
              <w:jc w:val="both"/>
              <w:rPr>
                <w:color w:val="000000"/>
              </w:rPr>
            </w:pPr>
            <w:r>
              <w:t>2. Ministru kabineta rīkojuma projekts “Grozījumi Ministru kabineta 2015. gada 16. novembra rīkojumā Nr. 719 “Par finansējuma piešķiršanu Iekšlietu ministrijai pasākumiem, kas saistīti ar ceļu satiksmes uzraudzības uzlabošanu””</w:t>
            </w:r>
            <w:r w:rsidR="005B7A60">
              <w:t xml:space="preserve">, jo tajā arī atspoguļoti izdevumi, kas saistīti ar rīkojuma projekta īstenošanu (atlīdzība, tehniskais parīkojums, telpu nodrošinājums). </w:t>
            </w:r>
          </w:p>
        </w:tc>
      </w:tr>
      <w:tr w:rsidR="00E052EE" w:rsidRPr="005128C9" w:rsidTr="0081606D">
        <w:trPr>
          <w:jc w:val="center"/>
        </w:trPr>
        <w:tc>
          <w:tcPr>
            <w:tcW w:w="470" w:type="dxa"/>
          </w:tcPr>
          <w:p w:rsidR="00E052EE" w:rsidRPr="005128C9" w:rsidRDefault="00E052EE" w:rsidP="0081606D">
            <w:pPr>
              <w:pStyle w:val="naiskr"/>
              <w:tabs>
                <w:tab w:val="left" w:pos="2628"/>
              </w:tabs>
              <w:spacing w:before="0" w:beforeAutospacing="0" w:after="0" w:afterAutospacing="0"/>
              <w:jc w:val="both"/>
              <w:rPr>
                <w:iCs/>
              </w:rPr>
            </w:pPr>
            <w:r w:rsidRPr="005128C9">
              <w:rPr>
                <w:iCs/>
              </w:rPr>
              <w:t>2.</w:t>
            </w:r>
          </w:p>
        </w:tc>
        <w:tc>
          <w:tcPr>
            <w:tcW w:w="2728" w:type="dxa"/>
          </w:tcPr>
          <w:p w:rsidR="00E052EE" w:rsidRPr="005128C9" w:rsidRDefault="00E052EE" w:rsidP="0081606D">
            <w:pPr>
              <w:pStyle w:val="naiskr"/>
              <w:tabs>
                <w:tab w:val="left" w:pos="2628"/>
              </w:tabs>
              <w:spacing w:before="0" w:beforeAutospacing="0" w:after="0" w:afterAutospacing="0"/>
              <w:jc w:val="both"/>
            </w:pPr>
            <w:r w:rsidRPr="005128C9">
              <w:t>Atbildīgā institūcija</w:t>
            </w:r>
          </w:p>
        </w:tc>
        <w:tc>
          <w:tcPr>
            <w:tcW w:w="6056" w:type="dxa"/>
          </w:tcPr>
          <w:p w:rsidR="003030E6" w:rsidRDefault="00675A2B" w:rsidP="008160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030E6">
              <w:rPr>
                <w:rFonts w:ascii="Times New Roman" w:hAnsi="Times New Roman" w:cs="Times New Roman"/>
                <w:sz w:val="24"/>
                <w:szCs w:val="24"/>
              </w:rPr>
              <w:t>Satiksmes ministrija.</w:t>
            </w:r>
          </w:p>
          <w:p w:rsidR="00E052EE" w:rsidRPr="005128C9" w:rsidRDefault="00F7197B" w:rsidP="00704D9C">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lastRenderedPageBreak/>
              <w:t xml:space="preserve">2. Iekšlietu ministrija. </w:t>
            </w:r>
          </w:p>
        </w:tc>
      </w:tr>
      <w:tr w:rsidR="00E052EE" w:rsidRPr="005128C9" w:rsidTr="0081606D">
        <w:trPr>
          <w:jc w:val="center"/>
        </w:trPr>
        <w:tc>
          <w:tcPr>
            <w:tcW w:w="470" w:type="dxa"/>
          </w:tcPr>
          <w:p w:rsidR="00E052EE" w:rsidRPr="005128C9" w:rsidRDefault="00E052EE" w:rsidP="0081606D">
            <w:pPr>
              <w:pStyle w:val="naiskr"/>
              <w:tabs>
                <w:tab w:val="left" w:pos="2628"/>
              </w:tabs>
              <w:spacing w:before="0" w:beforeAutospacing="0" w:after="0" w:afterAutospacing="0"/>
              <w:jc w:val="both"/>
              <w:rPr>
                <w:iCs/>
              </w:rPr>
            </w:pPr>
            <w:r w:rsidRPr="005128C9">
              <w:rPr>
                <w:iCs/>
              </w:rPr>
              <w:lastRenderedPageBreak/>
              <w:t>3.</w:t>
            </w:r>
          </w:p>
        </w:tc>
        <w:tc>
          <w:tcPr>
            <w:tcW w:w="2728" w:type="dxa"/>
          </w:tcPr>
          <w:p w:rsidR="00E052EE" w:rsidRPr="005128C9" w:rsidRDefault="00E052EE" w:rsidP="0081606D">
            <w:pPr>
              <w:pStyle w:val="naiskr"/>
              <w:tabs>
                <w:tab w:val="left" w:pos="2628"/>
              </w:tabs>
              <w:spacing w:before="0" w:beforeAutospacing="0" w:after="0" w:afterAutospacing="0"/>
              <w:jc w:val="both"/>
              <w:rPr>
                <w:iCs/>
              </w:rPr>
            </w:pPr>
            <w:r w:rsidRPr="005128C9">
              <w:t>Cita informācija</w:t>
            </w:r>
          </w:p>
        </w:tc>
        <w:tc>
          <w:tcPr>
            <w:tcW w:w="6056" w:type="dxa"/>
          </w:tcPr>
          <w:p w:rsidR="00E052EE" w:rsidRPr="005128C9" w:rsidRDefault="00E052EE" w:rsidP="0081606D">
            <w:pPr>
              <w:pStyle w:val="naiskr"/>
              <w:tabs>
                <w:tab w:val="left" w:pos="2628"/>
              </w:tabs>
              <w:spacing w:before="0" w:beforeAutospacing="0" w:after="0" w:afterAutospacing="0"/>
              <w:jc w:val="both"/>
              <w:rPr>
                <w:iCs/>
              </w:rPr>
            </w:pPr>
            <w:r>
              <w:rPr>
                <w:iCs/>
              </w:rPr>
              <w:t>Nav.</w:t>
            </w:r>
          </w:p>
        </w:tc>
      </w:tr>
    </w:tbl>
    <w:p w:rsidR="00E052EE" w:rsidRDefault="00E052EE" w:rsidP="007F6B1C">
      <w:pPr>
        <w:spacing w:after="0" w:line="240" w:lineRule="auto"/>
        <w:rPr>
          <w:rFonts w:ascii="Times New Roman" w:hAnsi="Times New Roman" w:cs="Times New Roman"/>
          <w:sz w:val="24"/>
          <w:szCs w:val="24"/>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3615"/>
        <w:gridCol w:w="5244"/>
      </w:tblGrid>
      <w:tr w:rsidR="007F6B1C" w:rsidRPr="005128C9" w:rsidTr="00043787">
        <w:trPr>
          <w:trHeight w:val="381"/>
          <w:jc w:val="center"/>
        </w:trPr>
        <w:tc>
          <w:tcPr>
            <w:tcW w:w="9443" w:type="dxa"/>
            <w:gridSpan w:val="3"/>
            <w:vAlign w:val="center"/>
          </w:tcPr>
          <w:p w:rsidR="007F6B1C" w:rsidRPr="005128C9" w:rsidRDefault="007F6B1C" w:rsidP="006A32EF">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7F6B1C" w:rsidRPr="005128C9" w:rsidTr="00043787">
        <w:trPr>
          <w:trHeight w:val="427"/>
          <w:jc w:val="center"/>
        </w:trPr>
        <w:tc>
          <w:tcPr>
            <w:tcW w:w="584" w:type="dxa"/>
          </w:tcPr>
          <w:p w:rsidR="007F6B1C" w:rsidRPr="005128C9" w:rsidRDefault="007F6B1C" w:rsidP="006A32EF">
            <w:pPr>
              <w:pStyle w:val="naisnod"/>
              <w:spacing w:before="0" w:beforeAutospacing="0" w:after="0" w:afterAutospacing="0"/>
              <w:ind w:left="57" w:right="57"/>
              <w:jc w:val="both"/>
            </w:pPr>
            <w:r w:rsidRPr="005128C9">
              <w:t>1.</w:t>
            </w:r>
          </w:p>
        </w:tc>
        <w:tc>
          <w:tcPr>
            <w:tcW w:w="3615" w:type="dxa"/>
          </w:tcPr>
          <w:p w:rsidR="007F6B1C" w:rsidRPr="005128C9" w:rsidRDefault="007F6B1C" w:rsidP="006A32EF">
            <w:pPr>
              <w:pStyle w:val="naisf"/>
              <w:spacing w:before="0" w:beforeAutospacing="0" w:after="0" w:afterAutospacing="0"/>
              <w:ind w:left="57" w:right="57"/>
            </w:pPr>
            <w:r w:rsidRPr="005128C9">
              <w:t>Projekta izpildē iesaistītās institūcijas</w:t>
            </w:r>
          </w:p>
        </w:tc>
        <w:tc>
          <w:tcPr>
            <w:tcW w:w="5244" w:type="dxa"/>
          </w:tcPr>
          <w:p w:rsidR="007F6B1C" w:rsidRPr="00793F29" w:rsidRDefault="00F35F3D" w:rsidP="00C73FF2">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rPr>
              <w:t xml:space="preserve">Valsts policija, </w:t>
            </w:r>
            <w:r w:rsidR="00793F29" w:rsidRPr="00793F29">
              <w:rPr>
                <w:rFonts w:ascii="Times New Roman" w:hAnsi="Times New Roman" w:cs="Times New Roman"/>
                <w:sz w:val="24"/>
                <w:szCs w:val="24"/>
              </w:rPr>
              <w:t>Iekšlietu m</w:t>
            </w:r>
            <w:r>
              <w:rPr>
                <w:rFonts w:ascii="Times New Roman" w:hAnsi="Times New Roman" w:cs="Times New Roman"/>
                <w:sz w:val="24"/>
                <w:szCs w:val="24"/>
              </w:rPr>
              <w:t>inistrijas Informācijas centrs</w:t>
            </w:r>
            <w:r w:rsidR="00AE571C">
              <w:rPr>
                <w:rFonts w:ascii="Times New Roman" w:hAnsi="Times New Roman" w:cs="Times New Roman"/>
                <w:sz w:val="24"/>
                <w:szCs w:val="24"/>
              </w:rPr>
              <w:t xml:space="preserve">, </w:t>
            </w:r>
            <w:r w:rsidR="00C73FF2">
              <w:rPr>
                <w:rFonts w:ascii="Times New Roman" w:hAnsi="Times New Roman" w:cs="Times New Roman"/>
                <w:sz w:val="24"/>
                <w:szCs w:val="24"/>
              </w:rPr>
              <w:t>CSDD.</w:t>
            </w:r>
          </w:p>
        </w:tc>
      </w:tr>
      <w:tr w:rsidR="007F6B1C" w:rsidRPr="005128C9" w:rsidTr="00043787">
        <w:trPr>
          <w:trHeight w:val="463"/>
          <w:jc w:val="center"/>
        </w:trPr>
        <w:tc>
          <w:tcPr>
            <w:tcW w:w="584" w:type="dxa"/>
          </w:tcPr>
          <w:p w:rsidR="007F6B1C" w:rsidRPr="005128C9" w:rsidRDefault="007F6B1C" w:rsidP="006A32EF">
            <w:pPr>
              <w:pStyle w:val="naisnod"/>
              <w:spacing w:before="0" w:beforeAutospacing="0" w:after="0" w:afterAutospacing="0"/>
              <w:ind w:left="57" w:right="57"/>
              <w:jc w:val="both"/>
            </w:pPr>
            <w:r w:rsidRPr="005128C9">
              <w:t>2.</w:t>
            </w:r>
          </w:p>
        </w:tc>
        <w:tc>
          <w:tcPr>
            <w:tcW w:w="3615" w:type="dxa"/>
          </w:tcPr>
          <w:p w:rsidR="007F6B1C" w:rsidRPr="005128C9" w:rsidRDefault="007F6B1C" w:rsidP="006A32EF">
            <w:pPr>
              <w:pStyle w:val="naisf"/>
              <w:spacing w:before="0" w:beforeAutospacing="0" w:after="0" w:afterAutospacing="0"/>
              <w:ind w:left="57" w:right="57"/>
            </w:pPr>
            <w:r w:rsidRPr="005128C9">
              <w:t>Projekta izpildes ietekme uz pār</w:t>
            </w:r>
            <w:r w:rsidRPr="005128C9">
              <w:softHyphen/>
              <w:t>valdes funkcijām un institucionālo struktūru.</w:t>
            </w:r>
          </w:p>
          <w:p w:rsidR="007F6B1C" w:rsidRPr="005128C9" w:rsidRDefault="007F6B1C" w:rsidP="006A32EF">
            <w:pPr>
              <w:pStyle w:val="naisf"/>
              <w:spacing w:before="0" w:beforeAutospacing="0" w:after="0" w:afterAutospacing="0"/>
              <w:ind w:left="57" w:right="57"/>
            </w:pPr>
            <w:r w:rsidRPr="005128C9">
              <w:t>Jaunu institūciju izveide, esošu institūciju likvidācija vai reorga</w:t>
            </w:r>
            <w:r w:rsidRPr="005128C9">
              <w:softHyphen/>
              <w:t>nizācija, to ietekme uz institūcijas cilvēkresursiem.</w:t>
            </w:r>
          </w:p>
        </w:tc>
        <w:tc>
          <w:tcPr>
            <w:tcW w:w="5244" w:type="dxa"/>
          </w:tcPr>
          <w:p w:rsidR="007F6B1C" w:rsidRPr="005128C9" w:rsidRDefault="00C73FF2" w:rsidP="006A32EF">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Skatīt anotācijas 1.pielikumu.</w:t>
            </w:r>
          </w:p>
        </w:tc>
      </w:tr>
      <w:tr w:rsidR="007F6B1C" w:rsidRPr="005128C9" w:rsidTr="00043787">
        <w:trPr>
          <w:trHeight w:val="402"/>
          <w:jc w:val="center"/>
        </w:trPr>
        <w:tc>
          <w:tcPr>
            <w:tcW w:w="584" w:type="dxa"/>
            <w:tcBorders>
              <w:top w:val="single" w:sz="4" w:space="0" w:color="auto"/>
              <w:left w:val="single" w:sz="4" w:space="0" w:color="auto"/>
              <w:bottom w:val="single" w:sz="4" w:space="0" w:color="auto"/>
              <w:right w:val="single" w:sz="4" w:space="0" w:color="auto"/>
            </w:tcBorders>
          </w:tcPr>
          <w:p w:rsidR="007F6B1C" w:rsidRPr="005128C9" w:rsidRDefault="007F6B1C" w:rsidP="006A32EF">
            <w:pPr>
              <w:pStyle w:val="naisnod"/>
              <w:spacing w:before="0" w:beforeAutospacing="0" w:after="0" w:afterAutospacing="0"/>
              <w:ind w:left="57" w:right="57"/>
              <w:jc w:val="both"/>
            </w:pPr>
            <w:r w:rsidRPr="005128C9">
              <w:t>3.</w:t>
            </w:r>
          </w:p>
        </w:tc>
        <w:tc>
          <w:tcPr>
            <w:tcW w:w="3615" w:type="dxa"/>
            <w:tcBorders>
              <w:top w:val="single" w:sz="4" w:space="0" w:color="auto"/>
              <w:left w:val="single" w:sz="4" w:space="0" w:color="auto"/>
              <w:bottom w:val="single" w:sz="4" w:space="0" w:color="auto"/>
              <w:right w:val="single" w:sz="4" w:space="0" w:color="auto"/>
            </w:tcBorders>
          </w:tcPr>
          <w:p w:rsidR="007F6B1C" w:rsidRPr="005128C9" w:rsidRDefault="007F6B1C" w:rsidP="006A32EF">
            <w:pPr>
              <w:pStyle w:val="naisf"/>
              <w:spacing w:before="0" w:beforeAutospacing="0" w:after="0" w:afterAutospacing="0"/>
              <w:ind w:left="57" w:right="57"/>
            </w:pPr>
            <w:r w:rsidRPr="005128C9">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5128C9" w:rsidRDefault="00793F29" w:rsidP="006A32EF">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A85A6B" w:rsidRDefault="00A85A6B" w:rsidP="005128C9">
      <w:pPr>
        <w:pStyle w:val="naisf"/>
        <w:spacing w:before="0" w:beforeAutospacing="0" w:after="0" w:afterAutospacing="0"/>
      </w:pPr>
    </w:p>
    <w:p w:rsidR="005128C9" w:rsidRPr="005128C9" w:rsidRDefault="00E052EE" w:rsidP="005128C9">
      <w:pPr>
        <w:pStyle w:val="naisf"/>
        <w:spacing w:before="0" w:beforeAutospacing="0" w:after="0" w:afterAutospacing="0"/>
      </w:pPr>
      <w:r>
        <w:t xml:space="preserve">Anotācijas II, </w:t>
      </w:r>
      <w:r w:rsidR="00A85F0F">
        <w:t>V un</w:t>
      </w:r>
      <w:r w:rsidR="005128C9" w:rsidRPr="001204D1">
        <w:t xml:space="preserve"> </w:t>
      </w:r>
      <w:r w:rsidR="005128C9" w:rsidRPr="001204D1">
        <w:rPr>
          <w:bCs/>
        </w:rPr>
        <w:t xml:space="preserve">VI </w:t>
      </w:r>
      <w:r w:rsidR="005128C9" w:rsidRPr="001204D1">
        <w:t>sadaļa</w:t>
      </w:r>
      <w:r w:rsidR="005128C9" w:rsidRPr="005128C9">
        <w:t xml:space="preserve"> – projekts šīs jomas neskar.</w:t>
      </w:r>
    </w:p>
    <w:p w:rsidR="005128C9" w:rsidRDefault="005128C9" w:rsidP="005128C9">
      <w:pPr>
        <w:spacing w:after="0" w:line="240" w:lineRule="auto"/>
        <w:ind w:left="283" w:firstLine="437"/>
        <w:rPr>
          <w:rFonts w:ascii="Times New Roman" w:hAnsi="Times New Roman" w:cs="Times New Roman"/>
          <w:sz w:val="28"/>
          <w:szCs w:val="28"/>
        </w:rPr>
      </w:pPr>
    </w:p>
    <w:p w:rsidR="002B6B78" w:rsidRDefault="002B6B78" w:rsidP="005128C9">
      <w:pPr>
        <w:spacing w:after="0" w:line="240" w:lineRule="auto"/>
        <w:ind w:left="283" w:firstLine="437"/>
        <w:rPr>
          <w:rFonts w:ascii="Times New Roman" w:hAnsi="Times New Roman" w:cs="Times New Roman"/>
          <w:sz w:val="28"/>
          <w:szCs w:val="28"/>
        </w:rPr>
      </w:pPr>
    </w:p>
    <w:p w:rsidR="005128C9" w:rsidRPr="005128C9" w:rsidRDefault="00577B1B" w:rsidP="00BE7D63">
      <w:pPr>
        <w:tabs>
          <w:tab w:val="left" w:pos="6663"/>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sidR="00BE7D63">
        <w:rPr>
          <w:rFonts w:ascii="Times New Roman" w:hAnsi="Times New Roman" w:cs="Times New Roman"/>
          <w:sz w:val="28"/>
          <w:szCs w:val="28"/>
        </w:rPr>
        <w:t xml:space="preserve">Rihards </w:t>
      </w:r>
      <w:r w:rsidR="005128C9" w:rsidRPr="005128C9">
        <w:rPr>
          <w:rFonts w:ascii="Times New Roman" w:hAnsi="Times New Roman" w:cs="Times New Roman"/>
          <w:sz w:val="28"/>
          <w:szCs w:val="28"/>
        </w:rPr>
        <w:t>Kozlovskis</w:t>
      </w:r>
    </w:p>
    <w:p w:rsidR="005128C9" w:rsidRPr="005128C9" w:rsidRDefault="005128C9" w:rsidP="005128C9">
      <w:pPr>
        <w:spacing w:after="0" w:line="240" w:lineRule="auto"/>
        <w:rPr>
          <w:rFonts w:ascii="Times New Roman" w:hAnsi="Times New Roman" w:cs="Times New Roman"/>
          <w:sz w:val="28"/>
          <w:szCs w:val="28"/>
        </w:rPr>
      </w:pP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p>
    <w:p w:rsidR="009430FC" w:rsidRPr="000A6D23" w:rsidRDefault="000A6D23" w:rsidP="000A6D23">
      <w:pPr>
        <w:tabs>
          <w:tab w:val="left" w:pos="6663"/>
        </w:tabs>
        <w:spacing w:after="0" w:line="240" w:lineRule="auto"/>
        <w:rPr>
          <w:rFonts w:ascii="Times New Roman" w:hAnsi="Times New Roman" w:cs="Times New Roman"/>
          <w:sz w:val="28"/>
          <w:szCs w:val="28"/>
        </w:rPr>
      </w:pPr>
      <w:r w:rsidRPr="000A6D23">
        <w:rPr>
          <w:rFonts w:ascii="Times New Roman" w:hAnsi="Times New Roman" w:cs="Times New Roman"/>
          <w:sz w:val="28"/>
          <w:szCs w:val="28"/>
        </w:rPr>
        <w:t xml:space="preserve">Vīza: valsts sekretāra pienākumu izpildītājs </w:t>
      </w:r>
      <w:r w:rsidRPr="000A6D23">
        <w:rPr>
          <w:rFonts w:ascii="Times New Roman" w:hAnsi="Times New Roman" w:cs="Times New Roman"/>
          <w:sz w:val="28"/>
          <w:szCs w:val="28"/>
        </w:rPr>
        <w:tab/>
        <w:t>Dimitrijs Trofimovs</w:t>
      </w:r>
    </w:p>
    <w:p w:rsidR="00A62DA8" w:rsidRDefault="00A62DA8"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bookmarkStart w:id="4" w:name="_GoBack"/>
      <w:bookmarkEnd w:id="4"/>
    </w:p>
    <w:p w:rsidR="00B33C8B" w:rsidRDefault="00B33C8B" w:rsidP="005128C9">
      <w:pPr>
        <w:pStyle w:val="naisf"/>
        <w:spacing w:before="0" w:beforeAutospacing="0" w:after="0" w:afterAutospacing="0"/>
        <w:rPr>
          <w:sz w:val="28"/>
          <w:szCs w:val="28"/>
        </w:rPr>
      </w:pPr>
    </w:p>
    <w:p w:rsidR="009430FC" w:rsidRPr="005128C9" w:rsidRDefault="009430FC" w:rsidP="005128C9">
      <w:pPr>
        <w:pStyle w:val="naisf"/>
        <w:spacing w:before="0" w:beforeAutospacing="0" w:after="0" w:afterAutospacing="0"/>
        <w:rPr>
          <w:sz w:val="28"/>
          <w:szCs w:val="28"/>
        </w:rPr>
      </w:pPr>
    </w:p>
    <w:p w:rsidR="005128C9" w:rsidRPr="005128C9" w:rsidRDefault="005128C9" w:rsidP="005128C9">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EF6AF5">
        <w:rPr>
          <w:noProof/>
          <w:sz w:val="20"/>
          <w:szCs w:val="20"/>
          <w:lang w:val="ru-RU"/>
        </w:rPr>
        <w:t>16.06.2017 12:37</w:t>
      </w:r>
      <w:r w:rsidRPr="005128C9">
        <w:rPr>
          <w:sz w:val="20"/>
          <w:szCs w:val="20"/>
        </w:rPr>
        <w:fldChar w:fldCharType="end"/>
      </w:r>
    </w:p>
    <w:p w:rsidR="005128C9" w:rsidRPr="00D91C88" w:rsidRDefault="005128C9" w:rsidP="005128C9">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763865">
        <w:rPr>
          <w:rFonts w:ascii="Times New Roman" w:hAnsi="Times New Roman" w:cs="Times New Roman"/>
          <w:noProof/>
          <w:sz w:val="20"/>
          <w:szCs w:val="20"/>
        </w:rPr>
        <w:t>2460</w:t>
      </w:r>
      <w:r w:rsidRPr="00D91C88">
        <w:rPr>
          <w:rFonts w:ascii="Times New Roman" w:hAnsi="Times New Roman" w:cs="Times New Roman"/>
          <w:sz w:val="20"/>
          <w:szCs w:val="20"/>
        </w:rPr>
        <w:fldChar w:fldCharType="end"/>
      </w:r>
    </w:p>
    <w:p w:rsidR="00A3364E" w:rsidRPr="00A3364E" w:rsidRDefault="00A3364E" w:rsidP="00A3364E">
      <w:pPr>
        <w:pStyle w:val="naisf"/>
        <w:spacing w:before="0" w:beforeAutospacing="0" w:after="0" w:afterAutospacing="0"/>
        <w:rPr>
          <w:noProof/>
          <w:sz w:val="20"/>
          <w:szCs w:val="20"/>
          <w:lang w:val="en-US"/>
        </w:rPr>
      </w:pPr>
      <w:r w:rsidRPr="00A3364E">
        <w:rPr>
          <w:noProof/>
          <w:sz w:val="20"/>
          <w:szCs w:val="20"/>
          <w:lang w:val="en-US"/>
        </w:rPr>
        <w:t>I.Potjomkina</w:t>
      </w:r>
    </w:p>
    <w:p w:rsidR="007F6B1C" w:rsidRPr="005128C9" w:rsidRDefault="00A3364E" w:rsidP="00AA5D90">
      <w:pPr>
        <w:pStyle w:val="naisf"/>
        <w:spacing w:before="0" w:beforeAutospacing="0" w:after="0" w:afterAutospacing="0"/>
      </w:pPr>
      <w:r w:rsidRPr="00A3364E">
        <w:rPr>
          <w:noProof/>
          <w:sz w:val="20"/>
          <w:szCs w:val="20"/>
          <w:lang w:val="en-US"/>
        </w:rPr>
        <w:t>6721960</w:t>
      </w:r>
      <w:r>
        <w:rPr>
          <w:noProof/>
          <w:sz w:val="20"/>
          <w:szCs w:val="20"/>
        </w:rPr>
        <w:t>6</w:t>
      </w:r>
      <w:r w:rsidRPr="00A3364E">
        <w:rPr>
          <w:noProof/>
          <w:sz w:val="20"/>
          <w:szCs w:val="20"/>
          <w:lang w:val="en-US"/>
        </w:rPr>
        <w:t xml:space="preserve">, </w:t>
      </w:r>
      <w:hyperlink r:id="rId8" w:history="1">
        <w:r w:rsidRPr="008151FC">
          <w:rPr>
            <w:rStyle w:val="Hyperlink"/>
            <w:noProof/>
            <w:color w:val="auto"/>
            <w:sz w:val="20"/>
            <w:szCs w:val="20"/>
            <w:u w:val="none"/>
            <w:lang w:val="en-US"/>
          </w:rPr>
          <w:t>ieva.potjomkina@iem.gov.lv</w:t>
        </w:r>
      </w:hyperlink>
    </w:p>
    <w:sectPr w:rsidR="007F6B1C" w:rsidRPr="005128C9" w:rsidSect="009A31A8">
      <w:headerReference w:type="default" r:id="rId9"/>
      <w:footerReference w:type="default" r:id="rId10"/>
      <w:footerReference w:type="first" r:id="rId11"/>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FF" w:rsidRDefault="00E34AFF" w:rsidP="00A61504">
      <w:pPr>
        <w:spacing w:after="0" w:line="240" w:lineRule="auto"/>
      </w:pPr>
      <w:r>
        <w:separator/>
      </w:r>
    </w:p>
  </w:endnote>
  <w:endnote w:type="continuationSeparator" w:id="0">
    <w:p w:rsidR="00E34AFF" w:rsidRDefault="00E34AFF"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6D" w:rsidRPr="00AA26E2" w:rsidRDefault="0081606D" w:rsidP="00AA26E2">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EF6AF5">
      <w:rPr>
        <w:noProof/>
        <w:sz w:val="18"/>
        <w:szCs w:val="18"/>
      </w:rPr>
      <w:t>IEMAnot_160617_groz382</w:t>
    </w:r>
    <w:r w:rsidRPr="008B5BA6">
      <w:rPr>
        <w:sz w:val="18"/>
        <w:szCs w:val="18"/>
      </w:rPr>
      <w:fldChar w:fldCharType="end"/>
    </w:r>
    <w:r w:rsidRPr="008B5BA6">
      <w:rPr>
        <w:sz w:val="18"/>
        <w:szCs w:val="18"/>
      </w:rPr>
      <w:t xml:space="preserve">; </w:t>
    </w:r>
    <w:r w:rsidRPr="00DA0C9C">
      <w:rPr>
        <w:noProof/>
        <w:sz w:val="18"/>
        <w:szCs w:val="18"/>
      </w:rPr>
      <w:t>Ministru kabineta rīkojuma projekta „Grozījumi Ministru kabineta 2014</w:t>
    </w:r>
    <w:r w:rsidR="00B33C8B">
      <w:rPr>
        <w:noProof/>
        <w:sz w:val="18"/>
        <w:szCs w:val="18"/>
      </w:rPr>
      <w:t xml:space="preserve">. </w:t>
    </w:r>
    <w:r w:rsidRPr="00DA0C9C">
      <w:rPr>
        <w:noProof/>
        <w:sz w:val="18"/>
        <w:szCs w:val="18"/>
      </w:rPr>
      <w:t xml:space="preserve"> gada 29.</w:t>
    </w:r>
    <w:r w:rsidR="00B33C8B">
      <w:rPr>
        <w:noProof/>
        <w:sz w:val="18"/>
        <w:szCs w:val="18"/>
      </w:rPr>
      <w:t xml:space="preserve"> </w:t>
    </w:r>
    <w:r w:rsidRPr="00DA0C9C">
      <w:rPr>
        <w:noProof/>
        <w:sz w:val="18"/>
        <w:szCs w:val="18"/>
      </w:rPr>
      <w:t>jūlija rīkojumā Nr. 382 “Par Iekšlietu ministrijas ilgtermiņa saistībām ceļu satiksmes pārkāpumu fiksēšanas tehnisko līdzekļu (fotoradaru) darbības nodrošināšanai”</w:t>
    </w:r>
    <w:r>
      <w:rPr>
        <w:noProof/>
        <w:sz w:val="18"/>
        <w:szCs w:val="18"/>
      </w:rPr>
      <w:t xml:space="preserve"> </w:t>
    </w:r>
    <w:r w:rsidRPr="00DA0C9C">
      <w:rPr>
        <w:noProof/>
        <w:sz w:val="18"/>
        <w:szCs w:val="18"/>
      </w:rPr>
      <w:t xml:space="preserve">sākotnējās ietekmes novērtējuma </w:t>
    </w:r>
    <w:smartTag w:uri="schemas-tilde-lv/tildestengine" w:element="veidnes">
      <w:smartTagPr>
        <w:attr w:name="id" w:val="-1"/>
        <w:attr w:name="baseform" w:val="ziņojums"/>
        <w:attr w:name="text" w:val="ziņojums"/>
      </w:smartTagPr>
      <w:r w:rsidRPr="00DA0C9C">
        <w:rPr>
          <w:noProof/>
          <w:sz w:val="18"/>
          <w:szCs w:val="18"/>
        </w:rPr>
        <w:t>ziņojums</w:t>
      </w:r>
    </w:smartTag>
    <w:r w:rsidRPr="00DA0C9C">
      <w:rPr>
        <w:noProof/>
        <w:sz w:val="18"/>
        <w:szCs w:val="18"/>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6D" w:rsidRDefault="0081606D" w:rsidP="00DA0C9C">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EF6AF5">
      <w:rPr>
        <w:noProof/>
        <w:sz w:val="18"/>
        <w:szCs w:val="18"/>
      </w:rPr>
      <w:t>IEMAnot_160617_groz382</w:t>
    </w:r>
    <w:r w:rsidRPr="008B5BA6">
      <w:rPr>
        <w:sz w:val="18"/>
        <w:szCs w:val="18"/>
      </w:rPr>
      <w:fldChar w:fldCharType="end"/>
    </w:r>
    <w:r w:rsidRPr="008B5BA6">
      <w:rPr>
        <w:sz w:val="18"/>
        <w:szCs w:val="18"/>
      </w:rPr>
      <w:t xml:space="preserve">; </w:t>
    </w:r>
    <w:r w:rsidRPr="00DA0C9C">
      <w:rPr>
        <w:noProof/>
        <w:sz w:val="18"/>
        <w:szCs w:val="18"/>
      </w:rPr>
      <w:t>Ministru kabineta rīkojuma projekta „Grozījumi Ministru kabineta 2014 gada 29.jūlija rīkojumā Nr. 382 “Par Iekšlietu ministrijas ilgtermiņa saistībām ceļu satiksmes pārkāpumu fiksēšanas tehnisko līdzekļu (fotoradaru) darbības nodrošināšanai”</w:t>
    </w:r>
    <w:r>
      <w:rPr>
        <w:noProof/>
        <w:sz w:val="18"/>
        <w:szCs w:val="18"/>
      </w:rPr>
      <w:t xml:space="preserve"> </w:t>
    </w:r>
    <w:r w:rsidRPr="00DA0C9C">
      <w:rPr>
        <w:noProof/>
        <w:sz w:val="18"/>
        <w:szCs w:val="18"/>
      </w:rPr>
      <w:t xml:space="preserve">sākotnējās ietekmes novērtējuma </w:t>
    </w:r>
    <w:smartTag w:uri="schemas-tilde-lv/tildestengine" w:element="veidnes">
      <w:smartTagPr>
        <w:attr w:name="id" w:val="-1"/>
        <w:attr w:name="baseform" w:val="ziņojums"/>
        <w:attr w:name="text" w:val="ziņojums"/>
      </w:smartTagPr>
      <w:r w:rsidRPr="00DA0C9C">
        <w:rPr>
          <w:noProof/>
          <w:sz w:val="18"/>
          <w:szCs w:val="18"/>
        </w:rPr>
        <w:t>ziņojums</w:t>
      </w:r>
    </w:smartTag>
    <w:r w:rsidRPr="00DA0C9C">
      <w:rPr>
        <w:noProof/>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FF" w:rsidRDefault="00E34AFF" w:rsidP="00A61504">
      <w:pPr>
        <w:spacing w:after="0" w:line="240" w:lineRule="auto"/>
      </w:pPr>
      <w:r>
        <w:separator/>
      </w:r>
    </w:p>
  </w:footnote>
  <w:footnote w:type="continuationSeparator" w:id="0">
    <w:p w:rsidR="00E34AFF" w:rsidRDefault="00E34AFF"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1606D" w:rsidRPr="00855CB7" w:rsidRDefault="0081606D">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763865">
          <w:rPr>
            <w:rFonts w:ascii="Times New Roman" w:hAnsi="Times New Roman" w:cs="Times New Roman"/>
            <w:noProof/>
            <w:sz w:val="20"/>
            <w:szCs w:val="20"/>
          </w:rPr>
          <w:t>8</w:t>
        </w:r>
        <w:r w:rsidRPr="00855CB7">
          <w:rPr>
            <w:rFonts w:ascii="Times New Roman" w:hAnsi="Times New Roman" w:cs="Times New Roman"/>
            <w:noProof/>
            <w:sz w:val="20"/>
            <w:szCs w:val="20"/>
          </w:rPr>
          <w:fldChar w:fldCharType="end"/>
        </w:r>
      </w:p>
    </w:sdtContent>
  </w:sdt>
  <w:p w:rsidR="0081606D" w:rsidRDefault="00816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FD44B3"/>
    <w:multiLevelType w:val="hybridMultilevel"/>
    <w:tmpl w:val="B50C3714"/>
    <w:lvl w:ilvl="0" w:tplc="2FF2A8D8">
      <w:start w:val="1"/>
      <w:numFmt w:val="bullet"/>
      <w:lvlText w:val=""/>
      <w:lvlJc w:val="left"/>
      <w:pPr>
        <w:ind w:left="1068" w:hanging="360"/>
      </w:pPr>
      <w:rPr>
        <w:rFonts w:ascii="Symbol" w:hAnsi="Symbol"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2" w15:restartNumberingAfterBreak="0">
    <w:nsid w:val="10110C7B"/>
    <w:multiLevelType w:val="hybridMultilevel"/>
    <w:tmpl w:val="F9E2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94FA7"/>
    <w:multiLevelType w:val="multilevel"/>
    <w:tmpl w:val="E44E03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1C2B4D"/>
    <w:multiLevelType w:val="hybridMultilevel"/>
    <w:tmpl w:val="DEA0399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B368D5"/>
    <w:multiLevelType w:val="hybridMultilevel"/>
    <w:tmpl w:val="F29E286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A5719C"/>
    <w:multiLevelType w:val="hybridMultilevel"/>
    <w:tmpl w:val="CCAA4D7C"/>
    <w:lvl w:ilvl="0" w:tplc="4D760F14">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C04A18"/>
    <w:multiLevelType w:val="hybridMultilevel"/>
    <w:tmpl w:val="D7A8EFD2"/>
    <w:lvl w:ilvl="0" w:tplc="3FDE950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8" w15:restartNumberingAfterBreak="0">
    <w:nsid w:val="2C84021A"/>
    <w:multiLevelType w:val="hybridMultilevel"/>
    <w:tmpl w:val="9F32AE8A"/>
    <w:lvl w:ilvl="0" w:tplc="2FF2A8D8">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9" w15:restartNumberingAfterBreak="0">
    <w:nsid w:val="2CCA7B99"/>
    <w:multiLevelType w:val="hybridMultilevel"/>
    <w:tmpl w:val="18CA6CAE"/>
    <w:lvl w:ilvl="0" w:tplc="0426000D">
      <w:start w:val="1"/>
      <w:numFmt w:val="bullet"/>
      <w:lvlText w:val=""/>
      <w:lvlJc w:val="left"/>
      <w:pPr>
        <w:ind w:left="1068" w:hanging="360"/>
      </w:pPr>
      <w:rPr>
        <w:rFonts w:ascii="Wingdings" w:hAnsi="Wingdings"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2CE57707"/>
    <w:multiLevelType w:val="hybridMultilevel"/>
    <w:tmpl w:val="28965DC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311915"/>
    <w:multiLevelType w:val="hybridMultilevel"/>
    <w:tmpl w:val="52CA8FA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974053"/>
    <w:multiLevelType w:val="hybridMultilevel"/>
    <w:tmpl w:val="DC100EFC"/>
    <w:lvl w:ilvl="0" w:tplc="2FF2A8D8">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3" w15:restartNumberingAfterBreak="0">
    <w:nsid w:val="354F63D5"/>
    <w:multiLevelType w:val="hybridMultilevel"/>
    <w:tmpl w:val="4320A3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A66277"/>
    <w:multiLevelType w:val="hybridMultilevel"/>
    <w:tmpl w:val="5D2237AC"/>
    <w:lvl w:ilvl="0" w:tplc="2FF2A8D8">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15" w15:restartNumberingAfterBreak="0">
    <w:nsid w:val="3FBB2CDB"/>
    <w:multiLevelType w:val="hybridMultilevel"/>
    <w:tmpl w:val="D7A8EFD2"/>
    <w:lvl w:ilvl="0" w:tplc="3FDE950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6" w15:restartNumberingAfterBreak="0">
    <w:nsid w:val="4AB66768"/>
    <w:multiLevelType w:val="hybridMultilevel"/>
    <w:tmpl w:val="72CA44B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CC3FBF"/>
    <w:multiLevelType w:val="hybridMultilevel"/>
    <w:tmpl w:val="9A786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9006B3"/>
    <w:multiLevelType w:val="hybridMultilevel"/>
    <w:tmpl w:val="7FBAA624"/>
    <w:lvl w:ilvl="0" w:tplc="2FF2A8D8">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9" w15:restartNumberingAfterBreak="0">
    <w:nsid w:val="4BA95BF9"/>
    <w:multiLevelType w:val="hybridMultilevel"/>
    <w:tmpl w:val="61AC7376"/>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67519D2"/>
    <w:multiLevelType w:val="hybridMultilevel"/>
    <w:tmpl w:val="6BE6BDAC"/>
    <w:lvl w:ilvl="0" w:tplc="2FF2A8D8">
      <w:start w:val="1"/>
      <w:numFmt w:val="bullet"/>
      <w:lvlText w:val=""/>
      <w:lvlJc w:val="left"/>
      <w:pPr>
        <w:ind w:left="1204" w:hanging="360"/>
      </w:pPr>
      <w:rPr>
        <w:rFonts w:ascii="Symbol" w:hAnsi="Symbol" w:hint="default"/>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1" w15:restartNumberingAfterBreak="0">
    <w:nsid w:val="65BA6572"/>
    <w:multiLevelType w:val="hybridMultilevel"/>
    <w:tmpl w:val="44F256A0"/>
    <w:lvl w:ilvl="0" w:tplc="2FF2A8D8">
      <w:start w:val="1"/>
      <w:numFmt w:val="bullet"/>
      <w:lvlText w:val=""/>
      <w:lvlJc w:val="left"/>
      <w:pPr>
        <w:ind w:left="1002" w:hanging="360"/>
      </w:pPr>
      <w:rPr>
        <w:rFonts w:ascii="Symbol" w:hAnsi="Symbol"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2" w15:restartNumberingAfterBreak="0">
    <w:nsid w:val="6E643AAC"/>
    <w:multiLevelType w:val="hybridMultilevel"/>
    <w:tmpl w:val="159696B6"/>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6B83508"/>
    <w:multiLevelType w:val="hybridMultilevel"/>
    <w:tmpl w:val="CFC0B050"/>
    <w:lvl w:ilvl="0" w:tplc="4FEEEDA0">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24" w15:restartNumberingAfterBreak="0">
    <w:nsid w:val="7AAF6870"/>
    <w:multiLevelType w:val="hybridMultilevel"/>
    <w:tmpl w:val="CEB6CDDC"/>
    <w:lvl w:ilvl="0" w:tplc="0426000D">
      <w:start w:val="1"/>
      <w:numFmt w:val="bullet"/>
      <w:lvlText w:val=""/>
      <w:lvlJc w:val="left"/>
      <w:pPr>
        <w:ind w:left="1190" w:hanging="360"/>
      </w:pPr>
      <w:rPr>
        <w:rFonts w:ascii="Wingdings" w:hAnsi="Wingdings"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25" w15:restartNumberingAfterBreak="0">
    <w:nsid w:val="7B287D51"/>
    <w:multiLevelType w:val="hybridMultilevel"/>
    <w:tmpl w:val="D4568AB8"/>
    <w:lvl w:ilvl="0" w:tplc="2FF2A8D8">
      <w:start w:val="1"/>
      <w:numFmt w:val="bullet"/>
      <w:lvlText w:val=""/>
      <w:lvlJc w:val="left"/>
      <w:pPr>
        <w:ind w:left="1236" w:hanging="360"/>
      </w:pPr>
      <w:rPr>
        <w:rFonts w:ascii="Symbol" w:hAnsi="Symbol" w:hint="default"/>
      </w:rPr>
    </w:lvl>
    <w:lvl w:ilvl="1" w:tplc="04260003">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26" w15:restartNumberingAfterBreak="0">
    <w:nsid w:val="7BA06F7C"/>
    <w:multiLevelType w:val="hybridMultilevel"/>
    <w:tmpl w:val="9232261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22"/>
  </w:num>
  <w:num w:numId="5">
    <w:abstractNumId w:val="8"/>
  </w:num>
  <w:num w:numId="6">
    <w:abstractNumId w:val="20"/>
  </w:num>
  <w:num w:numId="7">
    <w:abstractNumId w:val="5"/>
  </w:num>
  <w:num w:numId="8">
    <w:abstractNumId w:val="11"/>
  </w:num>
  <w:num w:numId="9">
    <w:abstractNumId w:val="19"/>
  </w:num>
  <w:num w:numId="10">
    <w:abstractNumId w:val="25"/>
  </w:num>
  <w:num w:numId="11">
    <w:abstractNumId w:val="3"/>
  </w:num>
  <w:num w:numId="12">
    <w:abstractNumId w:val="12"/>
  </w:num>
  <w:num w:numId="13">
    <w:abstractNumId w:val="13"/>
  </w:num>
  <w:num w:numId="14">
    <w:abstractNumId w:val="6"/>
  </w:num>
  <w:num w:numId="15">
    <w:abstractNumId w:val="17"/>
  </w:num>
  <w:num w:numId="16">
    <w:abstractNumId w:val="24"/>
  </w:num>
  <w:num w:numId="17">
    <w:abstractNumId w:val="23"/>
  </w:num>
  <w:num w:numId="18">
    <w:abstractNumId w:val="1"/>
  </w:num>
  <w:num w:numId="19">
    <w:abstractNumId w:val="15"/>
  </w:num>
  <w:num w:numId="20">
    <w:abstractNumId w:val="10"/>
  </w:num>
  <w:num w:numId="21">
    <w:abstractNumId w:val="14"/>
  </w:num>
  <w:num w:numId="22">
    <w:abstractNumId w:val="21"/>
  </w:num>
  <w:num w:numId="23">
    <w:abstractNumId w:val="7"/>
  </w:num>
  <w:num w:numId="24">
    <w:abstractNumId w:val="4"/>
  </w:num>
  <w:num w:numId="25">
    <w:abstractNumId w:val="26"/>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12896"/>
    <w:rsid w:val="000151E2"/>
    <w:rsid w:val="00016770"/>
    <w:rsid w:val="00017002"/>
    <w:rsid w:val="00024808"/>
    <w:rsid w:val="00024B05"/>
    <w:rsid w:val="00031DB9"/>
    <w:rsid w:val="00043787"/>
    <w:rsid w:val="0004394C"/>
    <w:rsid w:val="000511F8"/>
    <w:rsid w:val="00054DF4"/>
    <w:rsid w:val="00061364"/>
    <w:rsid w:val="000633DD"/>
    <w:rsid w:val="000671F3"/>
    <w:rsid w:val="0007000B"/>
    <w:rsid w:val="000756F5"/>
    <w:rsid w:val="00075F29"/>
    <w:rsid w:val="000A0997"/>
    <w:rsid w:val="000A25FF"/>
    <w:rsid w:val="000A2CE4"/>
    <w:rsid w:val="000A4C84"/>
    <w:rsid w:val="000A6D23"/>
    <w:rsid w:val="000A7E4D"/>
    <w:rsid w:val="000B35FB"/>
    <w:rsid w:val="000B42F6"/>
    <w:rsid w:val="000C16DB"/>
    <w:rsid w:val="000C1C8B"/>
    <w:rsid w:val="000C2BCE"/>
    <w:rsid w:val="000C3877"/>
    <w:rsid w:val="000C68C9"/>
    <w:rsid w:val="000D58E0"/>
    <w:rsid w:val="000E1939"/>
    <w:rsid w:val="000E1FA9"/>
    <w:rsid w:val="000E3747"/>
    <w:rsid w:val="000E3988"/>
    <w:rsid w:val="000E5D44"/>
    <w:rsid w:val="000F0590"/>
    <w:rsid w:val="000F11B4"/>
    <w:rsid w:val="000F7FE0"/>
    <w:rsid w:val="00106C2F"/>
    <w:rsid w:val="001100ED"/>
    <w:rsid w:val="001103AA"/>
    <w:rsid w:val="00110849"/>
    <w:rsid w:val="0011356C"/>
    <w:rsid w:val="00113A21"/>
    <w:rsid w:val="00115224"/>
    <w:rsid w:val="001204D1"/>
    <w:rsid w:val="0014209F"/>
    <w:rsid w:val="001536C4"/>
    <w:rsid w:val="00153DE3"/>
    <w:rsid w:val="0015426A"/>
    <w:rsid w:val="00154559"/>
    <w:rsid w:val="0015456C"/>
    <w:rsid w:val="0016241F"/>
    <w:rsid w:val="001630B8"/>
    <w:rsid w:val="0017100F"/>
    <w:rsid w:val="00173B0A"/>
    <w:rsid w:val="001752CF"/>
    <w:rsid w:val="00175F96"/>
    <w:rsid w:val="001773C5"/>
    <w:rsid w:val="0018161D"/>
    <w:rsid w:val="00197508"/>
    <w:rsid w:val="001A41E0"/>
    <w:rsid w:val="001C2310"/>
    <w:rsid w:val="001E05DE"/>
    <w:rsid w:val="001F119D"/>
    <w:rsid w:val="001F5815"/>
    <w:rsid w:val="001F63DB"/>
    <w:rsid w:val="001F796F"/>
    <w:rsid w:val="00206EB2"/>
    <w:rsid w:val="00211635"/>
    <w:rsid w:val="002137D1"/>
    <w:rsid w:val="002160EE"/>
    <w:rsid w:val="00221047"/>
    <w:rsid w:val="00221313"/>
    <w:rsid w:val="00226F62"/>
    <w:rsid w:val="00232342"/>
    <w:rsid w:val="0023282D"/>
    <w:rsid w:val="002357D8"/>
    <w:rsid w:val="0023609B"/>
    <w:rsid w:val="00237953"/>
    <w:rsid w:val="002402B9"/>
    <w:rsid w:val="00244611"/>
    <w:rsid w:val="00252931"/>
    <w:rsid w:val="00254FBE"/>
    <w:rsid w:val="00261284"/>
    <w:rsid w:val="00261B93"/>
    <w:rsid w:val="00263BA4"/>
    <w:rsid w:val="00270810"/>
    <w:rsid w:val="00271CCF"/>
    <w:rsid w:val="00272D32"/>
    <w:rsid w:val="002745F3"/>
    <w:rsid w:val="00274E33"/>
    <w:rsid w:val="002768A0"/>
    <w:rsid w:val="00276D0F"/>
    <w:rsid w:val="0027754D"/>
    <w:rsid w:val="00294D01"/>
    <w:rsid w:val="00295B51"/>
    <w:rsid w:val="00296342"/>
    <w:rsid w:val="00296B15"/>
    <w:rsid w:val="002A0F0B"/>
    <w:rsid w:val="002B33D4"/>
    <w:rsid w:val="002B5FEF"/>
    <w:rsid w:val="002B6B78"/>
    <w:rsid w:val="002C021A"/>
    <w:rsid w:val="002C2FB2"/>
    <w:rsid w:val="002C57AF"/>
    <w:rsid w:val="002C584B"/>
    <w:rsid w:val="002C5869"/>
    <w:rsid w:val="002E41A1"/>
    <w:rsid w:val="002E76FD"/>
    <w:rsid w:val="002F0CF9"/>
    <w:rsid w:val="002F3B27"/>
    <w:rsid w:val="002F4928"/>
    <w:rsid w:val="002F5386"/>
    <w:rsid w:val="0030159B"/>
    <w:rsid w:val="00301953"/>
    <w:rsid w:val="00302796"/>
    <w:rsid w:val="003030E6"/>
    <w:rsid w:val="00313AB8"/>
    <w:rsid w:val="003179BD"/>
    <w:rsid w:val="0032329A"/>
    <w:rsid w:val="00333978"/>
    <w:rsid w:val="003344F4"/>
    <w:rsid w:val="0033664E"/>
    <w:rsid w:val="00341592"/>
    <w:rsid w:val="00341A7D"/>
    <w:rsid w:val="003517B3"/>
    <w:rsid w:val="00351989"/>
    <w:rsid w:val="00355839"/>
    <w:rsid w:val="00356B8F"/>
    <w:rsid w:val="00363705"/>
    <w:rsid w:val="00366C28"/>
    <w:rsid w:val="00372EE9"/>
    <w:rsid w:val="00373006"/>
    <w:rsid w:val="003734E9"/>
    <w:rsid w:val="00381BBA"/>
    <w:rsid w:val="003831A5"/>
    <w:rsid w:val="00383208"/>
    <w:rsid w:val="00383B9A"/>
    <w:rsid w:val="00390AE9"/>
    <w:rsid w:val="003B079D"/>
    <w:rsid w:val="003B0B3A"/>
    <w:rsid w:val="003B0EF5"/>
    <w:rsid w:val="003B1C56"/>
    <w:rsid w:val="003B1F3C"/>
    <w:rsid w:val="003B27F0"/>
    <w:rsid w:val="003B4E8D"/>
    <w:rsid w:val="003C30ED"/>
    <w:rsid w:val="003C3435"/>
    <w:rsid w:val="003C39A4"/>
    <w:rsid w:val="003C3F4D"/>
    <w:rsid w:val="003C5AA8"/>
    <w:rsid w:val="003C73C4"/>
    <w:rsid w:val="003D54C1"/>
    <w:rsid w:val="003E04C7"/>
    <w:rsid w:val="003E4A60"/>
    <w:rsid w:val="003E708D"/>
    <w:rsid w:val="003E77E2"/>
    <w:rsid w:val="003F0AA4"/>
    <w:rsid w:val="003F0BAB"/>
    <w:rsid w:val="003F532F"/>
    <w:rsid w:val="00402A75"/>
    <w:rsid w:val="004106EE"/>
    <w:rsid w:val="004119EE"/>
    <w:rsid w:val="0042053F"/>
    <w:rsid w:val="0043269F"/>
    <w:rsid w:val="00437823"/>
    <w:rsid w:val="00442772"/>
    <w:rsid w:val="00442ECB"/>
    <w:rsid w:val="004437CE"/>
    <w:rsid w:val="0045200E"/>
    <w:rsid w:val="00453B99"/>
    <w:rsid w:val="004572F3"/>
    <w:rsid w:val="00462379"/>
    <w:rsid w:val="0046255B"/>
    <w:rsid w:val="00462ACB"/>
    <w:rsid w:val="004642BE"/>
    <w:rsid w:val="00465061"/>
    <w:rsid w:val="00473355"/>
    <w:rsid w:val="00480764"/>
    <w:rsid w:val="00483313"/>
    <w:rsid w:val="00486655"/>
    <w:rsid w:val="004904AF"/>
    <w:rsid w:val="004905C1"/>
    <w:rsid w:val="00494BDF"/>
    <w:rsid w:val="00495A4D"/>
    <w:rsid w:val="004A1CD7"/>
    <w:rsid w:val="004A544B"/>
    <w:rsid w:val="004B0A33"/>
    <w:rsid w:val="004B2F4B"/>
    <w:rsid w:val="004B4383"/>
    <w:rsid w:val="004B70CF"/>
    <w:rsid w:val="004B7466"/>
    <w:rsid w:val="004C010F"/>
    <w:rsid w:val="004C1170"/>
    <w:rsid w:val="004C40CA"/>
    <w:rsid w:val="004C596A"/>
    <w:rsid w:val="004D2F40"/>
    <w:rsid w:val="004D43DA"/>
    <w:rsid w:val="004D670C"/>
    <w:rsid w:val="004D68E7"/>
    <w:rsid w:val="004D73A8"/>
    <w:rsid w:val="004E38C7"/>
    <w:rsid w:val="004E456A"/>
    <w:rsid w:val="004E69F3"/>
    <w:rsid w:val="004E724F"/>
    <w:rsid w:val="004E7960"/>
    <w:rsid w:val="004F0095"/>
    <w:rsid w:val="004F20A4"/>
    <w:rsid w:val="004F53A5"/>
    <w:rsid w:val="004F6EA4"/>
    <w:rsid w:val="00501DD6"/>
    <w:rsid w:val="00501EB3"/>
    <w:rsid w:val="005028D1"/>
    <w:rsid w:val="005039D7"/>
    <w:rsid w:val="00503CFE"/>
    <w:rsid w:val="00507B59"/>
    <w:rsid w:val="00511C34"/>
    <w:rsid w:val="005128C9"/>
    <w:rsid w:val="00512B41"/>
    <w:rsid w:val="00516201"/>
    <w:rsid w:val="00523629"/>
    <w:rsid w:val="0052442F"/>
    <w:rsid w:val="00526754"/>
    <w:rsid w:val="0052773D"/>
    <w:rsid w:val="005305E7"/>
    <w:rsid w:val="00532841"/>
    <w:rsid w:val="005466A2"/>
    <w:rsid w:val="0056058E"/>
    <w:rsid w:val="005644AC"/>
    <w:rsid w:val="00566910"/>
    <w:rsid w:val="005703A9"/>
    <w:rsid w:val="00575F1F"/>
    <w:rsid w:val="00576E40"/>
    <w:rsid w:val="00577B1B"/>
    <w:rsid w:val="00590BDE"/>
    <w:rsid w:val="00592A8A"/>
    <w:rsid w:val="005A13C8"/>
    <w:rsid w:val="005B265B"/>
    <w:rsid w:val="005B2F8E"/>
    <w:rsid w:val="005B37BB"/>
    <w:rsid w:val="005B4C8D"/>
    <w:rsid w:val="005B59AA"/>
    <w:rsid w:val="005B664B"/>
    <w:rsid w:val="005B6BA2"/>
    <w:rsid w:val="005B7A60"/>
    <w:rsid w:val="005C346C"/>
    <w:rsid w:val="005D04AA"/>
    <w:rsid w:val="005D3A94"/>
    <w:rsid w:val="005D3FF0"/>
    <w:rsid w:val="005D4098"/>
    <w:rsid w:val="005D4BBC"/>
    <w:rsid w:val="005D5878"/>
    <w:rsid w:val="005D6DCF"/>
    <w:rsid w:val="005D74AA"/>
    <w:rsid w:val="005E051F"/>
    <w:rsid w:val="005E4A76"/>
    <w:rsid w:val="005E62FF"/>
    <w:rsid w:val="005E6C75"/>
    <w:rsid w:val="005F06D6"/>
    <w:rsid w:val="006017AF"/>
    <w:rsid w:val="00603AF9"/>
    <w:rsid w:val="00604589"/>
    <w:rsid w:val="0061711F"/>
    <w:rsid w:val="00620445"/>
    <w:rsid w:val="00620531"/>
    <w:rsid w:val="00620BE1"/>
    <w:rsid w:val="006214EC"/>
    <w:rsid w:val="00622743"/>
    <w:rsid w:val="00626411"/>
    <w:rsid w:val="00626F16"/>
    <w:rsid w:val="00627215"/>
    <w:rsid w:val="00631450"/>
    <w:rsid w:val="00633D38"/>
    <w:rsid w:val="00635C5E"/>
    <w:rsid w:val="0063687B"/>
    <w:rsid w:val="006411A2"/>
    <w:rsid w:val="00641FC7"/>
    <w:rsid w:val="006507C9"/>
    <w:rsid w:val="006531B6"/>
    <w:rsid w:val="00653A09"/>
    <w:rsid w:val="00654056"/>
    <w:rsid w:val="00654250"/>
    <w:rsid w:val="00655030"/>
    <w:rsid w:val="00655E2E"/>
    <w:rsid w:val="00660E8D"/>
    <w:rsid w:val="00666400"/>
    <w:rsid w:val="00666F26"/>
    <w:rsid w:val="00667D56"/>
    <w:rsid w:val="006726AF"/>
    <w:rsid w:val="00674A10"/>
    <w:rsid w:val="00675A0A"/>
    <w:rsid w:val="00675A2B"/>
    <w:rsid w:val="00681EE2"/>
    <w:rsid w:val="00684497"/>
    <w:rsid w:val="00685C2D"/>
    <w:rsid w:val="006873B9"/>
    <w:rsid w:val="00687885"/>
    <w:rsid w:val="00697D42"/>
    <w:rsid w:val="006A2C83"/>
    <w:rsid w:val="006A32EF"/>
    <w:rsid w:val="006A37D2"/>
    <w:rsid w:val="006A58DD"/>
    <w:rsid w:val="006A6CD1"/>
    <w:rsid w:val="006B0FC0"/>
    <w:rsid w:val="006B16BA"/>
    <w:rsid w:val="006B4385"/>
    <w:rsid w:val="006B68A0"/>
    <w:rsid w:val="006B72B9"/>
    <w:rsid w:val="006C2FAB"/>
    <w:rsid w:val="006C4BD5"/>
    <w:rsid w:val="006D1851"/>
    <w:rsid w:val="006D1C8F"/>
    <w:rsid w:val="006D3832"/>
    <w:rsid w:val="006E1317"/>
    <w:rsid w:val="006E1B95"/>
    <w:rsid w:val="006E2E9C"/>
    <w:rsid w:val="006E334B"/>
    <w:rsid w:val="006F0F90"/>
    <w:rsid w:val="006F2295"/>
    <w:rsid w:val="006F2976"/>
    <w:rsid w:val="00704D9C"/>
    <w:rsid w:val="00711E41"/>
    <w:rsid w:val="007208E0"/>
    <w:rsid w:val="007216C4"/>
    <w:rsid w:val="00724415"/>
    <w:rsid w:val="00736760"/>
    <w:rsid w:val="00740F90"/>
    <w:rsid w:val="007424E9"/>
    <w:rsid w:val="00745531"/>
    <w:rsid w:val="00750974"/>
    <w:rsid w:val="0076151F"/>
    <w:rsid w:val="00763865"/>
    <w:rsid w:val="00764AF4"/>
    <w:rsid w:val="007725DC"/>
    <w:rsid w:val="00772B7E"/>
    <w:rsid w:val="007777B9"/>
    <w:rsid w:val="00783623"/>
    <w:rsid w:val="007841F2"/>
    <w:rsid w:val="007854EF"/>
    <w:rsid w:val="0078619B"/>
    <w:rsid w:val="00790FB2"/>
    <w:rsid w:val="00793074"/>
    <w:rsid w:val="00793F29"/>
    <w:rsid w:val="00793F93"/>
    <w:rsid w:val="007955EC"/>
    <w:rsid w:val="007959DF"/>
    <w:rsid w:val="00797E6A"/>
    <w:rsid w:val="007A2501"/>
    <w:rsid w:val="007A5011"/>
    <w:rsid w:val="007B0075"/>
    <w:rsid w:val="007B440A"/>
    <w:rsid w:val="007C242C"/>
    <w:rsid w:val="007C6626"/>
    <w:rsid w:val="007D23D0"/>
    <w:rsid w:val="007D6B21"/>
    <w:rsid w:val="007E31E0"/>
    <w:rsid w:val="007E56AD"/>
    <w:rsid w:val="007E6064"/>
    <w:rsid w:val="007F443B"/>
    <w:rsid w:val="007F55A5"/>
    <w:rsid w:val="007F601A"/>
    <w:rsid w:val="007F6B1C"/>
    <w:rsid w:val="007F73BC"/>
    <w:rsid w:val="00811544"/>
    <w:rsid w:val="0081399B"/>
    <w:rsid w:val="008151FC"/>
    <w:rsid w:val="008156E0"/>
    <w:rsid w:val="0081606D"/>
    <w:rsid w:val="0082505A"/>
    <w:rsid w:val="0082519E"/>
    <w:rsid w:val="0084195E"/>
    <w:rsid w:val="00842573"/>
    <w:rsid w:val="008501FE"/>
    <w:rsid w:val="008559F7"/>
    <w:rsid w:val="00855CB7"/>
    <w:rsid w:val="00856374"/>
    <w:rsid w:val="00860992"/>
    <w:rsid w:val="00890339"/>
    <w:rsid w:val="00892A95"/>
    <w:rsid w:val="008955F8"/>
    <w:rsid w:val="008964CB"/>
    <w:rsid w:val="008A04E2"/>
    <w:rsid w:val="008A10F2"/>
    <w:rsid w:val="008B5664"/>
    <w:rsid w:val="008B6076"/>
    <w:rsid w:val="008B7AAE"/>
    <w:rsid w:val="008D15DE"/>
    <w:rsid w:val="008D2B3A"/>
    <w:rsid w:val="008E3AB6"/>
    <w:rsid w:val="008E6958"/>
    <w:rsid w:val="008F1047"/>
    <w:rsid w:val="008F3877"/>
    <w:rsid w:val="00900E86"/>
    <w:rsid w:val="00902AF8"/>
    <w:rsid w:val="009160AE"/>
    <w:rsid w:val="00922983"/>
    <w:rsid w:val="00924977"/>
    <w:rsid w:val="00926E30"/>
    <w:rsid w:val="0093413E"/>
    <w:rsid w:val="00937B6B"/>
    <w:rsid w:val="00942314"/>
    <w:rsid w:val="009430FC"/>
    <w:rsid w:val="00945240"/>
    <w:rsid w:val="009512EC"/>
    <w:rsid w:val="00952586"/>
    <w:rsid w:val="0095384F"/>
    <w:rsid w:val="009664A9"/>
    <w:rsid w:val="00966D4C"/>
    <w:rsid w:val="00974374"/>
    <w:rsid w:val="00975153"/>
    <w:rsid w:val="0097777A"/>
    <w:rsid w:val="00995D50"/>
    <w:rsid w:val="00996BC5"/>
    <w:rsid w:val="00997D1C"/>
    <w:rsid w:val="009A2D67"/>
    <w:rsid w:val="009A31A8"/>
    <w:rsid w:val="009B18DF"/>
    <w:rsid w:val="009B29A5"/>
    <w:rsid w:val="009B5F94"/>
    <w:rsid w:val="009C0BEC"/>
    <w:rsid w:val="009C310A"/>
    <w:rsid w:val="009C4288"/>
    <w:rsid w:val="009C4F53"/>
    <w:rsid w:val="009C5C80"/>
    <w:rsid w:val="009D2772"/>
    <w:rsid w:val="009D6670"/>
    <w:rsid w:val="009D74E9"/>
    <w:rsid w:val="009E1E7E"/>
    <w:rsid w:val="009E3138"/>
    <w:rsid w:val="009E5CB0"/>
    <w:rsid w:val="009E660A"/>
    <w:rsid w:val="009E755D"/>
    <w:rsid w:val="009F1D70"/>
    <w:rsid w:val="009F27AD"/>
    <w:rsid w:val="009F4B2B"/>
    <w:rsid w:val="00A017FF"/>
    <w:rsid w:val="00A02ED6"/>
    <w:rsid w:val="00A12148"/>
    <w:rsid w:val="00A230B5"/>
    <w:rsid w:val="00A23B26"/>
    <w:rsid w:val="00A27AA8"/>
    <w:rsid w:val="00A3211C"/>
    <w:rsid w:val="00A3364E"/>
    <w:rsid w:val="00A37380"/>
    <w:rsid w:val="00A5227C"/>
    <w:rsid w:val="00A54C24"/>
    <w:rsid w:val="00A61504"/>
    <w:rsid w:val="00A626B2"/>
    <w:rsid w:val="00A62DA8"/>
    <w:rsid w:val="00A64D8F"/>
    <w:rsid w:val="00A71A0C"/>
    <w:rsid w:val="00A7505D"/>
    <w:rsid w:val="00A75633"/>
    <w:rsid w:val="00A84269"/>
    <w:rsid w:val="00A85A6B"/>
    <w:rsid w:val="00A85D64"/>
    <w:rsid w:val="00A85ED2"/>
    <w:rsid w:val="00A85F0F"/>
    <w:rsid w:val="00A93C9C"/>
    <w:rsid w:val="00A962EE"/>
    <w:rsid w:val="00AA1966"/>
    <w:rsid w:val="00AA26E2"/>
    <w:rsid w:val="00AA3B38"/>
    <w:rsid w:val="00AA3CF7"/>
    <w:rsid w:val="00AA5D90"/>
    <w:rsid w:val="00AB6808"/>
    <w:rsid w:val="00AC4B40"/>
    <w:rsid w:val="00AC66E0"/>
    <w:rsid w:val="00AD0530"/>
    <w:rsid w:val="00AD1D95"/>
    <w:rsid w:val="00AE0210"/>
    <w:rsid w:val="00AE0CF6"/>
    <w:rsid w:val="00AE571C"/>
    <w:rsid w:val="00AF1646"/>
    <w:rsid w:val="00AF34EE"/>
    <w:rsid w:val="00AF3AB6"/>
    <w:rsid w:val="00AF4354"/>
    <w:rsid w:val="00AF4DD0"/>
    <w:rsid w:val="00AF798C"/>
    <w:rsid w:val="00B0122C"/>
    <w:rsid w:val="00B01E2A"/>
    <w:rsid w:val="00B077A5"/>
    <w:rsid w:val="00B10DE5"/>
    <w:rsid w:val="00B14C19"/>
    <w:rsid w:val="00B177E3"/>
    <w:rsid w:val="00B20337"/>
    <w:rsid w:val="00B20B82"/>
    <w:rsid w:val="00B23E4D"/>
    <w:rsid w:val="00B26813"/>
    <w:rsid w:val="00B27F84"/>
    <w:rsid w:val="00B31433"/>
    <w:rsid w:val="00B33C8B"/>
    <w:rsid w:val="00B342E5"/>
    <w:rsid w:val="00B40F2A"/>
    <w:rsid w:val="00B41719"/>
    <w:rsid w:val="00B45526"/>
    <w:rsid w:val="00B5431A"/>
    <w:rsid w:val="00B568ED"/>
    <w:rsid w:val="00B57317"/>
    <w:rsid w:val="00B65097"/>
    <w:rsid w:val="00B650FC"/>
    <w:rsid w:val="00B65C58"/>
    <w:rsid w:val="00B7256C"/>
    <w:rsid w:val="00B72D92"/>
    <w:rsid w:val="00B73499"/>
    <w:rsid w:val="00B826DA"/>
    <w:rsid w:val="00BA007D"/>
    <w:rsid w:val="00BA6E1C"/>
    <w:rsid w:val="00BB0F81"/>
    <w:rsid w:val="00BB3668"/>
    <w:rsid w:val="00BB3B68"/>
    <w:rsid w:val="00BC2AAC"/>
    <w:rsid w:val="00BC7A9E"/>
    <w:rsid w:val="00BD471C"/>
    <w:rsid w:val="00BE201E"/>
    <w:rsid w:val="00BE4B16"/>
    <w:rsid w:val="00BE4BA4"/>
    <w:rsid w:val="00BE7D63"/>
    <w:rsid w:val="00C01DB3"/>
    <w:rsid w:val="00C12078"/>
    <w:rsid w:val="00C146F5"/>
    <w:rsid w:val="00C152C7"/>
    <w:rsid w:val="00C154E9"/>
    <w:rsid w:val="00C1554F"/>
    <w:rsid w:val="00C15D00"/>
    <w:rsid w:val="00C169A1"/>
    <w:rsid w:val="00C17F99"/>
    <w:rsid w:val="00C21F31"/>
    <w:rsid w:val="00C22E47"/>
    <w:rsid w:val="00C23A90"/>
    <w:rsid w:val="00C23DE8"/>
    <w:rsid w:val="00C303A5"/>
    <w:rsid w:val="00C35B2C"/>
    <w:rsid w:val="00C47FAE"/>
    <w:rsid w:val="00C50716"/>
    <w:rsid w:val="00C600D1"/>
    <w:rsid w:val="00C61C43"/>
    <w:rsid w:val="00C7383C"/>
    <w:rsid w:val="00C73FF2"/>
    <w:rsid w:val="00C76ED3"/>
    <w:rsid w:val="00C85537"/>
    <w:rsid w:val="00C92439"/>
    <w:rsid w:val="00CA133C"/>
    <w:rsid w:val="00CA68BE"/>
    <w:rsid w:val="00CA68F3"/>
    <w:rsid w:val="00CA6FB7"/>
    <w:rsid w:val="00CB4301"/>
    <w:rsid w:val="00CB6534"/>
    <w:rsid w:val="00CC23A1"/>
    <w:rsid w:val="00CC4390"/>
    <w:rsid w:val="00CC698D"/>
    <w:rsid w:val="00CC6ACA"/>
    <w:rsid w:val="00CC6D6A"/>
    <w:rsid w:val="00CC7EAF"/>
    <w:rsid w:val="00CD17CD"/>
    <w:rsid w:val="00CD63CC"/>
    <w:rsid w:val="00CD6B8D"/>
    <w:rsid w:val="00CE136D"/>
    <w:rsid w:val="00CE22F1"/>
    <w:rsid w:val="00CE5918"/>
    <w:rsid w:val="00CF0DF5"/>
    <w:rsid w:val="00CF67C3"/>
    <w:rsid w:val="00CF7E15"/>
    <w:rsid w:val="00D058F0"/>
    <w:rsid w:val="00D06492"/>
    <w:rsid w:val="00D0784D"/>
    <w:rsid w:val="00D1635E"/>
    <w:rsid w:val="00D26E84"/>
    <w:rsid w:val="00D27B41"/>
    <w:rsid w:val="00D30253"/>
    <w:rsid w:val="00D30AB4"/>
    <w:rsid w:val="00D32114"/>
    <w:rsid w:val="00D32E0D"/>
    <w:rsid w:val="00D34D63"/>
    <w:rsid w:val="00D36494"/>
    <w:rsid w:val="00D4036D"/>
    <w:rsid w:val="00D60216"/>
    <w:rsid w:val="00D6090E"/>
    <w:rsid w:val="00D61C5B"/>
    <w:rsid w:val="00D7091C"/>
    <w:rsid w:val="00D72CE8"/>
    <w:rsid w:val="00D74204"/>
    <w:rsid w:val="00D749EA"/>
    <w:rsid w:val="00D75FC9"/>
    <w:rsid w:val="00D80B81"/>
    <w:rsid w:val="00D815F0"/>
    <w:rsid w:val="00D83E30"/>
    <w:rsid w:val="00D84A8E"/>
    <w:rsid w:val="00D92AE0"/>
    <w:rsid w:val="00D96D63"/>
    <w:rsid w:val="00DA0C9C"/>
    <w:rsid w:val="00DA2D22"/>
    <w:rsid w:val="00DA72B7"/>
    <w:rsid w:val="00DB4163"/>
    <w:rsid w:val="00DB4FDC"/>
    <w:rsid w:val="00DC045E"/>
    <w:rsid w:val="00DD2AF7"/>
    <w:rsid w:val="00DE7370"/>
    <w:rsid w:val="00DF0AE8"/>
    <w:rsid w:val="00DF1D99"/>
    <w:rsid w:val="00E01FC7"/>
    <w:rsid w:val="00E052EE"/>
    <w:rsid w:val="00E125D7"/>
    <w:rsid w:val="00E22312"/>
    <w:rsid w:val="00E24423"/>
    <w:rsid w:val="00E24D34"/>
    <w:rsid w:val="00E30405"/>
    <w:rsid w:val="00E32092"/>
    <w:rsid w:val="00E3293E"/>
    <w:rsid w:val="00E34AFF"/>
    <w:rsid w:val="00E35508"/>
    <w:rsid w:val="00E369D3"/>
    <w:rsid w:val="00E42CF5"/>
    <w:rsid w:val="00E468F9"/>
    <w:rsid w:val="00E47A7C"/>
    <w:rsid w:val="00E51480"/>
    <w:rsid w:val="00E52E9E"/>
    <w:rsid w:val="00E57FA2"/>
    <w:rsid w:val="00E678FC"/>
    <w:rsid w:val="00E770FB"/>
    <w:rsid w:val="00E7737A"/>
    <w:rsid w:val="00E82C06"/>
    <w:rsid w:val="00E8344C"/>
    <w:rsid w:val="00E8460E"/>
    <w:rsid w:val="00E91C83"/>
    <w:rsid w:val="00E92D91"/>
    <w:rsid w:val="00EA1E25"/>
    <w:rsid w:val="00EA3F7C"/>
    <w:rsid w:val="00EA5557"/>
    <w:rsid w:val="00EB1DCF"/>
    <w:rsid w:val="00EB29B2"/>
    <w:rsid w:val="00EB4905"/>
    <w:rsid w:val="00EB4B31"/>
    <w:rsid w:val="00EC3C7A"/>
    <w:rsid w:val="00EC7F12"/>
    <w:rsid w:val="00ED191D"/>
    <w:rsid w:val="00ED329B"/>
    <w:rsid w:val="00ED5974"/>
    <w:rsid w:val="00ED6686"/>
    <w:rsid w:val="00ED7E01"/>
    <w:rsid w:val="00EE0B55"/>
    <w:rsid w:val="00EE2703"/>
    <w:rsid w:val="00EF2D9A"/>
    <w:rsid w:val="00EF6AF5"/>
    <w:rsid w:val="00EF7BCD"/>
    <w:rsid w:val="00F0065E"/>
    <w:rsid w:val="00F05486"/>
    <w:rsid w:val="00F1782E"/>
    <w:rsid w:val="00F21548"/>
    <w:rsid w:val="00F2425D"/>
    <w:rsid w:val="00F278BC"/>
    <w:rsid w:val="00F308E5"/>
    <w:rsid w:val="00F35F3D"/>
    <w:rsid w:val="00F4121E"/>
    <w:rsid w:val="00F442F0"/>
    <w:rsid w:val="00F46DCD"/>
    <w:rsid w:val="00F6781E"/>
    <w:rsid w:val="00F7070D"/>
    <w:rsid w:val="00F7197B"/>
    <w:rsid w:val="00F72BA7"/>
    <w:rsid w:val="00F91913"/>
    <w:rsid w:val="00F94283"/>
    <w:rsid w:val="00F96D10"/>
    <w:rsid w:val="00FA14E1"/>
    <w:rsid w:val="00FA35E3"/>
    <w:rsid w:val="00FA36B2"/>
    <w:rsid w:val="00FA4CA1"/>
    <w:rsid w:val="00FA4F4D"/>
    <w:rsid w:val="00FB3D77"/>
    <w:rsid w:val="00FB5862"/>
    <w:rsid w:val="00FC2E21"/>
    <w:rsid w:val="00FC33BE"/>
    <w:rsid w:val="00FC59C8"/>
    <w:rsid w:val="00FE4C22"/>
    <w:rsid w:val="00FE5217"/>
    <w:rsid w:val="00FE68F8"/>
    <w:rsid w:val="00FF1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C5846AD-F4AF-4E76-8407-B8B9EB5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basedOn w:val="Normal"/>
    <w:uiPriority w:val="34"/>
    <w:qFormat/>
    <w:rsid w:val="006E334B"/>
    <w:pPr>
      <w:ind w:left="720"/>
      <w:contextualSpacing/>
    </w:pPr>
  </w:style>
  <w:style w:type="character" w:customStyle="1" w:styleId="apple-converted-space">
    <w:name w:val="apple-converted-space"/>
    <w:basedOn w:val="DefaultParagraphFont"/>
    <w:rsid w:val="00C154E9"/>
  </w:style>
  <w:style w:type="paragraph" w:styleId="BalloonText">
    <w:name w:val="Balloon Text"/>
    <w:basedOn w:val="Normal"/>
    <w:link w:val="BalloonTextChar"/>
    <w:uiPriority w:val="99"/>
    <w:semiHidden/>
    <w:unhideWhenUsed/>
    <w:rsid w:val="0066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8D"/>
    <w:rPr>
      <w:rFonts w:ascii="Segoe UI" w:hAnsi="Segoe UI" w:cs="Segoe UI"/>
      <w:sz w:val="18"/>
      <w:szCs w:val="18"/>
    </w:rPr>
  </w:style>
  <w:style w:type="paragraph" w:styleId="NoSpacing">
    <w:name w:val="No Spacing"/>
    <w:uiPriority w:val="1"/>
    <w:qFormat/>
    <w:rsid w:val="00DB4FDC"/>
    <w:pPr>
      <w:widowControl w:val="0"/>
      <w:spacing w:after="0" w:line="240" w:lineRule="auto"/>
    </w:pPr>
    <w:rPr>
      <w:rFonts w:ascii="Calibri" w:eastAsia="Calibri" w:hAnsi="Calibri" w:cs="Times New Roman"/>
      <w:lang w:val="en-US"/>
    </w:rPr>
  </w:style>
  <w:style w:type="paragraph" w:customStyle="1" w:styleId="tv213">
    <w:name w:val="tv213"/>
    <w:basedOn w:val="Normal"/>
    <w:rsid w:val="0078362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1393">
      <w:bodyDiv w:val="1"/>
      <w:marLeft w:val="0"/>
      <w:marRight w:val="0"/>
      <w:marTop w:val="0"/>
      <w:marBottom w:val="0"/>
      <w:divBdr>
        <w:top w:val="none" w:sz="0" w:space="0" w:color="auto"/>
        <w:left w:val="none" w:sz="0" w:space="0" w:color="auto"/>
        <w:bottom w:val="none" w:sz="0" w:space="0" w:color="auto"/>
        <w:right w:val="none" w:sz="0" w:space="0" w:color="auto"/>
      </w:divBdr>
    </w:div>
    <w:div w:id="331034443">
      <w:bodyDiv w:val="1"/>
      <w:marLeft w:val="0"/>
      <w:marRight w:val="0"/>
      <w:marTop w:val="0"/>
      <w:marBottom w:val="0"/>
      <w:divBdr>
        <w:top w:val="none" w:sz="0" w:space="0" w:color="auto"/>
        <w:left w:val="none" w:sz="0" w:space="0" w:color="auto"/>
        <w:bottom w:val="none" w:sz="0" w:space="0" w:color="auto"/>
        <w:right w:val="none" w:sz="0" w:space="0" w:color="auto"/>
      </w:divBdr>
    </w:div>
    <w:div w:id="775564789">
      <w:bodyDiv w:val="1"/>
      <w:marLeft w:val="0"/>
      <w:marRight w:val="0"/>
      <w:marTop w:val="0"/>
      <w:marBottom w:val="0"/>
      <w:divBdr>
        <w:top w:val="none" w:sz="0" w:space="0" w:color="auto"/>
        <w:left w:val="none" w:sz="0" w:space="0" w:color="auto"/>
        <w:bottom w:val="none" w:sz="0" w:space="0" w:color="auto"/>
        <w:right w:val="none" w:sz="0" w:space="0" w:color="auto"/>
      </w:divBdr>
    </w:div>
    <w:div w:id="778112127">
      <w:bodyDiv w:val="1"/>
      <w:marLeft w:val="0"/>
      <w:marRight w:val="0"/>
      <w:marTop w:val="0"/>
      <w:marBottom w:val="0"/>
      <w:divBdr>
        <w:top w:val="none" w:sz="0" w:space="0" w:color="auto"/>
        <w:left w:val="none" w:sz="0" w:space="0" w:color="auto"/>
        <w:bottom w:val="none" w:sz="0" w:space="0" w:color="auto"/>
        <w:right w:val="none" w:sz="0" w:space="0" w:color="auto"/>
      </w:divBdr>
    </w:div>
    <w:div w:id="1125387387">
      <w:bodyDiv w:val="1"/>
      <w:marLeft w:val="0"/>
      <w:marRight w:val="0"/>
      <w:marTop w:val="0"/>
      <w:marBottom w:val="0"/>
      <w:divBdr>
        <w:top w:val="none" w:sz="0" w:space="0" w:color="auto"/>
        <w:left w:val="none" w:sz="0" w:space="0" w:color="auto"/>
        <w:bottom w:val="none" w:sz="0" w:space="0" w:color="auto"/>
        <w:right w:val="none" w:sz="0" w:space="0" w:color="auto"/>
      </w:divBdr>
    </w:div>
    <w:div w:id="1533301561">
      <w:bodyDiv w:val="1"/>
      <w:marLeft w:val="0"/>
      <w:marRight w:val="0"/>
      <w:marTop w:val="0"/>
      <w:marBottom w:val="0"/>
      <w:divBdr>
        <w:top w:val="none" w:sz="0" w:space="0" w:color="auto"/>
        <w:left w:val="none" w:sz="0" w:space="0" w:color="auto"/>
        <w:bottom w:val="none" w:sz="0" w:space="0" w:color="auto"/>
        <w:right w:val="none" w:sz="0" w:space="0" w:color="auto"/>
      </w:divBdr>
    </w:div>
    <w:div w:id="16020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AD05-9488-4786-8C05-DE8A8962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2488</Words>
  <Characters>15924</Characters>
  <Application>Microsoft Office Word</Application>
  <DocSecurity>0</DocSecurity>
  <Lines>636</Lines>
  <Paragraphs>334</Paragraphs>
  <ScaleCrop>false</ScaleCrop>
  <HeadingPairs>
    <vt:vector size="2" baseType="variant">
      <vt:variant>
        <vt:lpstr>Title</vt:lpstr>
      </vt:variant>
      <vt:variant>
        <vt:i4>1</vt:i4>
      </vt:variant>
    </vt:vector>
  </HeadingPairs>
  <TitlesOfParts>
    <vt:vector size="1" baseType="lpstr">
      <vt:lpstr>Grozījumi Ministru kabineta 2014.gada 29.jūlija rīkojumā Nr.382</vt:lpstr>
    </vt:vector>
  </TitlesOfParts>
  <Company>Iekšlietu ministrija</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29.jūlija rīkojumā Nr.382</dc:title>
  <dc:subject>Anotācija</dc:subject>
  <dc:creator>Ieva Potjomkina</dc:creator>
  <dc:description>67219606, ieva.potjomkina@iem.gov.lv</dc:description>
  <cp:lastModifiedBy>Ieva Potjomkina</cp:lastModifiedBy>
  <cp:revision>113</cp:revision>
  <cp:lastPrinted>2017-06-16T09:37:00Z</cp:lastPrinted>
  <dcterms:created xsi:type="dcterms:W3CDTF">2017-06-14T11:21:00Z</dcterms:created>
  <dcterms:modified xsi:type="dcterms:W3CDTF">2017-06-16T09:48:00Z</dcterms:modified>
</cp:coreProperties>
</file>