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C23E8" w14:textId="77777777" w:rsidR="004C3A3E" w:rsidRDefault="004C3A3E" w:rsidP="00200145">
      <w:pPr>
        <w:ind w:firstLine="0"/>
        <w:jc w:val="center"/>
        <w:rPr>
          <w:b/>
          <w:szCs w:val="28"/>
        </w:rPr>
      </w:pPr>
      <w:r w:rsidRPr="00E80B84">
        <w:rPr>
          <w:b/>
          <w:szCs w:val="28"/>
        </w:rPr>
        <w:t>Ministru kabineta noteikumu projekta „</w:t>
      </w:r>
      <w:r w:rsidR="00200145" w:rsidRPr="00E80B84">
        <w:rPr>
          <w:b/>
        </w:rPr>
        <w:t>Grozījumi Ministru kabineta 2010.</w:t>
      </w:r>
      <w:r w:rsidR="00364A5B" w:rsidRPr="00E80B84">
        <w:rPr>
          <w:b/>
        </w:rPr>
        <w:t> </w:t>
      </w:r>
      <w:r w:rsidR="00200145" w:rsidRPr="00E80B84">
        <w:rPr>
          <w:b/>
        </w:rPr>
        <w:t>gada 1.</w:t>
      </w:r>
      <w:r w:rsidR="00364A5B" w:rsidRPr="00E80B84">
        <w:rPr>
          <w:b/>
        </w:rPr>
        <w:t> </w:t>
      </w:r>
      <w:r w:rsidR="00200145" w:rsidRPr="00E80B84">
        <w:rPr>
          <w:b/>
        </w:rPr>
        <w:t>jūnija noteikumos Nr.</w:t>
      </w:r>
      <w:r w:rsidR="00364A5B" w:rsidRPr="00E80B84">
        <w:rPr>
          <w:b/>
        </w:rPr>
        <w:t> </w:t>
      </w:r>
      <w:r w:rsidR="00200145" w:rsidRPr="00E80B84">
        <w:rPr>
          <w:b/>
        </w:rPr>
        <w:t>496 „</w:t>
      </w:r>
      <w:r w:rsidR="00200145" w:rsidRPr="00E80B84">
        <w:rPr>
          <w:b/>
          <w:szCs w:val="28"/>
        </w:rPr>
        <w:t>Kritiskās infrastruktūras, tajā skaitā Eiropas kritiskās infrastruktūras, apzināšanas un drošības pasākumu plānošanas un īstenošanas kārtība</w:t>
      </w:r>
      <w:r w:rsidRPr="00E80B84">
        <w:rPr>
          <w:b/>
        </w:rPr>
        <w:t>””</w:t>
      </w:r>
      <w:r w:rsidRPr="00E80B84">
        <w:rPr>
          <w:b/>
          <w:szCs w:val="28"/>
        </w:rPr>
        <w:t xml:space="preserve"> sākotnējās ietekmes novērtējuma ziņojums (anotācija)</w:t>
      </w:r>
    </w:p>
    <w:p w14:paraId="76C22165" w14:textId="77777777" w:rsidR="00AE7632" w:rsidRPr="00E80B84" w:rsidRDefault="00AE7632" w:rsidP="00200145">
      <w:pPr>
        <w:ind w:firstLine="0"/>
        <w:jc w:val="center"/>
        <w:rPr>
          <w:b/>
        </w:rPr>
      </w:pPr>
    </w:p>
    <w:tbl>
      <w:tblPr>
        <w:tblpPr w:leftFromText="180" w:rightFromText="180" w:vertAnchor="text" w:horzAnchor="margin" w:tblpXSpec="center" w:tblpY="149"/>
        <w:tblW w:w="5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3"/>
        <w:gridCol w:w="2536"/>
        <w:gridCol w:w="6563"/>
      </w:tblGrid>
      <w:tr w:rsidR="00E80B84" w:rsidRPr="00E80B84" w14:paraId="485BA248" w14:textId="77777777" w:rsidTr="00A7140C">
        <w:trPr>
          <w:trHeight w:val="419"/>
        </w:trPr>
        <w:tc>
          <w:tcPr>
            <w:tcW w:w="5000" w:type="pct"/>
            <w:gridSpan w:val="3"/>
            <w:vAlign w:val="center"/>
          </w:tcPr>
          <w:p w14:paraId="363FCB00" w14:textId="77777777" w:rsidR="004C3A3E" w:rsidRPr="00E80B84" w:rsidRDefault="004C3A3E" w:rsidP="004D412E">
            <w:pPr>
              <w:pStyle w:val="naisnod"/>
              <w:spacing w:before="0" w:beforeAutospacing="0" w:after="0" w:afterAutospacing="0"/>
              <w:ind w:left="57" w:right="57"/>
              <w:jc w:val="center"/>
              <w:rPr>
                <w:b/>
              </w:rPr>
            </w:pPr>
            <w:r w:rsidRPr="00E80B84">
              <w:rPr>
                <w:b/>
              </w:rPr>
              <w:t>I. Tiesību akta projekta izstrādes nepieciešamība</w:t>
            </w:r>
          </w:p>
        </w:tc>
      </w:tr>
      <w:tr w:rsidR="00E80B84" w:rsidRPr="00E80B84" w14:paraId="7F277796" w14:textId="77777777" w:rsidTr="00C045A6">
        <w:trPr>
          <w:trHeight w:val="555"/>
        </w:trPr>
        <w:tc>
          <w:tcPr>
            <w:tcW w:w="217" w:type="pct"/>
            <w:vAlign w:val="center"/>
          </w:tcPr>
          <w:p w14:paraId="7E6D717B" w14:textId="77777777" w:rsidR="004C3A3E" w:rsidRPr="00E80B84" w:rsidRDefault="004C3A3E" w:rsidP="00FE4E42">
            <w:pPr>
              <w:pStyle w:val="naiskr"/>
              <w:spacing w:before="0" w:beforeAutospacing="0" w:after="0" w:afterAutospacing="0"/>
              <w:ind w:left="57" w:right="57"/>
            </w:pPr>
            <w:r w:rsidRPr="00E80B84">
              <w:t>1.</w:t>
            </w:r>
          </w:p>
        </w:tc>
        <w:tc>
          <w:tcPr>
            <w:tcW w:w="1333" w:type="pct"/>
            <w:vAlign w:val="center"/>
          </w:tcPr>
          <w:p w14:paraId="47A766E8" w14:textId="77777777" w:rsidR="004C3A3E" w:rsidRPr="00E80B84" w:rsidRDefault="004C3A3E" w:rsidP="00FE4E42">
            <w:pPr>
              <w:pStyle w:val="naiskr"/>
              <w:spacing w:before="0" w:beforeAutospacing="0" w:after="0" w:afterAutospacing="0"/>
              <w:ind w:left="57" w:right="57"/>
            </w:pPr>
            <w:r w:rsidRPr="00E80B84">
              <w:t>Pamatojums</w:t>
            </w:r>
          </w:p>
        </w:tc>
        <w:tc>
          <w:tcPr>
            <w:tcW w:w="3451" w:type="pct"/>
            <w:vAlign w:val="center"/>
          </w:tcPr>
          <w:p w14:paraId="7C23A96B" w14:textId="77777777" w:rsidR="009D3120" w:rsidRPr="00E80B84" w:rsidRDefault="00200145" w:rsidP="007774ED">
            <w:pPr>
              <w:autoSpaceDE w:val="0"/>
              <w:autoSpaceDN w:val="0"/>
              <w:adjustRightInd w:val="0"/>
              <w:ind w:left="57" w:right="57" w:firstLine="0"/>
              <w:jc w:val="left"/>
              <w:rPr>
                <w:sz w:val="24"/>
                <w:szCs w:val="24"/>
              </w:rPr>
            </w:pPr>
            <w:r w:rsidRPr="00E80B84">
              <w:rPr>
                <w:sz w:val="24"/>
                <w:szCs w:val="24"/>
              </w:rPr>
              <w:t>Nacionālās drošības likuma 22.</w:t>
            </w:r>
            <w:r w:rsidRPr="00E80B84">
              <w:rPr>
                <w:sz w:val="24"/>
                <w:szCs w:val="24"/>
                <w:vertAlign w:val="superscript"/>
              </w:rPr>
              <w:t>2</w:t>
            </w:r>
            <w:r w:rsidRPr="00E80B84">
              <w:rPr>
                <w:sz w:val="24"/>
                <w:szCs w:val="24"/>
              </w:rPr>
              <w:t xml:space="preserve"> panta sestā daļa</w:t>
            </w:r>
            <w:r w:rsidR="00D63A74" w:rsidRPr="00E80B84">
              <w:rPr>
                <w:sz w:val="24"/>
                <w:szCs w:val="24"/>
              </w:rPr>
              <w:t>.</w:t>
            </w:r>
          </w:p>
        </w:tc>
      </w:tr>
      <w:tr w:rsidR="00E80B84" w:rsidRPr="00E80B84" w14:paraId="78D1C00F" w14:textId="77777777" w:rsidTr="00911275">
        <w:trPr>
          <w:trHeight w:val="841"/>
        </w:trPr>
        <w:tc>
          <w:tcPr>
            <w:tcW w:w="217" w:type="pct"/>
          </w:tcPr>
          <w:p w14:paraId="2823B04D" w14:textId="77777777" w:rsidR="004C3A3E" w:rsidRPr="00E80B84" w:rsidRDefault="004C3A3E" w:rsidP="00FE4E42">
            <w:pPr>
              <w:pStyle w:val="naiskr"/>
              <w:spacing w:before="0" w:beforeAutospacing="0" w:after="0" w:afterAutospacing="0"/>
              <w:ind w:left="57" w:right="57"/>
            </w:pPr>
            <w:r w:rsidRPr="00E80B84">
              <w:t>2.</w:t>
            </w:r>
          </w:p>
        </w:tc>
        <w:tc>
          <w:tcPr>
            <w:tcW w:w="1333" w:type="pct"/>
          </w:tcPr>
          <w:p w14:paraId="7C2F48B8" w14:textId="3F5DD7F1" w:rsidR="00C322A8" w:rsidRDefault="004C3A3E" w:rsidP="00555F3E">
            <w:pPr>
              <w:ind w:left="57" w:right="57" w:firstLine="0"/>
              <w:jc w:val="left"/>
              <w:rPr>
                <w:sz w:val="24"/>
                <w:szCs w:val="24"/>
              </w:rPr>
            </w:pPr>
            <w:r w:rsidRPr="00E80B84">
              <w:rPr>
                <w:sz w:val="24"/>
                <w:szCs w:val="24"/>
              </w:rPr>
              <w:t>Pašreizējā situācija un problēmas, kuru risināšanai tiesību akta projekts izstrādāts, tiesiskā regulējuma mērķis un būtība</w:t>
            </w:r>
          </w:p>
          <w:p w14:paraId="138E21B0" w14:textId="77777777" w:rsidR="00C322A8" w:rsidRPr="00C322A8" w:rsidRDefault="00C322A8" w:rsidP="00C322A8">
            <w:pPr>
              <w:rPr>
                <w:sz w:val="24"/>
                <w:szCs w:val="24"/>
              </w:rPr>
            </w:pPr>
          </w:p>
          <w:p w14:paraId="48BB4D49" w14:textId="77777777" w:rsidR="004C3A3E" w:rsidRPr="00C322A8" w:rsidRDefault="004C3A3E" w:rsidP="00C045A6">
            <w:pPr>
              <w:rPr>
                <w:sz w:val="24"/>
                <w:szCs w:val="24"/>
              </w:rPr>
            </w:pPr>
          </w:p>
        </w:tc>
        <w:tc>
          <w:tcPr>
            <w:tcW w:w="3451" w:type="pct"/>
          </w:tcPr>
          <w:p w14:paraId="3D05B760" w14:textId="77777777" w:rsidR="000C3863" w:rsidRPr="00F560FD" w:rsidRDefault="000C3863" w:rsidP="007774ED">
            <w:pPr>
              <w:ind w:left="57" w:right="57" w:firstLine="476"/>
              <w:rPr>
                <w:sz w:val="24"/>
                <w:szCs w:val="24"/>
                <w:lang w:eastAsia="lv-LV"/>
              </w:rPr>
            </w:pPr>
            <w:r w:rsidRPr="00F560FD">
              <w:rPr>
                <w:sz w:val="24"/>
                <w:szCs w:val="24"/>
                <w:lang w:eastAsia="lv-LV"/>
              </w:rPr>
              <w:t>Atbilstoši Nacionālās drošības likuma 22.</w:t>
            </w:r>
            <w:r w:rsidRPr="000340F5">
              <w:rPr>
                <w:sz w:val="24"/>
                <w:szCs w:val="24"/>
                <w:vertAlign w:val="superscript"/>
                <w:lang w:eastAsia="lv-LV"/>
              </w:rPr>
              <w:t>2</w:t>
            </w:r>
            <w:r w:rsidRPr="00F560FD">
              <w:rPr>
                <w:sz w:val="24"/>
                <w:szCs w:val="24"/>
                <w:lang w:eastAsia="lv-LV"/>
              </w:rPr>
              <w:t xml:space="preserve"> pantam, kritiskā infrastruktūra ir Latvijas Republikā izvietoti objekti, sistēmas vai to daļas, kuras ir būtiskas svarīgu sabiedrības funkciju īstenošanas, kā arī cilvēku veselības aizsardzības, drošības, ekonomiskās vai sociālās labklājības nodrošināšanai un kuru iznīcināšana vai darbības traucējumi būtiski ietekmētu valsts funkciju īstenošanu.</w:t>
            </w:r>
          </w:p>
          <w:p w14:paraId="1F58B385" w14:textId="77777777" w:rsidR="0002180D" w:rsidRPr="00E80B84" w:rsidRDefault="003D0A89" w:rsidP="007774ED">
            <w:pPr>
              <w:ind w:left="57" w:right="57" w:firstLine="425"/>
              <w:rPr>
                <w:sz w:val="24"/>
                <w:szCs w:val="24"/>
                <w:lang w:eastAsia="lv-LV"/>
              </w:rPr>
            </w:pPr>
            <w:r w:rsidRPr="00E80B84">
              <w:rPr>
                <w:sz w:val="24"/>
                <w:szCs w:val="24"/>
                <w:lang w:eastAsia="lv-LV"/>
              </w:rPr>
              <w:t>Kritiskās infrastruktūras</w:t>
            </w:r>
            <w:r w:rsidR="00DF00D7" w:rsidRPr="00E80B84">
              <w:rPr>
                <w:sz w:val="24"/>
                <w:szCs w:val="24"/>
                <w:lang w:eastAsia="lv-LV"/>
              </w:rPr>
              <w:t>, tajā skaitā Eiropas kritiskās infrastruktūras (turpmāk – kritiskā infrastruktūra)</w:t>
            </w:r>
            <w:r w:rsidR="0025750C" w:rsidRPr="00E80B84">
              <w:rPr>
                <w:sz w:val="24"/>
                <w:szCs w:val="24"/>
                <w:lang w:eastAsia="lv-LV"/>
              </w:rPr>
              <w:t>,</w:t>
            </w:r>
            <w:r w:rsidRPr="00E80B84">
              <w:rPr>
                <w:sz w:val="24"/>
                <w:szCs w:val="24"/>
                <w:lang w:eastAsia="lv-LV"/>
              </w:rPr>
              <w:t xml:space="preserve"> </w:t>
            </w:r>
            <w:r w:rsidR="00740D0A" w:rsidRPr="00E80B84">
              <w:rPr>
                <w:sz w:val="24"/>
                <w:szCs w:val="24"/>
                <w:lang w:eastAsia="lv-LV"/>
              </w:rPr>
              <w:t xml:space="preserve">objektos </w:t>
            </w:r>
            <w:r w:rsidRPr="00E80B84">
              <w:rPr>
                <w:sz w:val="24"/>
                <w:szCs w:val="24"/>
                <w:lang w:eastAsia="lv-LV"/>
              </w:rPr>
              <w:t>ir nepieciešams augsts drošības režīms,</w:t>
            </w:r>
            <w:r w:rsidR="00740D0A" w:rsidRPr="00E80B84">
              <w:rPr>
                <w:sz w:val="24"/>
                <w:szCs w:val="24"/>
                <w:lang w:eastAsia="lv-LV"/>
              </w:rPr>
              <w:t xml:space="preserve"> jo to iznīcināšana vai darbības spēju samazināšana var apdraudēt nacionālo drošību un valsts pārvaldību</w:t>
            </w:r>
            <w:r w:rsidR="005F5FD8" w:rsidRPr="00E80B84">
              <w:rPr>
                <w:sz w:val="24"/>
                <w:szCs w:val="24"/>
                <w:lang w:eastAsia="lv-LV"/>
              </w:rPr>
              <w:t>.</w:t>
            </w:r>
            <w:r w:rsidR="00881AD6" w:rsidRPr="00E80B84">
              <w:rPr>
                <w:sz w:val="24"/>
                <w:szCs w:val="24"/>
                <w:lang w:eastAsia="lv-LV"/>
              </w:rPr>
              <w:t xml:space="preserve"> Kritiskās infrastruktūras drošības pasākumu plānošanas un īstenošanas kārtību nosaka Ministru kabineta 2010. gada 1. jūlija noteikumi Nr. 496 “Kritiskās infrastruktūras, tajā skaitā Eiropas kritiskās infrastruktūras, apzināšanas un drošības pasākumu plānošanas un īstenošanas kārtība” (turpmāk – Noteikumi).</w:t>
            </w:r>
          </w:p>
          <w:p w14:paraId="28EBC065" w14:textId="77777777" w:rsidR="00881AD6" w:rsidRPr="00E80B84" w:rsidRDefault="00DF00D7" w:rsidP="007774ED">
            <w:pPr>
              <w:ind w:left="57" w:right="57" w:firstLine="425"/>
              <w:rPr>
                <w:sz w:val="24"/>
                <w:szCs w:val="24"/>
                <w:lang w:eastAsia="lv-LV"/>
              </w:rPr>
            </w:pPr>
            <w:r w:rsidRPr="00E80B84">
              <w:rPr>
                <w:sz w:val="24"/>
                <w:szCs w:val="24"/>
                <w:lang w:eastAsia="lv-LV"/>
              </w:rPr>
              <w:t>Izvērtējot</w:t>
            </w:r>
            <w:r w:rsidR="00881AD6" w:rsidRPr="00E80B84">
              <w:rPr>
                <w:sz w:val="24"/>
                <w:szCs w:val="24"/>
                <w:lang w:eastAsia="lv-LV"/>
              </w:rPr>
              <w:t xml:space="preserve"> </w:t>
            </w:r>
            <w:r w:rsidR="00CF5F58" w:rsidRPr="00E80B84">
              <w:rPr>
                <w:sz w:val="24"/>
                <w:szCs w:val="24"/>
                <w:lang w:eastAsia="lv-LV"/>
              </w:rPr>
              <w:t xml:space="preserve">pastāvošos riskus </w:t>
            </w:r>
            <w:r w:rsidRPr="00E80B84">
              <w:rPr>
                <w:sz w:val="24"/>
                <w:szCs w:val="24"/>
                <w:lang w:eastAsia="lv-LV"/>
              </w:rPr>
              <w:t xml:space="preserve">un citu valstu pieredzi, ir konstatēti </w:t>
            </w:r>
            <w:r w:rsidR="00881AD6" w:rsidRPr="00E80B84">
              <w:rPr>
                <w:sz w:val="24"/>
                <w:szCs w:val="24"/>
                <w:lang w:eastAsia="lv-LV"/>
              </w:rPr>
              <w:t>trūkum</w:t>
            </w:r>
            <w:r w:rsidR="00976B39" w:rsidRPr="00E80B84">
              <w:rPr>
                <w:sz w:val="24"/>
                <w:szCs w:val="24"/>
                <w:lang w:eastAsia="lv-LV"/>
              </w:rPr>
              <w:t>i</w:t>
            </w:r>
            <w:r w:rsidR="00881AD6" w:rsidRPr="00E80B84">
              <w:rPr>
                <w:sz w:val="24"/>
                <w:szCs w:val="24"/>
                <w:lang w:eastAsia="lv-LV"/>
              </w:rPr>
              <w:t xml:space="preserve"> esošajā regulējumā, kas neļauj pilnvērtīgi un efektīvi plānot un īstenot kritiskās infrastruktūras drošības pasākumus, tādējādi atstājot negatīvu ietekmi uz valsts funkciju īstenošanu.</w:t>
            </w:r>
          </w:p>
          <w:p w14:paraId="7740BCAD" w14:textId="77777777" w:rsidR="003D0A89" w:rsidRPr="00E80B84" w:rsidRDefault="00CF5F58" w:rsidP="007774ED">
            <w:pPr>
              <w:ind w:left="57" w:right="57" w:firstLine="425"/>
              <w:rPr>
                <w:sz w:val="24"/>
                <w:szCs w:val="24"/>
                <w:lang w:eastAsia="lv-LV"/>
              </w:rPr>
            </w:pPr>
            <w:r w:rsidRPr="00E80B84">
              <w:rPr>
                <w:sz w:val="24"/>
                <w:szCs w:val="24"/>
                <w:lang w:eastAsia="lv-LV"/>
              </w:rPr>
              <w:t xml:space="preserve">Lai novērstu konstatētos trūkumus un nodrošinātu kritiskās infrastruktūras objektu normālu funkcionēšanu, ir izstrādāts Ministru kabineta noteikumu projekts </w:t>
            </w:r>
            <w:r w:rsidR="005A3B6A" w:rsidRPr="00E80B84">
              <w:rPr>
                <w:sz w:val="24"/>
                <w:szCs w:val="24"/>
                <w:lang w:eastAsia="lv-LV"/>
              </w:rPr>
              <w:t>,,</w:t>
            </w:r>
            <w:r w:rsidRPr="00E80B84">
              <w:rPr>
                <w:sz w:val="24"/>
                <w:szCs w:val="24"/>
                <w:lang w:eastAsia="lv-LV"/>
              </w:rPr>
              <w:t xml:space="preserve">Grozījumi Ministru kabineta 2010. gada 1. jūnija noteikumos Nr. 496 </w:t>
            </w:r>
            <w:r w:rsidR="005A3B6A" w:rsidRPr="00E80B84">
              <w:rPr>
                <w:sz w:val="24"/>
                <w:szCs w:val="24"/>
                <w:lang w:eastAsia="lv-LV"/>
              </w:rPr>
              <w:t>,,</w:t>
            </w:r>
            <w:r w:rsidRPr="00E80B84">
              <w:rPr>
                <w:sz w:val="24"/>
                <w:szCs w:val="24"/>
                <w:lang w:eastAsia="lv-LV"/>
              </w:rPr>
              <w:t xml:space="preserve">Kritiskās infrastruktūras, tajā skaitā Eiropas kritiskās infrastruktūras, apzināšanas un drošības pasākumu plānošanas un īstenošanas kārtība”” (turpmāk – Projekts), ar kuru paredzēts </w:t>
            </w:r>
            <w:r w:rsidR="004174B7" w:rsidRPr="00E80B84">
              <w:rPr>
                <w:sz w:val="24"/>
                <w:szCs w:val="24"/>
                <w:lang w:eastAsia="lv-LV"/>
              </w:rPr>
              <w:t>pilnveidot</w:t>
            </w:r>
            <w:r w:rsidR="003D0A89" w:rsidRPr="00E80B84">
              <w:rPr>
                <w:sz w:val="24"/>
                <w:szCs w:val="24"/>
                <w:lang w:eastAsia="lv-LV"/>
              </w:rPr>
              <w:t xml:space="preserve"> tiesisko regulējumu, kas </w:t>
            </w:r>
            <w:r w:rsidR="005F5FD8" w:rsidRPr="00E80B84">
              <w:rPr>
                <w:sz w:val="24"/>
                <w:szCs w:val="24"/>
                <w:lang w:eastAsia="lv-LV"/>
              </w:rPr>
              <w:t xml:space="preserve">nosaka </w:t>
            </w:r>
            <w:r w:rsidR="003D0A89" w:rsidRPr="00E80B84">
              <w:rPr>
                <w:sz w:val="24"/>
                <w:szCs w:val="24"/>
                <w:lang w:eastAsia="lv-LV"/>
              </w:rPr>
              <w:t>kritiskās infrastruktūras tiesisk</w:t>
            </w:r>
            <w:r w:rsidR="005F5FD8" w:rsidRPr="00E80B84">
              <w:rPr>
                <w:sz w:val="24"/>
                <w:szCs w:val="24"/>
                <w:lang w:eastAsia="lv-LV"/>
              </w:rPr>
              <w:t>ā</w:t>
            </w:r>
            <w:r w:rsidR="00881AD6" w:rsidRPr="00E80B84">
              <w:rPr>
                <w:sz w:val="24"/>
                <w:szCs w:val="24"/>
                <w:lang w:eastAsia="lv-LV"/>
              </w:rPr>
              <w:t xml:space="preserve"> valdītāja</w:t>
            </w:r>
            <w:r w:rsidR="003D0A89" w:rsidRPr="00E80B84">
              <w:rPr>
                <w:sz w:val="24"/>
                <w:szCs w:val="24"/>
                <w:lang w:eastAsia="lv-LV"/>
              </w:rPr>
              <w:t xml:space="preserve"> vai īpašniek</w:t>
            </w:r>
            <w:r w:rsidR="005F5FD8" w:rsidRPr="00E80B84">
              <w:rPr>
                <w:sz w:val="24"/>
                <w:szCs w:val="24"/>
                <w:lang w:eastAsia="lv-LV"/>
              </w:rPr>
              <w:t>a</w:t>
            </w:r>
            <w:r w:rsidR="003D0A89" w:rsidRPr="00E80B84">
              <w:rPr>
                <w:sz w:val="24"/>
                <w:szCs w:val="24"/>
                <w:lang w:eastAsia="lv-LV"/>
              </w:rPr>
              <w:t xml:space="preserve"> un valsts drošības iestāžu tiesības un pienākumus</w:t>
            </w:r>
            <w:r w:rsidR="005F5FD8" w:rsidRPr="00E80B84">
              <w:rPr>
                <w:sz w:val="24"/>
                <w:szCs w:val="24"/>
                <w:lang w:eastAsia="lv-LV"/>
              </w:rPr>
              <w:t xml:space="preserve">, </w:t>
            </w:r>
            <w:r w:rsidR="003D0A89" w:rsidRPr="00E80B84">
              <w:rPr>
                <w:sz w:val="24"/>
                <w:szCs w:val="24"/>
                <w:lang w:eastAsia="lv-LV"/>
              </w:rPr>
              <w:t xml:space="preserve">būtiski </w:t>
            </w:r>
            <w:r w:rsidR="005F5FD8" w:rsidRPr="00E80B84">
              <w:rPr>
                <w:sz w:val="24"/>
                <w:szCs w:val="24"/>
                <w:lang w:eastAsia="lv-LV"/>
              </w:rPr>
              <w:t xml:space="preserve">uzlabojot </w:t>
            </w:r>
            <w:r w:rsidR="003D0A89" w:rsidRPr="00E80B84">
              <w:rPr>
                <w:sz w:val="24"/>
                <w:szCs w:val="24"/>
                <w:lang w:eastAsia="lv-LV"/>
              </w:rPr>
              <w:t>drošības režīmu kritiskās infrastruktūras objektos.</w:t>
            </w:r>
          </w:p>
          <w:p w14:paraId="086BCAAA" w14:textId="181F268E" w:rsidR="003070F3" w:rsidRPr="00E80B84" w:rsidRDefault="00361FB9" w:rsidP="007774ED">
            <w:pPr>
              <w:pStyle w:val="naisf"/>
              <w:spacing w:before="0" w:after="0"/>
              <w:ind w:left="57" w:right="57" w:firstLine="283"/>
            </w:pPr>
            <w:r w:rsidRPr="00E80B84">
              <w:t xml:space="preserve">Noteikumu 25. punkts paredz, ka par infrastruktūras drošību atbildīgo personu norīko kritiskās infrastruktūras īpašnieks vai tiesiskais valdītājs, ievērojot Noteikumu 26. punktā </w:t>
            </w:r>
            <w:r w:rsidR="003070F3" w:rsidRPr="00E80B84">
              <w:t>izvirzītos nosacījumus. Pašreizējā redakcijā 26. punkts paredz virkni ierobežojumu, taču noteikumos kā obligāts priekšnosacījums nav noteikta iepriekšēja pieredze fiziskās drošības prasību nodrošināšanas jomā. Tādējādi izveidojusies situācija, ka personas tiek norīkotas atbildēt par kritiskās infrastruktūras drošību</w:t>
            </w:r>
            <w:r w:rsidR="00976B39" w:rsidRPr="00E80B84">
              <w:t xml:space="preserve"> </w:t>
            </w:r>
            <w:r w:rsidR="00976B39" w:rsidRPr="00E80B84">
              <w:lastRenderedPageBreak/>
              <w:t xml:space="preserve">neskatoties uz to, ka personām nav priekšzināšanu </w:t>
            </w:r>
            <w:r w:rsidR="00976B39" w:rsidRPr="00407595">
              <w:t>par fiziskā</w:t>
            </w:r>
            <w:r w:rsidR="00CF4737" w:rsidRPr="00407595">
              <w:t>s</w:t>
            </w:r>
            <w:r w:rsidR="00976B39" w:rsidRPr="00407595">
              <w:t xml:space="preserve"> drošības</w:t>
            </w:r>
            <w:r w:rsidR="00976B39" w:rsidRPr="00E80B84">
              <w:t xml:space="preserve"> pasākumu plānošanu </w:t>
            </w:r>
            <w:r w:rsidR="00624133">
              <w:t>vai</w:t>
            </w:r>
            <w:r w:rsidR="00976B39" w:rsidRPr="00E80B84">
              <w:t xml:space="preserve"> īstenošanu</w:t>
            </w:r>
            <w:r w:rsidR="003070F3" w:rsidRPr="00E80B84">
              <w:t>.</w:t>
            </w:r>
          </w:p>
          <w:p w14:paraId="0D516FB1" w14:textId="0A370CFE" w:rsidR="002F3939" w:rsidRPr="00E80B84" w:rsidRDefault="003070F3" w:rsidP="006017B4">
            <w:pPr>
              <w:pStyle w:val="naisf"/>
              <w:spacing w:before="0" w:after="0"/>
              <w:ind w:left="57" w:right="57" w:firstLine="283"/>
            </w:pPr>
            <w:r w:rsidRPr="00E80B84">
              <w:t>Projekts paredz papildināt Noteikumus ar 26.10. apakšpunktu, nosakot, ka par infrastruktūr</w:t>
            </w:r>
            <w:r w:rsidR="00272330">
              <w:t>as</w:t>
            </w:r>
            <w:r w:rsidRPr="00E80B84">
              <w:t xml:space="preserve"> </w:t>
            </w:r>
            <w:r w:rsidR="00272330">
              <w:t xml:space="preserve">drošību </w:t>
            </w:r>
            <w:r w:rsidRPr="00E80B84">
              <w:t xml:space="preserve">atbildīgo personu var norīkot personu, kurai ir vismaz </w:t>
            </w:r>
            <w:r w:rsidR="0025750C" w:rsidRPr="00E80B84">
              <w:t>divu</w:t>
            </w:r>
            <w:r w:rsidR="00976B39" w:rsidRPr="00E80B84">
              <w:t xml:space="preserve"> </w:t>
            </w:r>
            <w:r w:rsidRPr="00E80B84">
              <w:t xml:space="preserve">gada darba pieredze </w:t>
            </w:r>
            <w:r w:rsidR="00042919" w:rsidRPr="00E80B84">
              <w:t xml:space="preserve">fiziskās drošības pasākumu </w:t>
            </w:r>
            <w:r w:rsidR="00935068" w:rsidRPr="002F3939">
              <w:t xml:space="preserve">plānošanā </w:t>
            </w:r>
            <w:r w:rsidR="00624133" w:rsidRPr="002F3939">
              <w:t>vai</w:t>
            </w:r>
            <w:r w:rsidR="00935068" w:rsidRPr="002F3939">
              <w:t xml:space="preserve"> īstenošanā</w:t>
            </w:r>
            <w:r w:rsidR="0000318D">
              <w:t>, vienlaikus nosakot, ka šo</w:t>
            </w:r>
            <w:r w:rsidR="002F3939" w:rsidRPr="002F3939">
              <w:t xml:space="preserve"> nosacījumu nepiemēro </w:t>
            </w:r>
            <w:r w:rsidR="006017B4">
              <w:t xml:space="preserve">tādai </w:t>
            </w:r>
            <w:r w:rsidR="002F3939" w:rsidRPr="002F3939">
              <w:t>personai, kura atbilstoši valsts drošības iestāžu kompetencei ir pārbaudīta un apstiprināta par kritiskās infrastruktūras drošību atbildīg</w:t>
            </w:r>
            <w:r w:rsidR="0000318D">
              <w:t>o</w:t>
            </w:r>
            <w:r w:rsidR="002F3939" w:rsidRPr="002F3939">
              <w:t xml:space="preserve"> person</w:t>
            </w:r>
            <w:r w:rsidR="0000318D">
              <w:t>u</w:t>
            </w:r>
            <w:r w:rsidR="006F4A41">
              <w:t>.</w:t>
            </w:r>
          </w:p>
          <w:p w14:paraId="0C00A478" w14:textId="5BE73741" w:rsidR="00F879C6" w:rsidRPr="009D2003" w:rsidRDefault="00976B39" w:rsidP="00976B39">
            <w:pPr>
              <w:pStyle w:val="naisf"/>
              <w:spacing w:before="0" w:after="0"/>
              <w:ind w:left="57" w:right="57" w:firstLine="283"/>
            </w:pPr>
            <w:r w:rsidRPr="009D2003">
              <w:t>A</w:t>
            </w:r>
            <w:r w:rsidR="00042919" w:rsidRPr="009D2003">
              <w:t xml:space="preserve">ttiecīgi </w:t>
            </w:r>
            <w:r w:rsidRPr="009D2003">
              <w:t xml:space="preserve">persona pieredzi </w:t>
            </w:r>
            <w:r w:rsidR="002F3939" w:rsidRPr="00E80B84">
              <w:t xml:space="preserve">fiziskās drošības pasākumu </w:t>
            </w:r>
            <w:r w:rsidR="002F3939" w:rsidRPr="002F3939">
              <w:t>plānošanā vai īstenošanā</w:t>
            </w:r>
            <w:r w:rsidR="002F3939" w:rsidRPr="009D2003">
              <w:t xml:space="preserve"> </w:t>
            </w:r>
            <w:r w:rsidRPr="009D2003">
              <w:t>var būt ieguvusi, atrodoties dienestā valsts drošības iestādē, Iekšlietu ministrijas sistēmas iestādē, Ieslodzījuma vietu pārvaldē, Nacionālajos bruņotajos spēkos</w:t>
            </w:r>
            <w:r w:rsidRPr="002F3939">
              <w:t xml:space="preserve">, </w:t>
            </w:r>
            <w:r w:rsidR="00F879C6" w:rsidRPr="002F3939">
              <w:t xml:space="preserve">kā arī esot </w:t>
            </w:r>
            <w:r w:rsidR="009D2003" w:rsidRPr="002F3939">
              <w:t>darba tiesiskajās attiecībās</w:t>
            </w:r>
            <w:r w:rsidR="00F879C6" w:rsidRPr="002F3939">
              <w:t xml:space="preserve"> </w:t>
            </w:r>
            <w:r w:rsidRPr="002F3939">
              <w:t>pie licencēta apsardzes komersanta</w:t>
            </w:r>
            <w:r w:rsidR="00F879C6" w:rsidRPr="002F3939">
              <w:t xml:space="preserve"> vai iestādes, komersanta vai organizācijas</w:t>
            </w:r>
            <w:r w:rsidRPr="002F3939">
              <w:t xml:space="preserve"> </w:t>
            </w:r>
            <w:r w:rsidR="00F879C6" w:rsidRPr="002F3939">
              <w:t>iekšējā drošības dienestā</w:t>
            </w:r>
            <w:r w:rsidR="009D2003" w:rsidRPr="002F3939">
              <w:t>, kā arī citās jomās, kur var gūt šādu darba pieredzi</w:t>
            </w:r>
            <w:r w:rsidRPr="002F3939">
              <w:t>. Kritiskās</w:t>
            </w:r>
            <w:r w:rsidRPr="009D2003">
              <w:t xml:space="preserve"> infrastruktūras īpašnieks vai tiesiskais valdītājs par kandidāta atbilstību minētajām prasībām var pārliecin</w:t>
            </w:r>
            <w:r w:rsidR="00BA0CA2" w:rsidRPr="009D2003">
              <w:t xml:space="preserve">āties no personas, </w:t>
            </w:r>
            <w:r w:rsidR="00F879C6" w:rsidRPr="009D2003">
              <w:t>kura</w:t>
            </w:r>
            <w:r w:rsidR="00BA0CA2" w:rsidRPr="009D2003">
              <w:t xml:space="preserve"> pretendēs būt par infrastruktūras drošību atbildīgā persona un </w:t>
            </w:r>
            <w:r w:rsidR="00F879C6" w:rsidRPr="009D2003">
              <w:t>kurai</w:t>
            </w:r>
            <w:r w:rsidR="00BA0CA2" w:rsidRPr="009D2003">
              <w:t xml:space="preserve"> būs jāiesniedz </w:t>
            </w:r>
            <w:r w:rsidR="00F879C6" w:rsidRPr="009D2003">
              <w:t xml:space="preserve">atbilstošs </w:t>
            </w:r>
            <w:r w:rsidR="00BA0CA2" w:rsidRPr="009D2003">
              <w:t>apliecinājums par šādas pieredzes esamību</w:t>
            </w:r>
            <w:r w:rsidR="00F879C6" w:rsidRPr="009D2003">
              <w:t>.</w:t>
            </w:r>
          </w:p>
          <w:p w14:paraId="4E17904A" w14:textId="0A8902B7" w:rsidR="00955D69" w:rsidRPr="00E80B84" w:rsidRDefault="002F3939" w:rsidP="007774ED">
            <w:pPr>
              <w:pStyle w:val="naisf"/>
              <w:spacing w:before="0" w:after="0"/>
              <w:ind w:left="57" w:right="57" w:firstLine="283"/>
            </w:pPr>
            <w:r>
              <w:t>A</w:t>
            </w:r>
            <w:r w:rsidR="00F879C6" w:rsidRPr="00E80B84">
              <w:t xml:space="preserve">tbilstoši pastāvošajai </w:t>
            </w:r>
            <w:r w:rsidR="00F546C3">
              <w:t>praksei</w:t>
            </w:r>
            <w:r w:rsidR="00F879C6" w:rsidRPr="00E80B84">
              <w:t xml:space="preserve"> </w:t>
            </w:r>
            <w:r w:rsidR="00C571C0" w:rsidRPr="00E80B84">
              <w:t xml:space="preserve">persona, kuras kandidatūru </w:t>
            </w:r>
            <w:r w:rsidR="00F879C6" w:rsidRPr="00E80B84">
              <w:t xml:space="preserve">drošības apsvērumu </w:t>
            </w:r>
            <w:r w:rsidR="00C571C0" w:rsidRPr="00E80B84">
              <w:t xml:space="preserve">dēļ </w:t>
            </w:r>
            <w:r w:rsidR="008864B0" w:rsidRPr="00E80B84">
              <w:t xml:space="preserve">kompetentā </w:t>
            </w:r>
            <w:r w:rsidR="00C571C0" w:rsidRPr="00E80B84">
              <w:t xml:space="preserve">valsts drošības iestāde neapstiprina par infrastruktūras drošību </w:t>
            </w:r>
            <w:r w:rsidR="00955D69" w:rsidRPr="00E80B84">
              <w:t>atbildīg</w:t>
            </w:r>
            <w:r w:rsidR="00B50C49">
              <w:t xml:space="preserve">o </w:t>
            </w:r>
            <w:r w:rsidR="00955D69" w:rsidRPr="00E80B84">
              <w:t>person</w:t>
            </w:r>
            <w:r w:rsidR="00B50C49">
              <w:t>u</w:t>
            </w:r>
            <w:r w:rsidR="00955D69" w:rsidRPr="00E80B84">
              <w:t xml:space="preserve">, var tikt </w:t>
            </w:r>
            <w:r w:rsidR="008F0D02">
              <w:t>norīkota</w:t>
            </w:r>
            <w:r w:rsidR="00955D69" w:rsidRPr="00E80B84">
              <w:t xml:space="preserve"> citā</w:t>
            </w:r>
            <w:r w:rsidR="00C571C0" w:rsidRPr="00E80B84">
              <w:t xml:space="preserve"> </w:t>
            </w:r>
            <w:r w:rsidR="00955D69" w:rsidRPr="00E80B84">
              <w:t>amatā</w:t>
            </w:r>
            <w:r w:rsidR="00C571C0" w:rsidRPr="00E80B84">
              <w:t xml:space="preserve">, kā rezultātā </w:t>
            </w:r>
            <w:r w:rsidR="00955D69" w:rsidRPr="00E80B84">
              <w:t>personai</w:t>
            </w:r>
            <w:r w:rsidR="00C571C0" w:rsidRPr="00E80B84">
              <w:t xml:space="preserve"> tāpat ir piekļuve kritiskās infrastruktūras funkcionēšanai nozīmīgai informācijai vai tehnoloģiskajām iekārtām</w:t>
            </w:r>
            <w:r w:rsidR="00955D69" w:rsidRPr="00E80B84">
              <w:t xml:space="preserve">. </w:t>
            </w:r>
            <w:r w:rsidR="00BA0CA2" w:rsidRPr="00E80B84">
              <w:t xml:space="preserve">Šādu situāciju arī </w:t>
            </w:r>
            <w:r w:rsidR="00955D69" w:rsidRPr="00E80B84">
              <w:t xml:space="preserve">veicina fakts, ka normatīvajos aktos nav definēts vai aprakstīts, </w:t>
            </w:r>
            <w:r w:rsidR="006017B4">
              <w:t>kas</w:t>
            </w:r>
            <w:r w:rsidR="006017B4" w:rsidRPr="00E80B84">
              <w:t xml:space="preserve"> </w:t>
            </w:r>
            <w:r w:rsidR="00955D69" w:rsidRPr="00E80B84">
              <w:t>ir „kritiskās infrastruktūras funkcionēšanai nozīmīga</w:t>
            </w:r>
            <w:r w:rsidR="004A00B2" w:rsidRPr="00E80B84">
              <w:t xml:space="preserve"> informācija, tehnoloģiskās</w:t>
            </w:r>
            <w:r w:rsidR="00955D69" w:rsidRPr="00E80B84">
              <w:t xml:space="preserve"> iekārtas</w:t>
            </w:r>
            <w:r w:rsidR="004A00B2" w:rsidRPr="00E80B84">
              <w:t xml:space="preserve"> un pakalpojumi</w:t>
            </w:r>
            <w:r w:rsidR="00955D69" w:rsidRPr="00E80B84">
              <w:t>”, kaut arī ir paredzēti ierobežojumi attiecībā uz piekļuves tiesībām noteiktos apstākļos.</w:t>
            </w:r>
          </w:p>
          <w:p w14:paraId="790741D8" w14:textId="063F2F33" w:rsidR="00BA0CA2" w:rsidRPr="00E80B84" w:rsidRDefault="00955D69" w:rsidP="007774ED">
            <w:pPr>
              <w:pStyle w:val="naisf"/>
              <w:spacing w:before="0" w:after="0"/>
              <w:ind w:left="57" w:right="57" w:firstLine="283"/>
            </w:pPr>
            <w:r w:rsidRPr="00E80B84">
              <w:t>Identificējot attiecīgās iekārtas</w:t>
            </w:r>
            <w:r w:rsidR="004A00B2" w:rsidRPr="00E80B84">
              <w:t>, pakalpojumus</w:t>
            </w:r>
            <w:r w:rsidRPr="00E80B84">
              <w:t xml:space="preserve"> vai aizsargājamo informāciju un nosakot atbilstošas drošības zonas un personas, kurām aizliegts piekļūt minētajai informācijai vai iekārtām</w:t>
            </w:r>
            <w:r w:rsidR="004A00B2" w:rsidRPr="00E80B84">
              <w:t xml:space="preserve"> vai sniegt attiecīgus pakalpojumus</w:t>
            </w:r>
            <w:r w:rsidRPr="00E80B84">
              <w:t>, iespējams maksimāli samazināt personu skaitu, kurām nav nepieciešams piekļūt kritiskās infrastruktūras funkcionēšanai nozīmīgām iekārtām vai informācijai, tādējādi ievērojami paaugstinot drošības pasākumu efektivitāti.</w:t>
            </w:r>
            <w:r w:rsidR="00BA0CA2" w:rsidRPr="00E80B84">
              <w:t xml:space="preserve"> Vienlaikus secināms, ka kritiskās infrastruktūras objekti ir atšķirīgi un normatīvā aktā nebūtu lietderīgi ietvert </w:t>
            </w:r>
            <w:r w:rsidR="00DF3D93" w:rsidRPr="00E80B84">
              <w:t>skaidrojumu vai kri</w:t>
            </w:r>
            <w:r w:rsidR="0007117E">
              <w:t xml:space="preserve">tērijus tam, kas katrā objektā </w:t>
            </w:r>
            <w:r w:rsidR="00DF3D93" w:rsidRPr="00E80B84">
              <w:t>uzskatāms par tā funkcionēšanai nozīmīgu iekārtu un informāciju, turklāt šāda rakstura informācijai nosakāms vismaz ierobežotas pieejamības informācijas statuss. Informācijai par kritiskās infrastruktūras funkcionēšanai nozīmīgām iekārtām jābūt apkopotai katrā objektā</w:t>
            </w:r>
            <w:r w:rsidR="00555763">
              <w:t xml:space="preserve">, </w:t>
            </w:r>
            <w:r w:rsidR="0018486D" w:rsidRPr="00E80B84">
              <w:t>tādējādi nodrošinot augstu kritiskās infrastruktūras aizsardzības līmeni</w:t>
            </w:r>
            <w:r w:rsidR="00DF3D93" w:rsidRPr="00E80B84">
              <w:t xml:space="preserve">.  </w:t>
            </w:r>
          </w:p>
          <w:p w14:paraId="2675E8F1" w14:textId="2CDE8085" w:rsidR="00BA0CA2" w:rsidRPr="00F560FD" w:rsidRDefault="00955D69" w:rsidP="007774ED">
            <w:pPr>
              <w:pStyle w:val="naisf"/>
              <w:spacing w:before="0" w:after="0"/>
              <w:ind w:left="57" w:right="57" w:firstLine="283"/>
              <w:rPr>
                <w:u w:val="single"/>
              </w:rPr>
            </w:pPr>
            <w:r w:rsidRPr="00E80B84">
              <w:lastRenderedPageBreak/>
              <w:t>Projekts paredz, ka kritiskās infrastruktūras funkcionēšanai nozīmīgas informācijas, tehnoloģisko iekārtu vai pakalpojumu sarakstu</w:t>
            </w:r>
            <w:r w:rsidR="0065781D">
              <w:t xml:space="preserve"> </w:t>
            </w:r>
            <w:r w:rsidR="0018486D" w:rsidRPr="00E80B84">
              <w:t xml:space="preserve">noteiks par infrastruktūras drošību atbildīgā persona. Minētais saraksts </w:t>
            </w:r>
            <w:r w:rsidR="00955116">
              <w:t>iesniedzams attiecīgajai valsts drošības iestādei</w:t>
            </w:r>
            <w:r w:rsidR="0018486D" w:rsidRPr="00E80B84">
              <w:t xml:space="preserve">, ievērojot to pašu kārtību, kādā tiek </w:t>
            </w:r>
            <w:r w:rsidR="00955116">
              <w:t>iesniegti</w:t>
            </w:r>
            <w:r w:rsidR="0018486D" w:rsidRPr="00E80B84">
              <w:t xml:space="preserve"> kritiskās infrastruktūras drošības pasākumus reglamentējošie dokumenti. </w:t>
            </w:r>
            <w:r w:rsidR="000F589D" w:rsidRPr="00AE7632">
              <w:t xml:space="preserve">Projekta </w:t>
            </w:r>
            <w:r w:rsidR="00955116" w:rsidRPr="00AE7632">
              <w:t>11</w:t>
            </w:r>
            <w:r w:rsidR="000F589D" w:rsidRPr="00AE7632">
              <w:t>. punkts paredz papildināt Noteikumus ar 4</w:t>
            </w:r>
            <w:r w:rsidR="00955116" w:rsidRPr="00AE7632">
              <w:t>0</w:t>
            </w:r>
            <w:r w:rsidR="000F589D" w:rsidRPr="00AE7632">
              <w:t xml:space="preserve">. punktu, kas noteiks, ka Noteikumu 29.1. apakšpunktā minēto sarakstu </w:t>
            </w:r>
            <w:r w:rsidR="00955116" w:rsidRPr="00AE7632">
              <w:t xml:space="preserve">attiecīgajai </w:t>
            </w:r>
            <w:r w:rsidR="000F589D" w:rsidRPr="00AE7632">
              <w:t>valsts drošības iestā</w:t>
            </w:r>
            <w:r w:rsidR="00955116" w:rsidRPr="00AE7632">
              <w:t>dei iesniedz</w:t>
            </w:r>
            <w:r w:rsidR="000F589D" w:rsidRPr="00AE7632">
              <w:t xml:space="preserve"> ne vēlāk kā līdz 201</w:t>
            </w:r>
            <w:r w:rsidR="00955116" w:rsidRPr="00AE7632">
              <w:t>8</w:t>
            </w:r>
            <w:r w:rsidR="000F589D" w:rsidRPr="00AE7632">
              <w:t>. gada 1. </w:t>
            </w:r>
            <w:r w:rsidR="00955116" w:rsidRPr="00AE7632">
              <w:t>janvārim</w:t>
            </w:r>
            <w:r w:rsidR="000F589D" w:rsidRPr="00AE7632">
              <w:t>.</w:t>
            </w:r>
            <w:r w:rsidR="0018486D" w:rsidRPr="00F560FD">
              <w:rPr>
                <w:u w:val="single"/>
              </w:rPr>
              <w:t xml:space="preserve"> </w:t>
            </w:r>
          </w:p>
          <w:p w14:paraId="0FFD3D37" w14:textId="5E197BD3" w:rsidR="003279E3" w:rsidRDefault="00955D69" w:rsidP="007774ED">
            <w:pPr>
              <w:pStyle w:val="naisf"/>
              <w:spacing w:before="0" w:after="0"/>
              <w:ind w:left="57" w:right="57" w:firstLine="283"/>
            </w:pPr>
            <w:r w:rsidRPr="00E80B84">
              <w:t>Tāpat Projekts paredz p</w:t>
            </w:r>
            <w:r w:rsidR="005A7942" w:rsidRPr="00E80B84">
              <w:t>a</w:t>
            </w:r>
            <w:r w:rsidRPr="00E80B84">
              <w:t>pildināt Noteikumus ar 28.</w:t>
            </w:r>
            <w:r w:rsidRPr="00B460B0">
              <w:rPr>
                <w:vertAlign w:val="superscript"/>
              </w:rPr>
              <w:t>1</w:t>
            </w:r>
            <w:r w:rsidRPr="00E80B84">
              <w:t> punktu,</w:t>
            </w:r>
            <w:r w:rsidR="003279E3">
              <w:t xml:space="preserve"> </w:t>
            </w:r>
            <w:r w:rsidR="00297D2F">
              <w:t>nosakot,</w:t>
            </w:r>
            <w:r w:rsidR="003279E3">
              <w:t xml:space="preserve"> </w:t>
            </w:r>
            <w:r w:rsidR="00297D2F">
              <w:t>k</w:t>
            </w:r>
            <w:r w:rsidR="003279E3">
              <w:t>a</w:t>
            </w:r>
            <w:r w:rsidR="00297D2F">
              <w:t>,</w:t>
            </w:r>
            <w:r w:rsidR="003279E3">
              <w:t xml:space="preserve"> </w:t>
            </w:r>
            <w:r w:rsidR="00297D2F">
              <w:t xml:space="preserve">ja </w:t>
            </w:r>
            <w:r w:rsidR="003279E3" w:rsidRPr="00BD05FC">
              <w:rPr>
                <w:iCs/>
                <w:sz w:val="26"/>
                <w:szCs w:val="26"/>
              </w:rPr>
              <w:t xml:space="preserve">Drošības policijas, Satversmes </w:t>
            </w:r>
            <w:r w:rsidR="003279E3" w:rsidRPr="003279E3">
              <w:t xml:space="preserve">aizsardzības biroja vai Militārās izlūkošanas un drošības dienesta rīcībā esošā informācija liecina, ka par kritiskās infrastruktūras vai Eiropas kritiskās infrastruktūras drošību atbildīgās personas kandidāts neatbilst </w:t>
            </w:r>
            <w:r w:rsidR="00297D2F">
              <w:t>N</w:t>
            </w:r>
            <w:r w:rsidR="003279E3" w:rsidRPr="003279E3">
              <w:t>oteikumu 26. punkta prasībām, Drošības policija, Satversmes aizsardzības birojs vai Militārās izlūkošanas un drošības dienests iesaka kritiskās infrastruktūras vai Eiropas kritiskās infrastruktūras īpašniekam vai tiesiskajam valdītājam ierobežot minētajai personai piekļuvi kritiskās infrastruktūras vai Eiropas kritiskās infrastruktūras funkcionēšanai nozīmīgai informācijai vai tehnoloģiskajām iekārtām.</w:t>
            </w:r>
          </w:p>
          <w:p w14:paraId="13D89A21" w14:textId="7E8E0247" w:rsidR="00A050D0" w:rsidRPr="00E80B84" w:rsidRDefault="00F57ABB" w:rsidP="007774ED">
            <w:pPr>
              <w:pStyle w:val="naisf"/>
              <w:spacing w:before="0" w:after="0"/>
              <w:ind w:left="57" w:right="57" w:firstLine="283"/>
            </w:pPr>
            <w:r>
              <w:t>S</w:t>
            </w:r>
            <w:r w:rsidR="0018486D" w:rsidRPr="00E80B84">
              <w:t>aistībā ar drošības zonu noteikšanu</w:t>
            </w:r>
            <w:r w:rsidR="00A050D0" w:rsidRPr="00E80B84">
              <w:t xml:space="preserve"> un drošības līmeni kritiskās infrastruktūras objektā ir</w:t>
            </w:r>
            <w:r w:rsidR="0018486D" w:rsidRPr="00E80B84">
              <w:t xml:space="preserve"> izveidojusies situācija, ka</w:t>
            </w:r>
            <w:r w:rsidR="00A050D0" w:rsidRPr="00E80B84">
              <w:t>d</w:t>
            </w:r>
            <w:r w:rsidR="0018486D" w:rsidRPr="00E80B84">
              <w:t xml:space="preserve"> </w:t>
            </w:r>
            <w:r w:rsidR="008864B0" w:rsidRPr="00E80B84">
              <w:t>kompetentā</w:t>
            </w:r>
            <w:r w:rsidR="0018486D" w:rsidRPr="00E80B84">
              <w:t xml:space="preserve"> valsts drošības iestāde ir tiesīga pārbaudīt</w:t>
            </w:r>
            <w:r w:rsidR="00A050D0" w:rsidRPr="00E80B84">
              <w:t xml:space="preserve"> kritiskās infrastruktūras darbiniekus</w:t>
            </w:r>
            <w:r w:rsidR="00EC2687">
              <w:t>,</w:t>
            </w:r>
            <w:r w:rsidR="00A050D0" w:rsidRPr="00E80B84">
              <w:t xml:space="preserve"> kuriem ir pieeja kritiskās infrastruktūras funkcionēšanai nozīmīgai informācijai vai tehnoloģiskajām iekārtām, un, atklājot negatīva rakstura informāciju, sniegt atbilstošus ieteikumus kritiskās infrastruktūras īpašniekam vai tiesiskajam valdītājam. Vienlaikus </w:t>
            </w:r>
            <w:r w:rsidR="008864B0" w:rsidRPr="00E80B84">
              <w:t>kompetentajai</w:t>
            </w:r>
            <w:r w:rsidR="00A050D0" w:rsidRPr="00E80B84">
              <w:t xml:space="preserve"> valsts drošības </w:t>
            </w:r>
            <w:r w:rsidR="004A00B2" w:rsidRPr="00E80B84">
              <w:t xml:space="preserve">iestādei </w:t>
            </w:r>
            <w:r w:rsidR="00A050D0" w:rsidRPr="00E80B84">
              <w:t>nav tiesības veikt šādu pārbaudi un sniegt ieteikumus par komersanta, kas sniedz pakalpojumus kritiskajā infrastruktūrā, īpašnieku, valdes locekļiem un darbiniekiem, kaut arī minētajām personām tāpat var būt piekļuve kritiskās infrastruktūras nozīmīgai informācijai vai tehnoloģiskajām iekārtām, vai arī minētās personas sniedz kritiskās infrastruktūras funkcionēšanai nozīmīgus pakalpojumus. Tādējādi objektā var nebūt nodrošināts atbilstošs drošības līmenis un var tikt mazināta kritiskās infrastruktūras aizsardzības pasākumu efektivitāte.</w:t>
            </w:r>
          </w:p>
          <w:p w14:paraId="1C26A022" w14:textId="77743525" w:rsidR="00EB6422" w:rsidRPr="00121F98" w:rsidRDefault="004F6F76" w:rsidP="00EB6422">
            <w:pPr>
              <w:pStyle w:val="naisf"/>
              <w:spacing w:before="0" w:after="0"/>
              <w:ind w:left="57" w:right="57" w:firstLine="283"/>
            </w:pPr>
            <w:r w:rsidRPr="00E80B84">
              <w:t>P</w:t>
            </w:r>
            <w:r w:rsidR="00042919" w:rsidRPr="00E80B84">
              <w:t xml:space="preserve">rojekts paredz papildināt </w:t>
            </w:r>
            <w:r w:rsidRPr="00E80B84">
              <w:t xml:space="preserve">to </w:t>
            </w:r>
            <w:r w:rsidR="00042919" w:rsidRPr="00E80B84">
              <w:t>Noteikumu 27. punktā ietverto subjektu loku</w:t>
            </w:r>
            <w:r w:rsidR="00C571C0" w:rsidRPr="00E80B84">
              <w:t>,</w:t>
            </w:r>
            <w:r w:rsidR="00042919" w:rsidRPr="00E80B84">
              <w:t xml:space="preserve"> kurus </w:t>
            </w:r>
            <w:r w:rsidR="004E26A2" w:rsidRPr="00E80B84">
              <w:t>valsts drošības iestādēm</w:t>
            </w:r>
            <w:r w:rsidRPr="00E80B84">
              <w:t xml:space="preserve"> ir tiesības pārbaudīt saistībā ar piekļuvi kritiskās infrastruktūras funkcionēšanai nozīmīgai informācijai vai tehnoloģiskajām iekārtām</w:t>
            </w:r>
            <w:r w:rsidR="00C571C0" w:rsidRPr="00E80B84">
              <w:t>, ar komersanta, kas sniedz pakalpojumus kritiskajā infrastruktūrā, īpašnieku, valdes locekļiem un darbiniekiem</w:t>
            </w:r>
            <w:r w:rsidR="00C01A0C">
              <w:t>.</w:t>
            </w:r>
            <w:r w:rsidR="00EB6422">
              <w:t xml:space="preserve"> V</w:t>
            </w:r>
            <w:r w:rsidR="00EB6422" w:rsidRPr="00121F98">
              <w:t>eicot attiecīg</w:t>
            </w:r>
            <w:r w:rsidR="00EB6422">
              <w:t>o</w:t>
            </w:r>
            <w:r w:rsidR="00EB6422" w:rsidRPr="00121F98">
              <w:t xml:space="preserve"> person</w:t>
            </w:r>
            <w:r w:rsidR="00EB6422">
              <w:t>u</w:t>
            </w:r>
            <w:r w:rsidR="00EB6422" w:rsidRPr="00121F98">
              <w:t xml:space="preserve"> pārbaudi </w:t>
            </w:r>
            <w:r w:rsidR="005D349C">
              <w:t xml:space="preserve">un </w:t>
            </w:r>
            <w:r w:rsidR="005D349C" w:rsidRPr="005D349C">
              <w:t>izvērtējot informāciju attiecībā uz personas sodāmību par tīšu noziedzīgu nodarījumu un faktiem, kas dod pamatu apšaubīt tās spēju saglabāt ierobežotas pieejamības vai klasificētu informāciju</w:t>
            </w:r>
            <w:r w:rsidR="005D349C">
              <w:t xml:space="preserve">, </w:t>
            </w:r>
            <w:r w:rsidR="00EB6422">
              <w:t xml:space="preserve">tiek panākta lielāka </w:t>
            </w:r>
            <w:r w:rsidR="00EB6422" w:rsidRPr="00E80B84">
              <w:t>kritiskās infrastruktūras ai</w:t>
            </w:r>
            <w:r w:rsidR="00EB6422">
              <w:t>zsardzības pasākumu efektivitāte.</w:t>
            </w:r>
          </w:p>
          <w:p w14:paraId="08200396" w14:textId="6E48D91C" w:rsidR="009B7650" w:rsidRPr="00F560FD" w:rsidRDefault="00C01A0C" w:rsidP="009B7650">
            <w:pPr>
              <w:pStyle w:val="naisc"/>
              <w:spacing w:before="0" w:after="0"/>
              <w:ind w:firstLine="312"/>
              <w:jc w:val="both"/>
              <w:rPr>
                <w:rFonts w:eastAsia="Calibri"/>
              </w:rPr>
            </w:pPr>
            <w:r w:rsidRPr="00F560FD">
              <w:rPr>
                <w:rFonts w:eastAsia="Calibri"/>
              </w:rPr>
              <w:t>Š</w:t>
            </w:r>
            <w:r w:rsidR="00BC175A" w:rsidRPr="00F560FD">
              <w:rPr>
                <w:rFonts w:eastAsia="Calibri"/>
              </w:rPr>
              <w:t xml:space="preserve">obrīd </w:t>
            </w:r>
            <w:r w:rsidR="00865E30" w:rsidRPr="00F560FD">
              <w:rPr>
                <w:rFonts w:eastAsia="Calibri"/>
              </w:rPr>
              <w:t xml:space="preserve">normatīvie akti neparedz pienākumu kritiskās infrastruktūras objektos organizēt apmācības, </w:t>
            </w:r>
            <w:r w:rsidR="00057223" w:rsidRPr="00F560FD">
              <w:rPr>
                <w:rFonts w:eastAsia="Calibri"/>
              </w:rPr>
              <w:t xml:space="preserve">kā rezultātā kritiskās infrastruktūras objektos </w:t>
            </w:r>
            <w:r w:rsidR="004A00B2" w:rsidRPr="00F560FD">
              <w:rPr>
                <w:rFonts w:eastAsia="Calibri"/>
              </w:rPr>
              <w:t xml:space="preserve">nodarbinātais </w:t>
            </w:r>
            <w:r w:rsidR="00057223" w:rsidRPr="00F560FD">
              <w:rPr>
                <w:rFonts w:eastAsia="Calibri"/>
              </w:rPr>
              <w:t>personāls nav kompetents drošības jautājumos, kas savukārt palieli</w:t>
            </w:r>
            <w:r w:rsidR="00BC175A" w:rsidRPr="00F560FD">
              <w:rPr>
                <w:rFonts w:eastAsia="Calibri"/>
              </w:rPr>
              <w:t>na objekta ievainojamības risku.</w:t>
            </w:r>
            <w:r w:rsidR="009B7650" w:rsidRPr="00F560FD">
              <w:rPr>
                <w:rFonts w:eastAsia="Calibri"/>
              </w:rPr>
              <w:t xml:space="preserve"> Norādām, ka jau pašlaik valsts drošības iestādes veic </w:t>
            </w:r>
            <w:r w:rsidR="00CB469C" w:rsidRPr="00F560FD">
              <w:rPr>
                <w:rFonts w:eastAsia="Calibri"/>
              </w:rPr>
              <w:t xml:space="preserve">kritiskās infrastruktūras </w:t>
            </w:r>
            <w:r w:rsidR="009B7650" w:rsidRPr="00F560FD">
              <w:rPr>
                <w:rFonts w:eastAsia="Calibri"/>
              </w:rPr>
              <w:t xml:space="preserve">objektu vadošo darbinieku apmācības par fiziskās drošības jautājumiem, kā arī atsevišķos gadījumos piedalās </w:t>
            </w:r>
            <w:r w:rsidR="00CB469C" w:rsidRPr="00F560FD">
              <w:rPr>
                <w:rFonts w:eastAsia="Calibri"/>
              </w:rPr>
              <w:t xml:space="preserve">kritiskās infrastruktūras </w:t>
            </w:r>
            <w:r w:rsidR="009B7650" w:rsidRPr="00F560FD">
              <w:rPr>
                <w:rFonts w:eastAsia="Calibri"/>
              </w:rPr>
              <w:t xml:space="preserve">objektu darbinieku apmācībās. </w:t>
            </w:r>
          </w:p>
          <w:p w14:paraId="4F3634C8" w14:textId="538B14CA" w:rsidR="009B7650" w:rsidRPr="00F560FD" w:rsidRDefault="009B7650" w:rsidP="009B7650">
            <w:pPr>
              <w:pStyle w:val="naisc"/>
              <w:spacing w:before="0" w:after="0"/>
              <w:ind w:firstLine="312"/>
              <w:jc w:val="both"/>
              <w:rPr>
                <w:rFonts w:eastAsia="Calibri"/>
              </w:rPr>
            </w:pPr>
            <w:r w:rsidRPr="00F560FD">
              <w:rPr>
                <w:rFonts w:eastAsia="Calibri"/>
              </w:rPr>
              <w:t xml:space="preserve">Izvērtējot pašreiz esošo situāciju, norādām, ka apmācības vairāk kā 50% </w:t>
            </w:r>
            <w:r w:rsidR="00CB469C" w:rsidRPr="00F560FD">
              <w:rPr>
                <w:rFonts w:eastAsia="Calibri"/>
              </w:rPr>
              <w:t xml:space="preserve">kritiskās infrastruktūras </w:t>
            </w:r>
            <w:r w:rsidRPr="00F560FD">
              <w:rPr>
                <w:rFonts w:eastAsia="Calibri"/>
              </w:rPr>
              <w:t>objektu notiek reizi gadā.</w:t>
            </w:r>
          </w:p>
          <w:p w14:paraId="74A2F812" w14:textId="2221BFEA" w:rsidR="00BC175A" w:rsidRPr="00E80B84" w:rsidRDefault="009B7650" w:rsidP="009B7650">
            <w:pPr>
              <w:pStyle w:val="naisf"/>
              <w:spacing w:before="0" w:after="0"/>
              <w:ind w:left="57" w:right="57" w:firstLine="283"/>
            </w:pPr>
            <w:r>
              <w:t>J</w:t>
            </w:r>
            <w:r w:rsidRPr="003E4131">
              <w:t>āuzsver, ka apsardzes komercsabiedrībās bieži notiek apsardzes darbinieku nomaiņa, tāpēc apmācību organizēšana reizi gadā ir optimāla, lai visi apsardzes darbinieki tiktu apmācīti par fiziskās drošības un kritiskās infrastruktūras aizsardzības jautājumiem.</w:t>
            </w:r>
          </w:p>
          <w:p w14:paraId="7830D0C6" w14:textId="77777777" w:rsidR="00653857" w:rsidRDefault="00BC175A" w:rsidP="007774ED">
            <w:pPr>
              <w:pStyle w:val="naisf"/>
              <w:spacing w:before="0" w:after="0"/>
              <w:ind w:left="57" w:right="57" w:firstLine="283"/>
            </w:pPr>
            <w:r w:rsidRPr="00E80B84">
              <w:t>L</w:t>
            </w:r>
            <w:r w:rsidR="00865E30" w:rsidRPr="00E80B84">
              <w:t>ai paaugstinātu fiziskās drošības nodrošināšanā iesaistīto darbinieku profesionalitāti</w:t>
            </w:r>
            <w:r w:rsidRPr="00E80B84">
              <w:t xml:space="preserve"> un citu kritiskajā infrastruktūrā nodarbināto personu kompetences, Projekts paredz papildināt par infrastruktūras drošību atbildīgās personas uzdevumus, uzliekot par pienākumu ne retāk kā reizi gadā</w:t>
            </w:r>
            <w:r w:rsidR="009C6DDE">
              <w:t xml:space="preserve">, </w:t>
            </w:r>
            <w:r w:rsidR="009C6DDE" w:rsidRPr="009C6DDE">
              <w:t>kritiskās infrastruktūras īpašnieka vai tiesiskā valdītāja noteiktajā kārtībā un apjomā,</w:t>
            </w:r>
            <w:r w:rsidRPr="00E80B84">
              <w:t xml:space="preserve"> organizēt </w:t>
            </w:r>
            <w:r w:rsidR="002D27D2" w:rsidRPr="00E80B84">
              <w:t>teorētiskas un praktiskas apmācības par fizisko drošību</w:t>
            </w:r>
            <w:r w:rsidR="009C6DDE">
              <w:t xml:space="preserve">. </w:t>
            </w:r>
          </w:p>
          <w:p w14:paraId="2B13C426" w14:textId="42FD67E3" w:rsidR="00BC175A" w:rsidRPr="00737CEF" w:rsidRDefault="00653857" w:rsidP="007774ED">
            <w:pPr>
              <w:pStyle w:val="naisf"/>
              <w:spacing w:before="0" w:after="0"/>
              <w:ind w:left="57" w:right="57" w:firstLine="283"/>
            </w:pPr>
            <w:r w:rsidRPr="00653857">
              <w:t xml:space="preserve">Par infrastruktūras drošību atbildīgā persona </w:t>
            </w:r>
            <w:r>
              <w:t xml:space="preserve">reizi gadā </w:t>
            </w:r>
            <w:r w:rsidRPr="00653857">
              <w:t xml:space="preserve">ne vēlāk kā mēnesi pirms </w:t>
            </w:r>
            <w:r>
              <w:t xml:space="preserve">šo </w:t>
            </w:r>
            <w:r w:rsidRPr="00653857">
              <w:t>mācību (</w:t>
            </w:r>
            <w:r>
              <w:t xml:space="preserve">teorētiskās un praktiskās apmācības </w:t>
            </w:r>
            <w:r w:rsidRPr="00653857">
              <w:t xml:space="preserve">ar skaitliski lielāko darbinieku, kas veic kritiskās infrastruktūras fiziskās drošības pasākumus, dalību) norises dienas, informē Drošības policiju, Satversmes aizsardzības biroju vai Militārās izlūkošanas un drošības dienestu atbilstoši minēto valsts drošības iestāžu kompetencei. </w:t>
            </w:r>
            <w:r w:rsidR="00C25FF0" w:rsidRPr="00737CEF">
              <w:t>Projekta 29.</w:t>
            </w:r>
            <w:r w:rsidR="009C6DDE" w:rsidRPr="00737CEF">
              <w:t>3</w:t>
            </w:r>
            <w:r w:rsidR="00C25FF0" w:rsidRPr="00737CEF">
              <w:t xml:space="preserve">. apakšpunktā noteiktais attiecināms uz </w:t>
            </w:r>
            <w:r w:rsidR="00737CEF" w:rsidRPr="00737CEF">
              <w:t xml:space="preserve">apsardzes darbinieku </w:t>
            </w:r>
            <w:r w:rsidR="009C6DDE" w:rsidRPr="00737CEF">
              <w:t>specializētu</w:t>
            </w:r>
            <w:r w:rsidR="00737CEF" w:rsidRPr="00737CEF">
              <w:t xml:space="preserve"> apmācību (</w:t>
            </w:r>
            <w:r w:rsidR="00737CEF" w:rsidRPr="000340F5">
              <w:t>rīcības apdraudējuma situācijās</w:t>
            </w:r>
            <w:r w:rsidR="00737CEF" w:rsidRPr="00737CEF">
              <w:t>)</w:t>
            </w:r>
            <w:r w:rsidR="00C25FF0" w:rsidRPr="00737CEF">
              <w:t>, lai spētu identificēt, novērst vai pārtraukt tīši cilvēku radītu apdraudējumu, kura mērķis ir bojāt vai iznīcināt kritiskās infrastruktūras objektu, kas savukārt var apdraudēt valsts pārvaldīšanu vai būtisku sabiedrības funkciju īstenošanu</w:t>
            </w:r>
            <w:r w:rsidR="00DC4A88">
              <w:t xml:space="preserve">. </w:t>
            </w:r>
          </w:p>
          <w:p w14:paraId="7AF40EED" w14:textId="4E1560D9" w:rsidR="004B552B" w:rsidRPr="00E80B84" w:rsidRDefault="004B552B" w:rsidP="007774ED">
            <w:pPr>
              <w:pStyle w:val="naisf"/>
              <w:spacing w:before="0" w:after="0"/>
              <w:ind w:left="57" w:right="57" w:firstLine="283"/>
            </w:pPr>
            <w:r w:rsidRPr="00F560FD">
              <w:t>Projekts paredz precizēt noteikumu 32. punktu, nosakot, ka Drošības policija, Satversmes aizsardzības birojs vai Militārās izlūkošanas un drošības dienests atbilstoši kompetencei kontrolē kritiskās infrastruktūras drošības pasākumus reglamentējošajos dokumentos noteikto prasību izpildi un sniedz ieteikumus pārbaudēs konstatēto trūkumu novēršanai, kā arī sniedz ieteikumus par Noteikumu 29. </w:t>
            </w:r>
            <w:r w:rsidR="00737CEF">
              <w:t>3</w:t>
            </w:r>
            <w:r w:rsidRPr="00F560FD">
              <w:t>. apakšpunktā minēto apmācību tēmu.</w:t>
            </w:r>
          </w:p>
          <w:p w14:paraId="3058B827" w14:textId="5B84BF28" w:rsidR="002D27D2" w:rsidRPr="00E80B84" w:rsidRDefault="00F57ABB" w:rsidP="007774ED">
            <w:pPr>
              <w:pStyle w:val="naisf"/>
              <w:spacing w:before="0" w:after="0"/>
              <w:ind w:left="57" w:right="57" w:firstLine="283"/>
            </w:pPr>
            <w:r>
              <w:t>K</w:t>
            </w:r>
            <w:r w:rsidR="002D27D2" w:rsidRPr="00E80B84">
              <w:t>aut arī jau šobrīd kritiskās infrastruktūras objektu koordinējošās valsts drošības iestādes</w:t>
            </w:r>
            <w:r w:rsidR="0005081B" w:rsidRPr="00E80B84">
              <w:t xml:space="preserve">, izvērtējot pastāvošos riskus un apdraudējumus </w:t>
            </w:r>
            <w:r w:rsidR="00A93CB7" w:rsidRPr="00E80B84">
              <w:t>nacionālajai drošībai un valsts funkciju īstenošanai</w:t>
            </w:r>
            <w:r w:rsidR="0005081B" w:rsidRPr="00E80B84">
              <w:t>,</w:t>
            </w:r>
            <w:r w:rsidR="002D27D2" w:rsidRPr="00E80B84">
              <w:t xml:space="preserve"> rekomendē aizliegt veikt filmēšanu, fotografēšanu vai cita veida dokumentēšanu</w:t>
            </w:r>
            <w:r w:rsidR="0005081B" w:rsidRPr="00E80B84">
              <w:t xml:space="preserve"> atsevišķos</w:t>
            </w:r>
            <w:r w:rsidR="002D27D2" w:rsidRPr="00E80B84">
              <w:t xml:space="preserve"> kritiskās infrastruktūras objektos</w:t>
            </w:r>
            <w:r w:rsidR="0005081B" w:rsidRPr="00E80B84">
              <w:t>,</w:t>
            </w:r>
            <w:r w:rsidR="002D27D2" w:rsidRPr="00E80B84">
              <w:t xml:space="preserve"> </w:t>
            </w:r>
            <w:r w:rsidR="00CB469C">
              <w:t xml:space="preserve">lai tādējādi palielinātu fiziskās drošības pasākumu efektivitāti un novērstu nesankcionētas informācijas ieguves riskus, </w:t>
            </w:r>
            <w:r w:rsidR="002D27D2" w:rsidRPr="00E80B84">
              <w:t>normat</w:t>
            </w:r>
            <w:r w:rsidR="0005081B" w:rsidRPr="00E80B84">
              <w:t xml:space="preserve">īvie akti neparedz mehānismu informēšanai par </w:t>
            </w:r>
            <w:r w:rsidR="008847CD" w:rsidRPr="00E80B84">
              <w:t xml:space="preserve">attiecīga </w:t>
            </w:r>
            <w:r w:rsidR="0005081B" w:rsidRPr="00E80B84">
              <w:t>ierobe</w:t>
            </w:r>
            <w:r w:rsidR="00A93CB7" w:rsidRPr="00E80B84">
              <w:t>žojuma</w:t>
            </w:r>
            <w:r w:rsidR="0005081B" w:rsidRPr="00E80B84">
              <w:t xml:space="preserve"> esamību un tā mērķi.</w:t>
            </w:r>
            <w:r w:rsidR="00500538">
              <w:t xml:space="preserve"> </w:t>
            </w:r>
          </w:p>
          <w:p w14:paraId="569D7B8B" w14:textId="7E16D38C" w:rsidR="002D27D2" w:rsidRPr="00312FC7" w:rsidRDefault="002D27D2" w:rsidP="007774ED">
            <w:pPr>
              <w:pStyle w:val="naisf"/>
              <w:spacing w:before="0" w:after="0"/>
              <w:ind w:left="57" w:right="57" w:firstLine="283"/>
            </w:pPr>
            <w:r w:rsidRPr="00E80B84">
              <w:t>Valsts drošības iestāžu rīcībā esošā informācija un c</w:t>
            </w:r>
            <w:r w:rsidR="00057223" w:rsidRPr="00E80B84">
              <w:t xml:space="preserve">itu valstu pieredze liecina, ka personas pirms teroraktu vai cita veida </w:t>
            </w:r>
            <w:r w:rsidR="00A93CB7" w:rsidRPr="00E80B84">
              <w:t xml:space="preserve">būtisku </w:t>
            </w:r>
            <w:r w:rsidR="00057223" w:rsidRPr="00E80B84">
              <w:t>apdraudējumu īstenošanas veic izlūkošanas aktivitātes, filmējot, fotografējot vai cit</w:t>
            </w:r>
            <w:r w:rsidR="00D05DB5" w:rsidRPr="00E80B84">
              <w:t xml:space="preserve">ādi </w:t>
            </w:r>
            <w:r w:rsidR="00057223" w:rsidRPr="00E80B84">
              <w:t>dokumentējot potenciāli apdraudamo objektu</w:t>
            </w:r>
            <w:r w:rsidR="00A93CB7" w:rsidRPr="00E80B84">
              <w:t>,</w:t>
            </w:r>
            <w:r w:rsidR="00057223" w:rsidRPr="00E80B84">
              <w:t xml:space="preserve"> </w:t>
            </w:r>
            <w:r w:rsidR="00A93CB7" w:rsidRPr="00E80B84">
              <w:t>apsardzes režīmu un citu ar objekta fizisko drošību saistītu informāciju. Attiecīgās informācijas ieguve būtiski samazina kritiskās infrastruktūras objekta fiziskās drošības pasākumu īstenošanas efektivitāti, kas nosaka nepieciešamību</w:t>
            </w:r>
            <w:r w:rsidR="00F17948">
              <w:t xml:space="preserve"> saskaņot </w:t>
            </w:r>
            <w:r w:rsidR="00A93CB7" w:rsidRPr="00E80B84">
              <w:t xml:space="preserve">  kritiskās </w:t>
            </w:r>
            <w:r w:rsidR="00A93CB7" w:rsidRPr="00312FC7">
              <w:t xml:space="preserve">infrastruktūras objektu filmēšanu, fotografēšanu </w:t>
            </w:r>
            <w:r w:rsidR="00F17948" w:rsidRPr="00312FC7">
              <w:t xml:space="preserve">ar </w:t>
            </w:r>
            <w:r w:rsidR="00F17948" w:rsidRPr="00312FC7">
              <w:rPr>
                <w:color w:val="000000"/>
              </w:rPr>
              <w:t xml:space="preserve"> kritiskās infrastruktūras īpašnieku vai </w:t>
            </w:r>
            <w:r w:rsidR="00F17948" w:rsidRPr="009C0008">
              <w:rPr>
                <w:color w:val="000000"/>
              </w:rPr>
              <w:t>tiesisko valdītāj</w:t>
            </w:r>
            <w:r w:rsidR="00CF4737" w:rsidRPr="009C0008">
              <w:rPr>
                <w:color w:val="000000"/>
              </w:rPr>
              <w:t>u</w:t>
            </w:r>
            <w:r w:rsidR="00F17948" w:rsidRPr="00312FC7">
              <w:rPr>
                <w:color w:val="000000"/>
              </w:rPr>
              <w:t>.</w:t>
            </w:r>
          </w:p>
          <w:p w14:paraId="0E5890B3" w14:textId="542F4C9E" w:rsidR="00F17948" w:rsidRPr="00312FC7" w:rsidRDefault="00A93CB7" w:rsidP="00F17948">
            <w:pPr>
              <w:pStyle w:val="naisf"/>
              <w:spacing w:before="0" w:after="0"/>
              <w:ind w:left="57" w:right="57" w:firstLine="283"/>
              <w:rPr>
                <w:sz w:val="26"/>
                <w:szCs w:val="26"/>
              </w:rPr>
            </w:pPr>
            <w:r w:rsidRPr="00312FC7">
              <w:t>Projekts pa</w:t>
            </w:r>
            <w:r w:rsidR="00F17948" w:rsidRPr="00312FC7">
              <w:t>redz papildināt Noteikumus ar 37</w:t>
            </w:r>
            <w:r w:rsidRPr="00312FC7">
              <w:t>.</w:t>
            </w:r>
            <w:r w:rsidRPr="00312FC7">
              <w:rPr>
                <w:vertAlign w:val="superscript"/>
              </w:rPr>
              <w:t>1</w:t>
            </w:r>
            <w:r w:rsidRPr="00312FC7">
              <w:t xml:space="preserve"> punktu, </w:t>
            </w:r>
            <w:r w:rsidR="002D690E" w:rsidRPr="00312FC7">
              <w:t>nosakot,</w:t>
            </w:r>
            <w:r w:rsidR="00F17948" w:rsidRPr="00312FC7">
              <w:t xml:space="preserve"> ka</w:t>
            </w:r>
            <w:r w:rsidR="00334D60" w:rsidRPr="00312FC7">
              <w:t xml:space="preserve"> b</w:t>
            </w:r>
            <w:r w:rsidR="00334D60" w:rsidRPr="00312FC7">
              <w:rPr>
                <w:sz w:val="26"/>
                <w:szCs w:val="26"/>
              </w:rPr>
              <w:t>ez saskaņošanas ar attiecīgā kritiskās infrastruktūras objekta īpašnieku vai tiesisko valdītāju aizliegts veikt tā filmēšanu, fotografēšanu vai jebkāda cita veida dokumentēšanu, ja pie attiecīgā kritiskās infrastruktūras objekta novietota informatīva norāde ,,BEZ SASKAŅOŠANAS FOTOGRAFĒT FILMĒT AIZLIEGTS”.</w:t>
            </w:r>
            <w:r w:rsidR="00F17948" w:rsidRPr="00312FC7">
              <w:rPr>
                <w:sz w:val="26"/>
                <w:szCs w:val="26"/>
              </w:rPr>
              <w:t xml:space="preserve"> </w:t>
            </w:r>
          </w:p>
          <w:p w14:paraId="26F77AE3" w14:textId="5F7DDA70" w:rsidR="00F17948" w:rsidRPr="00312FC7" w:rsidRDefault="001B0B89" w:rsidP="00F17948">
            <w:pPr>
              <w:pStyle w:val="naisf"/>
              <w:spacing w:before="0" w:after="0"/>
              <w:ind w:left="57" w:right="57" w:firstLine="283"/>
              <w:rPr>
                <w:sz w:val="26"/>
                <w:szCs w:val="26"/>
              </w:rPr>
            </w:pPr>
            <w:r w:rsidRPr="00312FC7">
              <w:rPr>
                <w:sz w:val="26"/>
                <w:szCs w:val="26"/>
              </w:rPr>
              <w:t xml:space="preserve">Projekts paredz papildināts </w:t>
            </w:r>
            <w:r w:rsidR="00F17948" w:rsidRPr="00312FC7">
              <w:rPr>
                <w:sz w:val="26"/>
                <w:szCs w:val="26"/>
              </w:rPr>
              <w:t>Noteikumu</w:t>
            </w:r>
            <w:r w:rsidRPr="00312FC7">
              <w:rPr>
                <w:sz w:val="26"/>
                <w:szCs w:val="26"/>
              </w:rPr>
              <w:t>s</w:t>
            </w:r>
            <w:r w:rsidR="00F17948" w:rsidRPr="00312FC7">
              <w:rPr>
                <w:sz w:val="26"/>
                <w:szCs w:val="26"/>
              </w:rPr>
              <w:t xml:space="preserve"> </w:t>
            </w:r>
            <w:r w:rsidRPr="00312FC7">
              <w:rPr>
                <w:sz w:val="26"/>
                <w:szCs w:val="26"/>
              </w:rPr>
              <w:t xml:space="preserve">ar </w:t>
            </w:r>
            <w:r w:rsidR="00F17948" w:rsidRPr="00312FC7">
              <w:rPr>
                <w:sz w:val="26"/>
                <w:szCs w:val="26"/>
              </w:rPr>
              <w:t>2. pielikum</w:t>
            </w:r>
            <w:r w:rsidRPr="00312FC7">
              <w:rPr>
                <w:sz w:val="26"/>
                <w:szCs w:val="26"/>
              </w:rPr>
              <w:t>u ,,I</w:t>
            </w:r>
            <w:r w:rsidR="00F17948" w:rsidRPr="00312FC7">
              <w:rPr>
                <w:sz w:val="26"/>
                <w:szCs w:val="26"/>
              </w:rPr>
              <w:t>nformatīvās norādes paraugs</w:t>
            </w:r>
            <w:r w:rsidRPr="00312FC7">
              <w:rPr>
                <w:sz w:val="26"/>
                <w:szCs w:val="26"/>
              </w:rPr>
              <w:t>”</w:t>
            </w:r>
            <w:r w:rsidR="00F17948" w:rsidRPr="00312FC7">
              <w:rPr>
                <w:sz w:val="26"/>
                <w:szCs w:val="26"/>
              </w:rPr>
              <w:t>.</w:t>
            </w:r>
          </w:p>
          <w:p w14:paraId="04D18D8D" w14:textId="523A5641" w:rsidR="002D690E" w:rsidRPr="00312FC7" w:rsidRDefault="00312FC7" w:rsidP="007774ED">
            <w:pPr>
              <w:pStyle w:val="naisf"/>
              <w:spacing w:before="0" w:after="0"/>
              <w:ind w:left="57" w:right="57" w:firstLine="283"/>
            </w:pPr>
            <w:r>
              <w:t>To, vai pie objekta izvietojama</w:t>
            </w:r>
            <w:r w:rsidR="002D690E" w:rsidRPr="00E80B84">
              <w:t xml:space="preserve"> </w:t>
            </w:r>
            <w:r w:rsidR="002D690E" w:rsidRPr="00312FC7">
              <w:t xml:space="preserve">informatīva </w:t>
            </w:r>
            <w:r>
              <w:t>norāde</w:t>
            </w:r>
            <w:r w:rsidR="002D690E" w:rsidRPr="00312FC7">
              <w:t xml:space="preserve">, </w:t>
            </w:r>
            <w:r w:rsidRPr="00312FC7">
              <w:t>kritiskās infrastruktūras objekta īpašnieks vai tiesiskais valdītājs</w:t>
            </w:r>
            <w:r w:rsidR="009A5C5B">
              <w:t>,</w:t>
            </w:r>
            <w:r w:rsidRPr="00312FC7">
              <w:t xml:space="preserve"> </w:t>
            </w:r>
            <w:r>
              <w:t xml:space="preserve">vai </w:t>
            </w:r>
            <w:r w:rsidRPr="00312FC7">
              <w:t xml:space="preserve">par </w:t>
            </w:r>
            <w:r w:rsidRPr="00E80B84">
              <w:t>infrastruktūras drošību atbildīg</w:t>
            </w:r>
            <w:r>
              <w:t>ā persona,</w:t>
            </w:r>
            <w:r w:rsidRPr="00312FC7">
              <w:t xml:space="preserve"> konsultējoties ar attiecīgo valsts drošības iestādi, izvērtē </w:t>
            </w:r>
            <w:r w:rsidR="002D690E" w:rsidRPr="00312FC7">
              <w:t>vadoties pēc</w:t>
            </w:r>
            <w:r w:rsidR="00B76EC8" w:rsidRPr="00312FC7">
              <w:t xml:space="preserve"> objekta specifikas un </w:t>
            </w:r>
            <w:r w:rsidR="002D690E" w:rsidRPr="00312FC7">
              <w:t>kritiskās infrastruktūras objektu kopuma kā klasificētas informācijas saglabāšanas interesēm</w:t>
            </w:r>
            <w:r w:rsidR="00CB469C" w:rsidRPr="00312FC7">
              <w:t>.</w:t>
            </w:r>
          </w:p>
          <w:p w14:paraId="76300681" w14:textId="5D6751C8" w:rsidR="004C3A3E" w:rsidRPr="00E80B84" w:rsidRDefault="00CB469C" w:rsidP="007774ED">
            <w:pPr>
              <w:pStyle w:val="naisf"/>
              <w:spacing w:before="0" w:after="0"/>
              <w:ind w:left="57" w:right="57" w:firstLine="283"/>
            </w:pPr>
            <w:r>
              <w:t>K</w:t>
            </w:r>
            <w:r w:rsidR="00A963FB" w:rsidRPr="00E80B84">
              <w:t>ritiskās infrastruktūras drošības pasākumus reglamentējošajos dokumentos nepietiekamā apjomā tiek iekļauta informācija par rīcību apdraudējuma situācijās.</w:t>
            </w:r>
          </w:p>
          <w:p w14:paraId="2B766A1E" w14:textId="1FBFBD80" w:rsidR="00A963FB" w:rsidRPr="00E80B84" w:rsidRDefault="00A963FB" w:rsidP="00272330">
            <w:pPr>
              <w:pStyle w:val="naisf"/>
              <w:spacing w:before="0" w:after="0"/>
              <w:ind w:left="57" w:right="57" w:firstLine="283"/>
            </w:pPr>
            <w:r w:rsidRPr="00E80B84">
              <w:t>Projekts paredz papildināt Noteikumu pielikumu ar 10. punktu, nosakot, ka obligāti paredzama rīcība apdraudējuma situācijās</w:t>
            </w:r>
            <w:r w:rsidR="00FD182B" w:rsidRPr="00E80B84">
              <w:t xml:space="preserve"> – piemēram, </w:t>
            </w:r>
            <w:r w:rsidR="00FD182B" w:rsidRPr="00F560FD">
              <w:t xml:space="preserve">sprādzienbīstama priekšmeta atrašana, informācijas saņemšanas par spridzināšanas draudiem, aizdomīga pasta sūtījuma saņemšana, nelikumīga ieroča pielietošana, nesankcionēta iekļūšanas vai tās mēģinājums, nesankcionēta </w:t>
            </w:r>
            <w:r w:rsidR="00F17948" w:rsidRPr="001B0B89">
              <w:rPr>
                <w:sz w:val="26"/>
                <w:szCs w:val="26"/>
              </w:rPr>
              <w:t>kritiskās</w:t>
            </w:r>
            <w:r w:rsidR="00F17948" w:rsidRPr="00FB42CC">
              <w:rPr>
                <w:sz w:val="26"/>
                <w:szCs w:val="26"/>
                <w:u w:val="single"/>
              </w:rPr>
              <w:t xml:space="preserve"> </w:t>
            </w:r>
            <w:r w:rsidR="00F17948" w:rsidRPr="00F17948">
              <w:t xml:space="preserve">infrastruktūras </w:t>
            </w:r>
            <w:r w:rsidR="00737CEF">
              <w:t>objekta</w:t>
            </w:r>
            <w:r w:rsidR="00F17948" w:rsidRPr="00F17948">
              <w:t xml:space="preserve"> filmēšana, fotografēšana vai cita veida dokumentēšana</w:t>
            </w:r>
            <w:r w:rsidR="00F17948" w:rsidRPr="00F560FD">
              <w:t xml:space="preserve"> </w:t>
            </w:r>
            <w:r w:rsidR="00FD182B" w:rsidRPr="00F560FD">
              <w:t>.</w:t>
            </w:r>
          </w:p>
        </w:tc>
      </w:tr>
      <w:tr w:rsidR="00E80B84" w:rsidRPr="00E80B84" w14:paraId="45AB426B" w14:textId="77777777" w:rsidTr="00AE7632">
        <w:trPr>
          <w:trHeight w:val="763"/>
        </w:trPr>
        <w:tc>
          <w:tcPr>
            <w:tcW w:w="217" w:type="pct"/>
            <w:vAlign w:val="center"/>
          </w:tcPr>
          <w:p w14:paraId="21C20460" w14:textId="77777777" w:rsidR="004C3A3E" w:rsidRPr="00E80B84" w:rsidRDefault="004C3A3E" w:rsidP="00FE4E42">
            <w:pPr>
              <w:pStyle w:val="naiskr"/>
              <w:spacing w:before="0" w:beforeAutospacing="0" w:after="0" w:afterAutospacing="0"/>
              <w:ind w:left="57" w:right="57"/>
            </w:pPr>
            <w:r w:rsidRPr="00E80B84">
              <w:lastRenderedPageBreak/>
              <w:t>3.</w:t>
            </w:r>
          </w:p>
        </w:tc>
        <w:tc>
          <w:tcPr>
            <w:tcW w:w="1333" w:type="pct"/>
            <w:vAlign w:val="center"/>
          </w:tcPr>
          <w:p w14:paraId="2B2E9358" w14:textId="77777777" w:rsidR="004C3A3E" w:rsidRPr="00E80B84" w:rsidRDefault="004C3A3E" w:rsidP="00FE4E42">
            <w:pPr>
              <w:pStyle w:val="naiskr"/>
              <w:spacing w:before="0" w:beforeAutospacing="0" w:after="0" w:afterAutospacing="0"/>
              <w:ind w:left="57" w:right="57"/>
            </w:pPr>
            <w:r w:rsidRPr="00E80B84">
              <w:t>Projekta izstrādē iesaistītās institūcijas</w:t>
            </w:r>
          </w:p>
        </w:tc>
        <w:tc>
          <w:tcPr>
            <w:tcW w:w="3451" w:type="pct"/>
            <w:vAlign w:val="center"/>
          </w:tcPr>
          <w:p w14:paraId="34D760D9" w14:textId="77777777" w:rsidR="004C3A3E" w:rsidRPr="00E80B84" w:rsidRDefault="004C3A3E" w:rsidP="00DF516F">
            <w:pPr>
              <w:ind w:left="57" w:right="57" w:firstLine="0"/>
              <w:jc w:val="left"/>
              <w:rPr>
                <w:b/>
                <w:sz w:val="24"/>
                <w:szCs w:val="24"/>
              </w:rPr>
            </w:pPr>
            <w:r w:rsidRPr="00E80B84">
              <w:rPr>
                <w:sz w:val="24"/>
                <w:szCs w:val="24"/>
              </w:rPr>
              <w:t>Drošības policija.</w:t>
            </w:r>
          </w:p>
        </w:tc>
      </w:tr>
      <w:tr w:rsidR="00E80B84" w:rsidRPr="00E80B84" w14:paraId="7E43BD91" w14:textId="77777777" w:rsidTr="00AE7632">
        <w:trPr>
          <w:trHeight w:val="488"/>
        </w:trPr>
        <w:tc>
          <w:tcPr>
            <w:tcW w:w="217" w:type="pct"/>
            <w:vAlign w:val="center"/>
          </w:tcPr>
          <w:p w14:paraId="561FD7B0" w14:textId="77777777" w:rsidR="004C3A3E" w:rsidRPr="00E80B84" w:rsidRDefault="004C3A3E" w:rsidP="00FE4E42">
            <w:pPr>
              <w:pStyle w:val="naiskr"/>
              <w:spacing w:before="0" w:beforeAutospacing="0" w:after="0" w:afterAutospacing="0"/>
              <w:ind w:left="57" w:right="57"/>
            </w:pPr>
            <w:r w:rsidRPr="00E80B84">
              <w:t>4.</w:t>
            </w:r>
          </w:p>
        </w:tc>
        <w:tc>
          <w:tcPr>
            <w:tcW w:w="1333" w:type="pct"/>
            <w:vAlign w:val="center"/>
          </w:tcPr>
          <w:p w14:paraId="1EA26C75" w14:textId="77777777" w:rsidR="004C3A3E" w:rsidRPr="00E80B84" w:rsidRDefault="004C3A3E" w:rsidP="00FE4E42">
            <w:pPr>
              <w:pStyle w:val="naiskr"/>
              <w:spacing w:before="0" w:beforeAutospacing="0" w:after="0" w:afterAutospacing="0"/>
              <w:ind w:left="57" w:right="57"/>
            </w:pPr>
            <w:r w:rsidRPr="00E80B84">
              <w:t>Cita informācija</w:t>
            </w:r>
          </w:p>
        </w:tc>
        <w:tc>
          <w:tcPr>
            <w:tcW w:w="3451" w:type="pct"/>
            <w:vAlign w:val="center"/>
          </w:tcPr>
          <w:p w14:paraId="58277F19" w14:textId="77777777" w:rsidR="004C3A3E" w:rsidRPr="00E80B84" w:rsidRDefault="004C3A3E" w:rsidP="00DF516F">
            <w:pPr>
              <w:ind w:left="57" w:right="57" w:firstLine="0"/>
              <w:jc w:val="left"/>
              <w:rPr>
                <w:sz w:val="24"/>
                <w:szCs w:val="24"/>
              </w:rPr>
            </w:pPr>
            <w:r w:rsidRPr="00E80B84">
              <w:rPr>
                <w:sz w:val="24"/>
                <w:szCs w:val="24"/>
              </w:rPr>
              <w:t>Nav.</w:t>
            </w:r>
          </w:p>
        </w:tc>
      </w:tr>
    </w:tbl>
    <w:p w14:paraId="07CC5B91" w14:textId="77777777" w:rsidR="004C3A3E" w:rsidRPr="00C045A6" w:rsidRDefault="004C3A3E" w:rsidP="00B774B5">
      <w:pPr>
        <w:ind w:firstLine="0"/>
        <w:rPr>
          <w:szCs w:val="28"/>
        </w:rPr>
      </w:pPr>
    </w:p>
    <w:p w14:paraId="752A75DD" w14:textId="77777777" w:rsidR="00AE7632" w:rsidRPr="00C045A6" w:rsidRDefault="00AE7632" w:rsidP="00B774B5">
      <w:pPr>
        <w:ind w:firstLine="0"/>
        <w:rPr>
          <w:szCs w:val="28"/>
        </w:rPr>
      </w:pPr>
    </w:p>
    <w:p w14:paraId="5A6E2B62" w14:textId="77777777" w:rsidR="00AE7632" w:rsidRPr="00C045A6" w:rsidRDefault="00AE7632" w:rsidP="00B774B5">
      <w:pPr>
        <w:ind w:firstLine="0"/>
        <w:rPr>
          <w:szCs w:val="28"/>
        </w:rPr>
      </w:pPr>
    </w:p>
    <w:p w14:paraId="6B8667FF" w14:textId="77777777" w:rsidR="00C045A6" w:rsidRPr="00C045A6" w:rsidRDefault="00C045A6" w:rsidP="00B774B5">
      <w:pPr>
        <w:ind w:firstLine="0"/>
        <w:rPr>
          <w:szCs w:val="28"/>
        </w:rPr>
      </w:pPr>
    </w:p>
    <w:tbl>
      <w:tblPr>
        <w:tblpPr w:leftFromText="180" w:rightFromText="180" w:vertAnchor="text" w:horzAnchor="margin" w:tblpXSpec="center" w:tblpY="11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5"/>
        <w:gridCol w:w="2912"/>
        <w:gridCol w:w="6276"/>
      </w:tblGrid>
      <w:tr w:rsidR="00E80B84" w:rsidRPr="00E80B84" w14:paraId="1B8F307D" w14:textId="77777777" w:rsidTr="008864B0">
        <w:trPr>
          <w:trHeight w:val="556"/>
        </w:trPr>
        <w:tc>
          <w:tcPr>
            <w:tcW w:w="9493" w:type="dxa"/>
            <w:gridSpan w:val="3"/>
            <w:vAlign w:val="center"/>
          </w:tcPr>
          <w:p w14:paraId="45E16EC4" w14:textId="77777777" w:rsidR="004C3A3E" w:rsidRPr="00E80B84" w:rsidRDefault="004C3A3E" w:rsidP="00B774B5">
            <w:pPr>
              <w:pStyle w:val="naisnod"/>
              <w:spacing w:before="0" w:beforeAutospacing="0" w:after="0" w:afterAutospacing="0"/>
              <w:ind w:left="57" w:right="57"/>
              <w:jc w:val="center"/>
              <w:rPr>
                <w:b/>
              </w:rPr>
            </w:pPr>
            <w:r w:rsidRPr="00E80B84">
              <w:rPr>
                <w:b/>
              </w:rPr>
              <w:t>II. Tiesību akta projekta ietekme uz sabiedrību, tautsaimniecības attīstību</w:t>
            </w:r>
          </w:p>
          <w:p w14:paraId="74632BAB" w14:textId="77777777" w:rsidR="004C3A3E" w:rsidRPr="00E80B84" w:rsidRDefault="004C3A3E" w:rsidP="00B774B5">
            <w:pPr>
              <w:pStyle w:val="naisnod"/>
              <w:spacing w:before="0" w:beforeAutospacing="0" w:after="0" w:afterAutospacing="0"/>
              <w:ind w:left="57" w:right="57"/>
              <w:jc w:val="center"/>
              <w:rPr>
                <w:b/>
              </w:rPr>
            </w:pPr>
            <w:r w:rsidRPr="00E80B84">
              <w:rPr>
                <w:b/>
              </w:rPr>
              <w:t>un administratīvo slogu</w:t>
            </w:r>
          </w:p>
        </w:tc>
      </w:tr>
      <w:tr w:rsidR="00E80B84" w:rsidRPr="00E80B84" w14:paraId="0187239B" w14:textId="77777777" w:rsidTr="008864B0">
        <w:trPr>
          <w:trHeight w:val="697"/>
        </w:trPr>
        <w:tc>
          <w:tcPr>
            <w:tcW w:w="305" w:type="dxa"/>
          </w:tcPr>
          <w:p w14:paraId="5F43FE81" w14:textId="77777777" w:rsidR="004C3A3E" w:rsidRPr="00E80B84" w:rsidRDefault="004C3A3E" w:rsidP="00FE4E42">
            <w:pPr>
              <w:pStyle w:val="naiskr"/>
              <w:spacing w:before="0" w:beforeAutospacing="0" w:after="0" w:afterAutospacing="0"/>
              <w:ind w:left="57" w:right="57"/>
            </w:pPr>
            <w:r w:rsidRPr="00E80B84">
              <w:t>1.</w:t>
            </w:r>
          </w:p>
        </w:tc>
        <w:tc>
          <w:tcPr>
            <w:tcW w:w="2912" w:type="dxa"/>
          </w:tcPr>
          <w:p w14:paraId="4E878590" w14:textId="77777777" w:rsidR="004C3A3E" w:rsidRPr="00E80B84" w:rsidRDefault="004C3A3E" w:rsidP="004174B7">
            <w:pPr>
              <w:pStyle w:val="naiskr"/>
              <w:spacing w:before="0" w:beforeAutospacing="0" w:after="0" w:afterAutospacing="0"/>
              <w:ind w:left="57" w:right="57"/>
            </w:pPr>
            <w:r w:rsidRPr="00E80B84">
              <w:t>Sabiedrības mērķgrupas, kuras tiesiskais regulējums ietekmē vai varētu ietekmēt</w:t>
            </w:r>
          </w:p>
        </w:tc>
        <w:tc>
          <w:tcPr>
            <w:tcW w:w="6276" w:type="dxa"/>
          </w:tcPr>
          <w:p w14:paraId="401BB1F7" w14:textId="2500587F" w:rsidR="004C3A3E" w:rsidRPr="00E80B84" w:rsidRDefault="004C3A3E" w:rsidP="00B50C49">
            <w:pPr>
              <w:shd w:val="clear" w:color="auto" w:fill="FFFFFF"/>
              <w:spacing w:after="120"/>
              <w:ind w:left="57" w:right="57" w:firstLine="0"/>
              <w:rPr>
                <w:sz w:val="24"/>
                <w:szCs w:val="24"/>
                <w:lang w:eastAsia="lv-LV"/>
              </w:rPr>
            </w:pPr>
            <w:bookmarkStart w:id="0" w:name="p21"/>
            <w:bookmarkEnd w:id="0"/>
            <w:r w:rsidRPr="00E80B84">
              <w:rPr>
                <w:sz w:val="24"/>
                <w:szCs w:val="24"/>
                <w:lang w:eastAsia="lv-LV"/>
              </w:rPr>
              <w:t>Informācija par projekta skarto personu skaitu atsevišķi netiek apkopota un uzskaitīta. Paredzētais normatīvais r</w:t>
            </w:r>
            <w:r w:rsidR="00973E0F" w:rsidRPr="00E80B84">
              <w:rPr>
                <w:sz w:val="24"/>
                <w:szCs w:val="24"/>
                <w:lang w:eastAsia="lv-LV"/>
              </w:rPr>
              <w:t>egulējums attieksies uz kritiskās infrastruktūras objektiem</w:t>
            </w:r>
            <w:r w:rsidRPr="00E80B84">
              <w:rPr>
                <w:sz w:val="24"/>
                <w:szCs w:val="24"/>
                <w:lang w:eastAsia="lv-LV"/>
              </w:rPr>
              <w:t>,</w:t>
            </w:r>
            <w:r w:rsidR="00973E0F" w:rsidRPr="00E80B84">
              <w:rPr>
                <w:sz w:val="24"/>
                <w:szCs w:val="24"/>
                <w:lang w:eastAsia="lv-LV"/>
              </w:rPr>
              <w:t xml:space="preserve"> to īpašniekiem, tiesiskajiem valdītājiem vai kritiskās infrastruktūras par drošību atbildīgajām personām, kā arī </w:t>
            </w:r>
            <w:r w:rsidR="000A4626" w:rsidRPr="00E80B84">
              <w:rPr>
                <w:sz w:val="24"/>
                <w:szCs w:val="24"/>
                <w:lang w:eastAsia="lv-LV"/>
              </w:rPr>
              <w:t xml:space="preserve">pakalpojumu sniedzējiem un </w:t>
            </w:r>
            <w:r w:rsidR="00FD182B" w:rsidRPr="00E80B84">
              <w:rPr>
                <w:sz w:val="24"/>
                <w:szCs w:val="24"/>
                <w:lang w:eastAsia="lv-LV"/>
              </w:rPr>
              <w:t xml:space="preserve">kritiskās infrastruktūras objektos nodarbinātajiem un citām </w:t>
            </w:r>
            <w:r w:rsidR="00973E0F" w:rsidRPr="00E80B84">
              <w:rPr>
                <w:sz w:val="24"/>
                <w:szCs w:val="24"/>
                <w:lang w:eastAsia="lv-LV"/>
              </w:rPr>
              <w:t xml:space="preserve">personām, kuras vēlēsies veikt </w:t>
            </w:r>
            <w:r w:rsidR="00FD182B" w:rsidRPr="00E80B84">
              <w:rPr>
                <w:sz w:val="24"/>
                <w:szCs w:val="24"/>
                <w:lang w:eastAsia="lv-LV"/>
              </w:rPr>
              <w:t xml:space="preserve">kritiskās infrastruktūras objektu </w:t>
            </w:r>
            <w:r w:rsidR="00973E0F" w:rsidRPr="00E80B84">
              <w:rPr>
                <w:sz w:val="24"/>
                <w:szCs w:val="24"/>
                <w:lang w:eastAsia="lv-LV"/>
              </w:rPr>
              <w:t>filmēšanu</w:t>
            </w:r>
            <w:r w:rsidR="00FD182B" w:rsidRPr="00E80B84">
              <w:rPr>
                <w:sz w:val="24"/>
                <w:szCs w:val="24"/>
                <w:lang w:eastAsia="lv-LV"/>
              </w:rPr>
              <w:t>,</w:t>
            </w:r>
            <w:r w:rsidR="00973E0F" w:rsidRPr="00E80B84">
              <w:rPr>
                <w:sz w:val="24"/>
                <w:szCs w:val="24"/>
                <w:lang w:eastAsia="lv-LV"/>
              </w:rPr>
              <w:t xml:space="preserve"> fotografēšanu </w:t>
            </w:r>
            <w:r w:rsidR="00FD182B" w:rsidRPr="00E80B84">
              <w:rPr>
                <w:sz w:val="24"/>
                <w:szCs w:val="24"/>
                <w:lang w:eastAsia="lv-LV"/>
              </w:rPr>
              <w:t>vai cita veida dokumentēšanas darbības</w:t>
            </w:r>
            <w:r w:rsidRPr="00E80B84">
              <w:rPr>
                <w:sz w:val="24"/>
                <w:szCs w:val="24"/>
                <w:lang w:eastAsia="lv-LV"/>
              </w:rPr>
              <w:t>.</w:t>
            </w:r>
          </w:p>
        </w:tc>
      </w:tr>
      <w:tr w:rsidR="00E80B84" w:rsidRPr="00E80B84" w14:paraId="26585CCB" w14:textId="77777777" w:rsidTr="00C045A6">
        <w:trPr>
          <w:trHeight w:val="1207"/>
        </w:trPr>
        <w:tc>
          <w:tcPr>
            <w:tcW w:w="305" w:type="dxa"/>
          </w:tcPr>
          <w:p w14:paraId="386DA0BD" w14:textId="77777777" w:rsidR="004C3A3E" w:rsidRPr="00E80B84" w:rsidRDefault="004C3A3E" w:rsidP="00053E5C">
            <w:pPr>
              <w:pStyle w:val="naiskr"/>
              <w:spacing w:before="0" w:beforeAutospacing="0" w:after="0" w:afterAutospacing="0"/>
              <w:ind w:left="57" w:right="57"/>
            </w:pPr>
            <w:r w:rsidRPr="00E80B84">
              <w:t>2.</w:t>
            </w:r>
          </w:p>
        </w:tc>
        <w:tc>
          <w:tcPr>
            <w:tcW w:w="2912" w:type="dxa"/>
          </w:tcPr>
          <w:p w14:paraId="60BC4BAD" w14:textId="77777777" w:rsidR="004C3A3E" w:rsidRPr="00E80B84" w:rsidRDefault="004C3A3E" w:rsidP="00053E5C">
            <w:pPr>
              <w:pStyle w:val="naiskr"/>
              <w:spacing w:before="0" w:beforeAutospacing="0" w:after="0" w:afterAutospacing="0"/>
              <w:ind w:left="57" w:right="57"/>
            </w:pPr>
            <w:r w:rsidRPr="00E80B84">
              <w:t>Tiesiskā regulējuma ietekme uz tautsaimniecību un administratīvo slogu</w:t>
            </w:r>
          </w:p>
        </w:tc>
        <w:tc>
          <w:tcPr>
            <w:tcW w:w="6276" w:type="dxa"/>
          </w:tcPr>
          <w:p w14:paraId="32B0090F" w14:textId="77777777" w:rsidR="004C3A3E" w:rsidRPr="00E80B84" w:rsidRDefault="004C3A3E" w:rsidP="00DF516F">
            <w:pPr>
              <w:spacing w:after="120"/>
              <w:ind w:left="57" w:right="57" w:firstLine="0"/>
              <w:rPr>
                <w:sz w:val="24"/>
                <w:szCs w:val="24"/>
              </w:rPr>
            </w:pPr>
            <w:r w:rsidRPr="00E80B84">
              <w:rPr>
                <w:sz w:val="24"/>
                <w:szCs w:val="24"/>
              </w:rPr>
              <w:t>Nav.</w:t>
            </w:r>
          </w:p>
        </w:tc>
      </w:tr>
      <w:tr w:rsidR="00E80B84" w:rsidRPr="00E80B84" w14:paraId="56183BBB" w14:textId="77777777" w:rsidTr="00C045A6">
        <w:trPr>
          <w:trHeight w:val="935"/>
        </w:trPr>
        <w:tc>
          <w:tcPr>
            <w:tcW w:w="305" w:type="dxa"/>
          </w:tcPr>
          <w:p w14:paraId="26EC9125" w14:textId="77777777" w:rsidR="004C3A3E" w:rsidRPr="00E80B84" w:rsidRDefault="004C3A3E" w:rsidP="00053E5C">
            <w:pPr>
              <w:pStyle w:val="CharCharCharChar"/>
              <w:spacing w:after="0" w:line="240" w:lineRule="auto"/>
              <w:ind w:left="57" w:right="57"/>
              <w:rPr>
                <w:rFonts w:ascii="Times New Roman" w:hAnsi="Times New Roman"/>
                <w:sz w:val="24"/>
                <w:szCs w:val="24"/>
              </w:rPr>
            </w:pPr>
            <w:r w:rsidRPr="00E80B84">
              <w:rPr>
                <w:rFonts w:ascii="Times New Roman" w:hAnsi="Times New Roman"/>
                <w:sz w:val="24"/>
                <w:szCs w:val="24"/>
              </w:rPr>
              <w:t>3.</w:t>
            </w:r>
          </w:p>
        </w:tc>
        <w:tc>
          <w:tcPr>
            <w:tcW w:w="2912" w:type="dxa"/>
          </w:tcPr>
          <w:p w14:paraId="5C88F129" w14:textId="77777777" w:rsidR="004C3A3E" w:rsidRPr="00E80B84" w:rsidRDefault="004C3A3E" w:rsidP="00053E5C">
            <w:pPr>
              <w:pStyle w:val="CharCharCharChar"/>
              <w:spacing w:after="0" w:line="240" w:lineRule="auto"/>
              <w:ind w:left="57" w:right="57"/>
              <w:rPr>
                <w:rFonts w:ascii="Times New Roman" w:hAnsi="Times New Roman"/>
                <w:sz w:val="24"/>
                <w:szCs w:val="24"/>
                <w:lang w:eastAsia="lv-LV"/>
              </w:rPr>
            </w:pPr>
            <w:r w:rsidRPr="00E80B84">
              <w:rPr>
                <w:rFonts w:ascii="Times New Roman" w:hAnsi="Times New Roman"/>
                <w:sz w:val="24"/>
                <w:szCs w:val="24"/>
                <w:lang w:eastAsia="lv-LV"/>
              </w:rPr>
              <w:t>Administratīvo izmaksu monetārs novērtējums</w:t>
            </w:r>
          </w:p>
        </w:tc>
        <w:tc>
          <w:tcPr>
            <w:tcW w:w="6276" w:type="dxa"/>
          </w:tcPr>
          <w:p w14:paraId="0C989EFE" w14:textId="77777777" w:rsidR="004C3A3E" w:rsidRPr="00E80B84" w:rsidRDefault="004C3A3E" w:rsidP="00DF516F">
            <w:pPr>
              <w:spacing w:before="60" w:after="60"/>
              <w:ind w:left="57" w:right="57" w:firstLine="0"/>
              <w:rPr>
                <w:sz w:val="24"/>
                <w:szCs w:val="24"/>
              </w:rPr>
            </w:pPr>
            <w:r w:rsidRPr="00E80B84">
              <w:rPr>
                <w:sz w:val="24"/>
                <w:szCs w:val="24"/>
              </w:rPr>
              <w:t>Administratīvās izmaksas nepārsniegs noteikto līmeni, pie kura jāveic novērtējums.</w:t>
            </w:r>
          </w:p>
        </w:tc>
      </w:tr>
      <w:tr w:rsidR="00E80B84" w:rsidRPr="00E80B84" w14:paraId="71A76CE0" w14:textId="77777777" w:rsidTr="00C045A6">
        <w:trPr>
          <w:trHeight w:val="533"/>
        </w:trPr>
        <w:tc>
          <w:tcPr>
            <w:tcW w:w="305" w:type="dxa"/>
          </w:tcPr>
          <w:p w14:paraId="7AB85D61" w14:textId="77777777" w:rsidR="004C3A3E" w:rsidRPr="00E80B84" w:rsidRDefault="004C3A3E" w:rsidP="00053E5C">
            <w:pPr>
              <w:pStyle w:val="CharCharCharChar"/>
              <w:spacing w:after="0" w:line="240" w:lineRule="auto"/>
              <w:ind w:left="57" w:right="57"/>
              <w:rPr>
                <w:rFonts w:ascii="Times New Roman" w:hAnsi="Times New Roman"/>
                <w:sz w:val="24"/>
                <w:szCs w:val="24"/>
              </w:rPr>
            </w:pPr>
            <w:r w:rsidRPr="00E80B84">
              <w:rPr>
                <w:rFonts w:ascii="Times New Roman" w:hAnsi="Times New Roman"/>
                <w:sz w:val="24"/>
                <w:szCs w:val="24"/>
              </w:rPr>
              <w:t>4.</w:t>
            </w:r>
          </w:p>
        </w:tc>
        <w:tc>
          <w:tcPr>
            <w:tcW w:w="2912" w:type="dxa"/>
          </w:tcPr>
          <w:p w14:paraId="0DE35A63" w14:textId="77777777" w:rsidR="004C3A3E" w:rsidRPr="00E80B84" w:rsidRDefault="004C3A3E" w:rsidP="00053E5C">
            <w:pPr>
              <w:pStyle w:val="CharCharCharChar"/>
              <w:spacing w:after="0" w:line="240" w:lineRule="auto"/>
              <w:ind w:left="57" w:right="57"/>
              <w:rPr>
                <w:rFonts w:ascii="Times New Roman" w:hAnsi="Times New Roman"/>
                <w:sz w:val="24"/>
                <w:szCs w:val="24"/>
                <w:lang w:eastAsia="lv-LV"/>
              </w:rPr>
            </w:pPr>
            <w:r w:rsidRPr="00E80B84">
              <w:rPr>
                <w:rFonts w:ascii="Times New Roman" w:hAnsi="Times New Roman"/>
                <w:sz w:val="24"/>
                <w:szCs w:val="24"/>
                <w:lang w:eastAsia="lv-LV"/>
              </w:rPr>
              <w:t>Cita informācija</w:t>
            </w:r>
          </w:p>
        </w:tc>
        <w:tc>
          <w:tcPr>
            <w:tcW w:w="6276" w:type="dxa"/>
          </w:tcPr>
          <w:p w14:paraId="660F3D16" w14:textId="77777777" w:rsidR="004C3A3E" w:rsidRPr="00E80B84" w:rsidRDefault="004C3A3E" w:rsidP="00DF516F">
            <w:pPr>
              <w:spacing w:before="60" w:after="60"/>
              <w:ind w:left="57" w:right="57" w:firstLine="0"/>
              <w:rPr>
                <w:sz w:val="24"/>
                <w:szCs w:val="24"/>
              </w:rPr>
            </w:pPr>
            <w:r w:rsidRPr="00E80B84">
              <w:rPr>
                <w:sz w:val="24"/>
                <w:szCs w:val="24"/>
              </w:rPr>
              <w:t>Nav.</w:t>
            </w:r>
          </w:p>
        </w:tc>
      </w:tr>
    </w:tbl>
    <w:p w14:paraId="3F08BF31" w14:textId="77777777" w:rsidR="004C3A3E" w:rsidRDefault="004C3A3E" w:rsidP="00F633BC">
      <w:pPr>
        <w:ind w:firstLine="0"/>
        <w:rPr>
          <w:szCs w:val="28"/>
        </w:rPr>
      </w:pPr>
    </w:p>
    <w:p w14:paraId="4CB9719A" w14:textId="77777777" w:rsidR="00C045A6" w:rsidRPr="00C045A6" w:rsidRDefault="00C045A6" w:rsidP="00F633BC">
      <w:pPr>
        <w:ind w:firstLine="0"/>
        <w:rPr>
          <w:szCs w:val="28"/>
        </w:rPr>
      </w:pP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976"/>
        <w:gridCol w:w="6127"/>
      </w:tblGrid>
      <w:tr w:rsidR="00E80B84" w:rsidRPr="00E80B84" w14:paraId="6423AEF0" w14:textId="77777777" w:rsidTr="00AD1606">
        <w:trPr>
          <w:trHeight w:val="421"/>
          <w:jc w:val="center"/>
        </w:trPr>
        <w:tc>
          <w:tcPr>
            <w:tcW w:w="9529" w:type="dxa"/>
            <w:gridSpan w:val="3"/>
            <w:vAlign w:val="center"/>
          </w:tcPr>
          <w:p w14:paraId="4D9B9158" w14:textId="77777777" w:rsidR="004C3A3E" w:rsidRPr="00E80B84" w:rsidRDefault="004C3A3E" w:rsidP="00F633BC">
            <w:pPr>
              <w:pStyle w:val="naisnod"/>
              <w:spacing w:before="0" w:beforeAutospacing="0" w:after="0" w:afterAutospacing="0"/>
              <w:ind w:left="57" w:right="57"/>
              <w:jc w:val="center"/>
            </w:pPr>
            <w:r w:rsidRPr="00E80B84">
              <w:rPr>
                <w:b/>
              </w:rPr>
              <w:t>VI. Sabiedrības līdzdalība un komunikācijas aktivitātes</w:t>
            </w:r>
          </w:p>
        </w:tc>
      </w:tr>
      <w:tr w:rsidR="00E80B84" w:rsidRPr="00E80B84" w14:paraId="317180F3" w14:textId="77777777" w:rsidTr="00C045A6">
        <w:trPr>
          <w:trHeight w:val="1539"/>
          <w:jc w:val="center"/>
        </w:trPr>
        <w:tc>
          <w:tcPr>
            <w:tcW w:w="426" w:type="dxa"/>
          </w:tcPr>
          <w:p w14:paraId="47FB2273" w14:textId="77777777" w:rsidR="004C3A3E" w:rsidRPr="00E80B84" w:rsidRDefault="004C3A3E" w:rsidP="00F633BC">
            <w:pPr>
              <w:ind w:left="57" w:right="57" w:firstLine="0"/>
              <w:rPr>
                <w:bCs/>
                <w:sz w:val="24"/>
                <w:szCs w:val="24"/>
              </w:rPr>
            </w:pPr>
            <w:r w:rsidRPr="00E80B84">
              <w:rPr>
                <w:bCs/>
                <w:sz w:val="24"/>
                <w:szCs w:val="24"/>
              </w:rPr>
              <w:t>1.</w:t>
            </w:r>
          </w:p>
        </w:tc>
        <w:tc>
          <w:tcPr>
            <w:tcW w:w="2976" w:type="dxa"/>
          </w:tcPr>
          <w:p w14:paraId="086579E3" w14:textId="77777777" w:rsidR="004C3A3E" w:rsidRPr="00E80B84" w:rsidRDefault="004C3A3E" w:rsidP="004174B7">
            <w:pPr>
              <w:tabs>
                <w:tab w:val="left" w:pos="170"/>
              </w:tabs>
              <w:ind w:left="57" w:right="57" w:firstLine="0"/>
              <w:jc w:val="left"/>
              <w:rPr>
                <w:sz w:val="24"/>
                <w:szCs w:val="24"/>
                <w:lang w:eastAsia="lv-LV"/>
              </w:rPr>
            </w:pPr>
            <w:r w:rsidRPr="00E80B84">
              <w:rPr>
                <w:sz w:val="24"/>
                <w:szCs w:val="24"/>
                <w:lang w:eastAsia="lv-LV"/>
              </w:rPr>
              <w:t>Plānotās sabiedrības līdzdalības un komunikācijas aktivitātes saistībā ar projektu</w:t>
            </w:r>
          </w:p>
        </w:tc>
        <w:tc>
          <w:tcPr>
            <w:tcW w:w="6127" w:type="dxa"/>
          </w:tcPr>
          <w:p w14:paraId="3801A05A" w14:textId="50335C59" w:rsidR="004C3A3E" w:rsidRPr="00E80B84" w:rsidRDefault="008847CD" w:rsidP="001B23C0">
            <w:pPr>
              <w:shd w:val="clear" w:color="auto" w:fill="FFFFFF"/>
              <w:ind w:left="57" w:right="57" w:firstLine="0"/>
              <w:rPr>
                <w:sz w:val="24"/>
                <w:szCs w:val="24"/>
                <w:lang w:eastAsia="lv-LV"/>
              </w:rPr>
            </w:pPr>
            <w:bookmarkStart w:id="1" w:name="p61"/>
            <w:bookmarkEnd w:id="1"/>
            <w:r w:rsidRPr="00E80B84">
              <w:rPr>
                <w:sz w:val="24"/>
                <w:szCs w:val="24"/>
              </w:rPr>
              <w:t xml:space="preserve">Projekts pirms izsludināšanas Valsts sekretāru sanāksmē tiks ievietots Iekšlietu ministrijas mājas lapā sadaļā </w:t>
            </w:r>
            <w:r w:rsidR="001B23C0">
              <w:rPr>
                <w:sz w:val="24"/>
                <w:szCs w:val="24"/>
              </w:rPr>
              <w:t>,,</w:t>
            </w:r>
            <w:r w:rsidRPr="00E80B84">
              <w:rPr>
                <w:sz w:val="24"/>
                <w:szCs w:val="24"/>
              </w:rPr>
              <w:t>Sabiedrības līdzdalība”</w:t>
            </w:r>
            <w:r w:rsidR="004C3A3E" w:rsidRPr="00E80B84">
              <w:rPr>
                <w:sz w:val="24"/>
                <w:szCs w:val="24"/>
              </w:rPr>
              <w:t>.</w:t>
            </w:r>
            <w:r w:rsidRPr="00E80B84">
              <w:rPr>
                <w:sz w:val="24"/>
                <w:szCs w:val="24"/>
              </w:rPr>
              <w:t xml:space="preserve"> Projekts pēc izsludināšanas Valsts sekretāru sanāksmē būs pieejams Ministru kabineta mājas lapā </w:t>
            </w:r>
            <w:proofErr w:type="spellStart"/>
            <w:r w:rsidRPr="00E80B84">
              <w:rPr>
                <w:sz w:val="24"/>
                <w:szCs w:val="24"/>
              </w:rPr>
              <w:t>www.mk.gov.lv</w:t>
            </w:r>
            <w:proofErr w:type="spellEnd"/>
            <w:r w:rsidRPr="00E80B84">
              <w:rPr>
                <w:sz w:val="24"/>
                <w:szCs w:val="24"/>
              </w:rPr>
              <w:t>.</w:t>
            </w:r>
          </w:p>
        </w:tc>
      </w:tr>
      <w:tr w:rsidR="00E80B84" w:rsidRPr="00E80B84" w14:paraId="2B9C23D6" w14:textId="77777777" w:rsidTr="00C045A6">
        <w:trPr>
          <w:trHeight w:val="723"/>
          <w:jc w:val="center"/>
        </w:trPr>
        <w:tc>
          <w:tcPr>
            <w:tcW w:w="426" w:type="dxa"/>
          </w:tcPr>
          <w:p w14:paraId="6A6CC576" w14:textId="77777777" w:rsidR="004C3A3E" w:rsidRPr="00E80B84" w:rsidRDefault="004C3A3E" w:rsidP="00F633BC">
            <w:pPr>
              <w:ind w:left="57" w:right="57" w:firstLine="0"/>
              <w:rPr>
                <w:bCs/>
                <w:sz w:val="24"/>
                <w:szCs w:val="24"/>
              </w:rPr>
            </w:pPr>
            <w:r w:rsidRPr="00E80B84">
              <w:rPr>
                <w:bCs/>
                <w:sz w:val="24"/>
                <w:szCs w:val="24"/>
              </w:rPr>
              <w:t>2.</w:t>
            </w:r>
          </w:p>
        </w:tc>
        <w:tc>
          <w:tcPr>
            <w:tcW w:w="2976" w:type="dxa"/>
          </w:tcPr>
          <w:p w14:paraId="69E0423D" w14:textId="77777777" w:rsidR="004C3A3E" w:rsidRPr="00E80B84" w:rsidRDefault="004C3A3E" w:rsidP="004174B7">
            <w:pPr>
              <w:ind w:left="57" w:right="57" w:firstLine="0"/>
              <w:jc w:val="left"/>
              <w:rPr>
                <w:sz w:val="24"/>
                <w:szCs w:val="24"/>
                <w:lang w:eastAsia="lv-LV"/>
              </w:rPr>
            </w:pPr>
            <w:r w:rsidRPr="00E80B84">
              <w:rPr>
                <w:sz w:val="24"/>
                <w:szCs w:val="24"/>
                <w:lang w:eastAsia="lv-LV"/>
              </w:rPr>
              <w:t>Sabiedrības līdzdalība projekta izstrādē</w:t>
            </w:r>
          </w:p>
        </w:tc>
        <w:tc>
          <w:tcPr>
            <w:tcW w:w="6127" w:type="dxa"/>
          </w:tcPr>
          <w:p w14:paraId="5B5A2076" w14:textId="77777777" w:rsidR="004C3A3E" w:rsidRPr="00E80B84" w:rsidRDefault="004C3A3E" w:rsidP="00DF516F">
            <w:pPr>
              <w:shd w:val="clear" w:color="auto" w:fill="FFFFFF"/>
              <w:ind w:left="57" w:right="57" w:firstLine="0"/>
              <w:rPr>
                <w:sz w:val="24"/>
                <w:szCs w:val="24"/>
                <w:lang w:eastAsia="lv-LV"/>
              </w:rPr>
            </w:pPr>
            <w:bookmarkStart w:id="2" w:name="p62"/>
            <w:bookmarkEnd w:id="2"/>
            <w:r w:rsidRPr="00E80B84">
              <w:rPr>
                <w:sz w:val="24"/>
                <w:szCs w:val="24"/>
              </w:rPr>
              <w:t>Projekts šo jomu neskar.</w:t>
            </w:r>
          </w:p>
        </w:tc>
      </w:tr>
      <w:tr w:rsidR="00E80B84" w:rsidRPr="00E80B84" w14:paraId="497BAE7B" w14:textId="77777777" w:rsidTr="00C045A6">
        <w:trPr>
          <w:trHeight w:val="691"/>
          <w:jc w:val="center"/>
        </w:trPr>
        <w:tc>
          <w:tcPr>
            <w:tcW w:w="426" w:type="dxa"/>
          </w:tcPr>
          <w:p w14:paraId="2017A1D6" w14:textId="77777777" w:rsidR="004C3A3E" w:rsidRPr="00E80B84" w:rsidRDefault="004C3A3E" w:rsidP="00F633BC">
            <w:pPr>
              <w:ind w:left="57" w:right="57" w:firstLine="0"/>
              <w:rPr>
                <w:bCs/>
                <w:sz w:val="24"/>
                <w:szCs w:val="24"/>
              </w:rPr>
            </w:pPr>
            <w:r w:rsidRPr="00E80B84">
              <w:rPr>
                <w:bCs/>
                <w:sz w:val="24"/>
                <w:szCs w:val="24"/>
              </w:rPr>
              <w:t>3.</w:t>
            </w:r>
          </w:p>
        </w:tc>
        <w:tc>
          <w:tcPr>
            <w:tcW w:w="2976" w:type="dxa"/>
          </w:tcPr>
          <w:p w14:paraId="45A84118" w14:textId="77777777" w:rsidR="004C3A3E" w:rsidRPr="00E80B84" w:rsidRDefault="004C3A3E" w:rsidP="004174B7">
            <w:pPr>
              <w:ind w:left="57" w:right="57" w:firstLine="0"/>
              <w:jc w:val="left"/>
              <w:rPr>
                <w:sz w:val="24"/>
                <w:szCs w:val="24"/>
                <w:lang w:eastAsia="lv-LV"/>
              </w:rPr>
            </w:pPr>
            <w:r w:rsidRPr="00E80B84">
              <w:rPr>
                <w:sz w:val="24"/>
                <w:szCs w:val="24"/>
                <w:lang w:eastAsia="lv-LV"/>
              </w:rPr>
              <w:t>Sabiedrības līdzdalības rezultāti</w:t>
            </w:r>
          </w:p>
        </w:tc>
        <w:tc>
          <w:tcPr>
            <w:tcW w:w="6127" w:type="dxa"/>
          </w:tcPr>
          <w:p w14:paraId="62D611F4" w14:textId="77777777" w:rsidR="004C3A3E" w:rsidRPr="00E80B84" w:rsidRDefault="004C3A3E" w:rsidP="00DF516F">
            <w:pPr>
              <w:shd w:val="clear" w:color="auto" w:fill="FFFFFF"/>
              <w:ind w:left="57" w:right="57" w:firstLine="0"/>
              <w:rPr>
                <w:sz w:val="24"/>
                <w:szCs w:val="24"/>
                <w:lang w:eastAsia="lv-LV"/>
              </w:rPr>
            </w:pPr>
            <w:r w:rsidRPr="00E80B84">
              <w:rPr>
                <w:sz w:val="24"/>
                <w:szCs w:val="24"/>
              </w:rPr>
              <w:t>Projekts šo jomu neskar.</w:t>
            </w:r>
          </w:p>
        </w:tc>
      </w:tr>
      <w:tr w:rsidR="004C3A3E" w:rsidRPr="00E80B84" w14:paraId="7FEFBD78" w14:textId="77777777" w:rsidTr="00AD1606">
        <w:trPr>
          <w:trHeight w:val="615"/>
          <w:jc w:val="center"/>
        </w:trPr>
        <w:tc>
          <w:tcPr>
            <w:tcW w:w="426" w:type="dxa"/>
          </w:tcPr>
          <w:p w14:paraId="28E193A7" w14:textId="77777777" w:rsidR="004C3A3E" w:rsidRPr="00E80B84" w:rsidRDefault="004C3A3E" w:rsidP="00F633BC">
            <w:pPr>
              <w:ind w:left="57" w:right="57" w:firstLine="0"/>
              <w:rPr>
                <w:bCs/>
                <w:sz w:val="24"/>
                <w:szCs w:val="24"/>
              </w:rPr>
            </w:pPr>
            <w:r w:rsidRPr="00E80B84">
              <w:rPr>
                <w:bCs/>
                <w:sz w:val="24"/>
                <w:szCs w:val="24"/>
              </w:rPr>
              <w:t>4.</w:t>
            </w:r>
          </w:p>
        </w:tc>
        <w:tc>
          <w:tcPr>
            <w:tcW w:w="2976" w:type="dxa"/>
          </w:tcPr>
          <w:p w14:paraId="70EA47E1" w14:textId="77777777" w:rsidR="004C3A3E" w:rsidRPr="00E80B84" w:rsidRDefault="004C3A3E" w:rsidP="004174B7">
            <w:pPr>
              <w:ind w:left="57" w:right="57" w:firstLine="0"/>
              <w:jc w:val="left"/>
              <w:rPr>
                <w:sz w:val="24"/>
                <w:szCs w:val="24"/>
                <w:lang w:eastAsia="lv-LV"/>
              </w:rPr>
            </w:pPr>
            <w:r w:rsidRPr="00E80B84">
              <w:rPr>
                <w:sz w:val="24"/>
                <w:szCs w:val="24"/>
                <w:lang w:eastAsia="lv-LV"/>
              </w:rPr>
              <w:t>Cita informācija</w:t>
            </w:r>
          </w:p>
        </w:tc>
        <w:tc>
          <w:tcPr>
            <w:tcW w:w="6127" w:type="dxa"/>
          </w:tcPr>
          <w:p w14:paraId="66D47740" w14:textId="77777777" w:rsidR="004C3A3E" w:rsidRPr="00E80B84" w:rsidRDefault="004C3A3E" w:rsidP="00DF516F">
            <w:pPr>
              <w:ind w:left="57" w:right="57" w:firstLine="0"/>
              <w:rPr>
                <w:sz w:val="24"/>
                <w:szCs w:val="24"/>
                <w:lang w:eastAsia="lv-LV"/>
              </w:rPr>
            </w:pPr>
            <w:r w:rsidRPr="00E80B84">
              <w:rPr>
                <w:sz w:val="24"/>
                <w:szCs w:val="24"/>
              </w:rPr>
              <w:t>Nav.</w:t>
            </w:r>
          </w:p>
        </w:tc>
      </w:tr>
    </w:tbl>
    <w:p w14:paraId="2B44A206" w14:textId="77777777" w:rsidR="004C3A3E" w:rsidRDefault="004C3A3E" w:rsidP="00F633BC">
      <w:pPr>
        <w:spacing w:after="120"/>
        <w:ind w:firstLine="0"/>
        <w:jc w:val="left"/>
        <w:rPr>
          <w:szCs w:val="28"/>
          <w:lang w:eastAsia="lv-LV"/>
        </w:rPr>
      </w:pPr>
    </w:p>
    <w:p w14:paraId="483C43B5" w14:textId="77777777" w:rsidR="00C045A6" w:rsidRPr="00C045A6" w:rsidRDefault="00C045A6" w:rsidP="00F633BC">
      <w:pPr>
        <w:spacing w:after="120"/>
        <w:ind w:firstLine="0"/>
        <w:jc w:val="left"/>
        <w:rPr>
          <w:szCs w:val="28"/>
          <w:lang w:eastAsia="lv-LV"/>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23"/>
        <w:gridCol w:w="5458"/>
      </w:tblGrid>
      <w:tr w:rsidR="00E80B84" w:rsidRPr="00E80B84" w14:paraId="7C70FED4" w14:textId="77777777" w:rsidTr="001872F0">
        <w:trPr>
          <w:trHeight w:val="381"/>
          <w:jc w:val="center"/>
        </w:trPr>
        <w:tc>
          <w:tcPr>
            <w:tcW w:w="9518" w:type="dxa"/>
            <w:gridSpan w:val="3"/>
            <w:vAlign w:val="center"/>
          </w:tcPr>
          <w:p w14:paraId="03089CB8" w14:textId="77777777" w:rsidR="004C3A3E" w:rsidRPr="00E80B84" w:rsidRDefault="004C3A3E" w:rsidP="00F633BC">
            <w:pPr>
              <w:pStyle w:val="naisnod"/>
              <w:spacing w:before="0" w:beforeAutospacing="0" w:after="0" w:afterAutospacing="0"/>
              <w:ind w:left="57" w:right="57"/>
              <w:jc w:val="center"/>
            </w:pPr>
            <w:r w:rsidRPr="00E80B84">
              <w:rPr>
                <w:b/>
              </w:rPr>
              <w:t>VII. Tiesību akta projekta izpildes nodrošināšana un tās ietekme uz institūcijām</w:t>
            </w:r>
          </w:p>
        </w:tc>
      </w:tr>
      <w:tr w:rsidR="00E80B84" w:rsidRPr="00E80B84" w14:paraId="5EA69CB3" w14:textId="77777777" w:rsidTr="001872F0">
        <w:trPr>
          <w:trHeight w:val="427"/>
          <w:jc w:val="center"/>
        </w:trPr>
        <w:tc>
          <w:tcPr>
            <w:tcW w:w="437" w:type="dxa"/>
          </w:tcPr>
          <w:p w14:paraId="15ED0FDE" w14:textId="77777777" w:rsidR="004C3A3E" w:rsidRPr="00E80B84" w:rsidRDefault="004C3A3E" w:rsidP="004174B7">
            <w:pPr>
              <w:pStyle w:val="naisnod"/>
              <w:spacing w:before="0" w:beforeAutospacing="0" w:after="0" w:afterAutospacing="0"/>
              <w:ind w:left="57" w:right="57"/>
              <w:jc w:val="both"/>
            </w:pPr>
            <w:r w:rsidRPr="00E80B84">
              <w:t>1.</w:t>
            </w:r>
          </w:p>
        </w:tc>
        <w:tc>
          <w:tcPr>
            <w:tcW w:w="3623" w:type="dxa"/>
          </w:tcPr>
          <w:p w14:paraId="42868400" w14:textId="77777777" w:rsidR="004C3A3E" w:rsidRPr="00E80B84" w:rsidRDefault="004C3A3E" w:rsidP="006D49F6">
            <w:pPr>
              <w:pStyle w:val="naisf"/>
              <w:spacing w:before="0" w:after="0"/>
              <w:ind w:left="57" w:right="57" w:firstLine="0"/>
              <w:jc w:val="left"/>
            </w:pPr>
            <w:r w:rsidRPr="00E80B84">
              <w:t>Projekta izpildē iesaistītās institūcijas</w:t>
            </w:r>
          </w:p>
        </w:tc>
        <w:tc>
          <w:tcPr>
            <w:tcW w:w="5458" w:type="dxa"/>
          </w:tcPr>
          <w:p w14:paraId="3D82D15C" w14:textId="77777777" w:rsidR="004C3A3E" w:rsidRPr="00E80B84" w:rsidRDefault="004174B7" w:rsidP="00DF516F">
            <w:pPr>
              <w:shd w:val="clear" w:color="auto" w:fill="FFFFFF"/>
              <w:ind w:left="57" w:right="57" w:firstLine="0"/>
              <w:rPr>
                <w:sz w:val="24"/>
                <w:szCs w:val="24"/>
                <w:lang w:eastAsia="lv-LV"/>
              </w:rPr>
            </w:pPr>
            <w:bookmarkStart w:id="3" w:name="p66"/>
            <w:bookmarkStart w:id="4" w:name="p67"/>
            <w:bookmarkStart w:id="5" w:name="p68"/>
            <w:bookmarkStart w:id="6" w:name="p69"/>
            <w:bookmarkEnd w:id="3"/>
            <w:bookmarkEnd w:id="4"/>
            <w:bookmarkEnd w:id="5"/>
            <w:bookmarkEnd w:id="6"/>
            <w:r w:rsidRPr="00E80B84">
              <w:rPr>
                <w:sz w:val="24"/>
                <w:szCs w:val="24"/>
              </w:rPr>
              <w:t>Drošības policija, Satversmes aizsardzības birojs, Militārās i</w:t>
            </w:r>
            <w:r w:rsidR="00845F02" w:rsidRPr="00E80B84">
              <w:rPr>
                <w:sz w:val="24"/>
                <w:szCs w:val="24"/>
              </w:rPr>
              <w:t>zlūkošanas un drošības dienests.</w:t>
            </w:r>
          </w:p>
        </w:tc>
      </w:tr>
      <w:tr w:rsidR="00E80B84" w:rsidRPr="00E80B84" w14:paraId="525A1993" w14:textId="77777777" w:rsidTr="001872F0">
        <w:trPr>
          <w:trHeight w:val="463"/>
          <w:jc w:val="center"/>
        </w:trPr>
        <w:tc>
          <w:tcPr>
            <w:tcW w:w="437" w:type="dxa"/>
          </w:tcPr>
          <w:p w14:paraId="38D6568B" w14:textId="77777777" w:rsidR="004C3A3E" w:rsidRPr="00E80B84" w:rsidRDefault="004C3A3E" w:rsidP="00F633BC">
            <w:pPr>
              <w:pStyle w:val="naisnod"/>
              <w:spacing w:before="0" w:beforeAutospacing="0" w:after="0" w:afterAutospacing="0"/>
              <w:ind w:left="57" w:right="57"/>
              <w:jc w:val="both"/>
            </w:pPr>
            <w:r w:rsidRPr="00E80B84">
              <w:t>2.</w:t>
            </w:r>
          </w:p>
        </w:tc>
        <w:tc>
          <w:tcPr>
            <w:tcW w:w="3623" w:type="dxa"/>
          </w:tcPr>
          <w:p w14:paraId="11C2F255" w14:textId="77777777" w:rsidR="004C3A3E" w:rsidRPr="00E80B84" w:rsidRDefault="004C3A3E" w:rsidP="006D49F6">
            <w:pPr>
              <w:pStyle w:val="naisf"/>
              <w:spacing w:before="0" w:after="0"/>
              <w:ind w:left="57" w:right="57" w:firstLine="0"/>
              <w:jc w:val="left"/>
            </w:pPr>
            <w:r w:rsidRPr="00E80B84">
              <w:t>Projekta izpildes ietekme uz pārvaldes funkcijām un institucionālo struktūru.</w:t>
            </w:r>
          </w:p>
          <w:p w14:paraId="7ED76690" w14:textId="77777777" w:rsidR="004C3A3E" w:rsidRPr="00E80B84" w:rsidRDefault="004C3A3E" w:rsidP="006D49F6">
            <w:pPr>
              <w:pStyle w:val="naisf"/>
              <w:spacing w:before="0" w:after="0"/>
              <w:ind w:left="57" w:right="57" w:firstLine="0"/>
              <w:jc w:val="left"/>
            </w:pPr>
            <w:r w:rsidRPr="00E80B84">
              <w:t>Jaunu institūciju izveide, esošu institūciju likvidācija vai reorganizācija, to ietekme uz institūcijas cilvēkresursiem.</w:t>
            </w:r>
          </w:p>
        </w:tc>
        <w:tc>
          <w:tcPr>
            <w:tcW w:w="5458" w:type="dxa"/>
          </w:tcPr>
          <w:p w14:paraId="2886B1A7" w14:textId="77777777" w:rsidR="004C3A3E" w:rsidRPr="00E80B84" w:rsidRDefault="004C3A3E" w:rsidP="00DF516F">
            <w:pPr>
              <w:spacing w:before="100" w:beforeAutospacing="1" w:after="100" w:afterAutospacing="1"/>
              <w:ind w:left="57" w:right="57" w:firstLine="0"/>
              <w:rPr>
                <w:sz w:val="24"/>
                <w:szCs w:val="24"/>
              </w:rPr>
            </w:pPr>
            <w:r w:rsidRPr="00E80B84">
              <w:rPr>
                <w:sz w:val="24"/>
                <w:szCs w:val="24"/>
              </w:rPr>
              <w:t>Jaunas institūcijas netiks izveidotas un esošās institūcijas netiks likvidētas vai reorganizētas.</w:t>
            </w:r>
          </w:p>
        </w:tc>
      </w:tr>
      <w:tr w:rsidR="004C3A3E" w:rsidRPr="00E80B84" w14:paraId="6262FBD3" w14:textId="77777777" w:rsidTr="001872F0">
        <w:trPr>
          <w:trHeight w:val="402"/>
          <w:jc w:val="center"/>
        </w:trPr>
        <w:tc>
          <w:tcPr>
            <w:tcW w:w="437" w:type="dxa"/>
          </w:tcPr>
          <w:p w14:paraId="6594084C" w14:textId="77777777" w:rsidR="004C3A3E" w:rsidRPr="00E80B84" w:rsidRDefault="004C3A3E" w:rsidP="00F633BC">
            <w:pPr>
              <w:pStyle w:val="naisnod"/>
              <w:spacing w:before="0" w:beforeAutospacing="0" w:after="0" w:afterAutospacing="0"/>
              <w:ind w:left="57" w:right="57"/>
              <w:jc w:val="both"/>
            </w:pPr>
            <w:r w:rsidRPr="00E80B84">
              <w:t>3.</w:t>
            </w:r>
          </w:p>
        </w:tc>
        <w:tc>
          <w:tcPr>
            <w:tcW w:w="3623" w:type="dxa"/>
          </w:tcPr>
          <w:p w14:paraId="7B0F3B06" w14:textId="77777777" w:rsidR="004C3A3E" w:rsidRPr="00E80B84" w:rsidRDefault="004C3A3E" w:rsidP="00F633BC">
            <w:pPr>
              <w:pStyle w:val="naisf"/>
              <w:spacing w:before="0" w:after="0"/>
              <w:ind w:left="57" w:right="57" w:firstLine="0"/>
            </w:pPr>
            <w:r w:rsidRPr="00E80B84">
              <w:t>Cita informācija</w:t>
            </w:r>
          </w:p>
        </w:tc>
        <w:tc>
          <w:tcPr>
            <w:tcW w:w="5458" w:type="dxa"/>
          </w:tcPr>
          <w:p w14:paraId="12585935" w14:textId="77777777" w:rsidR="004C3A3E" w:rsidRPr="00E80B84" w:rsidRDefault="004C3A3E" w:rsidP="00F633BC">
            <w:pPr>
              <w:ind w:left="57" w:right="57" w:firstLine="0"/>
              <w:rPr>
                <w:sz w:val="24"/>
                <w:szCs w:val="24"/>
                <w:lang w:eastAsia="lv-LV"/>
              </w:rPr>
            </w:pPr>
            <w:r w:rsidRPr="00E80B84">
              <w:rPr>
                <w:sz w:val="24"/>
                <w:szCs w:val="24"/>
              </w:rPr>
              <w:t>Nav.</w:t>
            </w:r>
          </w:p>
        </w:tc>
      </w:tr>
    </w:tbl>
    <w:p w14:paraId="7685C25A" w14:textId="77777777" w:rsidR="00911275" w:rsidRDefault="00911275" w:rsidP="00BE214E">
      <w:pPr>
        <w:ind w:firstLine="0"/>
        <w:rPr>
          <w:i/>
          <w:szCs w:val="28"/>
        </w:rPr>
      </w:pPr>
    </w:p>
    <w:p w14:paraId="494D2AFB" w14:textId="77777777" w:rsidR="00C045A6" w:rsidRPr="00C045A6" w:rsidRDefault="00C045A6" w:rsidP="00BE214E">
      <w:pPr>
        <w:ind w:firstLine="0"/>
        <w:rPr>
          <w:i/>
          <w:szCs w:val="28"/>
        </w:rPr>
      </w:pPr>
    </w:p>
    <w:p w14:paraId="312244A3" w14:textId="77777777" w:rsidR="00BE214E" w:rsidRPr="00E80B84" w:rsidRDefault="00BE214E" w:rsidP="00BE214E">
      <w:pPr>
        <w:ind w:firstLine="0"/>
        <w:rPr>
          <w:i/>
          <w:sz w:val="24"/>
          <w:szCs w:val="24"/>
        </w:rPr>
      </w:pPr>
      <w:r w:rsidRPr="00E80B84">
        <w:rPr>
          <w:i/>
          <w:sz w:val="24"/>
          <w:szCs w:val="24"/>
        </w:rPr>
        <w:t xml:space="preserve">Anotācijas III, IV un V sadaļa – projekts šīs jomas neskar. </w:t>
      </w:r>
    </w:p>
    <w:p w14:paraId="1C13FBB3" w14:textId="77777777" w:rsidR="008864B0" w:rsidRDefault="008864B0" w:rsidP="00403EDF">
      <w:pPr>
        <w:tabs>
          <w:tab w:val="right" w:pos="9071"/>
        </w:tabs>
        <w:ind w:firstLine="0"/>
        <w:rPr>
          <w:szCs w:val="28"/>
        </w:rPr>
      </w:pPr>
    </w:p>
    <w:p w14:paraId="1216FCF2" w14:textId="77777777" w:rsidR="00C045A6" w:rsidRDefault="00C045A6" w:rsidP="00403EDF">
      <w:pPr>
        <w:tabs>
          <w:tab w:val="right" w:pos="9071"/>
        </w:tabs>
        <w:ind w:firstLine="0"/>
        <w:rPr>
          <w:szCs w:val="28"/>
        </w:rPr>
      </w:pPr>
    </w:p>
    <w:p w14:paraId="702EAA6E" w14:textId="77777777" w:rsidR="00C045A6" w:rsidRPr="00C045A6" w:rsidRDefault="00C045A6" w:rsidP="00403EDF">
      <w:pPr>
        <w:tabs>
          <w:tab w:val="right" w:pos="9071"/>
        </w:tabs>
        <w:ind w:firstLine="0"/>
        <w:rPr>
          <w:szCs w:val="28"/>
        </w:rPr>
      </w:pPr>
    </w:p>
    <w:p w14:paraId="45ABCC82" w14:textId="77777777" w:rsidR="004C3A3E" w:rsidRPr="00E80B84" w:rsidRDefault="004C3A3E" w:rsidP="00403EDF">
      <w:pPr>
        <w:tabs>
          <w:tab w:val="right" w:pos="9071"/>
        </w:tabs>
        <w:ind w:firstLine="0"/>
        <w:rPr>
          <w:szCs w:val="28"/>
        </w:rPr>
      </w:pPr>
      <w:r w:rsidRPr="00E80B84">
        <w:rPr>
          <w:szCs w:val="28"/>
        </w:rPr>
        <w:t>Iekšlietu ministrs</w:t>
      </w:r>
      <w:r w:rsidRPr="00E80B84">
        <w:rPr>
          <w:szCs w:val="28"/>
        </w:rPr>
        <w:tab/>
        <w:t>R. Kozlovskis</w:t>
      </w:r>
    </w:p>
    <w:p w14:paraId="1FD46741" w14:textId="77777777" w:rsidR="00911275" w:rsidRDefault="00911275" w:rsidP="00C8145A">
      <w:pPr>
        <w:pStyle w:val="naisf"/>
        <w:ind w:firstLine="0"/>
        <w:rPr>
          <w:sz w:val="28"/>
          <w:szCs w:val="28"/>
        </w:rPr>
      </w:pPr>
    </w:p>
    <w:p w14:paraId="74162F06" w14:textId="77777777" w:rsidR="00C045A6" w:rsidRDefault="00C045A6" w:rsidP="00C8145A">
      <w:pPr>
        <w:pStyle w:val="naisf"/>
        <w:ind w:firstLine="0"/>
        <w:rPr>
          <w:sz w:val="28"/>
          <w:szCs w:val="28"/>
        </w:rPr>
      </w:pPr>
    </w:p>
    <w:p w14:paraId="16F2803F" w14:textId="77777777" w:rsidR="00C045A6" w:rsidRPr="00E80B84" w:rsidRDefault="00C045A6" w:rsidP="00C8145A">
      <w:pPr>
        <w:pStyle w:val="naisf"/>
        <w:ind w:firstLine="0"/>
        <w:rPr>
          <w:sz w:val="28"/>
          <w:szCs w:val="28"/>
        </w:rPr>
      </w:pPr>
    </w:p>
    <w:p w14:paraId="722BBD5E" w14:textId="77777777" w:rsidR="004C3A3E" w:rsidRPr="00E80B84" w:rsidRDefault="004C3A3E" w:rsidP="00555F3E">
      <w:pPr>
        <w:pStyle w:val="naisf"/>
        <w:tabs>
          <w:tab w:val="right" w:pos="9071"/>
        </w:tabs>
        <w:ind w:firstLine="0"/>
        <w:rPr>
          <w:sz w:val="28"/>
          <w:szCs w:val="28"/>
        </w:rPr>
      </w:pPr>
      <w:r w:rsidRPr="00E80B84">
        <w:rPr>
          <w:sz w:val="28"/>
          <w:szCs w:val="28"/>
        </w:rPr>
        <w:t>Vīza: valsts sekretāre</w:t>
      </w:r>
      <w:r w:rsidRPr="00E80B84">
        <w:rPr>
          <w:sz w:val="28"/>
          <w:szCs w:val="28"/>
        </w:rPr>
        <w:tab/>
        <w:t>I.</w:t>
      </w:r>
      <w:r w:rsidR="00B413A5" w:rsidRPr="00E80B84">
        <w:rPr>
          <w:sz w:val="28"/>
          <w:szCs w:val="28"/>
        </w:rPr>
        <w:t> </w:t>
      </w:r>
      <w:r w:rsidRPr="00E80B84">
        <w:rPr>
          <w:sz w:val="28"/>
          <w:szCs w:val="28"/>
        </w:rPr>
        <w:t>Pētersone-Godmane</w:t>
      </w:r>
    </w:p>
    <w:p w14:paraId="44037B42" w14:textId="77777777" w:rsidR="00011FE5" w:rsidRDefault="00011FE5" w:rsidP="00555F3E">
      <w:pPr>
        <w:pStyle w:val="naisf"/>
        <w:tabs>
          <w:tab w:val="right" w:pos="9071"/>
        </w:tabs>
        <w:ind w:firstLine="0"/>
        <w:rPr>
          <w:sz w:val="28"/>
          <w:szCs w:val="28"/>
        </w:rPr>
      </w:pPr>
    </w:p>
    <w:p w14:paraId="3076C41D" w14:textId="77777777" w:rsidR="00C045A6" w:rsidRDefault="00C045A6" w:rsidP="00555F3E">
      <w:pPr>
        <w:pStyle w:val="naisf"/>
        <w:tabs>
          <w:tab w:val="right" w:pos="9071"/>
        </w:tabs>
        <w:ind w:firstLine="0"/>
        <w:rPr>
          <w:sz w:val="28"/>
          <w:szCs w:val="28"/>
        </w:rPr>
      </w:pPr>
    </w:p>
    <w:p w14:paraId="574E59B6" w14:textId="77777777" w:rsidR="00C045A6" w:rsidRDefault="00C045A6" w:rsidP="00555F3E">
      <w:pPr>
        <w:pStyle w:val="naisf"/>
        <w:tabs>
          <w:tab w:val="right" w:pos="9071"/>
        </w:tabs>
        <w:ind w:firstLine="0"/>
        <w:rPr>
          <w:sz w:val="28"/>
          <w:szCs w:val="28"/>
        </w:rPr>
      </w:pPr>
    </w:p>
    <w:p w14:paraId="73D47866" w14:textId="77777777" w:rsidR="00C045A6" w:rsidRDefault="00C045A6" w:rsidP="00555F3E">
      <w:pPr>
        <w:pStyle w:val="naisf"/>
        <w:tabs>
          <w:tab w:val="right" w:pos="9071"/>
        </w:tabs>
        <w:ind w:firstLine="0"/>
        <w:rPr>
          <w:sz w:val="28"/>
          <w:szCs w:val="28"/>
        </w:rPr>
      </w:pPr>
    </w:p>
    <w:p w14:paraId="391BE6BA" w14:textId="77777777" w:rsidR="00C045A6" w:rsidRDefault="00C045A6" w:rsidP="00555F3E">
      <w:pPr>
        <w:pStyle w:val="naisf"/>
        <w:tabs>
          <w:tab w:val="right" w:pos="9071"/>
        </w:tabs>
        <w:ind w:firstLine="0"/>
        <w:rPr>
          <w:sz w:val="28"/>
          <w:szCs w:val="28"/>
        </w:rPr>
      </w:pPr>
    </w:p>
    <w:p w14:paraId="7E6F4934" w14:textId="77777777" w:rsidR="00C045A6" w:rsidRDefault="00C045A6" w:rsidP="00555F3E">
      <w:pPr>
        <w:pStyle w:val="naisf"/>
        <w:tabs>
          <w:tab w:val="right" w:pos="9071"/>
        </w:tabs>
        <w:ind w:firstLine="0"/>
        <w:rPr>
          <w:sz w:val="28"/>
          <w:szCs w:val="28"/>
        </w:rPr>
      </w:pPr>
    </w:p>
    <w:p w14:paraId="0E5855B7" w14:textId="77777777" w:rsidR="00C045A6" w:rsidRDefault="00C045A6" w:rsidP="00555F3E">
      <w:pPr>
        <w:pStyle w:val="naisf"/>
        <w:tabs>
          <w:tab w:val="right" w:pos="9071"/>
        </w:tabs>
        <w:ind w:firstLine="0"/>
        <w:rPr>
          <w:sz w:val="28"/>
          <w:szCs w:val="28"/>
        </w:rPr>
      </w:pPr>
    </w:p>
    <w:p w14:paraId="0FE8CABA" w14:textId="77777777" w:rsidR="00C045A6" w:rsidRDefault="00C045A6" w:rsidP="00555F3E">
      <w:pPr>
        <w:pStyle w:val="naisf"/>
        <w:tabs>
          <w:tab w:val="right" w:pos="9071"/>
        </w:tabs>
        <w:ind w:firstLine="0"/>
        <w:rPr>
          <w:sz w:val="28"/>
          <w:szCs w:val="28"/>
        </w:rPr>
      </w:pPr>
    </w:p>
    <w:p w14:paraId="70B6021E" w14:textId="77777777" w:rsidR="00C045A6" w:rsidRDefault="00C045A6" w:rsidP="00555F3E">
      <w:pPr>
        <w:pStyle w:val="naisf"/>
        <w:tabs>
          <w:tab w:val="right" w:pos="9071"/>
        </w:tabs>
        <w:ind w:firstLine="0"/>
        <w:rPr>
          <w:sz w:val="28"/>
          <w:szCs w:val="28"/>
        </w:rPr>
      </w:pPr>
    </w:p>
    <w:p w14:paraId="117C3878" w14:textId="77777777" w:rsidR="00C045A6" w:rsidRDefault="00C045A6" w:rsidP="00555F3E">
      <w:pPr>
        <w:pStyle w:val="naisf"/>
        <w:tabs>
          <w:tab w:val="right" w:pos="9071"/>
        </w:tabs>
        <w:ind w:firstLine="0"/>
        <w:rPr>
          <w:sz w:val="28"/>
          <w:szCs w:val="28"/>
        </w:rPr>
      </w:pPr>
    </w:p>
    <w:p w14:paraId="658EFD54" w14:textId="77777777" w:rsidR="00C045A6" w:rsidRDefault="00C045A6" w:rsidP="00555F3E">
      <w:pPr>
        <w:pStyle w:val="naisf"/>
        <w:tabs>
          <w:tab w:val="right" w:pos="9071"/>
        </w:tabs>
        <w:ind w:firstLine="0"/>
        <w:rPr>
          <w:sz w:val="28"/>
          <w:szCs w:val="28"/>
        </w:rPr>
      </w:pPr>
    </w:p>
    <w:p w14:paraId="39996006" w14:textId="77777777" w:rsidR="00C045A6" w:rsidRDefault="00C045A6" w:rsidP="00555F3E">
      <w:pPr>
        <w:pStyle w:val="naisf"/>
        <w:tabs>
          <w:tab w:val="right" w:pos="9071"/>
        </w:tabs>
        <w:ind w:firstLine="0"/>
        <w:rPr>
          <w:sz w:val="28"/>
          <w:szCs w:val="28"/>
        </w:rPr>
      </w:pPr>
    </w:p>
    <w:p w14:paraId="4C059E38" w14:textId="77777777" w:rsidR="00C045A6" w:rsidRDefault="00C045A6" w:rsidP="00555F3E">
      <w:pPr>
        <w:pStyle w:val="naisf"/>
        <w:tabs>
          <w:tab w:val="right" w:pos="9071"/>
        </w:tabs>
        <w:ind w:firstLine="0"/>
        <w:rPr>
          <w:sz w:val="28"/>
          <w:szCs w:val="28"/>
        </w:rPr>
      </w:pPr>
    </w:p>
    <w:p w14:paraId="51F84379" w14:textId="5FDB08BA" w:rsidR="00313915" w:rsidRPr="00E80B84" w:rsidRDefault="00204041" w:rsidP="00313915">
      <w:pPr>
        <w:ind w:firstLine="0"/>
        <w:rPr>
          <w:sz w:val="20"/>
          <w:szCs w:val="20"/>
        </w:rPr>
      </w:pPr>
      <w:r>
        <w:rPr>
          <w:sz w:val="20"/>
          <w:szCs w:val="20"/>
        </w:rPr>
        <w:t>20</w:t>
      </w:r>
      <w:r w:rsidR="00313915" w:rsidRPr="00E80B84">
        <w:rPr>
          <w:sz w:val="20"/>
          <w:szCs w:val="20"/>
        </w:rPr>
        <w:t>.</w:t>
      </w:r>
      <w:r w:rsidR="00C322A8">
        <w:rPr>
          <w:sz w:val="20"/>
          <w:szCs w:val="20"/>
        </w:rPr>
        <w:t>0</w:t>
      </w:r>
      <w:r w:rsidR="000601F9">
        <w:rPr>
          <w:sz w:val="20"/>
          <w:szCs w:val="20"/>
        </w:rPr>
        <w:t>3</w:t>
      </w:r>
      <w:r w:rsidR="00313915" w:rsidRPr="00E80B84">
        <w:rPr>
          <w:sz w:val="20"/>
          <w:szCs w:val="20"/>
        </w:rPr>
        <w:t>.201</w:t>
      </w:r>
      <w:r w:rsidR="00C322A8">
        <w:rPr>
          <w:sz w:val="20"/>
          <w:szCs w:val="20"/>
        </w:rPr>
        <w:t>7</w:t>
      </w:r>
      <w:r w:rsidR="00313915" w:rsidRPr="00E80B84">
        <w:rPr>
          <w:sz w:val="20"/>
          <w:szCs w:val="20"/>
        </w:rPr>
        <w:t xml:space="preserve">. </w:t>
      </w:r>
      <w:r w:rsidR="00F546C3">
        <w:rPr>
          <w:sz w:val="20"/>
          <w:szCs w:val="20"/>
        </w:rPr>
        <w:t>14</w:t>
      </w:r>
      <w:r w:rsidR="00313915" w:rsidRPr="00E80B84">
        <w:rPr>
          <w:sz w:val="20"/>
          <w:szCs w:val="20"/>
        </w:rPr>
        <w:t>:</w:t>
      </w:r>
      <w:r w:rsidR="00F546C3">
        <w:rPr>
          <w:sz w:val="20"/>
          <w:szCs w:val="20"/>
        </w:rPr>
        <w:t>4</w:t>
      </w:r>
      <w:r w:rsidR="00313915" w:rsidRPr="00E80B84">
        <w:rPr>
          <w:sz w:val="20"/>
          <w:szCs w:val="20"/>
        </w:rPr>
        <w:t>0</w:t>
      </w:r>
    </w:p>
    <w:bookmarkStart w:id="7" w:name="_GoBack"/>
    <w:p w14:paraId="3C41618F" w14:textId="18271F1F" w:rsidR="00313915" w:rsidRPr="00E80B84" w:rsidRDefault="00313915" w:rsidP="00313915">
      <w:pPr>
        <w:ind w:firstLine="0"/>
        <w:rPr>
          <w:sz w:val="20"/>
          <w:szCs w:val="20"/>
        </w:rPr>
      </w:pPr>
      <w:r w:rsidRPr="00E80B84">
        <w:rPr>
          <w:sz w:val="20"/>
          <w:szCs w:val="20"/>
        </w:rPr>
        <w:fldChar w:fldCharType="begin"/>
      </w:r>
      <w:r w:rsidRPr="00E80B84">
        <w:rPr>
          <w:sz w:val="20"/>
          <w:szCs w:val="20"/>
        </w:rPr>
        <w:instrText xml:space="preserve"> NUMWORDS   \* MERGEFORMAT </w:instrText>
      </w:r>
      <w:r w:rsidRPr="00E80B84">
        <w:rPr>
          <w:sz w:val="20"/>
          <w:szCs w:val="20"/>
        </w:rPr>
        <w:fldChar w:fldCharType="separate"/>
      </w:r>
      <w:r w:rsidR="00D034BB">
        <w:rPr>
          <w:noProof/>
          <w:sz w:val="20"/>
          <w:szCs w:val="20"/>
        </w:rPr>
        <w:t>1863</w:t>
      </w:r>
      <w:r w:rsidRPr="00E80B84">
        <w:rPr>
          <w:sz w:val="20"/>
          <w:szCs w:val="20"/>
        </w:rPr>
        <w:fldChar w:fldCharType="end"/>
      </w:r>
    </w:p>
    <w:bookmarkEnd w:id="7"/>
    <w:p w14:paraId="3348744E" w14:textId="7A639208" w:rsidR="00313915" w:rsidRPr="00E80B84" w:rsidRDefault="00313915" w:rsidP="00313915">
      <w:pPr>
        <w:ind w:firstLine="0"/>
        <w:rPr>
          <w:sz w:val="20"/>
          <w:szCs w:val="20"/>
        </w:rPr>
      </w:pPr>
      <w:r w:rsidRPr="00E80B84">
        <w:rPr>
          <w:sz w:val="20"/>
          <w:szCs w:val="20"/>
        </w:rPr>
        <w:t>67208</w:t>
      </w:r>
      <w:r w:rsidR="00D34200">
        <w:rPr>
          <w:sz w:val="20"/>
          <w:szCs w:val="20"/>
        </w:rPr>
        <w:t>949</w:t>
      </w:r>
      <w:r w:rsidRPr="00E80B84">
        <w:rPr>
          <w:sz w:val="20"/>
          <w:szCs w:val="20"/>
        </w:rPr>
        <w:t>, juristi@dp.gov.lv</w:t>
      </w:r>
    </w:p>
    <w:sectPr w:rsidR="00313915" w:rsidRPr="00E80B84" w:rsidSect="00813142">
      <w:headerReference w:type="default" r:id="rId8"/>
      <w:footerReference w:type="default" r:id="rId9"/>
      <w:footerReference w:type="first" r:id="rId10"/>
      <w:pgSz w:w="11906" w:h="16838"/>
      <w:pgMar w:top="1134" w:right="1134" w:bottom="1134" w:left="1701" w:header="1134" w:footer="113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540D1" w14:textId="77777777" w:rsidR="005C63D7" w:rsidRDefault="005C63D7" w:rsidP="00F3628F">
      <w:r>
        <w:separator/>
      </w:r>
    </w:p>
  </w:endnote>
  <w:endnote w:type="continuationSeparator" w:id="0">
    <w:p w14:paraId="4FF663BC" w14:textId="77777777" w:rsidR="005C63D7" w:rsidRDefault="005C63D7" w:rsidP="00F3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Dutch TL">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58425" w14:textId="07A76905" w:rsidR="004C3A3E" w:rsidRPr="00C03EEA" w:rsidRDefault="00313915" w:rsidP="00185096">
    <w:pPr>
      <w:pStyle w:val="Footer"/>
      <w:spacing w:before="120"/>
      <w:ind w:firstLine="0"/>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0C22E8">
      <w:rPr>
        <w:noProof/>
        <w:sz w:val="20"/>
        <w:szCs w:val="20"/>
      </w:rPr>
      <w:t>IEMAnot_</w:t>
    </w:r>
    <w:r w:rsidR="00204041">
      <w:rPr>
        <w:noProof/>
        <w:sz w:val="20"/>
        <w:szCs w:val="20"/>
      </w:rPr>
      <w:t>20</w:t>
    </w:r>
    <w:r w:rsidR="000C22E8">
      <w:rPr>
        <w:noProof/>
        <w:sz w:val="20"/>
        <w:szCs w:val="20"/>
      </w:rPr>
      <w:t>032017</w:t>
    </w:r>
    <w:r>
      <w:rPr>
        <w:sz w:val="20"/>
        <w:szCs w:val="20"/>
      </w:rPr>
      <w:fldChar w:fldCharType="end"/>
    </w:r>
    <w:r>
      <w:rPr>
        <w:sz w:val="20"/>
        <w:szCs w:val="20"/>
      </w:rPr>
      <w:t xml:space="preserve">; </w:t>
    </w:r>
    <w:r w:rsidRPr="00795EF8">
      <w:rPr>
        <w:sz w:val="20"/>
        <w:szCs w:val="20"/>
      </w:rPr>
      <w:t>Mini</w:t>
    </w:r>
    <w:r>
      <w:rPr>
        <w:sz w:val="20"/>
        <w:szCs w:val="20"/>
      </w:rPr>
      <w:t>stru kabineta noteikumu projekta</w:t>
    </w:r>
    <w:r w:rsidRPr="00795EF8">
      <w:rPr>
        <w:sz w:val="20"/>
        <w:szCs w:val="20"/>
      </w:rPr>
      <w:t xml:space="preserve"> </w:t>
    </w:r>
    <w:r w:rsidR="00710614">
      <w:rPr>
        <w:sz w:val="20"/>
        <w:szCs w:val="20"/>
      </w:rPr>
      <w:t>,,</w:t>
    </w:r>
    <w:r w:rsidRPr="00795EF8">
      <w:rPr>
        <w:sz w:val="20"/>
        <w:szCs w:val="20"/>
      </w:rPr>
      <w:t>Grozījumi Ministru kabineta 2010.</w:t>
    </w:r>
    <w:r>
      <w:rPr>
        <w:sz w:val="20"/>
        <w:szCs w:val="20"/>
      </w:rPr>
      <w:t> </w:t>
    </w:r>
    <w:r w:rsidRPr="00795EF8">
      <w:rPr>
        <w:sz w:val="20"/>
        <w:szCs w:val="20"/>
      </w:rPr>
      <w:t>gada 1.</w:t>
    </w:r>
    <w:r>
      <w:rPr>
        <w:sz w:val="20"/>
        <w:szCs w:val="20"/>
      </w:rPr>
      <w:t> </w:t>
    </w:r>
    <w:r w:rsidRPr="00795EF8">
      <w:rPr>
        <w:sz w:val="20"/>
        <w:szCs w:val="20"/>
      </w:rPr>
      <w:t>jūnija noteikumos Nr.</w:t>
    </w:r>
    <w:r>
      <w:rPr>
        <w:sz w:val="20"/>
        <w:szCs w:val="20"/>
      </w:rPr>
      <w:t> </w:t>
    </w:r>
    <w:r w:rsidRPr="00795EF8">
      <w:rPr>
        <w:sz w:val="20"/>
        <w:szCs w:val="20"/>
      </w:rPr>
      <w:t xml:space="preserve">496 </w:t>
    </w:r>
    <w:r w:rsidR="00710614">
      <w:rPr>
        <w:sz w:val="20"/>
        <w:szCs w:val="20"/>
      </w:rPr>
      <w:t>,,</w:t>
    </w:r>
    <w:r w:rsidRPr="00795EF8">
      <w:rPr>
        <w:sz w:val="20"/>
        <w:szCs w:val="20"/>
      </w:rPr>
      <w:t>Kritiskās infrastruktūras, tajā skaitā Eiropas kritiskās infrastruktūras, apzināšanas un drošības pasākumu plānošanas un īstenošanas kārtība””</w:t>
    </w:r>
    <w:r>
      <w:rPr>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06274" w14:textId="36182723" w:rsidR="004C3A3E" w:rsidRPr="00D63A74" w:rsidRDefault="00D63A74" w:rsidP="00D63A74">
    <w:pPr>
      <w:pStyle w:val="Footer"/>
      <w:spacing w:before="120"/>
      <w:ind w:firstLine="0"/>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0C22E8">
      <w:rPr>
        <w:noProof/>
        <w:sz w:val="20"/>
        <w:szCs w:val="20"/>
      </w:rPr>
      <w:t>IEMAnot_</w:t>
    </w:r>
    <w:r w:rsidR="00204041">
      <w:rPr>
        <w:noProof/>
        <w:sz w:val="20"/>
        <w:szCs w:val="20"/>
      </w:rPr>
      <w:t>20</w:t>
    </w:r>
    <w:r w:rsidR="000C22E8">
      <w:rPr>
        <w:noProof/>
        <w:sz w:val="20"/>
        <w:szCs w:val="20"/>
      </w:rPr>
      <w:t>032017</w:t>
    </w:r>
    <w:r>
      <w:rPr>
        <w:sz w:val="20"/>
        <w:szCs w:val="20"/>
      </w:rPr>
      <w:fldChar w:fldCharType="end"/>
    </w:r>
    <w:r>
      <w:rPr>
        <w:sz w:val="20"/>
        <w:szCs w:val="20"/>
      </w:rPr>
      <w:t xml:space="preserve">; </w:t>
    </w:r>
    <w:r w:rsidRPr="00795EF8">
      <w:rPr>
        <w:sz w:val="20"/>
        <w:szCs w:val="20"/>
      </w:rPr>
      <w:t>Mini</w:t>
    </w:r>
    <w:r>
      <w:rPr>
        <w:sz w:val="20"/>
        <w:szCs w:val="20"/>
      </w:rPr>
      <w:t>stru kabineta noteikumu projekta</w:t>
    </w:r>
    <w:r w:rsidRPr="00795EF8">
      <w:rPr>
        <w:sz w:val="20"/>
        <w:szCs w:val="20"/>
      </w:rPr>
      <w:t xml:space="preserve"> </w:t>
    </w:r>
    <w:r w:rsidR="003316CC">
      <w:rPr>
        <w:sz w:val="20"/>
        <w:szCs w:val="20"/>
      </w:rPr>
      <w:t>,,</w:t>
    </w:r>
    <w:r w:rsidRPr="00795EF8">
      <w:rPr>
        <w:sz w:val="20"/>
        <w:szCs w:val="20"/>
      </w:rPr>
      <w:t>Grozījumi Ministru kabineta 2010.</w:t>
    </w:r>
    <w:r>
      <w:rPr>
        <w:sz w:val="20"/>
        <w:szCs w:val="20"/>
      </w:rPr>
      <w:t> </w:t>
    </w:r>
    <w:r w:rsidRPr="00795EF8">
      <w:rPr>
        <w:sz w:val="20"/>
        <w:szCs w:val="20"/>
      </w:rPr>
      <w:t>gada 1.</w:t>
    </w:r>
    <w:r>
      <w:rPr>
        <w:sz w:val="20"/>
        <w:szCs w:val="20"/>
      </w:rPr>
      <w:t> </w:t>
    </w:r>
    <w:r w:rsidRPr="00795EF8">
      <w:rPr>
        <w:sz w:val="20"/>
        <w:szCs w:val="20"/>
      </w:rPr>
      <w:t>jūnija noteikumos Nr.</w:t>
    </w:r>
    <w:r>
      <w:rPr>
        <w:sz w:val="20"/>
        <w:szCs w:val="20"/>
      </w:rPr>
      <w:t> </w:t>
    </w:r>
    <w:r w:rsidRPr="00795EF8">
      <w:rPr>
        <w:sz w:val="20"/>
        <w:szCs w:val="20"/>
      </w:rPr>
      <w:t xml:space="preserve">496 </w:t>
    </w:r>
    <w:r w:rsidR="003316CC">
      <w:rPr>
        <w:sz w:val="20"/>
        <w:szCs w:val="20"/>
      </w:rPr>
      <w:t>,,</w:t>
    </w:r>
    <w:r w:rsidRPr="00795EF8">
      <w:rPr>
        <w:sz w:val="20"/>
        <w:szCs w:val="20"/>
      </w:rPr>
      <w:t>Kritiskās infrastruktūras, tajā skaitā Eiropas kritiskās infrastruktūras, apzināšanas un drošības pasākumu plānošanas un īstenošanas kārtība””</w:t>
    </w:r>
    <w:r>
      <w:rPr>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66F7E" w14:textId="77777777" w:rsidR="005C63D7" w:rsidRDefault="005C63D7" w:rsidP="00F3628F">
      <w:r>
        <w:separator/>
      </w:r>
    </w:p>
  </w:footnote>
  <w:footnote w:type="continuationSeparator" w:id="0">
    <w:p w14:paraId="1437494B" w14:textId="77777777" w:rsidR="005C63D7" w:rsidRDefault="005C63D7" w:rsidP="00F36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3F28F" w14:textId="77777777" w:rsidR="004C3A3E" w:rsidRDefault="004C3A3E">
    <w:pPr>
      <w:pStyle w:val="Header"/>
      <w:jc w:val="center"/>
    </w:pPr>
    <w:r w:rsidRPr="00B605EA">
      <w:rPr>
        <w:sz w:val="20"/>
        <w:szCs w:val="20"/>
      </w:rPr>
      <w:fldChar w:fldCharType="begin"/>
    </w:r>
    <w:r w:rsidRPr="00B605EA">
      <w:rPr>
        <w:sz w:val="20"/>
        <w:szCs w:val="20"/>
      </w:rPr>
      <w:instrText xml:space="preserve"> PAGE   \* MERGEFORMAT </w:instrText>
    </w:r>
    <w:r w:rsidRPr="00B605EA">
      <w:rPr>
        <w:sz w:val="20"/>
        <w:szCs w:val="20"/>
      </w:rPr>
      <w:fldChar w:fldCharType="separate"/>
    </w:r>
    <w:r w:rsidR="00D034BB">
      <w:rPr>
        <w:noProof/>
        <w:sz w:val="20"/>
        <w:szCs w:val="20"/>
      </w:rPr>
      <w:t>6</w:t>
    </w:r>
    <w:r w:rsidRPr="00B605EA">
      <w:rPr>
        <w:sz w:val="20"/>
        <w:szCs w:val="20"/>
      </w:rPr>
      <w:fldChar w:fldCharType="end"/>
    </w:r>
  </w:p>
  <w:p w14:paraId="2E9D3935" w14:textId="77777777" w:rsidR="004C3A3E" w:rsidRDefault="004C3A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277B9"/>
    <w:multiLevelType w:val="hybridMultilevel"/>
    <w:tmpl w:val="DB46A3E0"/>
    <w:lvl w:ilvl="0" w:tplc="28F8FD1C">
      <w:start w:val="2009"/>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96C20B5"/>
    <w:multiLevelType w:val="hybridMultilevel"/>
    <w:tmpl w:val="EF50613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12E459FF"/>
    <w:multiLevelType w:val="hybridMultilevel"/>
    <w:tmpl w:val="8C66A74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7AC5D0B"/>
    <w:multiLevelType w:val="hybridMultilevel"/>
    <w:tmpl w:val="F5D8F722"/>
    <w:lvl w:ilvl="0" w:tplc="458806FA">
      <w:start w:val="2014"/>
      <w:numFmt w:val="bullet"/>
      <w:lvlText w:val="-"/>
      <w:lvlJc w:val="left"/>
      <w:pPr>
        <w:ind w:left="502" w:hanging="360"/>
      </w:pPr>
      <w:rPr>
        <w:rFonts w:ascii="Times New Roman" w:eastAsia="Times New Roman" w:hAnsi="Times New Roman"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4">
    <w:nsid w:val="49713258"/>
    <w:multiLevelType w:val="hybridMultilevel"/>
    <w:tmpl w:val="8C2AD16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6E0D3663"/>
    <w:multiLevelType w:val="hybridMultilevel"/>
    <w:tmpl w:val="89CCBAB0"/>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nsid w:val="70E37B91"/>
    <w:multiLevelType w:val="hybridMultilevel"/>
    <w:tmpl w:val="E74E4EEA"/>
    <w:lvl w:ilvl="0" w:tplc="C632E56C">
      <w:start w:val="2009"/>
      <w:numFmt w:val="bullet"/>
      <w:lvlText w:val="-"/>
      <w:lvlJc w:val="left"/>
      <w:pPr>
        <w:ind w:left="1211" w:hanging="360"/>
      </w:pPr>
      <w:rPr>
        <w:rFonts w:ascii="Times New Roman" w:eastAsia="Times New Roman" w:hAnsi="Times New Roman" w:hint="default"/>
      </w:rPr>
    </w:lvl>
    <w:lvl w:ilvl="1" w:tplc="04260003" w:tentative="1">
      <w:start w:val="1"/>
      <w:numFmt w:val="bullet"/>
      <w:lvlText w:val="o"/>
      <w:lvlJc w:val="left"/>
      <w:pPr>
        <w:ind w:left="1931" w:hanging="360"/>
      </w:pPr>
      <w:rPr>
        <w:rFonts w:ascii="Courier New" w:hAnsi="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7">
    <w:nsid w:val="7A1D6E08"/>
    <w:multiLevelType w:val="hybridMultilevel"/>
    <w:tmpl w:val="FAA0778A"/>
    <w:lvl w:ilvl="0" w:tplc="E4AE95D8">
      <w:start w:val="1"/>
      <w:numFmt w:val="decimal"/>
      <w:lvlText w:val="%1."/>
      <w:lvlJc w:val="left"/>
      <w:pPr>
        <w:ind w:left="1080" w:hanging="360"/>
      </w:pPr>
      <w:rPr>
        <w:rFonts w:cs="Times New Roman" w:hint="default"/>
        <w:color w:val="000000"/>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8">
    <w:nsid w:val="7AA43FC3"/>
    <w:multiLevelType w:val="hybridMultilevel"/>
    <w:tmpl w:val="CA84BF3A"/>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7D351C3D"/>
    <w:multiLevelType w:val="hybridMultilevel"/>
    <w:tmpl w:val="6258404C"/>
    <w:lvl w:ilvl="0" w:tplc="98103CE4">
      <w:numFmt w:val="bullet"/>
      <w:lvlText w:val=""/>
      <w:lvlJc w:val="left"/>
      <w:pPr>
        <w:ind w:left="604" w:hanging="360"/>
      </w:pPr>
      <w:rPr>
        <w:rFonts w:ascii="Wingdings" w:eastAsia="Calibri" w:hAnsi="Wingdings" w:cs="Times New Roman" w:hint="default"/>
      </w:rPr>
    </w:lvl>
    <w:lvl w:ilvl="1" w:tplc="04260003" w:tentative="1">
      <w:start w:val="1"/>
      <w:numFmt w:val="bullet"/>
      <w:lvlText w:val="o"/>
      <w:lvlJc w:val="left"/>
      <w:pPr>
        <w:ind w:left="1324" w:hanging="360"/>
      </w:pPr>
      <w:rPr>
        <w:rFonts w:ascii="Courier New" w:hAnsi="Courier New" w:cs="Courier New" w:hint="default"/>
      </w:rPr>
    </w:lvl>
    <w:lvl w:ilvl="2" w:tplc="04260005" w:tentative="1">
      <w:start w:val="1"/>
      <w:numFmt w:val="bullet"/>
      <w:lvlText w:val=""/>
      <w:lvlJc w:val="left"/>
      <w:pPr>
        <w:ind w:left="2044" w:hanging="360"/>
      </w:pPr>
      <w:rPr>
        <w:rFonts w:ascii="Wingdings" w:hAnsi="Wingdings" w:hint="default"/>
      </w:rPr>
    </w:lvl>
    <w:lvl w:ilvl="3" w:tplc="04260001" w:tentative="1">
      <w:start w:val="1"/>
      <w:numFmt w:val="bullet"/>
      <w:lvlText w:val=""/>
      <w:lvlJc w:val="left"/>
      <w:pPr>
        <w:ind w:left="2764" w:hanging="360"/>
      </w:pPr>
      <w:rPr>
        <w:rFonts w:ascii="Symbol" w:hAnsi="Symbol" w:hint="default"/>
      </w:rPr>
    </w:lvl>
    <w:lvl w:ilvl="4" w:tplc="04260003" w:tentative="1">
      <w:start w:val="1"/>
      <w:numFmt w:val="bullet"/>
      <w:lvlText w:val="o"/>
      <w:lvlJc w:val="left"/>
      <w:pPr>
        <w:ind w:left="3484" w:hanging="360"/>
      </w:pPr>
      <w:rPr>
        <w:rFonts w:ascii="Courier New" w:hAnsi="Courier New" w:cs="Courier New" w:hint="default"/>
      </w:rPr>
    </w:lvl>
    <w:lvl w:ilvl="5" w:tplc="04260005" w:tentative="1">
      <w:start w:val="1"/>
      <w:numFmt w:val="bullet"/>
      <w:lvlText w:val=""/>
      <w:lvlJc w:val="left"/>
      <w:pPr>
        <w:ind w:left="4204" w:hanging="360"/>
      </w:pPr>
      <w:rPr>
        <w:rFonts w:ascii="Wingdings" w:hAnsi="Wingdings" w:hint="default"/>
      </w:rPr>
    </w:lvl>
    <w:lvl w:ilvl="6" w:tplc="04260001" w:tentative="1">
      <w:start w:val="1"/>
      <w:numFmt w:val="bullet"/>
      <w:lvlText w:val=""/>
      <w:lvlJc w:val="left"/>
      <w:pPr>
        <w:ind w:left="4924" w:hanging="360"/>
      </w:pPr>
      <w:rPr>
        <w:rFonts w:ascii="Symbol" w:hAnsi="Symbol" w:hint="default"/>
      </w:rPr>
    </w:lvl>
    <w:lvl w:ilvl="7" w:tplc="04260003" w:tentative="1">
      <w:start w:val="1"/>
      <w:numFmt w:val="bullet"/>
      <w:lvlText w:val="o"/>
      <w:lvlJc w:val="left"/>
      <w:pPr>
        <w:ind w:left="5644" w:hanging="360"/>
      </w:pPr>
      <w:rPr>
        <w:rFonts w:ascii="Courier New" w:hAnsi="Courier New" w:cs="Courier New" w:hint="default"/>
      </w:rPr>
    </w:lvl>
    <w:lvl w:ilvl="8" w:tplc="04260005" w:tentative="1">
      <w:start w:val="1"/>
      <w:numFmt w:val="bullet"/>
      <w:lvlText w:val=""/>
      <w:lvlJc w:val="left"/>
      <w:pPr>
        <w:ind w:left="6364" w:hanging="360"/>
      </w:pPr>
      <w:rPr>
        <w:rFonts w:ascii="Wingdings" w:hAnsi="Wingdings" w:hint="default"/>
      </w:rPr>
    </w:lvl>
  </w:abstractNum>
  <w:num w:numId="1">
    <w:abstractNumId w:val="3"/>
  </w:num>
  <w:num w:numId="2">
    <w:abstractNumId w:val="1"/>
  </w:num>
  <w:num w:numId="3">
    <w:abstractNumId w:val="7"/>
  </w:num>
  <w:num w:numId="4">
    <w:abstractNumId w:val="4"/>
  </w:num>
  <w:num w:numId="5">
    <w:abstractNumId w:val="2"/>
  </w:num>
  <w:num w:numId="6">
    <w:abstractNumId w:val="8"/>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0F"/>
    <w:rsid w:val="0000318D"/>
    <w:rsid w:val="00003E54"/>
    <w:rsid w:val="00011FE5"/>
    <w:rsid w:val="00014974"/>
    <w:rsid w:val="0002180D"/>
    <w:rsid w:val="00023142"/>
    <w:rsid w:val="000323D5"/>
    <w:rsid w:val="000340F5"/>
    <w:rsid w:val="00042919"/>
    <w:rsid w:val="0005081B"/>
    <w:rsid w:val="00053E5C"/>
    <w:rsid w:val="00057223"/>
    <w:rsid w:val="000601F9"/>
    <w:rsid w:val="0007117E"/>
    <w:rsid w:val="0007566F"/>
    <w:rsid w:val="00077917"/>
    <w:rsid w:val="00083D16"/>
    <w:rsid w:val="0008799E"/>
    <w:rsid w:val="00095C7E"/>
    <w:rsid w:val="000A4626"/>
    <w:rsid w:val="000B07E6"/>
    <w:rsid w:val="000B2F34"/>
    <w:rsid w:val="000C0660"/>
    <w:rsid w:val="000C22E8"/>
    <w:rsid w:val="000C3863"/>
    <w:rsid w:val="000D2D95"/>
    <w:rsid w:val="000D2E31"/>
    <w:rsid w:val="000D513D"/>
    <w:rsid w:val="000E5184"/>
    <w:rsid w:val="000E7B75"/>
    <w:rsid w:val="000E7ED0"/>
    <w:rsid w:val="000F589D"/>
    <w:rsid w:val="00115251"/>
    <w:rsid w:val="0011578A"/>
    <w:rsid w:val="00120243"/>
    <w:rsid w:val="00121F98"/>
    <w:rsid w:val="0013550B"/>
    <w:rsid w:val="0013569A"/>
    <w:rsid w:val="00140597"/>
    <w:rsid w:val="00150F19"/>
    <w:rsid w:val="00151C8F"/>
    <w:rsid w:val="00157349"/>
    <w:rsid w:val="00161FC1"/>
    <w:rsid w:val="00163F80"/>
    <w:rsid w:val="00171E4F"/>
    <w:rsid w:val="00176D72"/>
    <w:rsid w:val="0018091E"/>
    <w:rsid w:val="00183AE1"/>
    <w:rsid w:val="0018486D"/>
    <w:rsid w:val="00185096"/>
    <w:rsid w:val="001872F0"/>
    <w:rsid w:val="001A224A"/>
    <w:rsid w:val="001A4487"/>
    <w:rsid w:val="001A4989"/>
    <w:rsid w:val="001A6499"/>
    <w:rsid w:val="001B0B89"/>
    <w:rsid w:val="001B23C0"/>
    <w:rsid w:val="001C0EEE"/>
    <w:rsid w:val="001C6521"/>
    <w:rsid w:val="001C71B5"/>
    <w:rsid w:val="001D30F0"/>
    <w:rsid w:val="001D510D"/>
    <w:rsid w:val="001D5646"/>
    <w:rsid w:val="001D681A"/>
    <w:rsid w:val="001E13B6"/>
    <w:rsid w:val="001E250C"/>
    <w:rsid w:val="001E4331"/>
    <w:rsid w:val="001F098B"/>
    <w:rsid w:val="001F1FF2"/>
    <w:rsid w:val="001F4AB0"/>
    <w:rsid w:val="00200145"/>
    <w:rsid w:val="00204041"/>
    <w:rsid w:val="00205CD5"/>
    <w:rsid w:val="0021213F"/>
    <w:rsid w:val="00213317"/>
    <w:rsid w:val="00224D56"/>
    <w:rsid w:val="00227DDE"/>
    <w:rsid w:val="00227ED8"/>
    <w:rsid w:val="00243873"/>
    <w:rsid w:val="00243AA7"/>
    <w:rsid w:val="0025750C"/>
    <w:rsid w:val="002707D3"/>
    <w:rsid w:val="00272330"/>
    <w:rsid w:val="0027319E"/>
    <w:rsid w:val="0027455A"/>
    <w:rsid w:val="00297D2F"/>
    <w:rsid w:val="002A1F02"/>
    <w:rsid w:val="002A3D3A"/>
    <w:rsid w:val="002B2410"/>
    <w:rsid w:val="002C01C2"/>
    <w:rsid w:val="002C59EB"/>
    <w:rsid w:val="002D2656"/>
    <w:rsid w:val="002D27D2"/>
    <w:rsid w:val="002D2B36"/>
    <w:rsid w:val="002D690E"/>
    <w:rsid w:val="002E19E3"/>
    <w:rsid w:val="002E330F"/>
    <w:rsid w:val="002F3939"/>
    <w:rsid w:val="002F4C71"/>
    <w:rsid w:val="002F7CD3"/>
    <w:rsid w:val="003010E0"/>
    <w:rsid w:val="003070F3"/>
    <w:rsid w:val="003102AA"/>
    <w:rsid w:val="00312FC7"/>
    <w:rsid w:val="00313915"/>
    <w:rsid w:val="003171F4"/>
    <w:rsid w:val="0031760D"/>
    <w:rsid w:val="0032098E"/>
    <w:rsid w:val="003234E8"/>
    <w:rsid w:val="003235AA"/>
    <w:rsid w:val="0032748D"/>
    <w:rsid w:val="0032787D"/>
    <w:rsid w:val="003279E3"/>
    <w:rsid w:val="003316CC"/>
    <w:rsid w:val="00332062"/>
    <w:rsid w:val="00333E07"/>
    <w:rsid w:val="00334D60"/>
    <w:rsid w:val="00334DB2"/>
    <w:rsid w:val="003417A9"/>
    <w:rsid w:val="0034513B"/>
    <w:rsid w:val="00354F54"/>
    <w:rsid w:val="00355FC9"/>
    <w:rsid w:val="00361FB9"/>
    <w:rsid w:val="0036204A"/>
    <w:rsid w:val="00364A5B"/>
    <w:rsid w:val="00373F0A"/>
    <w:rsid w:val="0038661E"/>
    <w:rsid w:val="0038748C"/>
    <w:rsid w:val="00392B19"/>
    <w:rsid w:val="003956A0"/>
    <w:rsid w:val="003A47B6"/>
    <w:rsid w:val="003B6BCF"/>
    <w:rsid w:val="003C379A"/>
    <w:rsid w:val="003C3BF7"/>
    <w:rsid w:val="003D0A89"/>
    <w:rsid w:val="003D393B"/>
    <w:rsid w:val="003D397A"/>
    <w:rsid w:val="003D4D13"/>
    <w:rsid w:val="003D6EA8"/>
    <w:rsid w:val="003E2A61"/>
    <w:rsid w:val="003E54E1"/>
    <w:rsid w:val="003E55D3"/>
    <w:rsid w:val="00402041"/>
    <w:rsid w:val="00403EDF"/>
    <w:rsid w:val="00404848"/>
    <w:rsid w:val="00407595"/>
    <w:rsid w:val="004110FA"/>
    <w:rsid w:val="004150C2"/>
    <w:rsid w:val="004174B7"/>
    <w:rsid w:val="0042193F"/>
    <w:rsid w:val="00424AB3"/>
    <w:rsid w:val="00433255"/>
    <w:rsid w:val="0044584E"/>
    <w:rsid w:val="004466EA"/>
    <w:rsid w:val="00455938"/>
    <w:rsid w:val="0046668C"/>
    <w:rsid w:val="004701FD"/>
    <w:rsid w:val="004722BB"/>
    <w:rsid w:val="00476B02"/>
    <w:rsid w:val="00476E9D"/>
    <w:rsid w:val="00490250"/>
    <w:rsid w:val="004A00B2"/>
    <w:rsid w:val="004B552B"/>
    <w:rsid w:val="004C3A3E"/>
    <w:rsid w:val="004D412E"/>
    <w:rsid w:val="004D5D8C"/>
    <w:rsid w:val="004E26A2"/>
    <w:rsid w:val="004F55B2"/>
    <w:rsid w:val="004F62C2"/>
    <w:rsid w:val="004F6F76"/>
    <w:rsid w:val="00500538"/>
    <w:rsid w:val="00503398"/>
    <w:rsid w:val="00507BA0"/>
    <w:rsid w:val="005128C9"/>
    <w:rsid w:val="00512E9B"/>
    <w:rsid w:val="005401E9"/>
    <w:rsid w:val="005468F8"/>
    <w:rsid w:val="00555763"/>
    <w:rsid w:val="00555F3E"/>
    <w:rsid w:val="00571B50"/>
    <w:rsid w:val="00572504"/>
    <w:rsid w:val="00580DDF"/>
    <w:rsid w:val="00582380"/>
    <w:rsid w:val="00583CFA"/>
    <w:rsid w:val="005937BE"/>
    <w:rsid w:val="005A2741"/>
    <w:rsid w:val="005A3B6A"/>
    <w:rsid w:val="005A7942"/>
    <w:rsid w:val="005B6694"/>
    <w:rsid w:val="005B722D"/>
    <w:rsid w:val="005C0409"/>
    <w:rsid w:val="005C04DC"/>
    <w:rsid w:val="005C30B6"/>
    <w:rsid w:val="005C63D7"/>
    <w:rsid w:val="005D298E"/>
    <w:rsid w:val="005D349C"/>
    <w:rsid w:val="005E36D1"/>
    <w:rsid w:val="005E4F20"/>
    <w:rsid w:val="005E59F3"/>
    <w:rsid w:val="005F5FD8"/>
    <w:rsid w:val="006017B4"/>
    <w:rsid w:val="006020DB"/>
    <w:rsid w:val="006110ED"/>
    <w:rsid w:val="00612737"/>
    <w:rsid w:val="00616CC7"/>
    <w:rsid w:val="00622E57"/>
    <w:rsid w:val="00623A32"/>
    <w:rsid w:val="00624133"/>
    <w:rsid w:val="0064086D"/>
    <w:rsid w:val="006462A7"/>
    <w:rsid w:val="00647CFE"/>
    <w:rsid w:val="00653857"/>
    <w:rsid w:val="006569DF"/>
    <w:rsid w:val="0065781D"/>
    <w:rsid w:val="006606EE"/>
    <w:rsid w:val="006718A6"/>
    <w:rsid w:val="006810B6"/>
    <w:rsid w:val="006817A5"/>
    <w:rsid w:val="006836D5"/>
    <w:rsid w:val="00683BBE"/>
    <w:rsid w:val="00687DEE"/>
    <w:rsid w:val="00691600"/>
    <w:rsid w:val="00695960"/>
    <w:rsid w:val="006A05B6"/>
    <w:rsid w:val="006A3360"/>
    <w:rsid w:val="006A5BA6"/>
    <w:rsid w:val="006B2BA0"/>
    <w:rsid w:val="006B2F17"/>
    <w:rsid w:val="006B7074"/>
    <w:rsid w:val="006C7180"/>
    <w:rsid w:val="006C76BC"/>
    <w:rsid w:val="006D27C8"/>
    <w:rsid w:val="006D49F6"/>
    <w:rsid w:val="006D755A"/>
    <w:rsid w:val="006F223E"/>
    <w:rsid w:val="006F4A41"/>
    <w:rsid w:val="006F6363"/>
    <w:rsid w:val="00710614"/>
    <w:rsid w:val="00715FE0"/>
    <w:rsid w:val="00725014"/>
    <w:rsid w:val="00734965"/>
    <w:rsid w:val="0073700E"/>
    <w:rsid w:val="00737CEF"/>
    <w:rsid w:val="00740D0A"/>
    <w:rsid w:val="007475C8"/>
    <w:rsid w:val="00751776"/>
    <w:rsid w:val="00752527"/>
    <w:rsid w:val="007536A2"/>
    <w:rsid w:val="007719B6"/>
    <w:rsid w:val="007747B8"/>
    <w:rsid w:val="007774ED"/>
    <w:rsid w:val="00785756"/>
    <w:rsid w:val="007A3BB2"/>
    <w:rsid w:val="007A449E"/>
    <w:rsid w:val="007A7200"/>
    <w:rsid w:val="007B5D9B"/>
    <w:rsid w:val="007C065A"/>
    <w:rsid w:val="007C375D"/>
    <w:rsid w:val="007C3FFC"/>
    <w:rsid w:val="007E0AEF"/>
    <w:rsid w:val="007E482D"/>
    <w:rsid w:val="007F05A1"/>
    <w:rsid w:val="007F4685"/>
    <w:rsid w:val="007F61C4"/>
    <w:rsid w:val="007F6661"/>
    <w:rsid w:val="00800BE8"/>
    <w:rsid w:val="00810471"/>
    <w:rsid w:val="00813142"/>
    <w:rsid w:val="008230AB"/>
    <w:rsid w:val="00827B09"/>
    <w:rsid w:val="008301CE"/>
    <w:rsid w:val="00845D78"/>
    <w:rsid w:val="00845F02"/>
    <w:rsid w:val="00850A1C"/>
    <w:rsid w:val="00855F4B"/>
    <w:rsid w:val="00857BE3"/>
    <w:rsid w:val="008609B5"/>
    <w:rsid w:val="00862D0F"/>
    <w:rsid w:val="00865E30"/>
    <w:rsid w:val="0087477A"/>
    <w:rsid w:val="008773AE"/>
    <w:rsid w:val="0088151D"/>
    <w:rsid w:val="00881AD6"/>
    <w:rsid w:val="0088221C"/>
    <w:rsid w:val="008847CD"/>
    <w:rsid w:val="008864B0"/>
    <w:rsid w:val="00887473"/>
    <w:rsid w:val="00887DF1"/>
    <w:rsid w:val="008933C0"/>
    <w:rsid w:val="0089767B"/>
    <w:rsid w:val="008A5680"/>
    <w:rsid w:val="008A71D9"/>
    <w:rsid w:val="008C16EE"/>
    <w:rsid w:val="008D0A41"/>
    <w:rsid w:val="008D34EB"/>
    <w:rsid w:val="008D5E43"/>
    <w:rsid w:val="008D6AB0"/>
    <w:rsid w:val="008E7BC0"/>
    <w:rsid w:val="008F0204"/>
    <w:rsid w:val="008F0D02"/>
    <w:rsid w:val="008F79F2"/>
    <w:rsid w:val="00902A45"/>
    <w:rsid w:val="00902BE1"/>
    <w:rsid w:val="00907B1F"/>
    <w:rsid w:val="00911275"/>
    <w:rsid w:val="00914EC7"/>
    <w:rsid w:val="00915D58"/>
    <w:rsid w:val="00921B07"/>
    <w:rsid w:val="00922A16"/>
    <w:rsid w:val="00922E26"/>
    <w:rsid w:val="00930C6C"/>
    <w:rsid w:val="00935068"/>
    <w:rsid w:val="0094163F"/>
    <w:rsid w:val="00945173"/>
    <w:rsid w:val="00945180"/>
    <w:rsid w:val="00955116"/>
    <w:rsid w:val="00955D69"/>
    <w:rsid w:val="009566B4"/>
    <w:rsid w:val="009623F5"/>
    <w:rsid w:val="009629B8"/>
    <w:rsid w:val="00963E11"/>
    <w:rsid w:val="009650FF"/>
    <w:rsid w:val="00973E0F"/>
    <w:rsid w:val="00976B39"/>
    <w:rsid w:val="00994A60"/>
    <w:rsid w:val="009A5C5B"/>
    <w:rsid w:val="009B0E0A"/>
    <w:rsid w:val="009B2E47"/>
    <w:rsid w:val="009B479F"/>
    <w:rsid w:val="009B7317"/>
    <w:rsid w:val="009B7650"/>
    <w:rsid w:val="009C0008"/>
    <w:rsid w:val="009C1D16"/>
    <w:rsid w:val="009C570F"/>
    <w:rsid w:val="009C6DDE"/>
    <w:rsid w:val="009D2003"/>
    <w:rsid w:val="009D3120"/>
    <w:rsid w:val="009D6B82"/>
    <w:rsid w:val="009D760F"/>
    <w:rsid w:val="009F03C4"/>
    <w:rsid w:val="00A001EB"/>
    <w:rsid w:val="00A0239B"/>
    <w:rsid w:val="00A04076"/>
    <w:rsid w:val="00A050D0"/>
    <w:rsid w:val="00A148CA"/>
    <w:rsid w:val="00A157DD"/>
    <w:rsid w:val="00A24594"/>
    <w:rsid w:val="00A26085"/>
    <w:rsid w:val="00A30415"/>
    <w:rsid w:val="00A32E4A"/>
    <w:rsid w:val="00A37EAF"/>
    <w:rsid w:val="00A42311"/>
    <w:rsid w:val="00A555DA"/>
    <w:rsid w:val="00A65AE7"/>
    <w:rsid w:val="00A7140C"/>
    <w:rsid w:val="00A84F99"/>
    <w:rsid w:val="00A87800"/>
    <w:rsid w:val="00A900F4"/>
    <w:rsid w:val="00A93CB7"/>
    <w:rsid w:val="00A95040"/>
    <w:rsid w:val="00A9559E"/>
    <w:rsid w:val="00A961F9"/>
    <w:rsid w:val="00A963FB"/>
    <w:rsid w:val="00A974F2"/>
    <w:rsid w:val="00AB3022"/>
    <w:rsid w:val="00AB6F4E"/>
    <w:rsid w:val="00AB73C8"/>
    <w:rsid w:val="00AD1606"/>
    <w:rsid w:val="00AD19B3"/>
    <w:rsid w:val="00AE1653"/>
    <w:rsid w:val="00AE6856"/>
    <w:rsid w:val="00AE7632"/>
    <w:rsid w:val="00AF1141"/>
    <w:rsid w:val="00AF2B4C"/>
    <w:rsid w:val="00AF5C83"/>
    <w:rsid w:val="00AF7FCC"/>
    <w:rsid w:val="00B02444"/>
    <w:rsid w:val="00B16423"/>
    <w:rsid w:val="00B21D01"/>
    <w:rsid w:val="00B30091"/>
    <w:rsid w:val="00B348D4"/>
    <w:rsid w:val="00B35990"/>
    <w:rsid w:val="00B3614A"/>
    <w:rsid w:val="00B37C4F"/>
    <w:rsid w:val="00B413A5"/>
    <w:rsid w:val="00B460B0"/>
    <w:rsid w:val="00B50C49"/>
    <w:rsid w:val="00B5783B"/>
    <w:rsid w:val="00B605EA"/>
    <w:rsid w:val="00B71698"/>
    <w:rsid w:val="00B75620"/>
    <w:rsid w:val="00B76EC8"/>
    <w:rsid w:val="00B774B5"/>
    <w:rsid w:val="00B84357"/>
    <w:rsid w:val="00B91761"/>
    <w:rsid w:val="00B91EF1"/>
    <w:rsid w:val="00BA0CA2"/>
    <w:rsid w:val="00BA5524"/>
    <w:rsid w:val="00BA572C"/>
    <w:rsid w:val="00BA5E65"/>
    <w:rsid w:val="00BA6840"/>
    <w:rsid w:val="00BC0FED"/>
    <w:rsid w:val="00BC175A"/>
    <w:rsid w:val="00BC4962"/>
    <w:rsid w:val="00BD2D72"/>
    <w:rsid w:val="00BE214E"/>
    <w:rsid w:val="00BE22DB"/>
    <w:rsid w:val="00BE3E85"/>
    <w:rsid w:val="00BE6D54"/>
    <w:rsid w:val="00BF4C08"/>
    <w:rsid w:val="00C00BF4"/>
    <w:rsid w:val="00C00FF4"/>
    <w:rsid w:val="00C01A0C"/>
    <w:rsid w:val="00C03EEA"/>
    <w:rsid w:val="00C045A6"/>
    <w:rsid w:val="00C22A7A"/>
    <w:rsid w:val="00C25FF0"/>
    <w:rsid w:val="00C26A2B"/>
    <w:rsid w:val="00C322A8"/>
    <w:rsid w:val="00C3748D"/>
    <w:rsid w:val="00C4274D"/>
    <w:rsid w:val="00C46783"/>
    <w:rsid w:val="00C571C0"/>
    <w:rsid w:val="00C6177A"/>
    <w:rsid w:val="00C627D7"/>
    <w:rsid w:val="00C703CE"/>
    <w:rsid w:val="00C75CD7"/>
    <w:rsid w:val="00C8145A"/>
    <w:rsid w:val="00C90630"/>
    <w:rsid w:val="00CB0FEC"/>
    <w:rsid w:val="00CB469C"/>
    <w:rsid w:val="00CB60C3"/>
    <w:rsid w:val="00CC7071"/>
    <w:rsid w:val="00CE1E58"/>
    <w:rsid w:val="00CE4C91"/>
    <w:rsid w:val="00CE60DB"/>
    <w:rsid w:val="00CF0F4A"/>
    <w:rsid w:val="00CF4737"/>
    <w:rsid w:val="00CF5F58"/>
    <w:rsid w:val="00D034BB"/>
    <w:rsid w:val="00D05DB5"/>
    <w:rsid w:val="00D0737C"/>
    <w:rsid w:val="00D12AF7"/>
    <w:rsid w:val="00D1752F"/>
    <w:rsid w:val="00D1766F"/>
    <w:rsid w:val="00D22971"/>
    <w:rsid w:val="00D34200"/>
    <w:rsid w:val="00D4453F"/>
    <w:rsid w:val="00D63A07"/>
    <w:rsid w:val="00D63A74"/>
    <w:rsid w:val="00D65B61"/>
    <w:rsid w:val="00D847A7"/>
    <w:rsid w:val="00D8789D"/>
    <w:rsid w:val="00D87E7A"/>
    <w:rsid w:val="00D910B0"/>
    <w:rsid w:val="00DA048B"/>
    <w:rsid w:val="00DA0518"/>
    <w:rsid w:val="00DA192D"/>
    <w:rsid w:val="00DB0ED8"/>
    <w:rsid w:val="00DB461D"/>
    <w:rsid w:val="00DB536B"/>
    <w:rsid w:val="00DB6630"/>
    <w:rsid w:val="00DB6736"/>
    <w:rsid w:val="00DC031C"/>
    <w:rsid w:val="00DC4A88"/>
    <w:rsid w:val="00DD22B3"/>
    <w:rsid w:val="00DE0A42"/>
    <w:rsid w:val="00DE0F98"/>
    <w:rsid w:val="00DE4E14"/>
    <w:rsid w:val="00DF00D7"/>
    <w:rsid w:val="00DF0A49"/>
    <w:rsid w:val="00DF183D"/>
    <w:rsid w:val="00DF3ADF"/>
    <w:rsid w:val="00DF3D93"/>
    <w:rsid w:val="00DF516F"/>
    <w:rsid w:val="00DF5B9E"/>
    <w:rsid w:val="00E02CEC"/>
    <w:rsid w:val="00E02D2C"/>
    <w:rsid w:val="00E119C1"/>
    <w:rsid w:val="00E14E64"/>
    <w:rsid w:val="00E21D7E"/>
    <w:rsid w:val="00E2204E"/>
    <w:rsid w:val="00E5233B"/>
    <w:rsid w:val="00E649C0"/>
    <w:rsid w:val="00E750BC"/>
    <w:rsid w:val="00E80B84"/>
    <w:rsid w:val="00E84AEF"/>
    <w:rsid w:val="00E8534C"/>
    <w:rsid w:val="00EA2E7B"/>
    <w:rsid w:val="00EB0963"/>
    <w:rsid w:val="00EB6422"/>
    <w:rsid w:val="00EC1DC1"/>
    <w:rsid w:val="00EC2687"/>
    <w:rsid w:val="00EC35ED"/>
    <w:rsid w:val="00ED552A"/>
    <w:rsid w:val="00EF35E7"/>
    <w:rsid w:val="00EF3D7B"/>
    <w:rsid w:val="00EF5205"/>
    <w:rsid w:val="00EF52DE"/>
    <w:rsid w:val="00F04654"/>
    <w:rsid w:val="00F17948"/>
    <w:rsid w:val="00F26636"/>
    <w:rsid w:val="00F27D8C"/>
    <w:rsid w:val="00F317DC"/>
    <w:rsid w:val="00F3627A"/>
    <w:rsid w:val="00F3628F"/>
    <w:rsid w:val="00F37DCD"/>
    <w:rsid w:val="00F52299"/>
    <w:rsid w:val="00F546C3"/>
    <w:rsid w:val="00F560FD"/>
    <w:rsid w:val="00F57ABB"/>
    <w:rsid w:val="00F633BC"/>
    <w:rsid w:val="00F70446"/>
    <w:rsid w:val="00F705E3"/>
    <w:rsid w:val="00F81D8F"/>
    <w:rsid w:val="00F8250F"/>
    <w:rsid w:val="00F83BDB"/>
    <w:rsid w:val="00F879C6"/>
    <w:rsid w:val="00F953D7"/>
    <w:rsid w:val="00FA11EA"/>
    <w:rsid w:val="00FA2202"/>
    <w:rsid w:val="00FA5B20"/>
    <w:rsid w:val="00FB6835"/>
    <w:rsid w:val="00FC6323"/>
    <w:rsid w:val="00FD0027"/>
    <w:rsid w:val="00FD182B"/>
    <w:rsid w:val="00FD61B9"/>
    <w:rsid w:val="00FD7EA0"/>
    <w:rsid w:val="00FE346D"/>
    <w:rsid w:val="00FE4E42"/>
    <w:rsid w:val="00FE68D5"/>
    <w:rsid w:val="00FF0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4A7D43C9"/>
  <w15:docId w15:val="{DF89FA80-0AD0-43B2-BAAC-B9CFD2A4D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EF1"/>
    <w:pPr>
      <w:ind w:firstLine="720"/>
      <w:jc w:val="both"/>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char"/>
    <w:uiPriority w:val="99"/>
    <w:rsid w:val="001D510D"/>
    <w:rPr>
      <w:rFonts w:ascii="Times New Roman" w:hAnsi="Times New Roman"/>
    </w:rPr>
  </w:style>
  <w:style w:type="paragraph" w:styleId="FootnoteText">
    <w:name w:val="footnote text"/>
    <w:basedOn w:val="Normal"/>
    <w:link w:val="FootnoteTextChar"/>
    <w:uiPriority w:val="99"/>
    <w:rsid w:val="00F3628F"/>
    <w:pPr>
      <w:ind w:firstLine="0"/>
      <w:jc w:val="left"/>
    </w:pPr>
    <w:rPr>
      <w:rFonts w:eastAsia="Times New Roman"/>
      <w:sz w:val="20"/>
      <w:szCs w:val="20"/>
      <w:lang w:eastAsia="lv-LV"/>
    </w:rPr>
  </w:style>
  <w:style w:type="character" w:customStyle="1" w:styleId="FootnoteTextChar">
    <w:name w:val="Footnote Text Char"/>
    <w:link w:val="FootnoteText"/>
    <w:locked/>
    <w:rsid w:val="00F3628F"/>
    <w:rPr>
      <w:rFonts w:eastAsia="Times New Roman" w:cs="Times New Roman"/>
      <w:sz w:val="20"/>
      <w:szCs w:val="20"/>
      <w:lang w:eastAsia="lv-LV"/>
    </w:rPr>
  </w:style>
  <w:style w:type="character" w:styleId="FootnoteReference">
    <w:name w:val="footnote reference"/>
    <w:aliases w:val="Footnote Reference Number"/>
    <w:uiPriority w:val="99"/>
    <w:rsid w:val="00F3628F"/>
    <w:rPr>
      <w:rFonts w:cs="Times New Roman"/>
      <w:vertAlign w:val="superscript"/>
    </w:rPr>
  </w:style>
  <w:style w:type="paragraph" w:customStyle="1" w:styleId="naisf">
    <w:name w:val="naisf"/>
    <w:basedOn w:val="Normal"/>
    <w:rsid w:val="00F3628F"/>
    <w:pPr>
      <w:spacing w:before="75" w:after="75"/>
      <w:ind w:firstLine="375"/>
    </w:pPr>
    <w:rPr>
      <w:sz w:val="24"/>
      <w:szCs w:val="24"/>
      <w:lang w:eastAsia="lv-LV"/>
    </w:rPr>
  </w:style>
  <w:style w:type="paragraph" w:styleId="ListParagraph">
    <w:name w:val="List Paragraph"/>
    <w:basedOn w:val="Normal"/>
    <w:qFormat/>
    <w:rsid w:val="00623A32"/>
    <w:pPr>
      <w:ind w:left="720"/>
      <w:contextualSpacing/>
    </w:pPr>
  </w:style>
  <w:style w:type="paragraph" w:customStyle="1" w:styleId="naisnod">
    <w:name w:val="naisnod"/>
    <w:basedOn w:val="Normal"/>
    <w:uiPriority w:val="99"/>
    <w:rsid w:val="003D6EA8"/>
    <w:pPr>
      <w:spacing w:before="100" w:beforeAutospacing="1" w:after="100" w:afterAutospacing="1"/>
      <w:ind w:firstLine="0"/>
      <w:jc w:val="left"/>
    </w:pPr>
    <w:rPr>
      <w:rFonts w:eastAsia="Times New Roman"/>
      <w:sz w:val="24"/>
      <w:szCs w:val="24"/>
      <w:lang w:eastAsia="lv-LV"/>
    </w:rPr>
  </w:style>
  <w:style w:type="paragraph" w:customStyle="1" w:styleId="naiskr">
    <w:name w:val="naiskr"/>
    <w:basedOn w:val="Normal"/>
    <w:uiPriority w:val="99"/>
    <w:rsid w:val="003D6EA8"/>
    <w:pPr>
      <w:spacing w:before="100" w:beforeAutospacing="1" w:after="100" w:afterAutospacing="1"/>
      <w:ind w:firstLine="0"/>
      <w:jc w:val="left"/>
    </w:pPr>
    <w:rPr>
      <w:rFonts w:eastAsia="Times New Roman"/>
      <w:sz w:val="24"/>
      <w:szCs w:val="24"/>
      <w:lang w:eastAsia="lv-LV"/>
    </w:rPr>
  </w:style>
  <w:style w:type="paragraph" w:styleId="NormalWeb">
    <w:name w:val="Normal (Web)"/>
    <w:basedOn w:val="Normal"/>
    <w:uiPriority w:val="99"/>
    <w:rsid w:val="003D6EA8"/>
    <w:pPr>
      <w:spacing w:before="100" w:beforeAutospacing="1" w:after="100" w:afterAutospacing="1"/>
      <w:ind w:firstLine="0"/>
      <w:jc w:val="left"/>
    </w:pPr>
    <w:rPr>
      <w:rFonts w:eastAsia="Times New Roman"/>
      <w:sz w:val="24"/>
      <w:szCs w:val="24"/>
      <w:lang w:eastAsia="lv-LV"/>
    </w:rPr>
  </w:style>
  <w:style w:type="paragraph" w:styleId="Header">
    <w:name w:val="header"/>
    <w:basedOn w:val="Normal"/>
    <w:link w:val="HeaderChar"/>
    <w:uiPriority w:val="99"/>
    <w:rsid w:val="00B605EA"/>
    <w:pPr>
      <w:tabs>
        <w:tab w:val="center" w:pos="4153"/>
        <w:tab w:val="right" w:pos="8306"/>
      </w:tabs>
    </w:pPr>
  </w:style>
  <w:style w:type="character" w:customStyle="1" w:styleId="HeaderChar">
    <w:name w:val="Header Char"/>
    <w:link w:val="Header"/>
    <w:uiPriority w:val="99"/>
    <w:locked/>
    <w:rsid w:val="00B605EA"/>
    <w:rPr>
      <w:rFonts w:cs="Times New Roman"/>
    </w:rPr>
  </w:style>
  <w:style w:type="paragraph" w:styleId="Footer">
    <w:name w:val="footer"/>
    <w:basedOn w:val="Normal"/>
    <w:link w:val="FooterChar"/>
    <w:uiPriority w:val="99"/>
    <w:rsid w:val="00B605EA"/>
    <w:pPr>
      <w:tabs>
        <w:tab w:val="center" w:pos="4153"/>
        <w:tab w:val="right" w:pos="8306"/>
      </w:tabs>
    </w:pPr>
  </w:style>
  <w:style w:type="character" w:customStyle="1" w:styleId="FooterChar">
    <w:name w:val="Footer Char"/>
    <w:link w:val="Footer"/>
    <w:uiPriority w:val="99"/>
    <w:locked/>
    <w:rsid w:val="00B605EA"/>
    <w:rPr>
      <w:rFonts w:cs="Times New Roman"/>
    </w:rPr>
  </w:style>
  <w:style w:type="paragraph" w:styleId="BalloonText">
    <w:name w:val="Balloon Text"/>
    <w:basedOn w:val="Normal"/>
    <w:link w:val="BalloonTextChar"/>
    <w:uiPriority w:val="99"/>
    <w:semiHidden/>
    <w:rsid w:val="00887DF1"/>
    <w:rPr>
      <w:rFonts w:ascii="Arial" w:hAnsi="Arial" w:cs="Arial"/>
      <w:sz w:val="18"/>
      <w:szCs w:val="18"/>
    </w:rPr>
  </w:style>
  <w:style w:type="character" w:customStyle="1" w:styleId="BalloonTextChar">
    <w:name w:val="Balloon Text Char"/>
    <w:link w:val="BalloonText"/>
    <w:uiPriority w:val="99"/>
    <w:semiHidden/>
    <w:locked/>
    <w:rsid w:val="00887DF1"/>
    <w:rPr>
      <w:rFonts w:ascii="Arial" w:hAnsi="Arial" w:cs="Arial"/>
      <w:sz w:val="18"/>
      <w:szCs w:val="18"/>
    </w:rPr>
  </w:style>
  <w:style w:type="character" w:styleId="Hyperlink">
    <w:name w:val="Hyperlink"/>
    <w:uiPriority w:val="99"/>
    <w:rsid w:val="00963E11"/>
    <w:rPr>
      <w:rFonts w:cs="Times New Roman"/>
      <w:color w:val="0563C1"/>
      <w:u w:val="single"/>
    </w:rPr>
  </w:style>
  <w:style w:type="character" w:styleId="CommentReference">
    <w:name w:val="annotation reference"/>
    <w:uiPriority w:val="99"/>
    <w:semiHidden/>
    <w:rsid w:val="00C03EEA"/>
    <w:rPr>
      <w:rFonts w:cs="Times New Roman"/>
      <w:sz w:val="16"/>
      <w:szCs w:val="16"/>
    </w:rPr>
  </w:style>
  <w:style w:type="paragraph" w:styleId="CommentText">
    <w:name w:val="annotation text"/>
    <w:basedOn w:val="Normal"/>
    <w:link w:val="CommentTextChar"/>
    <w:uiPriority w:val="99"/>
    <w:semiHidden/>
    <w:rsid w:val="00C03EEA"/>
    <w:rPr>
      <w:szCs w:val="20"/>
      <w:lang w:eastAsia="lv-LV"/>
    </w:rPr>
  </w:style>
  <w:style w:type="character" w:customStyle="1" w:styleId="CommentTextChar">
    <w:name w:val="Comment Text Char"/>
    <w:link w:val="CommentText"/>
    <w:uiPriority w:val="99"/>
    <w:semiHidden/>
    <w:locked/>
    <w:rsid w:val="00C03EEA"/>
    <w:rPr>
      <w:rFonts w:cs="Times New Roman"/>
      <w:sz w:val="20"/>
      <w:szCs w:val="20"/>
      <w:lang w:val="lv-LV" w:eastAsia="lv-LV"/>
    </w:rPr>
  </w:style>
  <w:style w:type="paragraph" w:styleId="BodyText">
    <w:name w:val="Body Text"/>
    <w:basedOn w:val="Normal"/>
    <w:link w:val="BodyTextChar"/>
    <w:uiPriority w:val="99"/>
    <w:rsid w:val="001F4AB0"/>
    <w:pPr>
      <w:ind w:firstLine="0"/>
      <w:jc w:val="center"/>
    </w:pPr>
    <w:rPr>
      <w:rFonts w:eastAsia="Times New Roman"/>
      <w:b/>
      <w:bCs/>
      <w:szCs w:val="24"/>
    </w:rPr>
  </w:style>
  <w:style w:type="character" w:customStyle="1" w:styleId="BodyTextChar">
    <w:name w:val="Body Text Char"/>
    <w:link w:val="BodyText"/>
    <w:uiPriority w:val="99"/>
    <w:locked/>
    <w:rsid w:val="001F4AB0"/>
    <w:rPr>
      <w:rFonts w:eastAsia="Times New Roman" w:cs="Times New Roman"/>
      <w:b/>
      <w:bCs/>
      <w:sz w:val="24"/>
      <w:szCs w:val="24"/>
      <w:lang w:val="lv-LV" w:eastAsia="en-US" w:bidi="ar-SA"/>
    </w:rPr>
  </w:style>
  <w:style w:type="paragraph" w:customStyle="1" w:styleId="CharCharCharChar">
    <w:name w:val="Char Char Char Char"/>
    <w:basedOn w:val="Normal"/>
    <w:uiPriority w:val="99"/>
    <w:rsid w:val="00B774B5"/>
    <w:pPr>
      <w:spacing w:after="160" w:line="240" w:lineRule="exact"/>
      <w:ind w:firstLine="0"/>
      <w:jc w:val="left"/>
    </w:pPr>
    <w:rPr>
      <w:rFonts w:ascii="Dutch TL" w:eastAsia="Times New Roman" w:hAnsi="Dutch TL"/>
      <w:szCs w:val="20"/>
      <w:lang w:eastAsia="zh-TW"/>
    </w:rPr>
  </w:style>
  <w:style w:type="paragraph" w:styleId="CommentSubject">
    <w:name w:val="annotation subject"/>
    <w:basedOn w:val="CommentText"/>
    <w:next w:val="CommentText"/>
    <w:link w:val="CommentSubjectChar"/>
    <w:uiPriority w:val="99"/>
    <w:semiHidden/>
    <w:unhideWhenUsed/>
    <w:rsid w:val="006B2BA0"/>
    <w:rPr>
      <w:b/>
      <w:bCs/>
      <w:sz w:val="20"/>
      <w:lang w:eastAsia="en-US"/>
    </w:rPr>
  </w:style>
  <w:style w:type="character" w:customStyle="1" w:styleId="CommentSubjectChar">
    <w:name w:val="Comment Subject Char"/>
    <w:basedOn w:val="CommentTextChar"/>
    <w:link w:val="CommentSubject"/>
    <w:uiPriority w:val="99"/>
    <w:semiHidden/>
    <w:rsid w:val="006B2BA0"/>
    <w:rPr>
      <w:rFonts w:cs="Times New Roman"/>
      <w:b/>
      <w:bCs/>
      <w:sz w:val="20"/>
      <w:szCs w:val="20"/>
      <w:lang w:val="lv-LV" w:eastAsia="en-US"/>
    </w:rPr>
  </w:style>
  <w:style w:type="paragraph" w:customStyle="1" w:styleId="h2">
    <w:name w:val="h2"/>
    <w:basedOn w:val="Normal"/>
    <w:uiPriority w:val="99"/>
    <w:rsid w:val="009B7650"/>
    <w:pPr>
      <w:spacing w:before="100" w:beforeAutospacing="1" w:after="100" w:afterAutospacing="1"/>
      <w:ind w:firstLine="0"/>
      <w:jc w:val="left"/>
    </w:pPr>
    <w:rPr>
      <w:rFonts w:eastAsia="Times New Roman"/>
      <w:color w:val="306060"/>
      <w:sz w:val="24"/>
      <w:szCs w:val="24"/>
      <w:lang w:eastAsia="lv-LV"/>
    </w:rPr>
  </w:style>
  <w:style w:type="paragraph" w:customStyle="1" w:styleId="naisc">
    <w:name w:val="naisc"/>
    <w:basedOn w:val="Normal"/>
    <w:rsid w:val="009B7650"/>
    <w:pPr>
      <w:spacing w:before="75" w:after="75"/>
      <w:ind w:firstLine="0"/>
      <w:jc w:val="center"/>
    </w:pPr>
    <w:rPr>
      <w:rFonts w:eastAsia="Times New Roman"/>
      <w:sz w:val="24"/>
      <w:szCs w:val="24"/>
      <w:lang w:eastAsia="lv-LV"/>
    </w:rPr>
  </w:style>
  <w:style w:type="character" w:customStyle="1" w:styleId="highlight">
    <w:name w:val="highlight"/>
    <w:basedOn w:val="DefaultParagraphFont"/>
    <w:rsid w:val="00121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340706">
      <w:bodyDiv w:val="1"/>
      <w:marLeft w:val="0"/>
      <w:marRight w:val="0"/>
      <w:marTop w:val="0"/>
      <w:marBottom w:val="0"/>
      <w:divBdr>
        <w:top w:val="none" w:sz="0" w:space="0" w:color="auto"/>
        <w:left w:val="none" w:sz="0" w:space="0" w:color="auto"/>
        <w:bottom w:val="none" w:sz="0" w:space="0" w:color="auto"/>
        <w:right w:val="none" w:sz="0" w:space="0" w:color="auto"/>
      </w:divBdr>
      <w:divsChild>
        <w:div w:id="664091034">
          <w:marLeft w:val="0"/>
          <w:marRight w:val="0"/>
          <w:marTop w:val="0"/>
          <w:marBottom w:val="0"/>
          <w:divBdr>
            <w:top w:val="none" w:sz="0" w:space="0" w:color="auto"/>
            <w:left w:val="none" w:sz="0" w:space="0" w:color="auto"/>
            <w:bottom w:val="none" w:sz="0" w:space="0" w:color="auto"/>
            <w:right w:val="none" w:sz="0" w:space="0" w:color="auto"/>
          </w:divBdr>
        </w:div>
        <w:div w:id="1569344411">
          <w:marLeft w:val="0"/>
          <w:marRight w:val="0"/>
          <w:marTop w:val="0"/>
          <w:marBottom w:val="0"/>
          <w:divBdr>
            <w:top w:val="none" w:sz="0" w:space="0" w:color="auto"/>
            <w:left w:val="none" w:sz="0" w:space="0" w:color="auto"/>
            <w:bottom w:val="none" w:sz="0" w:space="0" w:color="auto"/>
            <w:right w:val="none" w:sz="0" w:space="0" w:color="auto"/>
          </w:divBdr>
        </w:div>
        <w:div w:id="486165265">
          <w:marLeft w:val="0"/>
          <w:marRight w:val="0"/>
          <w:marTop w:val="0"/>
          <w:marBottom w:val="0"/>
          <w:divBdr>
            <w:top w:val="none" w:sz="0" w:space="0" w:color="auto"/>
            <w:left w:val="none" w:sz="0" w:space="0" w:color="auto"/>
            <w:bottom w:val="none" w:sz="0" w:space="0" w:color="auto"/>
            <w:right w:val="none" w:sz="0" w:space="0" w:color="auto"/>
          </w:divBdr>
        </w:div>
        <w:div w:id="1939292226">
          <w:marLeft w:val="0"/>
          <w:marRight w:val="0"/>
          <w:marTop w:val="0"/>
          <w:marBottom w:val="0"/>
          <w:divBdr>
            <w:top w:val="none" w:sz="0" w:space="0" w:color="auto"/>
            <w:left w:val="none" w:sz="0" w:space="0" w:color="auto"/>
            <w:bottom w:val="none" w:sz="0" w:space="0" w:color="auto"/>
            <w:right w:val="none" w:sz="0" w:space="0" w:color="auto"/>
          </w:divBdr>
        </w:div>
      </w:divsChild>
    </w:div>
    <w:div w:id="1827359599">
      <w:marLeft w:val="0"/>
      <w:marRight w:val="0"/>
      <w:marTop w:val="0"/>
      <w:marBottom w:val="0"/>
      <w:divBdr>
        <w:top w:val="none" w:sz="0" w:space="0" w:color="auto"/>
        <w:left w:val="none" w:sz="0" w:space="0" w:color="auto"/>
        <w:bottom w:val="none" w:sz="0" w:space="0" w:color="auto"/>
        <w:right w:val="none" w:sz="0" w:space="0" w:color="auto"/>
      </w:divBdr>
    </w:div>
    <w:div w:id="1827359600">
      <w:marLeft w:val="0"/>
      <w:marRight w:val="0"/>
      <w:marTop w:val="0"/>
      <w:marBottom w:val="0"/>
      <w:divBdr>
        <w:top w:val="none" w:sz="0" w:space="0" w:color="auto"/>
        <w:left w:val="none" w:sz="0" w:space="0" w:color="auto"/>
        <w:bottom w:val="none" w:sz="0" w:space="0" w:color="auto"/>
        <w:right w:val="none" w:sz="0" w:space="0" w:color="auto"/>
      </w:divBdr>
    </w:div>
    <w:div w:id="18273596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13ADF-0C40-457A-B033-9E2445A85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1863</Words>
  <Characters>14445</Characters>
  <Application>Microsoft Office Word</Application>
  <DocSecurity>0</DocSecurity>
  <Lines>352</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DP</cp:lastModifiedBy>
  <cp:revision>5</cp:revision>
  <cp:lastPrinted>2017-03-20T06:55:00Z</cp:lastPrinted>
  <dcterms:created xsi:type="dcterms:W3CDTF">2017-03-20T09:56:00Z</dcterms:created>
  <dcterms:modified xsi:type="dcterms:W3CDTF">2017-04-27T05:56:00Z</dcterms:modified>
</cp:coreProperties>
</file>