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D6033" w14:textId="77777777" w:rsidR="009A72C5" w:rsidRPr="00B554E7" w:rsidRDefault="009A72C5" w:rsidP="009A72C5">
      <w:pPr>
        <w:contextualSpacing/>
        <w:jc w:val="center"/>
        <w:rPr>
          <w:b/>
          <w:bCs/>
          <w:sz w:val="28"/>
          <w:szCs w:val="28"/>
        </w:rPr>
      </w:pPr>
      <w:r w:rsidRPr="00B554E7">
        <w:rPr>
          <w:b/>
          <w:sz w:val="28"/>
          <w:szCs w:val="28"/>
        </w:rPr>
        <w:t>Ministru kabineta noteikumu projekta „</w:t>
      </w:r>
      <w:r w:rsidR="005651E9" w:rsidRPr="008E5EF4">
        <w:rPr>
          <w:b/>
          <w:bCs/>
          <w:sz w:val="28"/>
          <w:szCs w:val="28"/>
        </w:rPr>
        <w:t xml:space="preserve">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w:t>
      </w:r>
      <w:r w:rsidR="005651E9">
        <w:rPr>
          <w:b/>
          <w:bCs/>
          <w:sz w:val="28"/>
          <w:szCs w:val="28"/>
        </w:rPr>
        <w:t xml:space="preserve">pirmās, otrās un trešās projektu iesniegumu atlases kārtas </w:t>
      </w:r>
      <w:r w:rsidR="005651E9" w:rsidRPr="008E5EF4">
        <w:rPr>
          <w:b/>
          <w:bCs/>
          <w:sz w:val="28"/>
          <w:szCs w:val="28"/>
        </w:rPr>
        <w:t>īstenošanas noteikumi</w:t>
      </w:r>
      <w:r w:rsidRPr="00B554E7">
        <w:rPr>
          <w:b/>
          <w:bCs/>
          <w:sz w:val="28"/>
          <w:szCs w:val="28"/>
        </w:rPr>
        <w:t>” sākotnējās</w:t>
      </w:r>
      <w:r w:rsidRPr="00B554E7">
        <w:rPr>
          <w:b/>
          <w:sz w:val="28"/>
          <w:szCs w:val="28"/>
        </w:rPr>
        <w:t xml:space="preserve"> ietekmes novērtējuma ziņojums (anotācija)</w:t>
      </w:r>
    </w:p>
    <w:p w14:paraId="59307E49" w14:textId="77777777" w:rsidR="009A72C5" w:rsidRPr="00D91AE9" w:rsidRDefault="009A72C5" w:rsidP="009A72C5">
      <w:pPr>
        <w:jc w:val="center"/>
        <w:rPr>
          <w:b/>
          <w:bCs/>
          <w:sz w:val="28"/>
          <w:szCs w:val="28"/>
        </w:rPr>
      </w:pPr>
    </w:p>
    <w:tbl>
      <w:tblPr>
        <w:tblW w:w="5000"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78"/>
        <w:gridCol w:w="143"/>
        <w:gridCol w:w="1296"/>
        <w:gridCol w:w="354"/>
        <w:gridCol w:w="6566"/>
      </w:tblGrid>
      <w:tr w:rsidR="009A72C5" w:rsidRPr="00D91AE9" w14:paraId="51C8401A" w14:textId="77777777" w:rsidTr="002B199E">
        <w:tc>
          <w:tcPr>
            <w:tcW w:w="5000" w:type="pct"/>
            <w:gridSpan w:val="5"/>
            <w:tcBorders>
              <w:top w:val="single" w:sz="4" w:space="0" w:color="auto"/>
              <w:left w:val="single" w:sz="4" w:space="0" w:color="auto"/>
              <w:bottom w:val="outset" w:sz="6" w:space="0" w:color="000000"/>
              <w:right w:val="single" w:sz="4" w:space="0" w:color="auto"/>
            </w:tcBorders>
            <w:vAlign w:val="center"/>
          </w:tcPr>
          <w:p w14:paraId="346996BA" w14:textId="77777777" w:rsidR="009A72C5" w:rsidRPr="00D91AE9" w:rsidRDefault="009A72C5" w:rsidP="00DD2EFA">
            <w:pPr>
              <w:spacing w:before="100" w:beforeAutospacing="1" w:after="100" w:afterAutospacing="1"/>
              <w:jc w:val="center"/>
              <w:rPr>
                <w:b/>
                <w:bCs/>
              </w:rPr>
            </w:pPr>
            <w:r w:rsidRPr="00D91AE9">
              <w:rPr>
                <w:b/>
                <w:bCs/>
              </w:rPr>
              <w:t>I. Tiesību akta projekta izstrādes nepieciešamība</w:t>
            </w:r>
          </w:p>
        </w:tc>
      </w:tr>
      <w:tr w:rsidR="009A72C5" w:rsidRPr="00D91AE9" w14:paraId="4F59C4DC" w14:textId="77777777" w:rsidTr="002B199E">
        <w:tc>
          <w:tcPr>
            <w:tcW w:w="161" w:type="pct"/>
            <w:tcBorders>
              <w:top w:val="outset" w:sz="6" w:space="0" w:color="000000"/>
              <w:left w:val="outset" w:sz="6" w:space="0" w:color="000000"/>
              <w:bottom w:val="outset" w:sz="6" w:space="0" w:color="000000"/>
              <w:right w:val="outset" w:sz="6" w:space="0" w:color="000000"/>
            </w:tcBorders>
          </w:tcPr>
          <w:p w14:paraId="0A4FF9D1" w14:textId="77777777" w:rsidR="009A72C5" w:rsidRPr="00D91AE9" w:rsidRDefault="009A72C5" w:rsidP="00DD2EFA">
            <w:pPr>
              <w:spacing w:before="100" w:beforeAutospacing="1" w:after="100" w:afterAutospacing="1"/>
            </w:pPr>
            <w:r w:rsidRPr="00D91AE9">
              <w:t>1.</w:t>
            </w:r>
          </w:p>
        </w:tc>
        <w:tc>
          <w:tcPr>
            <w:tcW w:w="833" w:type="pct"/>
            <w:gridSpan w:val="2"/>
            <w:tcBorders>
              <w:top w:val="outset" w:sz="6" w:space="0" w:color="000000"/>
              <w:left w:val="outset" w:sz="6" w:space="0" w:color="000000"/>
              <w:bottom w:val="outset" w:sz="6" w:space="0" w:color="000000"/>
              <w:right w:val="outset" w:sz="6" w:space="0" w:color="000000"/>
            </w:tcBorders>
          </w:tcPr>
          <w:p w14:paraId="392F8EA2" w14:textId="77777777" w:rsidR="009A72C5" w:rsidRPr="00D91AE9" w:rsidRDefault="009A72C5" w:rsidP="00DD2EFA">
            <w:pPr>
              <w:spacing w:before="100" w:beforeAutospacing="1" w:after="100" w:afterAutospacing="1"/>
            </w:pPr>
            <w:r w:rsidRPr="00D91AE9">
              <w:t>Pamatojums</w:t>
            </w:r>
          </w:p>
        </w:tc>
        <w:tc>
          <w:tcPr>
            <w:tcW w:w="4006" w:type="pct"/>
            <w:gridSpan w:val="2"/>
            <w:tcBorders>
              <w:top w:val="outset" w:sz="6" w:space="0" w:color="000000"/>
              <w:left w:val="outset" w:sz="6" w:space="0" w:color="000000"/>
              <w:bottom w:val="outset" w:sz="6" w:space="0" w:color="000000"/>
              <w:right w:val="outset" w:sz="6" w:space="0" w:color="000000"/>
            </w:tcBorders>
          </w:tcPr>
          <w:p w14:paraId="707FB02B" w14:textId="77777777" w:rsidR="009A72C5" w:rsidRPr="00D91AE9" w:rsidRDefault="009A72C5" w:rsidP="000313BC">
            <w:pPr>
              <w:pStyle w:val="ListParagraph"/>
              <w:ind w:left="0" w:right="91" w:firstLine="516"/>
              <w:rPr>
                <w:color w:val="000000"/>
                <w:szCs w:val="24"/>
              </w:rPr>
            </w:pPr>
            <w:r w:rsidRPr="00D91AE9">
              <w:rPr>
                <w:szCs w:val="24"/>
              </w:rPr>
              <w:t>Ministru kabineta (</w:t>
            </w:r>
            <w:r>
              <w:rPr>
                <w:szCs w:val="24"/>
              </w:rPr>
              <w:t>turpmāk – MK) noteikumu projekts</w:t>
            </w:r>
            <w:r w:rsidRPr="00D91AE9">
              <w:rPr>
                <w:szCs w:val="24"/>
              </w:rPr>
              <w:t xml:space="preserve"> „</w:t>
            </w:r>
            <w:r w:rsidR="005651E9" w:rsidRPr="005651E9">
              <w:rPr>
                <w:szCs w:val="24"/>
              </w:rPr>
              <w:t>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r w:rsidRPr="00D91AE9">
              <w:rPr>
                <w:szCs w:val="24"/>
              </w:rPr>
              <w:t>” (turpmāk – noteikumu projekts) sagatavots saskaņā ar</w:t>
            </w:r>
            <w:r w:rsidRPr="00D91AE9">
              <w:rPr>
                <w:color w:val="000000"/>
                <w:szCs w:val="24"/>
              </w:rPr>
              <w:t>:</w:t>
            </w:r>
          </w:p>
          <w:p w14:paraId="6D966139" w14:textId="77777777" w:rsidR="009A72C5" w:rsidRPr="00D91AE9" w:rsidRDefault="009A72C5" w:rsidP="00B848E2">
            <w:pPr>
              <w:pStyle w:val="ListParagraph"/>
              <w:numPr>
                <w:ilvl w:val="0"/>
                <w:numId w:val="1"/>
              </w:numPr>
              <w:ind w:right="91"/>
              <w:rPr>
                <w:color w:val="000000"/>
                <w:szCs w:val="24"/>
              </w:rPr>
            </w:pPr>
            <w:r w:rsidRPr="00D91AE9">
              <w:rPr>
                <w:szCs w:val="24"/>
                <w:lang w:eastAsia="lv-LV"/>
              </w:rPr>
              <w:t xml:space="preserve">Eiropas Savienības struktūrfondu un Kohēzijas fonda </w:t>
            </w:r>
            <w:r>
              <w:rPr>
                <w:szCs w:val="24"/>
                <w:lang w:eastAsia="lv-LV"/>
              </w:rPr>
              <w:t>2014. – </w:t>
            </w:r>
            <w:r w:rsidRPr="00D91AE9">
              <w:rPr>
                <w:szCs w:val="24"/>
                <w:lang w:eastAsia="lv-LV"/>
              </w:rPr>
              <w:t>2020.</w:t>
            </w:r>
            <w:r w:rsidR="00BA0E1E">
              <w:rPr>
                <w:szCs w:val="24"/>
                <w:lang w:eastAsia="lv-LV"/>
              </w:rPr>
              <w:t xml:space="preserve"> </w:t>
            </w:r>
            <w:r w:rsidRPr="00D91AE9">
              <w:rPr>
                <w:szCs w:val="24"/>
                <w:lang w:eastAsia="lv-LV"/>
              </w:rPr>
              <w:t xml:space="preserve">gada plānošanas perioda vadības likuma </w:t>
            </w:r>
            <w:r w:rsidRPr="00D91AE9">
              <w:rPr>
                <w:bCs/>
                <w:color w:val="000000"/>
                <w:szCs w:val="24"/>
              </w:rPr>
              <w:t>20.</w:t>
            </w:r>
            <w:r w:rsidR="00BA0E1E">
              <w:rPr>
                <w:bCs/>
                <w:color w:val="000000"/>
                <w:szCs w:val="24"/>
              </w:rPr>
              <w:t xml:space="preserve"> </w:t>
            </w:r>
            <w:r w:rsidRPr="00D91AE9">
              <w:rPr>
                <w:bCs/>
                <w:color w:val="000000"/>
                <w:szCs w:val="24"/>
              </w:rPr>
              <w:t>panta</w:t>
            </w:r>
            <w:proofErr w:type="gramStart"/>
            <w:r w:rsidRPr="00D91AE9">
              <w:rPr>
                <w:bCs/>
                <w:color w:val="000000"/>
                <w:szCs w:val="24"/>
              </w:rPr>
              <w:t xml:space="preserve"> </w:t>
            </w:r>
            <w:r w:rsidR="00C2155A">
              <w:rPr>
                <w:bCs/>
                <w:color w:val="000000"/>
                <w:szCs w:val="24"/>
              </w:rPr>
              <w:t xml:space="preserve">   </w:t>
            </w:r>
            <w:proofErr w:type="gramEnd"/>
            <w:r w:rsidRPr="00D91AE9">
              <w:rPr>
                <w:bCs/>
                <w:color w:val="000000"/>
                <w:szCs w:val="24"/>
              </w:rPr>
              <w:t xml:space="preserve">6. un </w:t>
            </w:r>
            <w:r>
              <w:rPr>
                <w:bCs/>
                <w:color w:val="000000"/>
                <w:szCs w:val="24"/>
              </w:rPr>
              <w:t>13.</w:t>
            </w:r>
            <w:r w:rsidR="00BA0E1E">
              <w:rPr>
                <w:bCs/>
                <w:color w:val="000000"/>
                <w:szCs w:val="24"/>
              </w:rPr>
              <w:t xml:space="preserve"> </w:t>
            </w:r>
            <w:r>
              <w:rPr>
                <w:bCs/>
                <w:color w:val="000000"/>
                <w:szCs w:val="24"/>
              </w:rPr>
              <w:t>punktu;</w:t>
            </w:r>
          </w:p>
          <w:p w14:paraId="3D1CAE6F" w14:textId="77777777" w:rsidR="009A72C5" w:rsidRPr="00D91AE9" w:rsidRDefault="009A72C5" w:rsidP="00B848E2">
            <w:pPr>
              <w:pStyle w:val="ListParagraph"/>
              <w:numPr>
                <w:ilvl w:val="0"/>
                <w:numId w:val="1"/>
              </w:numPr>
              <w:ind w:right="91"/>
              <w:rPr>
                <w:color w:val="000000"/>
                <w:szCs w:val="24"/>
              </w:rPr>
            </w:pPr>
            <w:r w:rsidRPr="00D91AE9">
              <w:rPr>
                <w:color w:val="000000"/>
                <w:szCs w:val="24"/>
                <w:shd w:val="clear" w:color="auto" w:fill="FFFFFF"/>
              </w:rPr>
              <w:t>Ministru Prezidenta 2014.</w:t>
            </w:r>
            <w:r w:rsidR="00BA0E1E">
              <w:rPr>
                <w:color w:val="000000"/>
                <w:szCs w:val="24"/>
                <w:shd w:val="clear" w:color="auto" w:fill="FFFFFF"/>
              </w:rPr>
              <w:t xml:space="preserve"> </w:t>
            </w:r>
            <w:r w:rsidRPr="00D91AE9">
              <w:rPr>
                <w:color w:val="000000"/>
                <w:szCs w:val="24"/>
                <w:shd w:val="clear" w:color="auto" w:fill="FFFFFF"/>
              </w:rPr>
              <w:t>gada 21.</w:t>
            </w:r>
            <w:r w:rsidR="00BA0E1E">
              <w:rPr>
                <w:color w:val="000000"/>
                <w:szCs w:val="24"/>
                <w:shd w:val="clear" w:color="auto" w:fill="FFFFFF"/>
              </w:rPr>
              <w:t xml:space="preserve"> </w:t>
            </w:r>
            <w:r w:rsidRPr="00D91AE9">
              <w:rPr>
                <w:color w:val="000000"/>
                <w:szCs w:val="24"/>
                <w:shd w:val="clear" w:color="auto" w:fill="FFFFFF"/>
              </w:rPr>
              <w:t>jūlija rezolūciju Nr.12/2014</w:t>
            </w:r>
            <w:r>
              <w:rPr>
                <w:szCs w:val="24"/>
                <w:lang w:eastAsia="lv-LV"/>
              </w:rPr>
              <w:t>–</w:t>
            </w:r>
            <w:r w:rsidRPr="00D91AE9">
              <w:rPr>
                <w:color w:val="000000"/>
                <w:szCs w:val="24"/>
                <w:shd w:val="clear" w:color="auto" w:fill="FFFFFF"/>
              </w:rPr>
              <w:t>JUR</w:t>
            </w:r>
            <w:r>
              <w:rPr>
                <w:szCs w:val="24"/>
                <w:lang w:eastAsia="lv-LV"/>
              </w:rPr>
              <w:t>–</w:t>
            </w:r>
            <w:r w:rsidRPr="00D91AE9">
              <w:rPr>
                <w:color w:val="000000"/>
                <w:szCs w:val="24"/>
                <w:shd w:val="clear" w:color="auto" w:fill="FFFFFF"/>
              </w:rPr>
              <w:t xml:space="preserve">151, </w:t>
            </w:r>
            <w:proofErr w:type="gramStart"/>
            <w:r w:rsidRPr="00D91AE9">
              <w:rPr>
                <w:color w:val="000000"/>
                <w:szCs w:val="24"/>
                <w:shd w:val="clear" w:color="auto" w:fill="FFFFFF"/>
              </w:rPr>
              <w:t>kura nosaka līdz 2017.</w:t>
            </w:r>
            <w:r w:rsidR="00BA0E1E">
              <w:rPr>
                <w:color w:val="000000"/>
                <w:szCs w:val="24"/>
                <w:shd w:val="clear" w:color="auto" w:fill="FFFFFF"/>
              </w:rPr>
              <w:t xml:space="preserve"> </w:t>
            </w:r>
            <w:r w:rsidRPr="00D91AE9">
              <w:rPr>
                <w:color w:val="000000"/>
                <w:szCs w:val="24"/>
                <w:shd w:val="clear" w:color="auto" w:fill="FFFFFF"/>
              </w:rPr>
              <w:t>gada 1.</w:t>
            </w:r>
            <w:r w:rsidR="00BA0E1E">
              <w:rPr>
                <w:color w:val="000000"/>
                <w:szCs w:val="24"/>
                <w:shd w:val="clear" w:color="auto" w:fill="FFFFFF"/>
              </w:rPr>
              <w:t xml:space="preserve"> </w:t>
            </w:r>
            <w:r w:rsidRPr="00D91AE9">
              <w:rPr>
                <w:color w:val="000000"/>
                <w:szCs w:val="24"/>
                <w:shd w:val="clear" w:color="auto" w:fill="FFFFFF"/>
              </w:rPr>
              <w:t>decembrim atbilstoši kompetencei sagatavot un noteiktā kārtībā iesniegt MK</w:t>
            </w:r>
            <w:proofErr w:type="gramEnd"/>
            <w:r w:rsidRPr="00D91AE9">
              <w:rPr>
                <w:color w:val="000000"/>
                <w:szCs w:val="24"/>
                <w:shd w:val="clear" w:color="auto" w:fill="FFFFFF"/>
              </w:rPr>
              <w:t xml:space="preserve"> </w:t>
            </w:r>
            <w:r w:rsidRPr="00D91AE9">
              <w:rPr>
                <w:szCs w:val="24"/>
              </w:rPr>
              <w:t xml:space="preserve">specifiskā atbalsta mērķa īstenošanas noteikumus; </w:t>
            </w:r>
          </w:p>
          <w:p w14:paraId="105CB35E" w14:textId="77777777" w:rsidR="009A72C5" w:rsidRPr="00D91AE9" w:rsidRDefault="009A72C5" w:rsidP="00B848E2">
            <w:pPr>
              <w:pStyle w:val="ListParagraph"/>
              <w:numPr>
                <w:ilvl w:val="0"/>
                <w:numId w:val="1"/>
              </w:numPr>
              <w:ind w:right="91"/>
              <w:rPr>
                <w:szCs w:val="24"/>
              </w:rPr>
            </w:pPr>
            <w:r w:rsidRPr="00D91AE9">
              <w:rPr>
                <w:szCs w:val="24"/>
                <w:lang w:eastAsia="lv-LV"/>
              </w:rPr>
              <w:t xml:space="preserve">Eiropas Savienības (turpmāk – </w:t>
            </w:r>
            <w:r w:rsidRPr="00D91AE9">
              <w:rPr>
                <w:szCs w:val="24"/>
              </w:rPr>
              <w:t>ES) fondu un Kohēzijas politikas 2014.</w:t>
            </w:r>
            <w:r>
              <w:rPr>
                <w:szCs w:val="24"/>
                <w:lang w:eastAsia="lv-LV"/>
              </w:rPr>
              <w:t> – </w:t>
            </w:r>
            <w:r w:rsidRPr="00D91AE9">
              <w:rPr>
                <w:szCs w:val="24"/>
              </w:rPr>
              <w:t>2020.</w:t>
            </w:r>
            <w:r w:rsidR="00BA0E1E">
              <w:rPr>
                <w:szCs w:val="24"/>
              </w:rPr>
              <w:t xml:space="preserve"> </w:t>
            </w:r>
            <w:r w:rsidRPr="00D91AE9">
              <w:rPr>
                <w:szCs w:val="24"/>
              </w:rPr>
              <w:t>gada plānošanas perioda darbības programmu „Izaugsme un nodarbinātība”, kas</w:t>
            </w:r>
            <w:proofErr w:type="gramStart"/>
            <w:r w:rsidRPr="00D91AE9">
              <w:rPr>
                <w:szCs w:val="24"/>
              </w:rPr>
              <w:t xml:space="preserve">  </w:t>
            </w:r>
            <w:proofErr w:type="gramEnd"/>
            <w:r w:rsidRPr="00D91AE9">
              <w:rPr>
                <w:szCs w:val="24"/>
              </w:rPr>
              <w:t>apstiprināta Eiropas Komisijā (turpmāk – EK) 2014.</w:t>
            </w:r>
            <w:r w:rsidR="00BA0E1E">
              <w:rPr>
                <w:szCs w:val="24"/>
              </w:rPr>
              <w:t xml:space="preserve"> </w:t>
            </w:r>
            <w:r w:rsidRPr="00D91AE9">
              <w:rPr>
                <w:szCs w:val="24"/>
              </w:rPr>
              <w:t>gada 11.</w:t>
            </w:r>
            <w:r w:rsidR="00BA0E1E">
              <w:rPr>
                <w:szCs w:val="24"/>
              </w:rPr>
              <w:t xml:space="preserve"> </w:t>
            </w:r>
            <w:r w:rsidRPr="00D91AE9">
              <w:rPr>
                <w:szCs w:val="24"/>
              </w:rPr>
              <w:t>novembrī.</w:t>
            </w:r>
            <w:r w:rsidRPr="00D91AE9">
              <w:rPr>
                <w:color w:val="000000"/>
                <w:szCs w:val="24"/>
              </w:rPr>
              <w:t xml:space="preserve"> </w:t>
            </w:r>
          </w:p>
        </w:tc>
      </w:tr>
      <w:tr w:rsidR="009A72C5" w:rsidRPr="00D91AE9" w14:paraId="3D6AB280" w14:textId="77777777" w:rsidTr="002B199E">
        <w:tc>
          <w:tcPr>
            <w:tcW w:w="161" w:type="pct"/>
            <w:tcBorders>
              <w:top w:val="outset" w:sz="6" w:space="0" w:color="000000"/>
              <w:left w:val="outset" w:sz="6" w:space="0" w:color="000000"/>
              <w:bottom w:val="outset" w:sz="6" w:space="0" w:color="000000"/>
              <w:right w:val="outset" w:sz="6" w:space="0" w:color="000000"/>
            </w:tcBorders>
          </w:tcPr>
          <w:p w14:paraId="41E2101A" w14:textId="77777777" w:rsidR="009A72C5" w:rsidRPr="00D91AE9" w:rsidRDefault="009A72C5" w:rsidP="00DD2EFA">
            <w:pPr>
              <w:spacing w:before="100" w:beforeAutospacing="1" w:after="100" w:afterAutospacing="1"/>
            </w:pPr>
            <w:r w:rsidRPr="00D91AE9">
              <w:t>2.</w:t>
            </w:r>
          </w:p>
        </w:tc>
        <w:tc>
          <w:tcPr>
            <w:tcW w:w="833" w:type="pct"/>
            <w:gridSpan w:val="2"/>
            <w:tcBorders>
              <w:top w:val="outset" w:sz="6" w:space="0" w:color="000000"/>
              <w:left w:val="outset" w:sz="6" w:space="0" w:color="000000"/>
              <w:bottom w:val="outset" w:sz="6" w:space="0" w:color="000000"/>
              <w:right w:val="outset" w:sz="6" w:space="0" w:color="000000"/>
            </w:tcBorders>
          </w:tcPr>
          <w:p w14:paraId="189089AB" w14:textId="77777777" w:rsidR="009A72C5" w:rsidRPr="00D91AE9" w:rsidRDefault="009A72C5" w:rsidP="00593077">
            <w:pPr>
              <w:spacing w:before="100" w:beforeAutospacing="1" w:after="100" w:afterAutospacing="1"/>
            </w:pPr>
            <w:r w:rsidRPr="00D91AE9">
              <w:t>Pašreizējā situācija un problēmas, kuru risināšanai tiesību akta projekts izstrādāts, tiesiskā regulējuma mērķis un būtība</w:t>
            </w:r>
          </w:p>
        </w:tc>
        <w:tc>
          <w:tcPr>
            <w:tcW w:w="4006" w:type="pct"/>
            <w:gridSpan w:val="2"/>
            <w:tcBorders>
              <w:top w:val="outset" w:sz="6" w:space="0" w:color="000000"/>
              <w:left w:val="outset" w:sz="6" w:space="0" w:color="000000"/>
              <w:bottom w:val="outset" w:sz="6" w:space="0" w:color="000000"/>
              <w:right w:val="outset" w:sz="6" w:space="0" w:color="000000"/>
            </w:tcBorders>
          </w:tcPr>
          <w:p w14:paraId="5DF5E98C" w14:textId="77777777" w:rsidR="00C84AB3" w:rsidRDefault="009A72C5" w:rsidP="00C84AB3">
            <w:pPr>
              <w:tabs>
                <w:tab w:val="left" w:pos="567"/>
                <w:tab w:val="left" w:pos="2884"/>
              </w:tabs>
              <w:ind w:right="145" w:firstLine="516"/>
              <w:jc w:val="both"/>
            </w:pPr>
            <w:r w:rsidRPr="00CD02C3">
              <w:t>Viens no būtiskākajiem zinātnes kvalitātes un konkurētspējas rādītājiem ir Latvi</w:t>
            </w:r>
            <w:r>
              <w:t xml:space="preserve">jas zinātnisko darbinieku </w:t>
            </w:r>
            <w:r w:rsidRPr="00CD02C3">
              <w:t>sniegums starptautiskās pētnie</w:t>
            </w:r>
            <w:r>
              <w:t xml:space="preserve">cības programmās, kas sekmē </w:t>
            </w:r>
            <w:r w:rsidRPr="00CD02C3">
              <w:t>zin</w:t>
            </w:r>
            <w:r>
              <w:t xml:space="preserve">āšanu un pieredzes pārnesi, starpdisciplināru pētījumu veikšanu, sadarbības tīklu veidošanu, atpazīstamību, starptautisko </w:t>
            </w:r>
            <w:r w:rsidRPr="00CD02C3">
              <w:t>konkurētspēju</w:t>
            </w:r>
            <w:r>
              <w:t>, veicina zinātniskā personāla piesaisti darbam Latvijā, tādējādi veicinot Latvijas tautsaimniecības attīstību.</w:t>
            </w:r>
          </w:p>
          <w:p w14:paraId="538DA1D7" w14:textId="103889A5" w:rsidR="00AC226D" w:rsidRDefault="009A72C5" w:rsidP="00C84AB3">
            <w:pPr>
              <w:tabs>
                <w:tab w:val="left" w:pos="567"/>
                <w:tab w:val="left" w:pos="2884"/>
              </w:tabs>
              <w:ind w:right="145" w:firstLine="516"/>
              <w:jc w:val="both"/>
            </w:pPr>
            <w:r w:rsidRPr="00FA18CB">
              <w:t>Ņemot vērā esošās situ</w:t>
            </w:r>
            <w:r>
              <w:t>ācijas novērtējumu un līdzšinējās</w:t>
            </w:r>
            <w:r w:rsidRPr="00FA18CB">
              <w:t xml:space="preserve"> </w:t>
            </w:r>
            <w:r>
              <w:t xml:space="preserve">starptautiskās sadarbības </w:t>
            </w:r>
            <w:r w:rsidRPr="00FA18CB">
              <w:t xml:space="preserve">analīzi, lai uzlabotu Latvijas sasniegumus pētniecības, tehnoloģiju attīstības un inovāciju jomās, </w:t>
            </w:r>
            <w:r w:rsidRPr="00681991">
              <w:t xml:space="preserve">ES struktūrfondu </w:t>
            </w:r>
            <w:proofErr w:type="gramStart"/>
            <w:r w:rsidRPr="00681991">
              <w:t>2014.</w:t>
            </w:r>
            <w:r w:rsidR="00251DD6">
              <w:t xml:space="preserve"> </w:t>
            </w:r>
            <w:r w:rsidR="00251DD6" w:rsidRPr="00681991">
              <w:t>–</w:t>
            </w:r>
            <w:r w:rsidR="00251DD6">
              <w:t xml:space="preserve"> </w:t>
            </w:r>
            <w:r w:rsidRPr="00681991">
              <w:t>2020.</w:t>
            </w:r>
            <w:proofErr w:type="gramEnd"/>
            <w:r w:rsidR="00C2155A">
              <w:t xml:space="preserve"> </w:t>
            </w:r>
            <w:r w:rsidRPr="00681991">
              <w:t>gada plānošanas periodā darbības programmas “Izaugsme un nodarbinātība” 1.1.1.</w:t>
            </w:r>
            <w:r w:rsidR="00BA0E1E">
              <w:t xml:space="preserve"> </w:t>
            </w:r>
            <w:r w:rsidRPr="00681991">
              <w:t>specifiskā atbalsta mērķa “Palielināt Latvijas zinātnisko institūciju pētniecisko un inovatīvo kapacitāti un spēju piesaistīt ārējo finansējumu, ieguldot cilvēkresursos un infrastruktūrā” (turpmāk –</w:t>
            </w:r>
            <w:r w:rsidR="002808B1">
              <w:t xml:space="preserve"> </w:t>
            </w:r>
            <w:r w:rsidRPr="00681991">
              <w:t>1.1.1</w:t>
            </w:r>
            <w:r w:rsidR="00BA0E1E">
              <w:t>.</w:t>
            </w:r>
            <w:r w:rsidR="00BA0E1E" w:rsidRPr="00681991">
              <w:t xml:space="preserve"> SAM</w:t>
            </w:r>
            <w:r w:rsidRPr="00681991">
              <w:t>) ietvaros ir</w:t>
            </w:r>
            <w:r>
              <w:t xml:space="preserve"> </w:t>
            </w:r>
            <w:r>
              <w:lastRenderedPageBreak/>
              <w:t>plānots īstenot</w:t>
            </w:r>
            <w:r w:rsidRPr="00FA18CB">
              <w:t xml:space="preserve"> 1.1.1.5.</w:t>
            </w:r>
            <w:r w:rsidR="00BA0E1E">
              <w:t xml:space="preserve"> </w:t>
            </w:r>
            <w:r>
              <w:t>pasākumu</w:t>
            </w:r>
            <w:r w:rsidRPr="00FA18CB">
              <w:t xml:space="preserve"> </w:t>
            </w:r>
            <w:r w:rsidRPr="00A77C32">
              <w:t xml:space="preserve">„Atbalsts starptautiskās sadarbības projektiem pētniecībā un inovācijās” (turpmāk </w:t>
            </w:r>
            <w:r w:rsidRPr="0062307E">
              <w:t>–</w:t>
            </w:r>
            <w:r w:rsidRPr="00A77C32">
              <w:t xml:space="preserve"> </w:t>
            </w:r>
            <w:r w:rsidRPr="00FA18CB">
              <w:t>1.1.1.5.</w:t>
            </w:r>
            <w:r w:rsidR="00BA0E1E">
              <w:t xml:space="preserve"> </w:t>
            </w:r>
            <w:r w:rsidRPr="009D5485">
              <w:t>pasākums)</w:t>
            </w:r>
            <w:r>
              <w:t>.</w:t>
            </w:r>
            <w:r w:rsidR="00AC226D">
              <w:t xml:space="preserve"> </w:t>
            </w:r>
          </w:p>
          <w:p w14:paraId="66798358" w14:textId="034310F7" w:rsidR="004F187A" w:rsidRPr="0014168F" w:rsidRDefault="009A72C5" w:rsidP="00C646E8">
            <w:pPr>
              <w:tabs>
                <w:tab w:val="left" w:pos="2884"/>
              </w:tabs>
              <w:ind w:right="145" w:firstLine="516"/>
              <w:jc w:val="both"/>
            </w:pPr>
            <w:r w:rsidRPr="00FA18CB">
              <w:t>1.1.1.5.</w:t>
            </w:r>
            <w:r w:rsidR="00BA0E1E">
              <w:t xml:space="preserve"> </w:t>
            </w:r>
            <w:r>
              <w:t xml:space="preserve">pasākuma </w:t>
            </w:r>
            <w:r w:rsidRPr="009D5485">
              <w:t xml:space="preserve">ietvaros </w:t>
            </w:r>
            <w:r w:rsidR="004F187A">
              <w:t>atbalsts plānot</w:t>
            </w:r>
            <w:r w:rsidR="004F187A" w:rsidRPr="009E29CE">
              <w:t>s pētniecības un inovāciju starptautiskās</w:t>
            </w:r>
            <w:r w:rsidR="004F187A">
              <w:t xml:space="preserve"> sadarbības tīklu paplašināšanai, Latvijas zinātnisko institūciju Eiropas Pētniecības telpas bilaterālās un multilaterālās sadarbības projektu izstrādei un dalībai starptautiskos pētniecības, tīklošanās un sad</w:t>
            </w:r>
            <w:r w:rsidR="004461CB">
              <w:t>raudzības pasākumos un Eiropas P</w:t>
            </w:r>
            <w:r w:rsidR="004F187A">
              <w:t xml:space="preserve">ētniecības </w:t>
            </w:r>
            <w:r w:rsidR="004F187A" w:rsidRPr="0014168F">
              <w:t>telpas infrastruktūras stratēģiskā foruma (</w:t>
            </w:r>
            <w:proofErr w:type="gramStart"/>
            <w:r w:rsidR="000F244D" w:rsidRPr="0014168F">
              <w:t>turpmāk -</w:t>
            </w:r>
            <w:r w:rsidR="004F187A" w:rsidRPr="0014168F">
              <w:t>ES</w:t>
            </w:r>
            <w:proofErr w:type="gramEnd"/>
            <w:r w:rsidR="004F187A" w:rsidRPr="0014168F">
              <w:t>FRI) i</w:t>
            </w:r>
            <w:r w:rsidR="00AC226D" w:rsidRPr="0014168F">
              <w:t xml:space="preserve">nfrastruktūras objektos, </w:t>
            </w:r>
            <w:r w:rsidR="00630EEF" w:rsidRPr="00630EEF">
              <w:t>ES Pētniecī</w:t>
            </w:r>
            <w:r w:rsidR="00630EEF">
              <w:t>bas un inovācijas pamatprogrammas</w:t>
            </w:r>
            <w:r w:rsidR="00630EEF" w:rsidRPr="00630EEF">
              <w:t xml:space="preserve"> “</w:t>
            </w:r>
            <w:r w:rsidR="00630EEF" w:rsidRPr="00630EEF">
              <w:rPr>
                <w:iCs/>
              </w:rPr>
              <w:t>Apvārsnis 2020</w:t>
            </w:r>
            <w:r w:rsidR="00630EEF" w:rsidRPr="00630EEF">
              <w:t>”  (turpmāk – programma “</w:t>
            </w:r>
            <w:r w:rsidR="00630EEF" w:rsidRPr="00630EEF">
              <w:rPr>
                <w:iCs/>
              </w:rPr>
              <w:t>Apvārsnis 2020</w:t>
            </w:r>
            <w:r w:rsidR="00630EEF" w:rsidRPr="00630EEF">
              <w:t>”)</w:t>
            </w:r>
            <w:r w:rsidR="00630EEF">
              <w:t xml:space="preserve"> </w:t>
            </w:r>
            <w:r w:rsidR="004F187A" w:rsidRPr="0014168F">
              <w:t>Nacionālā kontaktpunkta darbības paplašināšanai</w:t>
            </w:r>
            <w:r w:rsidR="00AC226D" w:rsidRPr="0014168F">
              <w:t xml:space="preserve">, sniedzot ieguldījumu Latvijas viedās specializācijas stratēģijas </w:t>
            </w:r>
            <w:r w:rsidR="003F3244" w:rsidRPr="0014168F">
              <w:t xml:space="preserve">(turpmāk - </w:t>
            </w:r>
            <w:r w:rsidR="007F13C1" w:rsidRPr="0014168F">
              <w:t>RIS3</w:t>
            </w:r>
            <w:r w:rsidR="003F3244" w:rsidRPr="0014168F">
              <w:t>)</w:t>
            </w:r>
            <w:r w:rsidR="007F13C1" w:rsidRPr="0014168F">
              <w:t xml:space="preserve"> </w:t>
            </w:r>
            <w:r w:rsidR="00AC226D" w:rsidRPr="0014168F">
              <w:t>mērķu sasniegšanai un specializācijas jomu attīstībai</w:t>
            </w:r>
            <w:r w:rsidR="004F187A" w:rsidRPr="0014168F">
              <w:t>.</w:t>
            </w:r>
          </w:p>
          <w:p w14:paraId="579F7162" w14:textId="5890E3C1" w:rsidR="009A72C5" w:rsidRPr="0014168F" w:rsidRDefault="009A72C5" w:rsidP="00B848E2">
            <w:pPr>
              <w:tabs>
                <w:tab w:val="left" w:pos="2884"/>
              </w:tabs>
              <w:ind w:right="145" w:firstLine="516"/>
              <w:jc w:val="both"/>
            </w:pPr>
            <w:r w:rsidRPr="0014168F">
              <w:t>Latvijas zinātnisko institūciju darbības starpt</w:t>
            </w:r>
            <w:r w:rsidR="004647F1" w:rsidRPr="0014168F">
              <w:t>autiskajā novērtējumā, ko 2013.</w:t>
            </w:r>
            <w:r w:rsidR="00BA0E1E" w:rsidRPr="0014168F">
              <w:t xml:space="preserve"> </w:t>
            </w:r>
            <w:r w:rsidRPr="0014168F">
              <w:t xml:space="preserve">gadā veica </w:t>
            </w:r>
            <w:r w:rsidR="004461CB" w:rsidRPr="004461CB">
              <w:t>Ziemeļvalstu Ministru padomes birojs</w:t>
            </w:r>
            <w:r w:rsidR="004461CB">
              <w:t xml:space="preserve"> Latvijā</w:t>
            </w:r>
            <w:r w:rsidR="00825F39">
              <w:t xml:space="preserve"> </w:t>
            </w:r>
            <w:r w:rsidR="00825F39" w:rsidRPr="00825F39">
              <w:t>(turpmāk arī – zinātnes ārējais izvērtējums)</w:t>
            </w:r>
            <w:r w:rsidRPr="0014168F">
              <w:t xml:space="preserve">, analizējot </w:t>
            </w:r>
            <w:proofErr w:type="gramStart"/>
            <w:r w:rsidRPr="0014168F">
              <w:t xml:space="preserve">Latvijas zinātnes situāciju </w:t>
            </w:r>
            <w:r w:rsidR="00535985">
              <w:t>ES</w:t>
            </w:r>
            <w:r w:rsidRPr="0014168F">
              <w:t xml:space="preserve"> Kopīgās pētniecības telpas un sadarbības pētniecībā kontekstā,</w:t>
            </w:r>
            <w:proofErr w:type="gramEnd"/>
            <w:r w:rsidRPr="0014168F">
              <w:t xml:space="preserve"> norādīts uz vairākām būtiskām problēmām Latvijas zinātnisko institūciju darbībā:</w:t>
            </w:r>
          </w:p>
          <w:p w14:paraId="6079545D" w14:textId="77777777" w:rsidR="00355258" w:rsidRPr="0014168F" w:rsidRDefault="00355258" w:rsidP="00A067D4">
            <w:pPr>
              <w:pStyle w:val="ListParagraph"/>
              <w:numPr>
                <w:ilvl w:val="0"/>
                <w:numId w:val="5"/>
              </w:numPr>
              <w:tabs>
                <w:tab w:val="left" w:pos="2884"/>
              </w:tabs>
            </w:pPr>
            <w:r w:rsidRPr="0014168F">
              <w:t>nepietiekama dalība starptautiskos pētniecības projektos;</w:t>
            </w:r>
          </w:p>
          <w:p w14:paraId="29A6671A" w14:textId="77777777" w:rsidR="00355258" w:rsidRPr="0014168F" w:rsidRDefault="00355258" w:rsidP="00A067D4">
            <w:pPr>
              <w:pStyle w:val="ListParagraph"/>
              <w:numPr>
                <w:ilvl w:val="0"/>
                <w:numId w:val="5"/>
              </w:numPr>
              <w:tabs>
                <w:tab w:val="left" w:pos="2884"/>
              </w:tabs>
            </w:pPr>
            <w:r w:rsidRPr="0014168F">
              <w:t>pārāk liela koncentrēšanās uz nacionāla līmeņa projektiem un pasākumiem, kas neveicina starptautisko atpazīstamību, konkurences veidošanos, kā arī bremzē tautsaimniecības attīstību;</w:t>
            </w:r>
          </w:p>
          <w:p w14:paraId="6FCE18D3" w14:textId="77777777" w:rsidR="00355258" w:rsidRPr="0014168F" w:rsidRDefault="00355258" w:rsidP="00A067D4">
            <w:pPr>
              <w:pStyle w:val="ListParagraph"/>
              <w:numPr>
                <w:ilvl w:val="0"/>
                <w:numId w:val="5"/>
              </w:numPr>
              <w:tabs>
                <w:tab w:val="left" w:pos="2884"/>
              </w:tabs>
            </w:pPr>
            <w:r w:rsidRPr="0014168F">
              <w:t xml:space="preserve">izteikti zems </w:t>
            </w:r>
            <w:r w:rsidRPr="0014168F">
              <w:rPr>
                <w:lang w:eastAsia="lv-LV"/>
              </w:rPr>
              <w:t>starptautiskos recenzētos žurnālos publicēto publikāciju angļu valodā skaits.</w:t>
            </w:r>
          </w:p>
          <w:p w14:paraId="566F3BF9" w14:textId="06B50BB7" w:rsidR="009A72C5" w:rsidRPr="0014168F" w:rsidRDefault="009A72C5" w:rsidP="000313BC">
            <w:pPr>
              <w:tabs>
                <w:tab w:val="left" w:pos="567"/>
                <w:tab w:val="left" w:pos="2884"/>
              </w:tabs>
              <w:ind w:right="145" w:firstLine="516"/>
              <w:jc w:val="both"/>
            </w:pPr>
            <w:r w:rsidRPr="0014168F">
              <w:t xml:space="preserve">Zinātnes ārējā izvērtējuma rezultāti sasaucas ar </w:t>
            </w:r>
            <w:r w:rsidR="00535985">
              <w:t>EK</w:t>
            </w:r>
            <w:r w:rsidRPr="0014168F">
              <w:t xml:space="preserve"> Inovāciju savienības rezultātu pārskatu</w:t>
            </w:r>
            <w:r w:rsidRPr="0014168F">
              <w:rPr>
                <w:vertAlign w:val="superscript"/>
              </w:rPr>
              <w:footnoteReference w:id="1"/>
            </w:r>
            <w:r w:rsidRPr="0014168F">
              <w:t xml:space="preserve">, kurā Latvija ierindota pēdējā vietā ES pēc pētniecības sistēmas efektivitātes, izcilības, atvērtības un iesaistes starptautiskajā sadarbībā. Eksperti norāda, ka nepietiekama Latvijas zinātnieku starptautiskā sadarbība negatīvi ietekmē pētniecības kvalitāti. Tai ir nepieciešama lielāka starptautiskā perspektīva un integrācija pasaules zinātnes telpā. </w:t>
            </w:r>
          </w:p>
          <w:p w14:paraId="3BA2EABE" w14:textId="08C29021" w:rsidR="00355258" w:rsidRPr="0014168F" w:rsidRDefault="00AC226D" w:rsidP="00B848E2">
            <w:pPr>
              <w:tabs>
                <w:tab w:val="left" w:pos="567"/>
                <w:tab w:val="left" w:pos="2884"/>
              </w:tabs>
              <w:ind w:right="145" w:firstLine="516"/>
              <w:jc w:val="both"/>
            </w:pPr>
            <w:r w:rsidRPr="0014168F">
              <w:t>Vienlaikus z</w:t>
            </w:r>
            <w:r w:rsidR="009A72C5" w:rsidRPr="0014168F">
              <w:t xml:space="preserve">inātnes ārējā izvērtējuma rezultātā tika konstatēts, ka </w:t>
            </w:r>
            <w:r w:rsidR="00355258" w:rsidRPr="0014168F">
              <w:t xml:space="preserve">Latvijas zinātnisko institūciju darbības kvalitātes viduvējais vērtējums daudzās (bet ne visās) zinātnes nozarēs izriet no tā, </w:t>
            </w:r>
            <w:proofErr w:type="gramStart"/>
            <w:r w:rsidR="00355258" w:rsidRPr="0014168F">
              <w:t>ka zinātniskās institūcijas pārāk fokusējas uz nacionāla līmeņa jautājumiem, vietējas nozīmes komunikācijas kanāliem un konferencēm. Šāda vietējā līmeņa</w:t>
            </w:r>
            <w:proofErr w:type="gramEnd"/>
            <w:r w:rsidR="00355258" w:rsidRPr="0014168F">
              <w:t xml:space="preserve"> darbība izolē Latvijas zinātniekus no zinātnes starptautiskajām norisēm, tādējādi samazinot konkurences spiedienu, kas savukārt neadekvāti maina izpratni par starptautiskajām kvalitātes normām un kavē pat labāko Latvijas pētniecības rezultātu komunikāciju un integrāciju pasaules pētniecības telpā. Zinātnes ārējā izvērtējuma </w:t>
            </w:r>
            <w:r w:rsidR="00355258" w:rsidRPr="0014168F">
              <w:lastRenderedPageBreak/>
              <w:t xml:space="preserve">eksperti norāda, ka nepietiekama Latvijas zinātnieku starptautiskā sadarbība negatīvi ietekmē zinātnes un pētniecības kvalitāti un iespējas to paaugstināt. </w:t>
            </w:r>
          </w:p>
          <w:p w14:paraId="37351392" w14:textId="4F0119D3" w:rsidR="00355258" w:rsidRPr="0014168F" w:rsidRDefault="00355258" w:rsidP="00B848E2">
            <w:pPr>
              <w:tabs>
                <w:tab w:val="left" w:pos="2884"/>
              </w:tabs>
              <w:ind w:firstLine="516"/>
              <w:jc w:val="both"/>
            </w:pPr>
            <w:r w:rsidRPr="0014168F">
              <w:t xml:space="preserve">Tādēļ Latvijas zinātnei ir nepieciešama lielāka starptautiskā perspektīva un integrācija pasaules zinātnes telpā. Gan zinātnei, gan pārvaldības sistēmai ir nepieciešama internacionalizācija, un tā prasa gan darbaspēka piesaistīšanas, gan karjeras izaugsmes stimulus, kas būtu orientēti uz līdzdalību starptautiskajā pētniecības norisēs, un jo īpaši veicinātu publikāciju skaita pieaugumu starptautiskos recenzētos žurnālos angļu valodā. </w:t>
            </w:r>
          </w:p>
          <w:p w14:paraId="4685CE0A" w14:textId="069721B1" w:rsidR="00355258" w:rsidRPr="00251DD6" w:rsidRDefault="00355258" w:rsidP="00B848E2">
            <w:pPr>
              <w:tabs>
                <w:tab w:val="left" w:pos="2884"/>
              </w:tabs>
              <w:ind w:firstLine="516"/>
              <w:jc w:val="both"/>
            </w:pPr>
            <w:r w:rsidRPr="0014168F">
              <w:rPr>
                <w:color w:val="000000"/>
              </w:rPr>
              <w:t xml:space="preserve">Nepieciešamie pasākumi Latvijas dalības palielināšanai zinātniskās izcilības tīklos un </w:t>
            </w:r>
            <w:r w:rsidR="00630EEF">
              <w:rPr>
                <w:color w:val="000000"/>
              </w:rPr>
              <w:t>Eiropas Pētniecības telpas</w:t>
            </w:r>
            <w:r w:rsidRPr="0014168F">
              <w:rPr>
                <w:color w:val="000000"/>
              </w:rPr>
              <w:t xml:space="preserve"> pētniecības programmās, tai </w:t>
            </w:r>
            <w:r w:rsidRPr="00251DD6">
              <w:rPr>
                <w:color w:val="000000"/>
              </w:rPr>
              <w:t xml:space="preserve">skaitā </w:t>
            </w:r>
            <w:r w:rsidR="00C266B3" w:rsidRPr="00251DD6">
              <w:t>programmā</w:t>
            </w:r>
            <w:r w:rsidRPr="00251DD6">
              <w:t xml:space="preserve"> “</w:t>
            </w:r>
            <w:r w:rsidRPr="00251DD6">
              <w:rPr>
                <w:iCs/>
              </w:rPr>
              <w:t>Apvārsnis 2020</w:t>
            </w:r>
            <w:r w:rsidR="00C266B3" w:rsidRPr="00251DD6">
              <w:t>”</w:t>
            </w:r>
            <w:r w:rsidRPr="00251DD6">
              <w:t xml:space="preserve"> </w:t>
            </w:r>
            <w:r w:rsidRPr="00251DD6">
              <w:rPr>
                <w:color w:val="000000"/>
              </w:rPr>
              <w:t xml:space="preserve">ir ietverti </w:t>
            </w:r>
            <w:r w:rsidRPr="00251DD6">
              <w:t xml:space="preserve">Zinātnes, tehnoloģijas attīstības un inovācijas pamatnostādnēs </w:t>
            </w:r>
            <w:proofErr w:type="gramStart"/>
            <w:r w:rsidRPr="00251DD6">
              <w:t>2014. – 2020.</w:t>
            </w:r>
            <w:proofErr w:type="gramEnd"/>
            <w:r w:rsidRPr="00251DD6">
              <w:t xml:space="preserve"> gadam </w:t>
            </w:r>
            <w:r w:rsidR="007B4B7C" w:rsidRPr="00251DD6">
              <w:t xml:space="preserve">(apstiprinātas ar Ministru kabineta 2013.gada 28.decembra rīkojumu Nr. 685 “Par Zinātnes, tehnoloģijas attīstības un inovācijas pamatnostādnēm 2014. – 2020. gadam”) </w:t>
            </w:r>
            <w:r w:rsidRPr="00251DD6">
              <w:t>(turpmāk – ZTAI)</w:t>
            </w:r>
            <w:r w:rsidRPr="00251DD6">
              <w:rPr>
                <w:rStyle w:val="FootnoteReference"/>
                <w:szCs w:val="26"/>
              </w:rPr>
              <w:t xml:space="preserve"> </w:t>
            </w:r>
            <w:r w:rsidRPr="00251DD6">
              <w:rPr>
                <w:rStyle w:val="FootnoteReference"/>
                <w:szCs w:val="26"/>
              </w:rPr>
              <w:footnoteReference w:id="2"/>
            </w:r>
            <w:r w:rsidRPr="00251DD6">
              <w:t xml:space="preserve"> un informatīvajā  ziņojumā „Par Eiropas Pētniecības telpas ceļveža 2016.-2020. gadam īstenošanu Latvijā”</w:t>
            </w:r>
            <w:r w:rsidR="00A64937" w:rsidRPr="00251DD6">
              <w:t xml:space="preserve"> (izskatīts MK 2016. gada 13. septembra sēdē (prot. Nr. 45 34. §)) </w:t>
            </w:r>
            <w:r w:rsidRPr="00251DD6">
              <w:rPr>
                <w:rStyle w:val="FootnoteReference"/>
              </w:rPr>
              <w:footnoteReference w:id="3"/>
            </w:r>
            <w:r w:rsidR="00A64937" w:rsidRPr="00251DD6">
              <w:t xml:space="preserve"> (turpmāk – ERA ceļvedis).</w:t>
            </w:r>
          </w:p>
          <w:p w14:paraId="35AB3EC0" w14:textId="510E8170" w:rsidR="00355258" w:rsidRPr="00251DD6" w:rsidRDefault="00355258" w:rsidP="00251DD6">
            <w:pPr>
              <w:ind w:firstLine="516"/>
              <w:jc w:val="both"/>
              <w:rPr>
                <w:bCs/>
                <w:iCs/>
                <w:noProof/>
              </w:rPr>
            </w:pPr>
            <w:r w:rsidRPr="0014168F">
              <w:t>ERA ceļvedis paredz, ka Latvija</w:t>
            </w:r>
            <w:r w:rsidR="00C266B3">
              <w:t>i</w:t>
            </w:r>
            <w:r w:rsidRPr="0014168F">
              <w:t xml:space="preserve"> ir aktīvi jāiesaistās kopīgajā ES dalībvalstu darbā </w:t>
            </w:r>
            <w:r w:rsidR="00C266B3" w:rsidRPr="0014168F">
              <w:t>starptautiskās sadarbības stiprināšanai</w:t>
            </w:r>
            <w:r w:rsidR="00C266B3">
              <w:t>,</w:t>
            </w:r>
            <w:r w:rsidR="00C266B3" w:rsidRPr="0014168F">
              <w:t xml:space="preserve"> </w:t>
            </w:r>
            <w:r w:rsidRPr="0014168F">
              <w:t>gan sinhronizējot zinātnes finansēšanu un novērtēšanu, gan arī</w:t>
            </w:r>
            <w:proofErr w:type="gramStart"/>
            <w:r w:rsidRPr="0014168F">
              <w:t xml:space="preserve">  </w:t>
            </w:r>
            <w:proofErr w:type="gramEnd"/>
            <w:r w:rsidRPr="0014168F">
              <w:t xml:space="preserve">izstrādājot un īstenojot kopīgus pasākumus starptautiskai sadarbībai zinātnes, tehnoloģiju un inovācijas jomā, pamatojoties uz dalībvalstu nacionālajām prioritātēm. ERA ceļvedī paredzēti pasākumi, kas veicami līdz 2020. gadam. Pasākumi </w:t>
            </w:r>
            <w:r w:rsidRPr="0014168F">
              <w:rPr>
                <w:bCs/>
                <w:iCs/>
              </w:rPr>
              <w:t xml:space="preserve">ietver zinātnieku mobilitāti uz un no trešajām valstīm, jaunu divpusējās vai daudzpusējās sadarbības programmu noslēgšanu ar trešajām valstīm, ar kurām Latvijai ir stratēģiska interese sadarboties, </w:t>
            </w:r>
            <w:r w:rsidRPr="0014168F">
              <w:rPr>
                <w:lang w:eastAsia="x-none"/>
              </w:rPr>
              <w:t xml:space="preserve">koncepcijas izstrādi nacionālā atvērto zinātnisko publikāciju un datu repozitorija izveidei Latvijā, </w:t>
            </w:r>
            <w:r w:rsidRPr="0014168F">
              <w:rPr>
                <w:bCs/>
                <w:iCs/>
                <w:noProof/>
                <w:lang w:val="x-none"/>
              </w:rPr>
              <w:t>finansējuma nodro</w:t>
            </w:r>
            <w:r w:rsidRPr="0014168F">
              <w:rPr>
                <w:bCs/>
                <w:iCs/>
                <w:noProof/>
              </w:rPr>
              <w:t>šināšanu</w:t>
            </w:r>
            <w:r w:rsidRPr="0014168F">
              <w:rPr>
                <w:bCs/>
                <w:iCs/>
                <w:noProof/>
                <w:lang w:val="x-none"/>
              </w:rPr>
              <w:t xml:space="preserve"> nacionālas nozīmes pētniecības infrastruktūras objektu uzturēšanai, tai skaitā zinātnisko kolekciju zinātniskai un</w:t>
            </w:r>
            <w:r w:rsidR="007B7EDC">
              <w:rPr>
                <w:bCs/>
                <w:iCs/>
                <w:noProof/>
                <w:lang w:val="x-none"/>
              </w:rPr>
              <w:t xml:space="preserve"> tehniskai uzturēšanai dalībai </w:t>
            </w:r>
            <w:r w:rsidR="00251DD6" w:rsidRPr="00251DD6">
              <w:rPr>
                <w:bCs/>
                <w:iCs/>
                <w:noProof/>
                <w:lang w:val="x-none"/>
              </w:rPr>
              <w:t>Eiropas pētniecības infrastruktūru stratēģiskā foruma (ESFRI)</w:t>
            </w:r>
            <w:r w:rsidR="00251DD6">
              <w:rPr>
                <w:bCs/>
                <w:iCs/>
                <w:noProof/>
              </w:rPr>
              <w:t xml:space="preserve"> </w:t>
            </w:r>
            <w:r w:rsidR="00251DD6" w:rsidRPr="00251DD6">
              <w:rPr>
                <w:bCs/>
                <w:iCs/>
                <w:noProof/>
                <w:lang w:val="x-none"/>
              </w:rPr>
              <w:t>Eiropas pētniecības infrastruktūru Ceļa kartes konsorcijos</w:t>
            </w:r>
            <w:r w:rsidR="00251DD6">
              <w:rPr>
                <w:rStyle w:val="FootnoteReference"/>
                <w:bCs/>
                <w:iCs/>
                <w:noProof/>
                <w:lang w:val="x-none"/>
              </w:rPr>
              <w:footnoteReference w:id="4"/>
            </w:r>
            <w:r w:rsidRPr="0014168F">
              <w:rPr>
                <w:bCs/>
                <w:iCs/>
                <w:noProof/>
              </w:rPr>
              <w:t xml:space="preserve">, aktīvu iesaistīšanos ES apstiprināto </w:t>
            </w:r>
            <w:r w:rsidRPr="0014168F">
              <w:t>lielo izaicinājumu risināšanā. Dalība</w:t>
            </w:r>
            <w:r w:rsidR="00C266B3">
              <w:t>i</w:t>
            </w:r>
            <w:r w:rsidRPr="0014168F">
              <w:t xml:space="preserve"> lielo izaicinājumu risināšanā </w:t>
            </w:r>
            <w:r w:rsidR="00C266B3">
              <w:t xml:space="preserve">nepieciešams </w:t>
            </w:r>
            <w:r w:rsidRPr="0014168F">
              <w:t xml:space="preserve">iesaistīties kopīgas programmēšanas procesā un no tā izrietošajās iniciatīvās (piemēram, kopīgas programmēšanas iniciatīvās) un nodrošināt to īstenošanu. </w:t>
            </w:r>
          </w:p>
          <w:p w14:paraId="2D202E4C" w14:textId="77777777" w:rsidR="00C266B3" w:rsidRDefault="00355258" w:rsidP="00C266B3">
            <w:pPr>
              <w:tabs>
                <w:tab w:val="left" w:pos="2884"/>
              </w:tabs>
              <w:ind w:firstLine="1083"/>
              <w:jc w:val="both"/>
            </w:pPr>
            <w:r w:rsidRPr="0014168F">
              <w:t xml:space="preserve">ES ietvarprogrammu ietvaros Latvijas projektiem piešķirtā finansējuma apmērs ir viens no zemākajiem salīdzinājumā ar citām ES </w:t>
            </w:r>
            <w:r w:rsidRPr="0014168F">
              <w:lastRenderedPageBreak/>
              <w:t>dalībvalstīm</w:t>
            </w:r>
            <w:r w:rsidR="00624576" w:rsidRPr="0014168F">
              <w:t xml:space="preserve"> (</w:t>
            </w:r>
            <w:r w:rsidR="006C162C" w:rsidRPr="0014168F">
              <w:t>detalizētāk</w:t>
            </w:r>
            <w:r w:rsidR="009E49B0" w:rsidRPr="0014168F">
              <w:t>a informācija attiecībā uz Latvijas projektiem piešķirto finansējumu,</w:t>
            </w:r>
            <w:r w:rsidR="006C162C" w:rsidRPr="0014168F">
              <w:t xml:space="preserve"> situācijas un problēmu analīze</w:t>
            </w:r>
            <w:r w:rsidR="00624576" w:rsidRPr="0014168F">
              <w:t xml:space="preserve"> ietverta 1.1.1.5. pasākuma sākotnējā novērtējum</w:t>
            </w:r>
            <w:r w:rsidR="009E49B0" w:rsidRPr="0014168F">
              <w:t>a projektā</w:t>
            </w:r>
            <w:r w:rsidR="00624576" w:rsidRPr="0014168F">
              <w:t xml:space="preserve">, pieejams: </w:t>
            </w:r>
            <w:hyperlink r:id="rId8" w:anchor="/SitePages/1.aspx" w:history="1">
              <w:r w:rsidR="00624576" w:rsidRPr="0014168F">
                <w:rPr>
                  <w:rStyle w:val="Hyperlink"/>
                </w:rPr>
                <w:t>https://komitejas.esfondi.lv/_layouts/15/start.aspx#/SitePages/1.aspx</w:t>
              </w:r>
            </w:hyperlink>
            <w:r w:rsidR="00C266B3">
              <w:t xml:space="preserve">).   </w:t>
            </w:r>
          </w:p>
          <w:p w14:paraId="6779FB7A" w14:textId="5CE5468F" w:rsidR="0006633B" w:rsidRPr="0014168F" w:rsidRDefault="00355258" w:rsidP="00C266B3">
            <w:pPr>
              <w:tabs>
                <w:tab w:val="left" w:pos="2884"/>
              </w:tabs>
              <w:ind w:firstLine="516"/>
              <w:jc w:val="both"/>
            </w:pPr>
            <w:r w:rsidRPr="0014168F">
              <w:t xml:space="preserve">Saskaņā ar </w:t>
            </w:r>
            <w:r w:rsidR="00F566DE" w:rsidRPr="0014168F">
              <w:t xml:space="preserve">Centrālās statistikas pārvaldes </w:t>
            </w:r>
            <w:r w:rsidRPr="0014168F">
              <w:t xml:space="preserve">datiem, zinātnes, tehnoloģiju attīstības un inovāciju nozares finansējuma struktūrā ārvalstu finansējums </w:t>
            </w:r>
            <w:r w:rsidR="00B2403B" w:rsidRPr="0014168F">
              <w:t>2015</w:t>
            </w:r>
            <w:r w:rsidRPr="0014168F">
              <w:t xml:space="preserve">. gadā </w:t>
            </w:r>
            <w:r w:rsidR="00906889">
              <w:t>bija</w:t>
            </w:r>
            <w:r w:rsidRPr="0014168F">
              <w:t xml:space="preserve"> </w:t>
            </w:r>
            <w:r w:rsidR="00B2403B" w:rsidRPr="0014168F">
              <w:t>45,01</w:t>
            </w:r>
            <w:r w:rsidRPr="0014168F">
              <w:t>%. Ārvalstu finansējums ir nozīmīgs finanšu resurss, ko nepieciešams efektīvi pārvaldīt un izmantot.</w:t>
            </w:r>
            <w:r w:rsidR="00624576" w:rsidRPr="0014168F">
              <w:t xml:space="preserve"> </w:t>
            </w:r>
            <w:r w:rsidR="0006633B" w:rsidRPr="0014168F">
              <w:t>Lai paaugstinātu Latvijas dalību starptautiskās sadarbības projektos pētniecībā un inovācijās, nepieciešams gan attīstīt zinātnisko institūciju kapacitāti un konkurētspēju, veicināt starptautisko</w:t>
            </w:r>
            <w:r w:rsidR="00AC226D" w:rsidRPr="0014168F">
              <w:t xml:space="preserve"> sadarbību</w:t>
            </w:r>
            <w:r w:rsidR="0006633B" w:rsidRPr="0014168F">
              <w:t xml:space="preserve">, paaugstināt projektu apjomu ietvarprogrammā “Apvārsnis2020” un </w:t>
            </w:r>
            <w:r w:rsidR="00906889">
              <w:t xml:space="preserve">turpināt </w:t>
            </w:r>
            <w:r w:rsidR="00535985">
              <w:t xml:space="preserve">ES </w:t>
            </w:r>
            <w:r w:rsidR="00906889">
              <w:t xml:space="preserve">9. Ietvara programmā </w:t>
            </w:r>
            <w:r w:rsidR="0006633B" w:rsidRPr="0014168F">
              <w:t xml:space="preserve">īstenot pasākumus, kas nodrošina ES dalībvalstu apstiprināto kopējo RIS3 pieeju ES fondu finansēto programmu īstenošanā. </w:t>
            </w:r>
          </w:p>
          <w:p w14:paraId="35F5A5DC" w14:textId="2938F736" w:rsidR="009A72C5" w:rsidRPr="0014168F" w:rsidRDefault="009A72C5" w:rsidP="00B848E2">
            <w:pPr>
              <w:tabs>
                <w:tab w:val="left" w:pos="1276"/>
              </w:tabs>
              <w:ind w:firstLine="516"/>
              <w:contextualSpacing/>
              <w:jc w:val="both"/>
            </w:pPr>
            <w:r w:rsidRPr="0014168F">
              <w:t>Lai stiprinātu nacionālās pētniecības kvalitāti un radīto ietekmi, mobilizējot nepieciešamos finanšu un cilvēkresursus, kā arī gūtu starptautisku atzinību un veicinātu motivāciju dalībai pētniecības programmās, i</w:t>
            </w:r>
            <w:r w:rsidR="004461CB">
              <w:t>ntensīvāk iesaistoties Eiropas P</w:t>
            </w:r>
            <w:r w:rsidRPr="0014168F">
              <w:t>ētniecības telpā, kā arī</w:t>
            </w:r>
            <w:r w:rsidR="00906889">
              <w:t xml:space="preserve">, </w:t>
            </w:r>
            <w:r w:rsidR="0006633B" w:rsidRPr="0014168F">
              <w:t xml:space="preserve">saskaņā ar </w:t>
            </w:r>
            <w:r w:rsidR="00782418" w:rsidRPr="0014168F">
              <w:t>RIS</w:t>
            </w:r>
            <w:r w:rsidR="007F13C1" w:rsidRPr="0014168F">
              <w:t xml:space="preserve">3 </w:t>
            </w:r>
            <w:r w:rsidR="0006633B" w:rsidRPr="0014168F">
              <w:t>rezultātu rādītāju sistēmu,</w:t>
            </w:r>
            <w:r w:rsidR="0006633B" w:rsidRPr="0014168F">
              <w:rPr>
                <w:vertAlign w:val="superscript"/>
              </w:rPr>
              <w:footnoteReference w:id="5"/>
            </w:r>
            <w:r w:rsidR="0006633B" w:rsidRPr="0014168F">
              <w:t xml:space="preserve"> lai sasniegtu plānošanas dokumentos noteikto </w:t>
            </w:r>
            <w:r w:rsidR="007F13C1" w:rsidRPr="0014168F">
              <w:t xml:space="preserve">pētniecības un attīstības </w:t>
            </w:r>
            <w:r w:rsidR="0006633B" w:rsidRPr="0014168F">
              <w:t>izdevumu ap</w:t>
            </w:r>
            <w:r w:rsidR="00906889">
              <w:t xml:space="preserve">jomu </w:t>
            </w:r>
            <w:proofErr w:type="gramStart"/>
            <w:r w:rsidR="00906889">
              <w:t>(</w:t>
            </w:r>
            <w:proofErr w:type="gramEnd"/>
            <w:r w:rsidR="00906889">
              <w:t>1,5% no iekšzemes kopprodukta</w:t>
            </w:r>
            <w:r w:rsidR="0006633B" w:rsidRPr="0014168F">
              <w:t xml:space="preserve"> 2020.</w:t>
            </w:r>
            <w:r w:rsidR="00AC226D" w:rsidRPr="0014168F">
              <w:t> </w:t>
            </w:r>
            <w:r w:rsidR="0006633B" w:rsidRPr="0014168F">
              <w:t xml:space="preserve">gadā), nepieciešams piesaistīt papildu ārvalstu, uzņēmējdarbības un valsts finansējumu publiskajā sektorā, ārvalstu piesaistīto finansējumu kāpinot par 40,9% (salīdzinot ar 2013. gadu), </w:t>
            </w:r>
            <w:r w:rsidR="00397073">
              <w:t xml:space="preserve">un </w:t>
            </w:r>
            <w:r w:rsidR="0006633B" w:rsidRPr="0014168F">
              <w:t>vienlaikus veicot</w:t>
            </w:r>
            <w:r w:rsidRPr="0014168F">
              <w:t xml:space="preserve"> šādus pasākumus:</w:t>
            </w:r>
          </w:p>
          <w:p w14:paraId="2BE8B6B3" w14:textId="23B5DD31" w:rsidR="009A72C5" w:rsidRPr="0014168F" w:rsidRDefault="00DF6528" w:rsidP="00A067D4">
            <w:pPr>
              <w:pStyle w:val="ListParagraph"/>
              <w:numPr>
                <w:ilvl w:val="0"/>
                <w:numId w:val="8"/>
              </w:numPr>
              <w:tabs>
                <w:tab w:val="left" w:pos="709"/>
              </w:tabs>
              <w:rPr>
                <w:szCs w:val="24"/>
              </w:rPr>
            </w:pPr>
            <w:r w:rsidRPr="0014168F">
              <w:rPr>
                <w:szCs w:val="24"/>
              </w:rPr>
              <w:t xml:space="preserve">veicināt </w:t>
            </w:r>
            <w:r w:rsidR="009A72C5" w:rsidRPr="0014168F">
              <w:rPr>
                <w:szCs w:val="24"/>
              </w:rPr>
              <w:t>z</w:t>
            </w:r>
            <w:r w:rsidR="0006633B" w:rsidRPr="0014168F">
              <w:rPr>
                <w:szCs w:val="24"/>
              </w:rPr>
              <w:t>inātnisko institūciju</w:t>
            </w:r>
            <w:r w:rsidR="009A72C5" w:rsidRPr="0014168F">
              <w:rPr>
                <w:szCs w:val="24"/>
              </w:rPr>
              <w:t xml:space="preserve"> kapacit</w:t>
            </w:r>
            <w:r w:rsidRPr="0014168F">
              <w:rPr>
                <w:szCs w:val="24"/>
              </w:rPr>
              <w:t>ātes un konkurētspējas attīstību</w:t>
            </w:r>
            <w:r w:rsidR="009A72C5" w:rsidRPr="0014168F">
              <w:rPr>
                <w:szCs w:val="24"/>
              </w:rPr>
              <w:t>;</w:t>
            </w:r>
          </w:p>
          <w:p w14:paraId="19B5B956" w14:textId="77777777" w:rsidR="009A72C5" w:rsidRPr="0014168F" w:rsidRDefault="00DF6528" w:rsidP="00A067D4">
            <w:pPr>
              <w:pStyle w:val="ListParagraph"/>
              <w:numPr>
                <w:ilvl w:val="0"/>
                <w:numId w:val="8"/>
              </w:numPr>
              <w:tabs>
                <w:tab w:val="left" w:pos="709"/>
              </w:tabs>
              <w:rPr>
                <w:szCs w:val="24"/>
              </w:rPr>
            </w:pPr>
            <w:r w:rsidRPr="0014168F">
              <w:rPr>
                <w:szCs w:val="24"/>
              </w:rPr>
              <w:t xml:space="preserve">sekmēt </w:t>
            </w:r>
            <w:r w:rsidR="009A72C5" w:rsidRPr="0014168F">
              <w:rPr>
                <w:szCs w:val="24"/>
              </w:rPr>
              <w:t>starp</w:t>
            </w:r>
            <w:r w:rsidRPr="0014168F">
              <w:rPr>
                <w:szCs w:val="24"/>
              </w:rPr>
              <w:t>tautiskās sadarbības veicināšanu</w:t>
            </w:r>
            <w:r w:rsidR="009A72C5" w:rsidRPr="0014168F">
              <w:rPr>
                <w:szCs w:val="24"/>
              </w:rPr>
              <w:t xml:space="preserve"> pētniecībā;</w:t>
            </w:r>
          </w:p>
          <w:p w14:paraId="6B93D695" w14:textId="33C049FF" w:rsidR="009A72C5" w:rsidRPr="0014168F" w:rsidRDefault="0006633B" w:rsidP="00A067D4">
            <w:pPr>
              <w:pStyle w:val="ListParagraph"/>
              <w:numPr>
                <w:ilvl w:val="0"/>
                <w:numId w:val="8"/>
              </w:numPr>
              <w:tabs>
                <w:tab w:val="left" w:pos="709"/>
              </w:tabs>
              <w:rPr>
                <w:szCs w:val="24"/>
              </w:rPr>
            </w:pPr>
            <w:r w:rsidRPr="0014168F">
              <w:rPr>
                <w:szCs w:val="24"/>
              </w:rPr>
              <w:t xml:space="preserve">paaugstināt Latvijas dalību </w:t>
            </w:r>
            <w:r w:rsidR="009A72C5" w:rsidRPr="0014168F">
              <w:rPr>
                <w:szCs w:val="24"/>
              </w:rPr>
              <w:t>programmas “Apvārsnis 2020”</w:t>
            </w:r>
            <w:r w:rsidRPr="0014168F">
              <w:rPr>
                <w:szCs w:val="24"/>
              </w:rPr>
              <w:t xml:space="preserve"> </w:t>
            </w:r>
            <w:r w:rsidR="009E49B0" w:rsidRPr="0014168F">
              <w:rPr>
                <w:szCs w:val="24"/>
              </w:rPr>
              <w:t xml:space="preserve">un </w:t>
            </w:r>
            <w:r w:rsidR="00535985">
              <w:rPr>
                <w:szCs w:val="24"/>
              </w:rPr>
              <w:t>ES</w:t>
            </w:r>
            <w:r w:rsidR="008A4ED2" w:rsidRPr="0014168F">
              <w:rPr>
                <w:szCs w:val="24"/>
              </w:rPr>
              <w:t xml:space="preserve"> </w:t>
            </w:r>
            <w:r w:rsidR="009E49B0" w:rsidRPr="0014168F">
              <w:rPr>
                <w:szCs w:val="24"/>
              </w:rPr>
              <w:t xml:space="preserve">9. Ietvara programmas </w:t>
            </w:r>
            <w:r w:rsidRPr="0014168F">
              <w:rPr>
                <w:szCs w:val="24"/>
              </w:rPr>
              <w:t>konkursos;</w:t>
            </w:r>
          </w:p>
          <w:p w14:paraId="219BF0C4" w14:textId="097088A5" w:rsidR="009A72C5" w:rsidRPr="0014168F" w:rsidRDefault="0006633B" w:rsidP="00A067D4">
            <w:pPr>
              <w:pStyle w:val="ListParagraph"/>
              <w:numPr>
                <w:ilvl w:val="0"/>
                <w:numId w:val="8"/>
              </w:numPr>
              <w:tabs>
                <w:tab w:val="left" w:pos="709"/>
              </w:tabs>
              <w:rPr>
                <w:szCs w:val="24"/>
              </w:rPr>
            </w:pPr>
            <w:r w:rsidRPr="0014168F">
              <w:rPr>
                <w:szCs w:val="24"/>
              </w:rPr>
              <w:t>īstenot programmas atbilstoši RIS3 principiem un nodrošināt sinerģiju ar progra</w:t>
            </w:r>
            <w:r w:rsidR="00B2403B" w:rsidRPr="0014168F">
              <w:rPr>
                <w:szCs w:val="24"/>
              </w:rPr>
              <w:t>m</w:t>
            </w:r>
            <w:r w:rsidRPr="0014168F">
              <w:rPr>
                <w:szCs w:val="24"/>
              </w:rPr>
              <w:t xml:space="preserve">mu </w:t>
            </w:r>
            <w:r w:rsidRPr="00C266B3">
              <w:rPr>
                <w:szCs w:val="24"/>
              </w:rPr>
              <w:t>“Apvārsnis 2020”.</w:t>
            </w:r>
          </w:p>
          <w:p w14:paraId="6D9B7647" w14:textId="0AEC09FE" w:rsidR="002A46FA" w:rsidRPr="0014168F" w:rsidRDefault="002A46FA" w:rsidP="00B848E2">
            <w:pPr>
              <w:tabs>
                <w:tab w:val="left" w:pos="567"/>
                <w:tab w:val="left" w:pos="2884"/>
              </w:tabs>
              <w:ind w:firstLine="709"/>
              <w:jc w:val="both"/>
              <w:rPr>
                <w:iCs/>
              </w:rPr>
            </w:pPr>
            <w:r w:rsidRPr="0014168F">
              <w:t xml:space="preserve">Lai veicinātu zinātnisko institūciju līdzdalību </w:t>
            </w:r>
            <w:r w:rsidR="00535985">
              <w:t>ES</w:t>
            </w:r>
            <w:r w:rsidRPr="0014168F">
              <w:t xml:space="preserve"> pētniecības un inovācijas pamatprogrammās, tādējādi sekmējot starptautisko sadarbību pētniecības</w:t>
            </w:r>
            <w:r w:rsidRPr="0014168F">
              <w:rPr>
                <w:sz w:val="28"/>
              </w:rPr>
              <w:t xml:space="preserve"> </w:t>
            </w:r>
            <w:r w:rsidRPr="0014168F">
              <w:t xml:space="preserve">un tehnoloģiju jomā, Izglītības un zinātnes ministrija </w:t>
            </w:r>
            <w:proofErr w:type="gramStart"/>
            <w:r w:rsidRPr="0014168F">
              <w:t>2007. – 2013.</w:t>
            </w:r>
            <w:proofErr w:type="gramEnd"/>
            <w:r w:rsidRPr="0014168F">
              <w:t xml:space="preserve"> gada ES fondu plānošanas periodā īstenoja programmas „Uzņēmējdarbība un inovācijas” papildinājuma 2.1.1.2. aktivitāti “Atbalsts starptautiskās sadarbības projektiem zinātnē un tehnoloģijās”</w:t>
            </w:r>
            <w:r w:rsidR="00B2403B" w:rsidRPr="0014168F">
              <w:t xml:space="preserve"> (</w:t>
            </w:r>
            <w:r w:rsidRPr="0014168F">
              <w:t xml:space="preserve">turpmāk - 2.1.1.2. aktivitāte) divās </w:t>
            </w:r>
            <w:r w:rsidR="001C66F7" w:rsidRPr="0014168F">
              <w:t xml:space="preserve">kārtās, kas zinātniskajām institūcijām deva iespēju īstenot starptautiskās sadarbības projektu iesniegumu sagatavošanu dalībai </w:t>
            </w:r>
            <w:r w:rsidR="00F36BA9" w:rsidRPr="00F36BA9">
              <w:t>E</w:t>
            </w:r>
            <w:r w:rsidR="00F36BA9" w:rsidRPr="00F36BA9">
              <w:rPr>
                <w:bCs/>
              </w:rPr>
              <w:t xml:space="preserve">iropas Kopienas Septīto </w:t>
            </w:r>
            <w:r w:rsidR="00F36BA9" w:rsidRPr="00F36BA9">
              <w:rPr>
                <w:bCs/>
              </w:rPr>
              <w:lastRenderedPageBreak/>
              <w:t>pamatprogrammu pētniecības</w:t>
            </w:r>
            <w:r w:rsidR="00F36BA9" w:rsidRPr="00F36BA9">
              <w:t>, </w:t>
            </w:r>
            <w:r w:rsidR="00F36BA9" w:rsidRPr="00F36BA9">
              <w:rPr>
                <w:bCs/>
              </w:rPr>
              <w:t>tehnoloģiju attīstības</w:t>
            </w:r>
            <w:r w:rsidR="00F36BA9" w:rsidRPr="00F36BA9">
              <w:t xml:space="preserve"> un </w:t>
            </w:r>
            <w:r w:rsidR="00F36BA9" w:rsidRPr="00F36BA9">
              <w:rPr>
                <w:bCs/>
              </w:rPr>
              <w:t>demonstrējumu pasākumiem</w:t>
            </w:r>
            <w:r w:rsidR="00F36BA9" w:rsidRPr="00F36BA9">
              <w:t xml:space="preserve"> (tur</w:t>
            </w:r>
            <w:r w:rsidR="00F36BA9">
              <w:t>pmāk - 7. Ietvara programma)</w:t>
            </w:r>
            <w:r w:rsidR="001C66F7" w:rsidRPr="0014168F">
              <w:t xml:space="preserve">, EUREKA un citās ES un starptautiskajās pētniecības un tehnoloģiju attīstības programmās, veicināja sadarbību starp zinātniskajām institūcijām, deva iespēju apmeklēt konferences un </w:t>
            </w:r>
            <w:r w:rsidR="00B2403B" w:rsidRPr="0014168F">
              <w:t>doties vizītēs</w:t>
            </w:r>
            <w:r w:rsidRPr="0014168F">
              <w:t xml:space="preserve"> pie poten</w:t>
            </w:r>
            <w:r w:rsidR="001C66F7" w:rsidRPr="0014168F">
              <w:t xml:space="preserve">ciālajiem sadarbības partneriem. Struktūrfondu finansējums sniedza pozitīvu ietekmi uz </w:t>
            </w:r>
            <w:r w:rsidR="00F36BA9">
              <w:t>7. Ietvara programmā</w:t>
            </w:r>
            <w:r w:rsidR="001C66F7" w:rsidRPr="0014168F">
              <w:t>, EUREKA un citās ES un starptautiskajās pētniecības un tehnoloģiju attīstības programmās</w:t>
            </w:r>
            <w:r w:rsidR="001C66F7" w:rsidRPr="0014168F">
              <w:rPr>
                <w:iCs/>
              </w:rPr>
              <w:t xml:space="preserve"> Latvijas pieteikto projektu skaita pieaugumu.</w:t>
            </w:r>
            <w:r w:rsidR="009D4994" w:rsidRPr="0014168F">
              <w:rPr>
                <w:iCs/>
              </w:rPr>
              <w:t xml:space="preserve"> </w:t>
            </w:r>
            <w:r w:rsidRPr="0014168F">
              <w:t xml:space="preserve">1.1.1.5. pasākuma </w:t>
            </w:r>
            <w:r w:rsidR="009D4994" w:rsidRPr="0014168F">
              <w:t xml:space="preserve">ietvaros plānotās darbības papildinās līdz šim veiktos struktūrfondu finansējuma ieguldījumus </w:t>
            </w:r>
            <w:r w:rsidR="001C66F7" w:rsidRPr="0014168F">
              <w:t xml:space="preserve">zinātnisko institūciju </w:t>
            </w:r>
            <w:r w:rsidRPr="0014168F">
              <w:t>konkurētspē</w:t>
            </w:r>
            <w:r w:rsidR="009D4994" w:rsidRPr="0014168F">
              <w:t>jas</w:t>
            </w:r>
            <w:r w:rsidR="001C66F7" w:rsidRPr="0014168F">
              <w:t xml:space="preserve">, </w:t>
            </w:r>
            <w:r w:rsidR="009D4994" w:rsidRPr="0014168F">
              <w:t>atpazīstamības</w:t>
            </w:r>
            <w:r w:rsidR="001C66F7" w:rsidRPr="0014168F">
              <w:t xml:space="preserve"> </w:t>
            </w:r>
            <w:r w:rsidR="009D4994" w:rsidRPr="0014168F">
              <w:t xml:space="preserve">un starptautiskās sadarbības veicināšanai </w:t>
            </w:r>
            <w:r w:rsidR="001C66F7" w:rsidRPr="0014168F">
              <w:t>2014.</w:t>
            </w:r>
            <w:r w:rsidR="00397073">
              <w:t xml:space="preserve"> </w:t>
            </w:r>
            <w:r w:rsidR="001C66F7" w:rsidRPr="0014168F">
              <w:t>-</w:t>
            </w:r>
            <w:r w:rsidR="00397073">
              <w:t xml:space="preserve"> </w:t>
            </w:r>
            <w:r w:rsidR="001C66F7" w:rsidRPr="0014168F">
              <w:t>2020.</w:t>
            </w:r>
            <w:r w:rsidR="00397073">
              <w:t xml:space="preserve"> </w:t>
            </w:r>
            <w:r w:rsidR="001C66F7" w:rsidRPr="0014168F">
              <w:t xml:space="preserve">gada </w:t>
            </w:r>
            <w:r w:rsidRPr="0014168F">
              <w:t xml:space="preserve">ES fondu </w:t>
            </w:r>
            <w:r w:rsidR="001C66F7" w:rsidRPr="0014168F">
              <w:t>plānošanas perioda ietvaros.</w:t>
            </w:r>
          </w:p>
          <w:p w14:paraId="5FEFBC4E" w14:textId="7E8D9906" w:rsidR="0006633B" w:rsidRPr="00382D36" w:rsidRDefault="009A72C5" w:rsidP="00B848E2">
            <w:pPr>
              <w:ind w:firstLine="516"/>
              <w:jc w:val="both"/>
            </w:pPr>
            <w:r w:rsidRPr="0014168F">
              <w:t xml:space="preserve">Ar noteikumu projektu tiks noteikts tiesiskais ietvars </w:t>
            </w:r>
            <w:r w:rsidR="004647F1" w:rsidRPr="0014168F">
              <w:t>1.1.1.5.</w:t>
            </w:r>
            <w:r w:rsidR="0006633B" w:rsidRPr="0014168F">
              <w:t> </w:t>
            </w:r>
            <w:r w:rsidRPr="0014168F">
              <w:t xml:space="preserve">pasākuma </w:t>
            </w:r>
            <w:r w:rsidR="006A64B3" w:rsidRPr="0014168F">
              <w:t xml:space="preserve">pirmās, otrās un trešās projektu </w:t>
            </w:r>
            <w:r w:rsidR="006A64B3" w:rsidRPr="00382D36">
              <w:t xml:space="preserve">iesniegumu atlases </w:t>
            </w:r>
            <w:r w:rsidR="0006633B" w:rsidRPr="00382D36">
              <w:t xml:space="preserve">kārtas </w:t>
            </w:r>
            <w:r w:rsidRPr="00382D36">
              <w:t xml:space="preserve">īstenošanai, lai sasniegtu izvirzīto </w:t>
            </w:r>
            <w:r w:rsidR="004647F1" w:rsidRPr="00382D36">
              <w:t>1.1.1.5.</w:t>
            </w:r>
            <w:r w:rsidR="00BA0E1E" w:rsidRPr="00382D36">
              <w:t xml:space="preserve"> </w:t>
            </w:r>
            <w:r w:rsidRPr="00382D36">
              <w:t xml:space="preserve">pasākuma mērķi – </w:t>
            </w:r>
            <w:r w:rsidR="004461CB" w:rsidRPr="00382D36">
              <w:t>sekmēt Eiropas P</w:t>
            </w:r>
            <w:r w:rsidR="006034D2" w:rsidRPr="00382D36">
              <w:t xml:space="preserve">ētniecības </w:t>
            </w:r>
            <w:r w:rsidR="006034D2" w:rsidRPr="00382D36">
              <w:rPr>
                <w:bCs/>
              </w:rPr>
              <w:t xml:space="preserve">telpas </w:t>
            </w:r>
            <w:r w:rsidR="006034D2" w:rsidRPr="00382D36">
              <w:t>bilaterālās un multilaterālās sadarbības projektu izstrādi un dalību starptautiskos pētniecības, tīklošanās un sad</w:t>
            </w:r>
            <w:r w:rsidR="004461CB" w:rsidRPr="00382D36">
              <w:t>raudzības pasākumos un Eiropas P</w:t>
            </w:r>
            <w:r w:rsidR="006034D2" w:rsidRPr="00382D36">
              <w:t>ētniecības infrastruktūru stratēģiskā foruma infrastruktūras objektos, tai skaitā sniedzot atbalstu Nacionālā kontaktpunkta kapacitātes stiprināšanai</w:t>
            </w:r>
            <w:r w:rsidRPr="00382D36">
              <w:t>.</w:t>
            </w:r>
          </w:p>
          <w:p w14:paraId="6FCD80A9" w14:textId="68C6FC67" w:rsidR="009A72C5" w:rsidRPr="00382D36" w:rsidRDefault="009A72C5" w:rsidP="00B848E2">
            <w:pPr>
              <w:ind w:firstLine="516"/>
              <w:jc w:val="both"/>
            </w:pPr>
            <w:r w:rsidRPr="00382D36">
              <w:t xml:space="preserve">Noteikumu projekts nosaka kārtību, kādā īsteno </w:t>
            </w:r>
            <w:r w:rsidR="004647F1" w:rsidRPr="00382D36">
              <w:t>1.1.1.5.</w:t>
            </w:r>
            <w:r w:rsidR="00BA0E1E" w:rsidRPr="00382D36">
              <w:t xml:space="preserve"> </w:t>
            </w:r>
            <w:r w:rsidR="006A64B3" w:rsidRPr="00382D36">
              <w:t xml:space="preserve">pasākuma pirmo, otro un </w:t>
            </w:r>
            <w:r w:rsidR="0006633B" w:rsidRPr="00382D36">
              <w:t>trešo projektu iesniegumu atlases kārtu</w:t>
            </w:r>
            <w:r w:rsidRPr="00382D36">
              <w:t>, mērķi un mērķa grupu, pieejamo finansējumu, sasniedzamos uzraudzības rādītājus, prasības projektu iesniedzējiem, atbalstāmās darbības, izmaksu attiecināmības nosacījumus,</w:t>
            </w:r>
            <w:r w:rsidRPr="00382D36">
              <w:rPr>
                <w:sz w:val="28"/>
                <w:szCs w:val="28"/>
              </w:rPr>
              <w:t xml:space="preserve"> </w:t>
            </w:r>
            <w:r w:rsidR="006034D2" w:rsidRPr="00382D36">
              <w:t>vienkāršoto izmaksu piemērošanas nosacījumus un kārtību</w:t>
            </w:r>
            <w:r w:rsidRPr="00382D36">
              <w:t>, kā arī</w:t>
            </w:r>
            <w:r w:rsidRPr="00382D36">
              <w:rPr>
                <w:sz w:val="28"/>
                <w:szCs w:val="28"/>
              </w:rPr>
              <w:t xml:space="preserve"> </w:t>
            </w:r>
            <w:r w:rsidRPr="00382D36">
              <w:t>vienošanās</w:t>
            </w:r>
            <w:r w:rsidR="006A64B3" w:rsidRPr="00382D36">
              <w:t>/līguma</w:t>
            </w:r>
            <w:r w:rsidRPr="00382D36">
              <w:t xml:space="preserve"> par projekta īstenošanu uzteikuma nosacījumus. </w:t>
            </w:r>
          </w:p>
          <w:p w14:paraId="24811144" w14:textId="77777777" w:rsidR="006A64B3" w:rsidRPr="00382D36" w:rsidRDefault="004647F1" w:rsidP="00B848E2">
            <w:pPr>
              <w:tabs>
                <w:tab w:val="left" w:pos="426"/>
                <w:tab w:val="left" w:pos="1134"/>
              </w:tabs>
              <w:ind w:firstLine="516"/>
              <w:jc w:val="both"/>
            </w:pPr>
            <w:bookmarkStart w:id="0" w:name="_Ref455047587"/>
            <w:r w:rsidRPr="00382D36">
              <w:t>1.1.1.5.</w:t>
            </w:r>
            <w:r w:rsidR="00BA0E1E" w:rsidRPr="00382D36">
              <w:t xml:space="preserve"> </w:t>
            </w:r>
            <w:r w:rsidR="009A72C5" w:rsidRPr="00382D36">
              <w:t xml:space="preserve">pasākuma īstenošanai plānotais kopējais attiecināmais finansējums ir </w:t>
            </w:r>
            <w:r w:rsidR="005B19B9" w:rsidRPr="00382D36">
              <w:t>32 552 786 </w:t>
            </w:r>
            <w:r w:rsidR="005B19B9" w:rsidRPr="00382D36">
              <w:rPr>
                <w:i/>
              </w:rPr>
              <w:t>euro</w:t>
            </w:r>
            <w:r w:rsidR="005B19B9" w:rsidRPr="00382D36">
              <w:t>, tai skaitā Eiropas Reģionālās attīstības fonda finansējums 27 669 868 </w:t>
            </w:r>
            <w:r w:rsidR="005B19B9" w:rsidRPr="00382D36">
              <w:rPr>
                <w:i/>
              </w:rPr>
              <w:t>euro</w:t>
            </w:r>
            <w:r w:rsidR="005B19B9" w:rsidRPr="00382D36">
              <w:t xml:space="preserve"> un valsts budžeta līdzfinansējums 4 882 918 </w:t>
            </w:r>
            <w:r w:rsidR="005B19B9" w:rsidRPr="00382D36">
              <w:rPr>
                <w:i/>
              </w:rPr>
              <w:t>euro</w:t>
            </w:r>
            <w:r w:rsidR="009A72C5" w:rsidRPr="00382D36">
              <w:t xml:space="preserve">. </w:t>
            </w:r>
            <w:r w:rsidR="005B19B9" w:rsidRPr="00382D36">
              <w:t xml:space="preserve"> </w:t>
            </w:r>
          </w:p>
          <w:p w14:paraId="694C9AE1" w14:textId="683FDCA9" w:rsidR="00040238" w:rsidRPr="00382D36" w:rsidRDefault="002A46FA" w:rsidP="00B848E2">
            <w:pPr>
              <w:pStyle w:val="tv213"/>
              <w:shd w:val="clear" w:color="auto" w:fill="FFFFFF"/>
              <w:spacing w:before="0" w:beforeAutospacing="0" w:after="0" w:afterAutospacing="0"/>
              <w:ind w:firstLine="516"/>
              <w:jc w:val="both"/>
            </w:pPr>
            <w:proofErr w:type="gramStart"/>
            <w:r w:rsidRPr="00382D36">
              <w:t>Savukārt,</w:t>
            </w:r>
            <w:proofErr w:type="gramEnd"/>
            <w:r w:rsidRPr="00382D36">
              <w:t xml:space="preserve"> līdz 2018. gada 31. decembrim </w:t>
            </w:r>
            <w:r w:rsidR="00040238" w:rsidRPr="00382D36">
              <w:t xml:space="preserve">pieejamais kopējais attiecināmais finansējums, lai slēgtu vienošanos/līgumu par projekta īstenošanu, ir ne mazāks kā 23 537 360 </w:t>
            </w:r>
            <w:r w:rsidR="00040238" w:rsidRPr="00382D36">
              <w:rPr>
                <w:i/>
              </w:rPr>
              <w:t>euro</w:t>
            </w:r>
            <w:r w:rsidR="00040238" w:rsidRPr="00382D36">
              <w:t xml:space="preserve">, tai skaitā Eiropas Reģionālās attīstības fonda finansējums – 20 006 756 </w:t>
            </w:r>
            <w:r w:rsidR="00040238" w:rsidRPr="00382D36">
              <w:rPr>
                <w:i/>
              </w:rPr>
              <w:t>euro</w:t>
            </w:r>
            <w:r w:rsidR="00040238" w:rsidRPr="00382D36">
              <w:t xml:space="preserve"> un valsts budžeta līdzfinansējums – 3 530 604 </w:t>
            </w:r>
            <w:r w:rsidR="00040238" w:rsidRPr="00382D36">
              <w:rPr>
                <w:i/>
              </w:rPr>
              <w:t>euro</w:t>
            </w:r>
            <w:r w:rsidR="00040238" w:rsidRPr="00382D36">
              <w:t>.</w:t>
            </w:r>
          </w:p>
          <w:p w14:paraId="7501254B" w14:textId="55E8408F" w:rsidR="002A46FA" w:rsidRPr="00382D36" w:rsidRDefault="00D77C8B" w:rsidP="00B848E2">
            <w:pPr>
              <w:tabs>
                <w:tab w:val="left" w:pos="426"/>
                <w:tab w:val="left" w:pos="1134"/>
              </w:tabs>
              <w:ind w:firstLine="516"/>
              <w:jc w:val="both"/>
              <w:rPr>
                <w:iCs/>
              </w:rPr>
            </w:pPr>
            <w:r w:rsidRPr="00382D36">
              <w:t xml:space="preserve">1.1.1.5. pasākumā iekļauts 1.1.1.4. pasākuma snieguma rezerves finansējums 7 029 861 </w:t>
            </w:r>
            <w:r w:rsidRPr="00382D36">
              <w:rPr>
                <w:i/>
              </w:rPr>
              <w:t xml:space="preserve">euro </w:t>
            </w:r>
            <w:r w:rsidRPr="00382D36">
              <w:t xml:space="preserve">un </w:t>
            </w:r>
            <w:r w:rsidR="00EA7CFC" w:rsidRPr="00382D36">
              <w:t>1.1.1.5. pasākuma snieguma rezerve</w:t>
            </w:r>
            <w:r w:rsidRPr="00382D36">
              <w:t>s finansējums</w:t>
            </w:r>
            <w:r w:rsidR="00EA7CFC" w:rsidRPr="00382D36">
              <w:t xml:space="preserve"> 1 985 565 </w:t>
            </w:r>
            <w:r w:rsidR="00EA7CFC" w:rsidRPr="00382D36">
              <w:rPr>
                <w:i/>
              </w:rPr>
              <w:t>euro</w:t>
            </w:r>
            <w:r w:rsidRPr="00382D36">
              <w:rPr>
                <w:i/>
              </w:rPr>
              <w:t xml:space="preserve">, </w:t>
            </w:r>
            <w:r w:rsidRPr="00382D36">
              <w:t>kas kopumā</w:t>
            </w:r>
            <w:proofErr w:type="gramStart"/>
            <w:r w:rsidRPr="00382D36">
              <w:rPr>
                <w:i/>
              </w:rPr>
              <w:t xml:space="preserve"> </w:t>
            </w:r>
            <w:r w:rsidR="00EA7CFC" w:rsidRPr="00382D36">
              <w:t xml:space="preserve"> </w:t>
            </w:r>
            <w:proofErr w:type="gramEnd"/>
            <w:r w:rsidRPr="00382D36">
              <w:t xml:space="preserve">1.1.1.5. pasākuma ietvaros veido snieguma rezerves finansējumu 9 015 426 </w:t>
            </w:r>
            <w:r w:rsidRPr="00382D36">
              <w:rPr>
                <w:i/>
              </w:rPr>
              <w:t>euro</w:t>
            </w:r>
            <w:r w:rsidRPr="00382D36">
              <w:t xml:space="preserve"> apmērā, no kura Eiropas reģionālās attīstības fonda (turpmāk – ERAF) </w:t>
            </w:r>
            <w:r w:rsidRPr="00382D36">
              <w:rPr>
                <w:iCs/>
              </w:rPr>
              <w:t xml:space="preserve">finansējums 7 663 112 </w:t>
            </w:r>
            <w:r w:rsidRPr="00382D36">
              <w:rPr>
                <w:i/>
                <w:iCs/>
              </w:rPr>
              <w:t>euro</w:t>
            </w:r>
            <w:r w:rsidRPr="00382D36">
              <w:rPr>
                <w:iCs/>
              </w:rPr>
              <w:t xml:space="preserve">  un valsts budžeta finansējums 1 352 314 </w:t>
            </w:r>
            <w:r w:rsidRPr="00382D36">
              <w:rPr>
                <w:i/>
                <w:iCs/>
              </w:rPr>
              <w:t>euro</w:t>
            </w:r>
            <w:r w:rsidRPr="00382D36">
              <w:rPr>
                <w:iCs/>
              </w:rPr>
              <w:t xml:space="preserve"> apmērā no pasākuma ietvaros pieejamā finansējuma</w:t>
            </w:r>
            <w:r w:rsidR="00BA2096" w:rsidRPr="00382D36">
              <w:rPr>
                <w:iCs/>
              </w:rPr>
              <w:t xml:space="preserve">, tai skaitā </w:t>
            </w:r>
            <w:r w:rsidR="00BA2096" w:rsidRPr="00382D36">
              <w:t xml:space="preserve">snieguma rezerves finansējums </w:t>
            </w:r>
            <w:r w:rsidR="00BA2096" w:rsidRPr="00382D36">
              <w:rPr>
                <w:iCs/>
              </w:rPr>
              <w:t xml:space="preserve">pirmās kārtas ietvaros ir 4 170 709 </w:t>
            </w:r>
            <w:r w:rsidR="00BA2096" w:rsidRPr="00382D36">
              <w:rPr>
                <w:i/>
                <w:iCs/>
              </w:rPr>
              <w:t>euro</w:t>
            </w:r>
            <w:r w:rsidR="00BA2096" w:rsidRPr="00382D36">
              <w:rPr>
                <w:iCs/>
              </w:rPr>
              <w:t xml:space="preserve">, otrās kārtas ietvaros - 344 717 </w:t>
            </w:r>
            <w:r w:rsidR="00BA2096" w:rsidRPr="00382D36">
              <w:rPr>
                <w:i/>
                <w:iCs/>
              </w:rPr>
              <w:t>euro</w:t>
            </w:r>
            <w:r w:rsidR="00BA2096" w:rsidRPr="00382D36">
              <w:rPr>
                <w:iCs/>
              </w:rPr>
              <w:t xml:space="preserve"> un trešās kārtas ietvaros - 4 500 000 </w:t>
            </w:r>
            <w:r w:rsidR="00BA2096" w:rsidRPr="00382D36">
              <w:rPr>
                <w:i/>
                <w:iCs/>
              </w:rPr>
              <w:t>euro</w:t>
            </w:r>
            <w:r w:rsidRPr="00382D36">
              <w:rPr>
                <w:iCs/>
              </w:rPr>
              <w:t>.</w:t>
            </w:r>
          </w:p>
          <w:p w14:paraId="419D320C" w14:textId="57FF53B8" w:rsidR="00925723" w:rsidRPr="00925723" w:rsidRDefault="00925723" w:rsidP="00B848E2">
            <w:pPr>
              <w:tabs>
                <w:tab w:val="left" w:pos="426"/>
                <w:tab w:val="left" w:pos="1134"/>
              </w:tabs>
              <w:ind w:firstLine="516"/>
              <w:jc w:val="both"/>
              <w:rPr>
                <w:iCs/>
              </w:rPr>
            </w:pPr>
            <w:r w:rsidRPr="00382D36">
              <w:rPr>
                <w:iCs/>
              </w:rPr>
              <w:lastRenderedPageBreak/>
              <w:t>Ar saimniecisku darbību nesaistītam pirmās, otrās un trešās kārtas projektam maksimālais</w:t>
            </w:r>
            <w:r w:rsidRPr="00925723">
              <w:rPr>
                <w:iCs/>
              </w:rPr>
              <w:t xml:space="preserve"> attiecināmais ERAF finansējuma apmērs nepārsniedz 85% un valsts budžeta finansējums 15% no projekta kopējā attiecināmā finansējuma. </w:t>
            </w:r>
          </w:p>
          <w:p w14:paraId="3BC67702" w14:textId="0B9A02B6" w:rsidR="002E2644" w:rsidRDefault="00B2403B" w:rsidP="00B848E2">
            <w:pPr>
              <w:tabs>
                <w:tab w:val="left" w:pos="426"/>
                <w:tab w:val="left" w:pos="1134"/>
              </w:tabs>
              <w:ind w:firstLine="516"/>
              <w:jc w:val="both"/>
              <w:rPr>
                <w:iCs/>
              </w:rPr>
            </w:pPr>
            <w:r>
              <w:t>1.1.1.5. p</w:t>
            </w:r>
            <w:r w:rsidR="002E2644" w:rsidRPr="00751BAD">
              <w:rPr>
                <w:iCs/>
              </w:rPr>
              <w:t xml:space="preserve">asākuma mērķa grupa ir </w:t>
            </w:r>
            <w:r w:rsidR="002E2644" w:rsidRPr="00DF6528">
              <w:rPr>
                <w:iCs/>
              </w:rPr>
              <w:t xml:space="preserve">zinātniskās institūcijas, Latvijas Republikas </w:t>
            </w:r>
            <w:r w:rsidR="00C84AB3" w:rsidRPr="00512CE9">
              <w:rPr>
                <w:iCs/>
              </w:rPr>
              <w:t>Uzņēmumu reģistrā</w:t>
            </w:r>
            <w:r w:rsidR="002E2644" w:rsidRPr="00512CE9">
              <w:rPr>
                <w:iCs/>
              </w:rPr>
              <w:t xml:space="preserve"> reģistrēti komersanti, zinātnisk</w:t>
            </w:r>
            <w:r w:rsidR="006034D2" w:rsidRPr="00512CE9">
              <w:rPr>
                <w:iCs/>
              </w:rPr>
              <w:t>ais</w:t>
            </w:r>
            <w:r w:rsidR="002E2644" w:rsidRPr="00512CE9">
              <w:rPr>
                <w:iCs/>
              </w:rPr>
              <w:t xml:space="preserve"> </w:t>
            </w:r>
            <w:proofErr w:type="gramStart"/>
            <w:r w:rsidR="006034D2" w:rsidRPr="00512CE9">
              <w:rPr>
                <w:iCs/>
              </w:rPr>
              <w:t>personāls</w:t>
            </w:r>
            <w:r w:rsidR="002E2644" w:rsidRPr="00512CE9">
              <w:rPr>
                <w:iCs/>
              </w:rPr>
              <w:t xml:space="preserve"> </w:t>
            </w:r>
            <w:r w:rsidR="006034D2" w:rsidRPr="00512CE9">
              <w:rPr>
                <w:iCs/>
              </w:rPr>
              <w:t xml:space="preserve">un </w:t>
            </w:r>
            <w:r w:rsidR="002E2644" w:rsidRPr="00512CE9">
              <w:rPr>
                <w:iCs/>
              </w:rPr>
              <w:t>Nacionālais</w:t>
            </w:r>
            <w:proofErr w:type="gramEnd"/>
            <w:r w:rsidR="002E2644" w:rsidRPr="00DF6528">
              <w:rPr>
                <w:iCs/>
              </w:rPr>
              <w:t xml:space="preserve"> kontaktpunkts. </w:t>
            </w:r>
          </w:p>
          <w:p w14:paraId="77FFE132" w14:textId="47FA29FD" w:rsidR="00040238" w:rsidRDefault="005E6641" w:rsidP="00B848E2">
            <w:pPr>
              <w:tabs>
                <w:tab w:val="left" w:pos="426"/>
                <w:tab w:val="left" w:pos="1134"/>
              </w:tabs>
              <w:ind w:firstLine="516"/>
              <w:jc w:val="both"/>
            </w:pPr>
            <w:r>
              <w:t xml:space="preserve">1.1.1.5. pasākumu </w:t>
            </w:r>
            <w:r w:rsidRPr="00457A1C">
              <w:t xml:space="preserve">īsteno </w:t>
            </w:r>
            <w:r>
              <w:t>trīs projektu iesniegumu atlases kārtās.</w:t>
            </w:r>
          </w:p>
          <w:p w14:paraId="6329987D" w14:textId="77777777" w:rsidR="005E6641" w:rsidRPr="005E6641" w:rsidRDefault="005E6641" w:rsidP="00040238">
            <w:pPr>
              <w:tabs>
                <w:tab w:val="left" w:pos="426"/>
                <w:tab w:val="left" w:pos="1134"/>
              </w:tabs>
              <w:ind w:firstLine="516"/>
              <w:jc w:val="both"/>
              <w:rPr>
                <w:iCs/>
              </w:rPr>
            </w:pPr>
          </w:p>
          <w:p w14:paraId="1B511386" w14:textId="3A597AEA" w:rsidR="005E6641" w:rsidRPr="00B2403B" w:rsidRDefault="005E6641" w:rsidP="000313BC">
            <w:pPr>
              <w:tabs>
                <w:tab w:val="left" w:pos="426"/>
                <w:tab w:val="left" w:pos="1134"/>
              </w:tabs>
              <w:ind w:firstLine="516"/>
              <w:jc w:val="both"/>
              <w:rPr>
                <w:iCs/>
              </w:rPr>
            </w:pPr>
            <w:r w:rsidRPr="005E6641">
              <w:rPr>
                <w:b/>
                <w:iCs/>
              </w:rPr>
              <w:t>Pirmo kārtu</w:t>
            </w:r>
            <w:r w:rsidRPr="005E6641">
              <w:rPr>
                <w:iCs/>
              </w:rPr>
              <w:t xml:space="preserve"> īsteno ierobežotas projektu iesniegumu atlases veidā.</w:t>
            </w:r>
            <w:r>
              <w:rPr>
                <w:iCs/>
              </w:rPr>
              <w:t xml:space="preserve"> P</w:t>
            </w:r>
            <w:r w:rsidRPr="00291866">
              <w:t xml:space="preserve">irmās kārtas ietvaros </w:t>
            </w:r>
            <w:r>
              <w:t>projekta iesniedzējs (</w:t>
            </w:r>
            <w:r w:rsidRPr="00291866">
              <w:t>finansējuma saņēmējs</w:t>
            </w:r>
            <w:r>
              <w:t xml:space="preserve">) </w:t>
            </w:r>
            <w:r w:rsidRPr="00291866">
              <w:t>ir</w:t>
            </w:r>
            <w:r w:rsidR="00B2403B">
              <w:t xml:space="preserve"> </w:t>
            </w:r>
            <w:r w:rsidRPr="00291866">
              <w:t>Izglītības</w:t>
            </w:r>
            <w:r w:rsidR="00B2403B">
              <w:t xml:space="preserve"> un zinātnes ministrija un </w:t>
            </w:r>
            <w:r w:rsidRPr="00681991">
              <w:t>Valsts izglītības attīstības aģentūra (turpmāk – VIAA</w:t>
            </w:r>
            <w:r>
              <w:t>).</w:t>
            </w:r>
          </w:p>
          <w:p w14:paraId="0680312D" w14:textId="26FD7904" w:rsidR="006A64B3" w:rsidRPr="0014168F" w:rsidRDefault="00DF6528" w:rsidP="00B848E2">
            <w:pPr>
              <w:pStyle w:val="tv213"/>
              <w:shd w:val="clear" w:color="auto" w:fill="FFFFFF"/>
              <w:spacing w:before="0" w:beforeAutospacing="0" w:after="0" w:afterAutospacing="0"/>
              <w:ind w:firstLine="516"/>
              <w:jc w:val="both"/>
            </w:pPr>
            <w:r>
              <w:t xml:space="preserve">Pirmās kārtas </w:t>
            </w:r>
            <w:r w:rsidRPr="002A1146">
              <w:t>projektu atlases</w:t>
            </w:r>
            <w:r w:rsidR="005E6641" w:rsidRPr="002A1146">
              <w:t xml:space="preserve"> īstenošanai plānotais kopējais attiecināmais finansējum</w:t>
            </w:r>
            <w:r w:rsidR="005E6641" w:rsidRPr="0014168F">
              <w:t>s ir</w:t>
            </w:r>
            <w:r w:rsidR="005B19B9" w:rsidRPr="0014168F">
              <w:t xml:space="preserve"> </w:t>
            </w:r>
            <w:r w:rsidR="00671FE8" w:rsidRPr="00671FE8">
              <w:t>16 635</w:t>
            </w:r>
            <w:r w:rsidR="00671FE8">
              <w:t> </w:t>
            </w:r>
            <w:r w:rsidR="00671FE8" w:rsidRPr="00671FE8">
              <w:t>686</w:t>
            </w:r>
            <w:r w:rsidR="00671FE8">
              <w:t xml:space="preserve"> </w:t>
            </w:r>
            <w:r w:rsidR="00934A42" w:rsidRPr="0014168F">
              <w:rPr>
                <w:i/>
              </w:rPr>
              <w:t>euro</w:t>
            </w:r>
            <w:r w:rsidR="00934A42" w:rsidRPr="0014168F">
              <w:t xml:space="preserve">, no kuriem Eiropas Reģionālās attīstības fonda finansējums </w:t>
            </w:r>
            <w:r w:rsidR="00671FE8" w:rsidRPr="00671FE8">
              <w:t>14 140</w:t>
            </w:r>
            <w:r w:rsidR="00671FE8">
              <w:t> </w:t>
            </w:r>
            <w:r w:rsidR="00671FE8" w:rsidRPr="00671FE8">
              <w:t>333</w:t>
            </w:r>
            <w:r w:rsidR="00671FE8">
              <w:t xml:space="preserve"> </w:t>
            </w:r>
            <w:r w:rsidR="00934A42" w:rsidRPr="0014168F">
              <w:rPr>
                <w:i/>
              </w:rPr>
              <w:t>euro</w:t>
            </w:r>
            <w:r w:rsidR="00934A42" w:rsidRPr="0014168F">
              <w:t xml:space="preserve"> un </w:t>
            </w:r>
            <w:r w:rsidR="00671FE8">
              <w:t xml:space="preserve">valsts budžeta līdzfinansējums </w:t>
            </w:r>
            <w:r w:rsidR="00671FE8" w:rsidRPr="00671FE8">
              <w:t xml:space="preserve">2 495 353 </w:t>
            </w:r>
            <w:r w:rsidR="00934A42" w:rsidRPr="0014168F">
              <w:rPr>
                <w:i/>
              </w:rPr>
              <w:t>euro</w:t>
            </w:r>
            <w:r w:rsidR="00934A42" w:rsidRPr="0014168F">
              <w:t xml:space="preserve">. </w:t>
            </w:r>
          </w:p>
          <w:p w14:paraId="3E68CB05" w14:textId="2124E6DC" w:rsidR="006D77AB" w:rsidRPr="0014168F" w:rsidRDefault="006D77AB" w:rsidP="00B848E2">
            <w:pPr>
              <w:ind w:right="145" w:firstLine="516"/>
              <w:jc w:val="both"/>
            </w:pPr>
            <w:r w:rsidRPr="0014168F">
              <w:t>Pirmās kārtas ietvaros projekta iesniedzējs var īstenot ar saimniecisku darbību nesaistītu projektu.</w:t>
            </w:r>
          </w:p>
          <w:p w14:paraId="4BE22EE3" w14:textId="536F15CA" w:rsidR="005E6641" w:rsidRPr="0014168F" w:rsidRDefault="005E6641" w:rsidP="00B848E2">
            <w:pPr>
              <w:pStyle w:val="ListParagraph"/>
              <w:tabs>
                <w:tab w:val="left" w:pos="426"/>
                <w:tab w:val="left" w:pos="1134"/>
              </w:tabs>
              <w:ind w:left="0" w:firstLine="516"/>
              <w:contextualSpacing w:val="0"/>
              <w:rPr>
                <w:szCs w:val="24"/>
              </w:rPr>
            </w:pPr>
            <w:bookmarkStart w:id="1" w:name="_Ref472578684"/>
            <w:bookmarkStart w:id="2" w:name="_Ref348620771"/>
            <w:r w:rsidRPr="0014168F">
              <w:rPr>
                <w:szCs w:val="24"/>
              </w:rPr>
              <w:t>Izglītības un zinātnes ministrija</w:t>
            </w:r>
            <w:r w:rsidR="00B2403B" w:rsidRPr="0014168F">
              <w:rPr>
                <w:szCs w:val="24"/>
              </w:rPr>
              <w:t xml:space="preserve"> </w:t>
            </w:r>
            <w:r w:rsidRPr="0014168F">
              <w:rPr>
                <w:szCs w:val="24"/>
              </w:rPr>
              <w:t xml:space="preserve">projekta </w:t>
            </w:r>
            <w:r w:rsidR="00B2403B" w:rsidRPr="0014168F">
              <w:rPr>
                <w:szCs w:val="24"/>
              </w:rPr>
              <w:t xml:space="preserve">ietvaros </w:t>
            </w:r>
            <w:r w:rsidRPr="0014168F">
              <w:rPr>
                <w:szCs w:val="24"/>
              </w:rPr>
              <w:t>īsteno šādas atbalstāmās darbības:</w:t>
            </w:r>
            <w:bookmarkStart w:id="3" w:name="_Ref348622319"/>
            <w:bookmarkEnd w:id="1"/>
            <w:bookmarkEnd w:id="2"/>
            <w:r w:rsidRPr="0014168F">
              <w:rPr>
                <w:szCs w:val="24"/>
              </w:rPr>
              <w:t xml:space="preserve"> Latvijas pētniecības un attīstības interešu pārstāvniecības stiprināšana programmas “Apvārsnis 2020” programkomitejās un citās starptautiskās programmās</w:t>
            </w:r>
            <w:bookmarkEnd w:id="3"/>
            <w:r w:rsidRPr="0014168F">
              <w:rPr>
                <w:szCs w:val="24"/>
              </w:rPr>
              <w:t>,</w:t>
            </w:r>
            <w:bookmarkStart w:id="4" w:name="_Ref348622337"/>
            <w:r w:rsidRPr="0014168F">
              <w:rPr>
                <w:szCs w:val="24"/>
              </w:rPr>
              <w:t xml:space="preserve"> nacionālā līmeņa pasākumus starptautiskās sadarbības tīklu paplašināšanai, tai skaitā</w:t>
            </w:r>
            <w:bookmarkEnd w:id="4"/>
            <w:r w:rsidRPr="0014168F">
              <w:rPr>
                <w:szCs w:val="24"/>
              </w:rPr>
              <w:t>, sadarbību ar diasporu ārvalstīs kopīgu pētniecības un attīstības pasākumu īstenošanai un sadarbības iespēju paplašināšanai, sadarbību ar Latvijas un ārvalstu ekonomiskajām un diplomātiskajām pārstāvniecībām,</w:t>
            </w:r>
            <w:bookmarkStart w:id="5" w:name="_Ref348630506"/>
            <w:r w:rsidR="00B2403B" w:rsidRPr="0014168F">
              <w:rPr>
                <w:szCs w:val="24"/>
              </w:rPr>
              <w:t xml:space="preserve"> Latvijas dalības nodrošināšanu</w:t>
            </w:r>
            <w:r w:rsidRPr="0014168F">
              <w:rPr>
                <w:szCs w:val="24"/>
              </w:rPr>
              <w:t xml:space="preserve"> starptautiskās pētniecības un attīstības sadarbības iniciatīvās, </w:t>
            </w:r>
            <w:bookmarkEnd w:id="5"/>
            <w:r w:rsidRPr="0014168F">
              <w:rPr>
                <w:szCs w:val="24"/>
              </w:rPr>
              <w:t xml:space="preserve">Pasaules Latviešu zinātnieku kongresa organizēšanu </w:t>
            </w:r>
            <w:r w:rsidR="000D3CBD" w:rsidRPr="0014168F">
              <w:rPr>
                <w:szCs w:val="24"/>
              </w:rPr>
              <w:t xml:space="preserve">Latvijā </w:t>
            </w:r>
            <w:r w:rsidRPr="0014168F">
              <w:rPr>
                <w:szCs w:val="24"/>
              </w:rPr>
              <w:t>2018.gadā</w:t>
            </w:r>
            <w:r w:rsidR="00B2403B" w:rsidRPr="0014168F">
              <w:rPr>
                <w:szCs w:val="24"/>
              </w:rPr>
              <w:t xml:space="preserve"> </w:t>
            </w:r>
            <w:r w:rsidRPr="0014168F">
              <w:rPr>
                <w:szCs w:val="24"/>
              </w:rPr>
              <w:t xml:space="preserve">un citas darbības atbilstoši noteikumu projekta </w:t>
            </w:r>
            <w:r w:rsidR="000D3CBD" w:rsidRPr="0014168F">
              <w:rPr>
                <w:szCs w:val="24"/>
              </w:rPr>
              <w:t>19</w:t>
            </w:r>
            <w:r w:rsidRPr="0014168F">
              <w:rPr>
                <w:szCs w:val="24"/>
              </w:rPr>
              <w:t>. punktam.</w:t>
            </w:r>
            <w:bookmarkStart w:id="6" w:name="_Ref348629177"/>
          </w:p>
          <w:p w14:paraId="27CDF910" w14:textId="2B2C9477" w:rsidR="009954FD" w:rsidRPr="0014168F" w:rsidRDefault="009954FD" w:rsidP="00FB584C">
            <w:pPr>
              <w:pStyle w:val="ListParagraph"/>
              <w:tabs>
                <w:tab w:val="left" w:pos="426"/>
                <w:tab w:val="left" w:pos="1134"/>
              </w:tabs>
              <w:ind w:left="0" w:firstLine="516"/>
              <w:rPr>
                <w:szCs w:val="24"/>
              </w:rPr>
            </w:pPr>
            <w:r w:rsidRPr="0014168F">
              <w:rPr>
                <w:szCs w:val="24"/>
              </w:rPr>
              <w:t>Izglītības un zinātnes ministrijas projekta ietvaros paredzēto Latvijas pētniecības un attīstības interešu pārstāvniecības stiprināšanu programmas “Apvārsnis 2020” programkomitejās un citās starptautiskās programmās</w:t>
            </w:r>
            <w:r w:rsidR="00FB584C" w:rsidRPr="0014168F">
              <w:rPr>
                <w:szCs w:val="24"/>
              </w:rPr>
              <w:t xml:space="preserve"> (tādās darba grupās, kas veidotas Līguma par Eiropas Savienības darbību (LESD) 185. panta iniciatīvu programmu vai 187. panta iniciatīvu programmu ietvaros atbilstoši Latvijas pētnieku interesēm) </w:t>
            </w:r>
            <w:r w:rsidRPr="0014168F">
              <w:rPr>
                <w:szCs w:val="24"/>
              </w:rPr>
              <w:t xml:space="preserve">nodrošinās programmas “Apvārsnis 2020” programkomiteju eksperti. Vienlaikus programkomiteju eksperti  sniegs analītisku atbalstu RIS3 progresa ziņojumu  izstrādē, veicot RIS3 specializācijas jomu ekosistēmu izmaiņu analīzi, attīstības virzienu apzināšanu un sekmīgai attīstībai kavējošo apstākļu identificēšanu, t.sk. savas kompetences ietvaros izstrādājot priekšlikumus rīcībpolitikas izmaiņu veikšanai. Attiecīgi Izglītības un zinātnes ministrijas kā projekta iesniedzēja ietvaros īstenotā aktivitāte sniegs ieguldījumu RIS3 monitoringa sistēmas īstenošanā, vienlaikus nodrošinot, ka sākotnēji </w:t>
            </w:r>
            <w:r w:rsidRPr="0014168F">
              <w:rPr>
                <w:szCs w:val="24"/>
              </w:rPr>
              <w:lastRenderedPageBreak/>
              <w:t>plānotais papildu finansējums analītiskā atbalsta nodrošināšanai nozares jautājumos monitoringa kvalitāt</w:t>
            </w:r>
            <w:r w:rsidR="00F64AFE" w:rsidRPr="0014168F">
              <w:rPr>
                <w:szCs w:val="24"/>
              </w:rPr>
              <w:t>es vadībai IZM kompetences jomā</w:t>
            </w:r>
            <w:r w:rsidRPr="0014168F">
              <w:rPr>
                <w:szCs w:val="24"/>
              </w:rPr>
              <w:t xml:space="preserve">, ietverts 1.1.1.5. pasākumā paredzētajās darbībās </w:t>
            </w:r>
            <w:r w:rsidR="00F64AFE" w:rsidRPr="0014168F">
              <w:rPr>
                <w:szCs w:val="24"/>
              </w:rPr>
              <w:t>un papildu finansējums tam nav nepieciešams</w:t>
            </w:r>
            <w:r w:rsidRPr="0014168F">
              <w:rPr>
                <w:szCs w:val="24"/>
              </w:rPr>
              <w:t xml:space="preserve">. </w:t>
            </w:r>
          </w:p>
          <w:p w14:paraId="40148DBA" w14:textId="635ADCB0" w:rsidR="00ED7716" w:rsidRPr="0014168F" w:rsidRDefault="00ED7716" w:rsidP="00782418">
            <w:pPr>
              <w:tabs>
                <w:tab w:val="left" w:pos="426"/>
                <w:tab w:val="left" w:pos="1134"/>
              </w:tabs>
              <w:ind w:firstLine="658"/>
              <w:jc w:val="both"/>
            </w:pPr>
            <w:r w:rsidRPr="0014168F">
              <w:t xml:space="preserve"> Ņemot vērā Izglītības un zinātnes ministrijas veikto nozares vajadzību analīzi, kas ietverta informatīvajā ziņojumā „Par Eiropas Pētniecības telpas ceļveža 2016.-</w:t>
            </w:r>
            <w:proofErr w:type="gramStart"/>
            <w:r w:rsidRPr="0014168F">
              <w:t>2020.gadam</w:t>
            </w:r>
            <w:proofErr w:type="gramEnd"/>
            <w:r w:rsidRPr="0014168F">
              <w:t xml:space="preserve"> īstenošanu Latvijā” (izskatīts MK 13.09.2016. sēdes protokols Nr.45 34.§), tostarp ņemot vērā zinātnisko institūciju kapacitāti un ieinteresētību dalībai konkrētajās iniciatīvās, kā arī ņemot vērā to tematisko atbilstību RIS3, indikatīvi Izglītības un zinātnes ministrijas projekta ietvaros dalība plānota šādās piecās Kopējās programmēšanas iniciatīvās:</w:t>
            </w:r>
          </w:p>
          <w:p w14:paraId="1C525997" w14:textId="2608C4F0" w:rsidR="00ED7716" w:rsidRPr="0014168F" w:rsidRDefault="00ED7716" w:rsidP="00B22F8E">
            <w:pPr>
              <w:pStyle w:val="ListParagraph"/>
              <w:numPr>
                <w:ilvl w:val="0"/>
                <w:numId w:val="18"/>
              </w:numPr>
              <w:tabs>
                <w:tab w:val="left" w:pos="426"/>
                <w:tab w:val="left" w:pos="1134"/>
              </w:tabs>
              <w:ind w:left="0" w:firstLine="360"/>
            </w:pPr>
            <w:r w:rsidRPr="0014168F">
              <w:t>Lauksaimniecība, pārtikas nodrošinājums un klimata pārmaiņas (</w:t>
            </w:r>
            <w:r w:rsidRPr="0014168F">
              <w:rPr>
                <w:i/>
              </w:rPr>
              <w:t>Agriculture, Food Security and Climate Change</w:t>
            </w:r>
            <w:r w:rsidRPr="0014168F">
              <w:t>);</w:t>
            </w:r>
          </w:p>
          <w:p w14:paraId="13389F06" w14:textId="77777777" w:rsidR="00ED7716" w:rsidRPr="0014168F" w:rsidRDefault="00ED7716" w:rsidP="00B22F8E">
            <w:pPr>
              <w:pStyle w:val="ListParagraph"/>
              <w:numPr>
                <w:ilvl w:val="0"/>
                <w:numId w:val="18"/>
              </w:numPr>
              <w:tabs>
                <w:tab w:val="left" w:pos="426"/>
                <w:tab w:val="left" w:pos="1134"/>
              </w:tabs>
              <w:ind w:left="0" w:firstLine="360"/>
            </w:pPr>
            <w:r w:rsidRPr="0014168F">
              <w:t>Veselīgs uzturs veselīgam dzīvesveidam (</w:t>
            </w:r>
            <w:r w:rsidRPr="0014168F">
              <w:rPr>
                <w:i/>
              </w:rPr>
              <w:t>Healthy Diet for a Healthy Life</w:t>
            </w:r>
            <w:r w:rsidRPr="0014168F">
              <w:t>);</w:t>
            </w:r>
          </w:p>
          <w:p w14:paraId="6D5F79AF" w14:textId="77777777" w:rsidR="00ED7716" w:rsidRPr="0014168F" w:rsidRDefault="00ED7716" w:rsidP="00B22F8E">
            <w:pPr>
              <w:pStyle w:val="ListParagraph"/>
              <w:numPr>
                <w:ilvl w:val="0"/>
                <w:numId w:val="18"/>
              </w:numPr>
              <w:tabs>
                <w:tab w:val="left" w:pos="426"/>
                <w:tab w:val="left" w:pos="1134"/>
              </w:tabs>
              <w:ind w:left="0" w:firstLine="360"/>
            </w:pPr>
            <w:r w:rsidRPr="0014168F">
              <w:rPr>
                <w:szCs w:val="24"/>
              </w:rPr>
              <w:t>Kultūras mantojums un globālās pārmaiņas: Jauns uzdevums Eiropai (</w:t>
            </w:r>
            <w:r w:rsidRPr="0014168F">
              <w:rPr>
                <w:i/>
                <w:szCs w:val="24"/>
              </w:rPr>
              <w:t>Cultural Heritage and Global Change: A new Challenge for Europe</w:t>
            </w:r>
            <w:r w:rsidRPr="0014168F">
              <w:rPr>
                <w:szCs w:val="24"/>
              </w:rPr>
              <w:t>);</w:t>
            </w:r>
          </w:p>
          <w:p w14:paraId="4EA6F639" w14:textId="77777777" w:rsidR="00ED7716" w:rsidRPr="0014168F" w:rsidRDefault="00ED7716" w:rsidP="00B22F8E">
            <w:pPr>
              <w:pStyle w:val="ListParagraph"/>
              <w:numPr>
                <w:ilvl w:val="0"/>
                <w:numId w:val="18"/>
              </w:numPr>
              <w:tabs>
                <w:tab w:val="left" w:pos="426"/>
                <w:tab w:val="left" w:pos="1134"/>
              </w:tabs>
              <w:ind w:left="0" w:firstLine="360"/>
            </w:pPr>
            <w:r w:rsidRPr="0014168F">
              <w:rPr>
                <w:szCs w:val="24"/>
              </w:rPr>
              <w:t>Urbānā Eiropa – Eiropas pilsētvides apvienotie risinājumi (</w:t>
            </w:r>
            <w:r w:rsidRPr="0014168F">
              <w:rPr>
                <w:i/>
                <w:szCs w:val="24"/>
              </w:rPr>
              <w:t>Urban Europe</w:t>
            </w:r>
            <w:r w:rsidRPr="0014168F">
              <w:rPr>
                <w:szCs w:val="24"/>
              </w:rPr>
              <w:t>);</w:t>
            </w:r>
          </w:p>
          <w:p w14:paraId="1F619903" w14:textId="7DE5975C" w:rsidR="00ED7716" w:rsidRPr="0014168F" w:rsidRDefault="00ED7716" w:rsidP="00B22F8E">
            <w:pPr>
              <w:pStyle w:val="ListParagraph"/>
              <w:numPr>
                <w:ilvl w:val="0"/>
                <w:numId w:val="18"/>
              </w:numPr>
              <w:tabs>
                <w:tab w:val="left" w:pos="426"/>
                <w:tab w:val="left" w:pos="1134"/>
              </w:tabs>
              <w:ind w:left="0" w:firstLine="360"/>
            </w:pPr>
            <w:r w:rsidRPr="0014168F">
              <w:rPr>
                <w:szCs w:val="24"/>
              </w:rPr>
              <w:t>Ūdens izaicinājumi mainīgā pasaulē (</w:t>
            </w:r>
            <w:r w:rsidRPr="0014168F">
              <w:rPr>
                <w:i/>
                <w:szCs w:val="24"/>
              </w:rPr>
              <w:t>Water challenges for a changing world</w:t>
            </w:r>
            <w:r w:rsidRPr="0014168F">
              <w:rPr>
                <w:szCs w:val="24"/>
              </w:rPr>
              <w:t>).</w:t>
            </w:r>
          </w:p>
          <w:p w14:paraId="2C2BD127" w14:textId="7CDCE015" w:rsidR="00D57761" w:rsidRPr="0014168F" w:rsidRDefault="00D57761" w:rsidP="00D57761">
            <w:pPr>
              <w:ind w:firstLine="567"/>
              <w:jc w:val="both"/>
              <w:rPr>
                <w:rFonts w:eastAsiaTheme="minorHAnsi"/>
                <w:lang w:eastAsia="en-US"/>
              </w:rPr>
            </w:pPr>
            <w:r w:rsidRPr="0014168F">
              <w:t>1.1.1.5. p</w:t>
            </w:r>
            <w:r w:rsidRPr="0014168F">
              <w:rPr>
                <w:rFonts w:eastAsiaTheme="minorHAnsi"/>
              </w:rPr>
              <w:t xml:space="preserve">asākuma ietvaros indikatīvi 50 000 </w:t>
            </w:r>
            <w:r w:rsidRPr="0014168F">
              <w:rPr>
                <w:rFonts w:eastAsiaTheme="minorHAnsi"/>
                <w:i/>
              </w:rPr>
              <w:t>euro</w:t>
            </w:r>
            <w:r w:rsidRPr="0014168F">
              <w:rPr>
                <w:rFonts w:eastAsiaTheme="minorHAnsi"/>
              </w:rPr>
              <w:t xml:space="preserve"> apmērā plānots atbalsts Nacionālās zinātniskās darbības</w:t>
            </w:r>
            <w:r w:rsidR="00B22F8E">
              <w:rPr>
                <w:rFonts w:eastAsiaTheme="minorHAnsi"/>
              </w:rPr>
              <w:t xml:space="preserve"> informācijas sistēmas (turpmāk </w:t>
            </w:r>
            <w:r w:rsidRPr="0014168F">
              <w:rPr>
                <w:rFonts w:eastAsiaTheme="minorHAnsi"/>
              </w:rPr>
              <w:t>– NZDIS) funkcionalitātes paplašināšanai un datu integrācijas risinājumiem ar citām informācijas sistēmām vai datu bāzēm</w:t>
            </w:r>
            <w:r w:rsidRPr="0014168F">
              <w:t xml:space="preserve">: </w:t>
            </w:r>
          </w:p>
          <w:p w14:paraId="294EF712" w14:textId="3270B866" w:rsidR="00D57761" w:rsidRPr="0014168F" w:rsidRDefault="00D57761" w:rsidP="00B22F8E">
            <w:pPr>
              <w:pStyle w:val="ListParagraph"/>
              <w:numPr>
                <w:ilvl w:val="0"/>
                <w:numId w:val="16"/>
              </w:numPr>
              <w:ind w:left="0" w:firstLine="567"/>
              <w:rPr>
                <w:szCs w:val="24"/>
              </w:rPr>
            </w:pPr>
            <w:r w:rsidRPr="0014168F">
              <w:rPr>
                <w:szCs w:val="24"/>
              </w:rPr>
              <w:t xml:space="preserve">Kohēzijas </w:t>
            </w:r>
            <w:r w:rsidR="002306BD">
              <w:rPr>
                <w:szCs w:val="24"/>
              </w:rPr>
              <w:t xml:space="preserve">politikas </w:t>
            </w:r>
            <w:r w:rsidRPr="0014168F">
              <w:rPr>
                <w:szCs w:val="24"/>
              </w:rPr>
              <w:t>fond</w:t>
            </w:r>
            <w:r w:rsidR="002306BD">
              <w:rPr>
                <w:szCs w:val="24"/>
              </w:rPr>
              <w:t>u</w:t>
            </w:r>
            <w:r w:rsidRPr="0014168F">
              <w:rPr>
                <w:szCs w:val="24"/>
              </w:rPr>
              <w:t xml:space="preserve"> vadības informācijas sistēma;</w:t>
            </w:r>
          </w:p>
          <w:p w14:paraId="556936D1" w14:textId="77777777" w:rsidR="00D57761" w:rsidRPr="0014168F" w:rsidRDefault="00D57761" w:rsidP="00B22F8E">
            <w:pPr>
              <w:pStyle w:val="ListParagraph"/>
              <w:numPr>
                <w:ilvl w:val="0"/>
                <w:numId w:val="16"/>
              </w:numPr>
              <w:ind w:left="0" w:firstLine="567"/>
              <w:rPr>
                <w:szCs w:val="24"/>
              </w:rPr>
            </w:pPr>
            <w:r w:rsidRPr="0014168F">
              <w:rPr>
                <w:szCs w:val="24"/>
              </w:rPr>
              <w:t>Latvijas Zinātnes padomes un VIAA informācijas sistēmas;</w:t>
            </w:r>
          </w:p>
          <w:p w14:paraId="4068E27E" w14:textId="77777777" w:rsidR="00D57761" w:rsidRPr="0014168F" w:rsidRDefault="00D57761" w:rsidP="00B22F8E">
            <w:pPr>
              <w:pStyle w:val="ListParagraph"/>
              <w:numPr>
                <w:ilvl w:val="0"/>
                <w:numId w:val="16"/>
              </w:numPr>
              <w:ind w:left="0" w:firstLine="567"/>
              <w:rPr>
                <w:szCs w:val="24"/>
              </w:rPr>
            </w:pPr>
            <w:r w:rsidRPr="0014168F">
              <w:rPr>
                <w:szCs w:val="24"/>
              </w:rPr>
              <w:t>Patentu valde;</w:t>
            </w:r>
          </w:p>
          <w:p w14:paraId="12C5CB33" w14:textId="5B2664FB" w:rsidR="00D57761" w:rsidRPr="0014168F" w:rsidRDefault="00B17AEC" w:rsidP="00B22F8E">
            <w:pPr>
              <w:pStyle w:val="ListParagraph"/>
              <w:numPr>
                <w:ilvl w:val="0"/>
                <w:numId w:val="16"/>
              </w:numPr>
              <w:ind w:left="0" w:firstLine="567"/>
              <w:rPr>
                <w:szCs w:val="24"/>
              </w:rPr>
            </w:pPr>
            <w:r w:rsidRPr="0014168F">
              <w:rPr>
                <w:szCs w:val="24"/>
              </w:rPr>
              <w:t xml:space="preserve">Valsts </w:t>
            </w:r>
            <w:r w:rsidR="003855A4" w:rsidRPr="0014168F">
              <w:rPr>
                <w:szCs w:val="24"/>
              </w:rPr>
              <w:t>a</w:t>
            </w:r>
            <w:r w:rsidR="00D57761" w:rsidRPr="0014168F">
              <w:rPr>
                <w:szCs w:val="24"/>
              </w:rPr>
              <w:t>ugu aizsardzības dienests;</w:t>
            </w:r>
          </w:p>
          <w:p w14:paraId="49112BAF" w14:textId="77777777" w:rsidR="00D57761" w:rsidRPr="0014168F" w:rsidRDefault="00D57761" w:rsidP="00B22F8E">
            <w:pPr>
              <w:pStyle w:val="ListParagraph"/>
              <w:numPr>
                <w:ilvl w:val="0"/>
                <w:numId w:val="16"/>
              </w:numPr>
              <w:ind w:left="0" w:firstLine="567"/>
              <w:rPr>
                <w:szCs w:val="24"/>
              </w:rPr>
            </w:pPr>
            <w:r w:rsidRPr="0014168F">
              <w:rPr>
                <w:i/>
                <w:szCs w:val="24"/>
              </w:rPr>
              <w:t>Scopus</w:t>
            </w:r>
            <w:r w:rsidRPr="0014168F">
              <w:rPr>
                <w:szCs w:val="24"/>
              </w:rPr>
              <w:t xml:space="preserve"> un </w:t>
            </w:r>
            <w:r w:rsidRPr="0014168F">
              <w:rPr>
                <w:i/>
                <w:szCs w:val="24"/>
              </w:rPr>
              <w:t>Web of Science</w:t>
            </w:r>
            <w:r w:rsidRPr="0014168F">
              <w:rPr>
                <w:szCs w:val="24"/>
              </w:rPr>
              <w:t xml:space="preserve"> datubāzes; </w:t>
            </w:r>
          </w:p>
          <w:p w14:paraId="32C5AF58" w14:textId="57B93F5A" w:rsidR="00D57761" w:rsidRPr="0014168F" w:rsidRDefault="00D03F99" w:rsidP="00B22F8E">
            <w:pPr>
              <w:pStyle w:val="ListParagraph"/>
              <w:numPr>
                <w:ilvl w:val="0"/>
                <w:numId w:val="16"/>
              </w:numPr>
              <w:tabs>
                <w:tab w:val="left" w:pos="942"/>
              </w:tabs>
              <w:ind w:left="0" w:firstLine="567"/>
            </w:pPr>
            <w:r>
              <w:rPr>
                <w:szCs w:val="24"/>
              </w:rPr>
              <w:t>darbības programmas “</w:t>
            </w:r>
            <w:r w:rsidRPr="00D03F99">
              <w:rPr>
                <w:szCs w:val="24"/>
              </w:rPr>
              <w:t>Izaugsme un nodarbinātība</w:t>
            </w:r>
            <w:r>
              <w:rPr>
                <w:szCs w:val="24"/>
              </w:rPr>
              <w:t>”</w:t>
            </w:r>
            <w:r w:rsidRPr="00D03F99">
              <w:rPr>
                <w:szCs w:val="24"/>
              </w:rPr>
              <w:t xml:space="preserve"> 1.</w:t>
            </w:r>
            <w:r>
              <w:rPr>
                <w:szCs w:val="24"/>
              </w:rPr>
              <w:t>2.1. specifiskā atbalsta mērķa “</w:t>
            </w:r>
            <w:r w:rsidRPr="00D03F99">
              <w:rPr>
                <w:szCs w:val="24"/>
              </w:rPr>
              <w:t>Palielināt p</w:t>
            </w:r>
            <w:r>
              <w:rPr>
                <w:szCs w:val="24"/>
              </w:rPr>
              <w:t>rivātā sektora investīcijas P&amp;A”</w:t>
            </w:r>
            <w:r w:rsidRPr="00D03F99">
              <w:rPr>
                <w:szCs w:val="24"/>
              </w:rPr>
              <w:t> </w:t>
            </w:r>
            <w:r w:rsidR="00D57761" w:rsidRPr="0014168F">
              <w:rPr>
                <w:szCs w:val="24"/>
              </w:rPr>
              <w:t>1.2.1.2.pasākuma “Atbalsts tehnoloģiju pārneses sistēmas pilnveidošanai”</w:t>
            </w:r>
            <w:r>
              <w:rPr>
                <w:szCs w:val="24"/>
              </w:rPr>
              <w:t xml:space="preserve"> (turpmāk -</w:t>
            </w:r>
            <w:r w:rsidR="00557D4B">
              <w:rPr>
                <w:szCs w:val="24"/>
              </w:rPr>
              <w:t xml:space="preserve"> </w:t>
            </w:r>
            <w:r w:rsidRPr="0014168F">
              <w:rPr>
                <w:szCs w:val="24"/>
              </w:rPr>
              <w:t>1.2.1.2.pasākum</w:t>
            </w:r>
            <w:r>
              <w:rPr>
                <w:szCs w:val="24"/>
              </w:rPr>
              <w:t>s)</w:t>
            </w:r>
            <w:r w:rsidR="00D57761" w:rsidRPr="0014168F">
              <w:rPr>
                <w:szCs w:val="24"/>
              </w:rPr>
              <w:t xml:space="preserve"> ietvaros veidoto datu uzkrāšanas sistēma</w:t>
            </w:r>
            <w:r w:rsidR="00D57761" w:rsidRPr="0014168F">
              <w:rPr>
                <w:rFonts w:eastAsiaTheme="minorHAnsi"/>
                <w:szCs w:val="24"/>
              </w:rPr>
              <w:t xml:space="preserve">, </w:t>
            </w:r>
          </w:p>
          <w:p w14:paraId="64E4837B" w14:textId="77777777" w:rsidR="00D57761" w:rsidRPr="0014168F" w:rsidRDefault="00D57761" w:rsidP="00557D4B">
            <w:pPr>
              <w:tabs>
                <w:tab w:val="left" w:pos="942"/>
              </w:tabs>
              <w:jc w:val="both"/>
              <w:rPr>
                <w:rFonts w:eastAsiaTheme="minorHAnsi"/>
              </w:rPr>
            </w:pPr>
            <w:r w:rsidRPr="0014168F">
              <w:rPr>
                <w:rFonts w:eastAsiaTheme="minorHAnsi"/>
              </w:rPr>
              <w:t>atsevišķos gadījumos vēl ir nepieciešama datu apmaiņas risinājuma tehniskā izstrāde.</w:t>
            </w:r>
          </w:p>
          <w:p w14:paraId="4D3141C5" w14:textId="069A23B5" w:rsidR="00D57761" w:rsidRPr="0014168F" w:rsidRDefault="00D57761" w:rsidP="00D57761">
            <w:pPr>
              <w:ind w:firstLine="516"/>
              <w:jc w:val="both"/>
              <w:rPr>
                <w:rFonts w:eastAsiaTheme="minorHAnsi"/>
              </w:rPr>
            </w:pPr>
            <w:r w:rsidRPr="0014168F">
              <w:rPr>
                <w:rFonts w:eastAsiaTheme="minorHAnsi"/>
              </w:rPr>
              <w:t xml:space="preserve">NZDIS funkcionalitātes paplašināšanas rezultātā nodrošinātā informācija sniegs statistisku atbalstu RIS3 monitoringā, t.sk. </w:t>
            </w:r>
            <w:r w:rsidR="000966D7" w:rsidRPr="0014168F">
              <w:rPr>
                <w:rFonts w:eastAsiaTheme="minorHAnsi"/>
              </w:rPr>
              <w:t xml:space="preserve">nodrošinot ar atbilstošu datu apkopojumu </w:t>
            </w:r>
            <w:r w:rsidRPr="0014168F">
              <w:rPr>
                <w:rFonts w:eastAsiaTheme="minorHAnsi"/>
              </w:rPr>
              <w:t xml:space="preserve">progresa ziņojuma </w:t>
            </w:r>
            <w:r w:rsidR="000966D7" w:rsidRPr="0014168F">
              <w:rPr>
                <w:rFonts w:eastAsiaTheme="minorHAnsi"/>
              </w:rPr>
              <w:t xml:space="preserve">izstrādes </w:t>
            </w:r>
            <w:r w:rsidRPr="0014168F">
              <w:rPr>
                <w:rFonts w:eastAsiaTheme="minorHAnsi"/>
              </w:rPr>
              <w:t>vajadzībām.</w:t>
            </w:r>
          </w:p>
          <w:p w14:paraId="2D94EE96" w14:textId="77777777" w:rsidR="00D57761" w:rsidRPr="0014168F" w:rsidRDefault="00D57761" w:rsidP="00D57761">
            <w:pPr>
              <w:ind w:firstLine="516"/>
              <w:jc w:val="both"/>
              <w:rPr>
                <w:sz w:val="28"/>
                <w:szCs w:val="28"/>
              </w:rPr>
            </w:pPr>
            <w:r w:rsidRPr="0014168F">
              <w:rPr>
                <w:rFonts w:eastAsia="Calibri"/>
                <w:szCs w:val="22"/>
              </w:rPr>
              <w:lastRenderedPageBreak/>
              <w:t>NZDIS izveides pirmajos posmos</w:t>
            </w:r>
            <w:r w:rsidRPr="0014168F">
              <w:rPr>
                <w:rFonts w:eastAsia="Calibri"/>
                <w:szCs w:val="22"/>
                <w:vertAlign w:val="superscript"/>
              </w:rPr>
              <w:footnoteReference w:id="6"/>
            </w:r>
            <w:r w:rsidRPr="0014168F">
              <w:rPr>
                <w:rFonts w:eastAsia="Calibri"/>
                <w:szCs w:val="22"/>
              </w:rPr>
              <w:t xml:space="preserve"> 2015. un 2016. gadā ir izveidotas datubāzes</w:t>
            </w:r>
            <w:proofErr w:type="gramStart"/>
            <w:r w:rsidRPr="0014168F">
              <w:rPr>
                <w:rFonts w:eastAsia="Calibri"/>
                <w:szCs w:val="22"/>
              </w:rPr>
              <w:t xml:space="preserve"> zinātnisko institūciju reģistra, zinātniskajās institūcijās nodarbinātā personāla, zinātnes projektu un zinātniskās darbības rezultātu uzkrāšanai, apstrādei un statistisku pārskatu sagatavošanai. 2016. gadā izveidots</w:t>
            </w:r>
            <w:proofErr w:type="gramEnd"/>
            <w:r w:rsidRPr="0014168F">
              <w:rPr>
                <w:rFonts w:eastAsia="Calibri"/>
                <w:szCs w:val="22"/>
              </w:rPr>
              <w:t xml:space="preserve"> vienotais autentifikācijas risinājums, lai nodrošinātu iespēju NZDIS lietotājiem pieslēgties projektu iesniegšanas sistēmām IZM un tās pārraudzības iestādēs, kā arī iespēju autentificēties UseScience sistēmā, lai veiktu zinātnisko iekārtu meklēšanu un informācijas papildināšanu.</w:t>
            </w:r>
          </w:p>
          <w:p w14:paraId="6350C1E8" w14:textId="2F3A5B80" w:rsidR="00D57761" w:rsidRPr="0014168F" w:rsidRDefault="00D57761" w:rsidP="00B848E2">
            <w:pPr>
              <w:pStyle w:val="ListParagraph"/>
              <w:tabs>
                <w:tab w:val="left" w:pos="426"/>
                <w:tab w:val="left" w:pos="1134"/>
              </w:tabs>
              <w:ind w:left="0" w:firstLine="516"/>
              <w:contextualSpacing w:val="0"/>
              <w:rPr>
                <w:szCs w:val="24"/>
              </w:rPr>
            </w:pPr>
            <w:r w:rsidRPr="0014168F">
              <w:rPr>
                <w:szCs w:val="24"/>
              </w:rPr>
              <w:t>1.1.1.5. p</w:t>
            </w:r>
            <w:r w:rsidRPr="0014168F">
              <w:rPr>
                <w:rFonts w:eastAsiaTheme="minorHAnsi"/>
                <w:szCs w:val="24"/>
              </w:rPr>
              <w:t xml:space="preserve">asākuma ietvaros, atkarībā no veicamo darbu apjoma un sarežģītības, NZDIS funkcionalitātes paplašināšanai tiks realizētas šādas darbības: savienojums ar </w:t>
            </w:r>
            <w:proofErr w:type="gramStart"/>
            <w:r w:rsidRPr="0014168F">
              <w:rPr>
                <w:rFonts w:eastAsiaTheme="minorHAnsi"/>
                <w:szCs w:val="24"/>
              </w:rPr>
              <w:t>augstāk minētajām</w:t>
            </w:r>
            <w:proofErr w:type="gramEnd"/>
            <w:r w:rsidRPr="0014168F">
              <w:rPr>
                <w:rFonts w:eastAsiaTheme="minorHAnsi"/>
                <w:szCs w:val="24"/>
              </w:rPr>
              <w:t xml:space="preserve"> projektu datu bāzēm; informācijas par intelektuālo īpašumu izgūšana no citiem reģistriem; savienojums ar starptautiskajām zinātnisko rakstu datu bāzēm (</w:t>
            </w:r>
            <w:r w:rsidRPr="0014168F">
              <w:rPr>
                <w:rFonts w:eastAsiaTheme="minorHAnsi"/>
                <w:i/>
                <w:szCs w:val="24"/>
              </w:rPr>
              <w:t>Scopus, Web of Science</w:t>
            </w:r>
            <w:r w:rsidRPr="0014168F">
              <w:rPr>
                <w:rFonts w:eastAsiaTheme="minorHAnsi"/>
                <w:szCs w:val="24"/>
              </w:rPr>
              <w:t xml:space="preserve">); Latvijas zinātnisko publikāciju atvērtās piekļuves datubāžu integrācija. </w:t>
            </w:r>
          </w:p>
          <w:p w14:paraId="0434D1DD" w14:textId="5AFB1C21" w:rsidR="005E6641" w:rsidRPr="0014168F" w:rsidRDefault="00B2403B" w:rsidP="00B848E2">
            <w:pPr>
              <w:pStyle w:val="ListParagraph"/>
              <w:tabs>
                <w:tab w:val="left" w:pos="426"/>
                <w:tab w:val="left" w:pos="1134"/>
              </w:tabs>
              <w:ind w:left="0" w:firstLine="516"/>
              <w:contextualSpacing w:val="0"/>
              <w:rPr>
                <w:szCs w:val="24"/>
              </w:rPr>
            </w:pPr>
            <w:r w:rsidRPr="0014168F">
              <w:rPr>
                <w:szCs w:val="24"/>
              </w:rPr>
              <w:t xml:space="preserve">VIAA </w:t>
            </w:r>
            <w:r w:rsidR="005E6641" w:rsidRPr="0014168F">
              <w:rPr>
                <w:szCs w:val="24"/>
              </w:rPr>
              <w:t>projekta ietvaros īsteno šādas atbalstāmās darbības:</w:t>
            </w:r>
            <w:bookmarkStart w:id="7" w:name="_Ref348629605"/>
            <w:bookmarkEnd w:id="6"/>
            <w:r w:rsidR="005E6641" w:rsidRPr="0014168F">
              <w:rPr>
                <w:szCs w:val="24"/>
              </w:rPr>
              <w:t xml:space="preserve"> Nacionālā kontaktpunkta darbības paplašināšanas un efektivitātes uzlabošanas pasākum</w:t>
            </w:r>
            <w:bookmarkEnd w:id="7"/>
            <w:r w:rsidRPr="0014168F">
              <w:rPr>
                <w:szCs w:val="24"/>
              </w:rPr>
              <w:t>us</w:t>
            </w:r>
            <w:r w:rsidR="005E6641" w:rsidRPr="0014168F">
              <w:rPr>
                <w:szCs w:val="24"/>
              </w:rPr>
              <w:t xml:space="preserve">, Nacionālā kontaktpunkta klientu datu bāzes attīstību, konsultāciju un mācību pasākumu nodrošināšanu programmas “Apvārsnis 2020” potenciālajiem projektu iesniedzējiem, </w:t>
            </w:r>
            <w:r w:rsidR="005E6641" w:rsidRPr="0014168F">
              <w:rPr>
                <w:i/>
                <w:szCs w:val="24"/>
              </w:rPr>
              <w:t xml:space="preserve">EURAXESS </w:t>
            </w:r>
            <w:r w:rsidR="005E6641" w:rsidRPr="0014168F">
              <w:rPr>
                <w:szCs w:val="24"/>
              </w:rPr>
              <w:t>portāla Latvijā darbības nodrošināšanu, Latvijas dalības izvērtēju</w:t>
            </w:r>
            <w:bookmarkStart w:id="8" w:name="_Ref474134312"/>
            <w:bookmarkStart w:id="9" w:name="_Ref348629626"/>
            <w:r w:rsidR="00D2408B" w:rsidRPr="0014168F">
              <w:rPr>
                <w:szCs w:val="24"/>
              </w:rPr>
              <w:t xml:space="preserve">mu programmā “Apvārsnis 2020”, </w:t>
            </w:r>
            <w:r w:rsidR="005E6641" w:rsidRPr="0014168F">
              <w:rPr>
                <w:szCs w:val="24"/>
              </w:rPr>
              <w:t>ekspertīzes nodrošināšanu 1.1.1.2.</w:t>
            </w:r>
            <w:r w:rsidR="00D2408B" w:rsidRPr="0014168F">
              <w:rPr>
                <w:szCs w:val="24"/>
              </w:rPr>
              <w:t> </w:t>
            </w:r>
            <w:r w:rsidR="005E6641" w:rsidRPr="0014168F">
              <w:rPr>
                <w:szCs w:val="24"/>
              </w:rPr>
              <w:t>pasākuma “Pēcdoktorantūras pētniecības atbalsts” projektu atlasē</w:t>
            </w:r>
            <w:bookmarkStart w:id="10" w:name="_Ref473895338"/>
            <w:bookmarkStart w:id="11" w:name="_Ref348629847"/>
            <w:bookmarkEnd w:id="8"/>
            <w:bookmarkEnd w:id="9"/>
            <w:r w:rsidR="005E6641" w:rsidRPr="0014168F">
              <w:rPr>
                <w:szCs w:val="24"/>
              </w:rPr>
              <w:t xml:space="preserve">, </w:t>
            </w:r>
            <w:r w:rsidR="00DB479F" w:rsidRPr="0014168F">
              <w:rPr>
                <w:szCs w:val="24"/>
              </w:rPr>
              <w:t>programmas “Apvārsnis 2020” apakšprogrammu konkursos iesniegta un virs kvalitātes sliekšņa novērtēta projekta sagatavošanas finansēšana</w:t>
            </w:r>
            <w:bookmarkStart w:id="12" w:name="_Ref474221161"/>
            <w:bookmarkEnd w:id="10"/>
            <w:bookmarkEnd w:id="11"/>
            <w:r w:rsidR="005E6641" w:rsidRPr="0014168F">
              <w:rPr>
                <w:szCs w:val="24"/>
              </w:rPr>
              <w:t xml:space="preserve">, Latvijas dalības nodrošināšanu </w:t>
            </w:r>
            <w:r w:rsidR="005E6641" w:rsidRPr="0014168F">
              <w:rPr>
                <w:i/>
                <w:szCs w:val="24"/>
              </w:rPr>
              <w:t>ERA-NET COFUND</w:t>
            </w:r>
            <w:r w:rsidR="005E6641" w:rsidRPr="0014168F">
              <w:rPr>
                <w:szCs w:val="24"/>
              </w:rPr>
              <w:t xml:space="preserve"> projektu konsorcijos,</w:t>
            </w:r>
            <w:bookmarkEnd w:id="12"/>
            <w:r w:rsidR="005E6641" w:rsidRPr="0014168F">
              <w:rPr>
                <w:szCs w:val="24"/>
              </w:rPr>
              <w:t xml:space="preserve"> un citas darbības atbilstoši noteikumu projekta 2</w:t>
            </w:r>
            <w:r w:rsidR="000D3CBD" w:rsidRPr="0014168F">
              <w:rPr>
                <w:szCs w:val="24"/>
              </w:rPr>
              <w:t>0</w:t>
            </w:r>
            <w:r w:rsidR="00D2408B" w:rsidRPr="0014168F">
              <w:rPr>
                <w:szCs w:val="24"/>
              </w:rPr>
              <w:t>. </w:t>
            </w:r>
            <w:r w:rsidR="005E6641" w:rsidRPr="0014168F">
              <w:rPr>
                <w:szCs w:val="24"/>
              </w:rPr>
              <w:t>punktam.</w:t>
            </w:r>
          </w:p>
          <w:p w14:paraId="2333604F" w14:textId="518B2674" w:rsidR="005E6641" w:rsidRPr="0014168F" w:rsidRDefault="005E6641" w:rsidP="00B848E2">
            <w:pPr>
              <w:pStyle w:val="ListParagraph"/>
              <w:tabs>
                <w:tab w:val="left" w:pos="426"/>
                <w:tab w:val="left" w:pos="1134"/>
              </w:tabs>
              <w:ind w:left="0" w:firstLine="516"/>
              <w:contextualSpacing w:val="0"/>
              <w:rPr>
                <w:szCs w:val="24"/>
              </w:rPr>
            </w:pPr>
            <w:r w:rsidRPr="0014168F">
              <w:rPr>
                <w:szCs w:val="24"/>
              </w:rPr>
              <w:t xml:space="preserve">Pirmās kārtas ietvaros VIAA projektā plānots sniegt atbalstu konsultāciju nodrošināšanai programmas „Apvārsnis 2020” potenciālajiem projektu iesniedzējiem, nodrošinot vienlīdzīgu pieeju informācijai par programmas “Apvārsnis 2020” konkursiem, projektu izstrādes </w:t>
            </w:r>
            <w:r w:rsidR="00621531" w:rsidRPr="0014168F">
              <w:rPr>
                <w:szCs w:val="24"/>
              </w:rPr>
              <w:t xml:space="preserve">nosacījumiem un citām iespējām sagatavot kvalitatīvus projektus </w:t>
            </w:r>
            <w:r w:rsidRPr="0014168F">
              <w:rPr>
                <w:szCs w:val="24"/>
              </w:rPr>
              <w:t>visiem interesentiem, tai skaitā komersantiem, kas tostarp sadarbībā ar zinātniskajām</w:t>
            </w:r>
            <w:proofErr w:type="gramStart"/>
            <w:r w:rsidRPr="0014168F">
              <w:rPr>
                <w:szCs w:val="24"/>
              </w:rPr>
              <w:t xml:space="preserve">  </w:t>
            </w:r>
            <w:proofErr w:type="gramEnd"/>
            <w:r w:rsidRPr="0014168F">
              <w:rPr>
                <w:szCs w:val="24"/>
              </w:rPr>
              <w:t>institūcijām var īstenot ar saimniecisku darbību nesaistītus efektīvas sadarbības projektus, tādējādi plānots sniegt atbalstu plašai mērķa grupai, potenciālos projektu iesniedzējus nediskriminējot pēc juridiskā statusa.</w:t>
            </w:r>
          </w:p>
          <w:p w14:paraId="78E7C04D" w14:textId="4D5A553A" w:rsidR="001D6303" w:rsidRPr="0014168F" w:rsidRDefault="00FE2C48" w:rsidP="00B848E2">
            <w:pPr>
              <w:pStyle w:val="ListParagraph"/>
              <w:tabs>
                <w:tab w:val="left" w:pos="426"/>
                <w:tab w:val="left" w:pos="1134"/>
              </w:tabs>
              <w:ind w:left="0" w:firstLine="516"/>
              <w:contextualSpacing w:val="0"/>
              <w:rPr>
                <w:szCs w:val="24"/>
              </w:rPr>
            </w:pPr>
            <w:r w:rsidRPr="0014168F">
              <w:rPr>
                <w:szCs w:val="24"/>
              </w:rPr>
              <w:t>Ievērojot</w:t>
            </w:r>
            <w:r w:rsidR="00026512" w:rsidRPr="0014168F">
              <w:rPr>
                <w:szCs w:val="24"/>
              </w:rPr>
              <w:t xml:space="preserve">, ka </w:t>
            </w:r>
            <w:r w:rsidR="00B758A8" w:rsidRPr="0014168F">
              <w:rPr>
                <w:szCs w:val="24"/>
              </w:rPr>
              <w:t xml:space="preserve">darbības programmā “Izaugsme un nodarbinātība” 1.1.1.5. pasākuma ietvaros plānotais iznākuma rādītājs ietver arī atbalstu programmā </w:t>
            </w:r>
            <w:r w:rsidR="00B758A8" w:rsidRPr="0014168F">
              <w:rPr>
                <w:i/>
                <w:szCs w:val="24"/>
              </w:rPr>
              <w:t>Baltic Bonus</w:t>
            </w:r>
            <w:r w:rsidR="00B758A8" w:rsidRPr="0014168F">
              <w:rPr>
                <w:szCs w:val="24"/>
              </w:rPr>
              <w:t xml:space="preserve"> iesniegtiem projektiem un to, ka </w:t>
            </w:r>
            <w:r w:rsidR="00026512" w:rsidRPr="0014168F">
              <w:rPr>
                <w:szCs w:val="24"/>
              </w:rPr>
              <w:t xml:space="preserve">valsts budžeta finansējums nav pietiekams, lai atbalstītu visu programmas “Apvārsnis </w:t>
            </w:r>
            <w:r w:rsidR="00026512" w:rsidRPr="0014168F">
              <w:rPr>
                <w:szCs w:val="24"/>
              </w:rPr>
              <w:lastRenderedPageBreak/>
              <w:t>2020” apakšprogrammu ietvaros iesniegto un virs kvalitātes sliekšņa novērtēto projektu izstrādes izmaksas</w:t>
            </w:r>
            <w:r w:rsidR="00C304A2" w:rsidRPr="0014168F">
              <w:rPr>
                <w:szCs w:val="24"/>
              </w:rPr>
              <w:t xml:space="preserve">, </w:t>
            </w:r>
            <w:r w:rsidR="00C44AF1" w:rsidRPr="0014168F">
              <w:rPr>
                <w:szCs w:val="24"/>
              </w:rPr>
              <w:t xml:space="preserve">kā arī programmas </w:t>
            </w:r>
            <w:r w:rsidR="00C44AF1" w:rsidRPr="0014168F">
              <w:rPr>
                <w:i/>
                <w:szCs w:val="24"/>
              </w:rPr>
              <w:t>Baltic Bonus</w:t>
            </w:r>
            <w:r w:rsidR="00C44AF1" w:rsidRPr="0014168F">
              <w:rPr>
                <w:szCs w:val="24"/>
              </w:rPr>
              <w:t xml:space="preserve"> mērķi, kas akcentē īpašu atbalstu tiem</w:t>
            </w:r>
            <w:r w:rsidR="003774F4" w:rsidRPr="0014168F">
              <w:rPr>
                <w:szCs w:val="24"/>
              </w:rPr>
              <w:t xml:space="preserve"> projektiem, kur</w:t>
            </w:r>
            <w:r w:rsidR="00C44AF1" w:rsidRPr="0014168F">
              <w:rPr>
                <w:szCs w:val="24"/>
              </w:rPr>
              <w:t xml:space="preserve"> </w:t>
            </w:r>
            <w:r w:rsidR="003774F4" w:rsidRPr="0014168F">
              <w:t>projektā piedalās dalībnieks no Lietuvas vai Igauni</w:t>
            </w:r>
            <w:r w:rsidR="00C304A2" w:rsidRPr="0014168F">
              <w:t>jas, vai Lietuvas un Igaunijas,</w:t>
            </w:r>
            <w:r w:rsidR="00621531" w:rsidRPr="0014168F">
              <w:t xml:space="preserve"> </w:t>
            </w:r>
            <w:r w:rsidR="00C304A2" w:rsidRPr="0014168F">
              <w:t xml:space="preserve">- </w:t>
            </w:r>
            <w:r w:rsidR="00D2408B" w:rsidRPr="0014168F">
              <w:rPr>
                <w:szCs w:val="24"/>
              </w:rPr>
              <w:t>1.1.1.5. </w:t>
            </w:r>
            <w:r w:rsidR="000B1528" w:rsidRPr="0014168F">
              <w:rPr>
                <w:szCs w:val="24"/>
              </w:rPr>
              <w:t xml:space="preserve">pasākuma pirmās kārtas ietvaros paredzēts iekļaut </w:t>
            </w:r>
            <w:r w:rsidR="000B1528" w:rsidRPr="0014168F">
              <w:rPr>
                <w:i/>
                <w:szCs w:val="24"/>
              </w:rPr>
              <w:t>Baltic Bonus</w:t>
            </w:r>
            <w:r w:rsidR="000B1528" w:rsidRPr="0014168F">
              <w:rPr>
                <w:szCs w:val="24"/>
              </w:rPr>
              <w:t xml:space="preserve"> programmas </w:t>
            </w:r>
            <w:r w:rsidR="009E143E" w:rsidRPr="0014168F">
              <w:rPr>
                <w:szCs w:val="24"/>
              </w:rPr>
              <w:t xml:space="preserve">principus, </w:t>
            </w:r>
            <w:r w:rsidR="009E143E" w:rsidRPr="0014168F">
              <w:rPr>
                <w:i/>
                <w:szCs w:val="24"/>
              </w:rPr>
              <w:t>ex-post</w:t>
            </w:r>
            <w:r w:rsidR="009E143E" w:rsidRPr="0014168F">
              <w:rPr>
                <w:szCs w:val="24"/>
              </w:rPr>
              <w:t xml:space="preserve"> finansējot programmas “Apvārsnis 2020” ietvaros iesniegtu un virs kvalitātes slie</w:t>
            </w:r>
            <w:r w:rsidR="00621531" w:rsidRPr="0014168F">
              <w:rPr>
                <w:szCs w:val="24"/>
              </w:rPr>
              <w:t>kšņa novērtētu projektu sagatavošanu</w:t>
            </w:r>
            <w:r w:rsidR="000B1528" w:rsidRPr="0014168F">
              <w:rPr>
                <w:szCs w:val="24"/>
              </w:rPr>
              <w:t>, tostarp nodrošinot nepārklāšanos ar otrās kārtas ietvaros īstenoto projektu atbalstāmajām darbībām un attiecināmajām izmaksām.</w:t>
            </w:r>
            <w:r w:rsidR="00EB10CE" w:rsidRPr="0014168F">
              <w:rPr>
                <w:szCs w:val="24"/>
              </w:rPr>
              <w:t xml:space="preserve"> </w:t>
            </w:r>
            <w:r w:rsidR="00621531" w:rsidRPr="0014168F">
              <w:rPr>
                <w:szCs w:val="24"/>
              </w:rPr>
              <w:t>Tādējādi tiks sniegs atbalsts</w:t>
            </w:r>
            <w:r w:rsidR="00EB10CE" w:rsidRPr="0014168F">
              <w:rPr>
                <w:szCs w:val="24"/>
              </w:rPr>
              <w:t xml:space="preserve"> arī tām institūcijām, kas nav otrās kārtas finansējuma saņēmēji.</w:t>
            </w:r>
            <w:r w:rsidR="001E4C26" w:rsidRPr="0014168F">
              <w:rPr>
                <w:szCs w:val="24"/>
              </w:rPr>
              <w:t xml:space="preserve"> </w:t>
            </w:r>
            <w:r w:rsidR="001E4C26" w:rsidRPr="0014168F">
              <w:t>Programmas “Apvārsnis 2020”</w:t>
            </w:r>
            <w:r w:rsidR="00D2408B" w:rsidRPr="0014168F">
              <w:t xml:space="preserve"> un </w:t>
            </w:r>
            <w:r w:rsidR="00535985">
              <w:t>ES</w:t>
            </w:r>
            <w:r w:rsidR="00D2408B" w:rsidRPr="0014168F">
              <w:t xml:space="preserve"> 9. Ietvara programmas</w:t>
            </w:r>
            <w:r w:rsidR="001E4C26" w:rsidRPr="0014168F">
              <w:t xml:space="preserve"> projekta iesnieguma sagatavošanas izmaksu apmēra noteikšanai plānots izstrādāt vienas vienības izmaksu metodiku</w:t>
            </w:r>
            <w:r w:rsidR="00AA6448" w:rsidRPr="0014168F">
              <w:t xml:space="preserve"> (2017. gada 4. ceturksnī)</w:t>
            </w:r>
            <w:r w:rsidR="00FD0F36" w:rsidRPr="0014168F">
              <w:t>.</w:t>
            </w:r>
          </w:p>
          <w:p w14:paraId="04327651" w14:textId="7FF1E4CD" w:rsidR="001D6303" w:rsidRPr="0014168F" w:rsidRDefault="004B61FF" w:rsidP="00B848E2">
            <w:pPr>
              <w:pStyle w:val="ListParagraph"/>
              <w:tabs>
                <w:tab w:val="left" w:pos="426"/>
                <w:tab w:val="left" w:pos="1134"/>
              </w:tabs>
              <w:ind w:left="0" w:firstLine="516"/>
              <w:contextualSpacing w:val="0"/>
              <w:rPr>
                <w:szCs w:val="24"/>
              </w:rPr>
            </w:pPr>
            <w:r w:rsidRPr="0014168F">
              <w:rPr>
                <w:szCs w:val="24"/>
              </w:rPr>
              <w:t xml:space="preserve">Lai nodrošinātu vienotu pieeju 1.1.1.5. </w:t>
            </w:r>
            <w:r w:rsidR="0085552D" w:rsidRPr="0014168F">
              <w:rPr>
                <w:szCs w:val="24"/>
              </w:rPr>
              <w:t>pasā</w:t>
            </w:r>
            <w:r w:rsidRPr="0014168F">
              <w:rPr>
                <w:szCs w:val="24"/>
              </w:rPr>
              <w:t>kuma atlases kārtās</w:t>
            </w:r>
            <w:proofErr w:type="gramStart"/>
            <w:r w:rsidRPr="0014168F">
              <w:rPr>
                <w:szCs w:val="24"/>
              </w:rPr>
              <w:t xml:space="preserve"> un</w:t>
            </w:r>
            <w:proofErr w:type="gramEnd"/>
            <w:r w:rsidRPr="0014168F">
              <w:rPr>
                <w:szCs w:val="24"/>
              </w:rPr>
              <w:t xml:space="preserve"> varētu piemērot vienas vienības izmaksu principus</w:t>
            </w:r>
            <w:r w:rsidR="000B1528" w:rsidRPr="0014168F">
              <w:rPr>
                <w:szCs w:val="24"/>
              </w:rPr>
              <w:t>,</w:t>
            </w:r>
            <w:r w:rsidRPr="0014168F">
              <w:rPr>
                <w:szCs w:val="24"/>
              </w:rPr>
              <w:t xml:space="preserve"> p</w:t>
            </w:r>
            <w:r w:rsidR="00026512" w:rsidRPr="0014168F">
              <w:rPr>
                <w:szCs w:val="24"/>
              </w:rPr>
              <w:t xml:space="preserve">aredzēts, ka </w:t>
            </w:r>
            <w:r w:rsidR="000B1528" w:rsidRPr="0014168F">
              <w:rPr>
                <w:szCs w:val="24"/>
              </w:rPr>
              <w:t>pirmās kārtas</w:t>
            </w:r>
            <w:r w:rsidR="00C304A2" w:rsidRPr="0014168F">
              <w:rPr>
                <w:szCs w:val="24"/>
              </w:rPr>
              <w:t xml:space="preserve"> ietvaros zinātniskā institūcija, kas reģistrēta Zinātnisko institūciju reģistrā un Latvijas Republikas Uzņēmumu reģistrā reģistrēts sīkais (mikro), mazais vai vidējais komersants var saņemt atbalstu par programmas “Apvārsnis 2020” </w:t>
            </w:r>
            <w:r w:rsidR="00D2408B" w:rsidRPr="0014168F">
              <w:t xml:space="preserve">un </w:t>
            </w:r>
            <w:r w:rsidR="00535985">
              <w:t>ES</w:t>
            </w:r>
            <w:r w:rsidR="00D2408B" w:rsidRPr="0014168F">
              <w:t xml:space="preserve"> 9. Ietvara programmas </w:t>
            </w:r>
            <w:r w:rsidR="00C304A2" w:rsidRPr="0014168F">
              <w:rPr>
                <w:szCs w:val="24"/>
              </w:rPr>
              <w:t xml:space="preserve">konkursos iesniegta un virs kvalitātes sliekšņa novērtēta projekta izstrādi, ja projekta iesniedzējs par </w:t>
            </w:r>
            <w:r w:rsidR="00C304A2" w:rsidRPr="00512CE9">
              <w:t xml:space="preserve">konkrētā projekta izstrādi </w:t>
            </w:r>
            <w:r w:rsidR="00512CE9" w:rsidRPr="00512CE9">
              <w:t xml:space="preserve">iepriekš nav saņēmis Eiropas strukturālo un investīciju fondu vai valsts budžeta finansējumu </w:t>
            </w:r>
            <w:r w:rsidR="002E0AAA" w:rsidRPr="00512CE9">
              <w:t>un ERAF finansējumu konkrētā projekta izstrādei otrās kārtas ietvaros</w:t>
            </w:r>
            <w:r w:rsidR="00C304A2" w:rsidRPr="00512CE9">
              <w:t>.</w:t>
            </w:r>
          </w:p>
          <w:p w14:paraId="4DDA5687" w14:textId="669CF997" w:rsidR="005E6641" w:rsidRPr="0014168F" w:rsidRDefault="005E6641" w:rsidP="00B848E2">
            <w:pPr>
              <w:pStyle w:val="ListParagraph"/>
              <w:tabs>
                <w:tab w:val="left" w:pos="426"/>
                <w:tab w:val="left" w:pos="1134"/>
              </w:tabs>
              <w:ind w:left="0" w:firstLine="516"/>
              <w:contextualSpacing w:val="0"/>
              <w:rPr>
                <w:szCs w:val="24"/>
              </w:rPr>
            </w:pPr>
            <w:r w:rsidRPr="0014168F">
              <w:rPr>
                <w:szCs w:val="24"/>
              </w:rPr>
              <w:t xml:space="preserve">Lai nodrošinātu efektīvāku programmas </w:t>
            </w:r>
            <w:r w:rsidRPr="0014168F">
              <w:rPr>
                <w:i/>
                <w:szCs w:val="24"/>
              </w:rPr>
              <w:t>ERA-NET COFUND</w:t>
            </w:r>
            <w:r w:rsidRPr="0014168F">
              <w:rPr>
                <w:szCs w:val="24"/>
              </w:rPr>
              <w:t xml:space="preserve"> administrēšanu un pilnveidotu ieviešanu, minētās programmas nodrošināšanu pirmās kārtas ietvaros veic VIAA, </w:t>
            </w:r>
            <w:proofErr w:type="gramStart"/>
            <w:r w:rsidRPr="0014168F">
              <w:rPr>
                <w:szCs w:val="24"/>
              </w:rPr>
              <w:t>kas vienlaikus ir arī attiecīgā</w:t>
            </w:r>
            <w:proofErr w:type="gramEnd"/>
            <w:r w:rsidRPr="0014168F">
              <w:rPr>
                <w:szCs w:val="24"/>
              </w:rPr>
              <w:t xml:space="preserve"> </w:t>
            </w:r>
            <w:r w:rsidRPr="0014168F">
              <w:rPr>
                <w:i/>
                <w:szCs w:val="24"/>
              </w:rPr>
              <w:t>ERA-NET COFUND</w:t>
            </w:r>
            <w:r w:rsidRPr="0014168F">
              <w:rPr>
                <w:szCs w:val="24"/>
              </w:rPr>
              <w:t xml:space="preserve"> aktivitātes projekta </w:t>
            </w:r>
            <w:r w:rsidR="00F61B5A" w:rsidRPr="0014168F">
              <w:rPr>
                <w:szCs w:val="24"/>
              </w:rPr>
              <w:t xml:space="preserve">konsorcija </w:t>
            </w:r>
            <w:r w:rsidRPr="0014168F">
              <w:rPr>
                <w:szCs w:val="24"/>
              </w:rPr>
              <w:t>dalībnieks un finansējošā iestāde</w:t>
            </w:r>
            <w:r w:rsidR="00925723" w:rsidRPr="0014168F">
              <w:rPr>
                <w:szCs w:val="24"/>
              </w:rPr>
              <w:t xml:space="preserve"> Latvijā</w:t>
            </w:r>
            <w:r w:rsidRPr="0014168F">
              <w:rPr>
                <w:szCs w:val="24"/>
              </w:rPr>
              <w:t>.</w:t>
            </w:r>
            <w:r w:rsidR="00F61B5A" w:rsidRPr="0014168F">
              <w:rPr>
                <w:szCs w:val="24"/>
              </w:rPr>
              <w:t xml:space="preserve"> </w:t>
            </w:r>
            <w:r w:rsidRPr="0014168F">
              <w:rPr>
                <w:szCs w:val="24"/>
              </w:rPr>
              <w:t>Ņemot vērā VIAA līdzšinējo pieredzi un d</w:t>
            </w:r>
            <w:r w:rsidR="00925723" w:rsidRPr="0014168F">
              <w:rPr>
                <w:szCs w:val="24"/>
              </w:rPr>
              <w:t>eleģēto funkciju</w:t>
            </w:r>
            <w:r w:rsidR="00B758A8" w:rsidRPr="0014168F">
              <w:rPr>
                <w:rStyle w:val="FootnoteReference"/>
                <w:szCs w:val="24"/>
              </w:rPr>
              <w:footnoteReference w:id="7"/>
            </w:r>
            <w:r w:rsidR="00B758A8" w:rsidRPr="0014168F">
              <w:rPr>
                <w:szCs w:val="24"/>
              </w:rPr>
              <w:t xml:space="preserve"> </w:t>
            </w:r>
            <w:r w:rsidR="00925723" w:rsidRPr="0014168F">
              <w:rPr>
                <w:szCs w:val="24"/>
              </w:rPr>
              <w:t>finansēt un</w:t>
            </w:r>
            <w:r w:rsidRPr="0014168F">
              <w:rPr>
                <w:szCs w:val="24"/>
              </w:rPr>
              <w:t xml:space="preserve"> administrēt nacionālās pētījumu programmas, iesaistoties projektu konkursu īstenošanā - projektu konkursa nosacījumu izstrādē, projektu konkursa organizēšanā, projektu pieteikumu izvērtēšanā, projektu ieviešanas uzraudzībā. </w:t>
            </w:r>
            <w:r w:rsidRPr="0014168F">
              <w:rPr>
                <w:i/>
                <w:szCs w:val="24"/>
              </w:rPr>
              <w:t>ERA-NET COFUND</w:t>
            </w:r>
            <w:r w:rsidRPr="0014168F">
              <w:rPr>
                <w:szCs w:val="24"/>
              </w:rPr>
              <w:t xml:space="preserve"> aktivitātes projektu īstenošana izvēlēta pamatojoties uz to, ka </w:t>
            </w:r>
            <w:r w:rsidRPr="0014168F">
              <w:rPr>
                <w:i/>
                <w:szCs w:val="24"/>
              </w:rPr>
              <w:t>ERA-NET COFUND</w:t>
            </w:r>
            <w:r w:rsidRPr="0014168F">
              <w:rPr>
                <w:szCs w:val="24"/>
              </w:rPr>
              <w:t xml:space="preserve"> aktivitātes ieviešanas mehānisms sniedz iespēju VIAA ņemt tiešu dalību konkrētos </w:t>
            </w:r>
            <w:r w:rsidRPr="0014168F">
              <w:rPr>
                <w:i/>
                <w:szCs w:val="24"/>
              </w:rPr>
              <w:t>ERA-NET COFUND</w:t>
            </w:r>
            <w:r w:rsidRPr="0014168F">
              <w:rPr>
                <w:szCs w:val="24"/>
              </w:rPr>
              <w:t xml:space="preserve"> konsorcijos kā finansējošajai iestādei, paplašinot nacionālo dalību </w:t>
            </w:r>
            <w:r w:rsidRPr="0014168F">
              <w:rPr>
                <w:i/>
                <w:szCs w:val="24"/>
              </w:rPr>
              <w:t>ERA-NET COFUND</w:t>
            </w:r>
            <w:r w:rsidRPr="0014168F">
              <w:rPr>
                <w:szCs w:val="24"/>
              </w:rPr>
              <w:t xml:space="preserve"> konsorcijos.</w:t>
            </w:r>
          </w:p>
          <w:p w14:paraId="5E6393C0" w14:textId="78849588" w:rsidR="005E6641" w:rsidRPr="0014168F" w:rsidRDefault="005E6641" w:rsidP="00B848E2">
            <w:pPr>
              <w:pStyle w:val="ListParagraph"/>
              <w:tabs>
                <w:tab w:val="left" w:pos="426"/>
                <w:tab w:val="left" w:pos="1134"/>
              </w:tabs>
              <w:ind w:left="0" w:firstLine="516"/>
              <w:contextualSpacing w:val="0"/>
              <w:rPr>
                <w:szCs w:val="24"/>
              </w:rPr>
            </w:pPr>
            <w:r w:rsidRPr="0014168F">
              <w:rPr>
                <w:szCs w:val="24"/>
              </w:rPr>
              <w:t>1.1.1.5. pasākuma ietvaros laika posmā no 2017.</w:t>
            </w:r>
            <w:r w:rsidR="00D2408B" w:rsidRPr="0014168F">
              <w:rPr>
                <w:szCs w:val="24"/>
              </w:rPr>
              <w:t xml:space="preserve"> </w:t>
            </w:r>
            <w:r w:rsidRPr="0014168F">
              <w:rPr>
                <w:szCs w:val="24"/>
              </w:rPr>
              <w:t>gada plānots atbalsts ekspertīzes nodrošināšanai 1.1.1.2.</w:t>
            </w:r>
            <w:r w:rsidR="00353055" w:rsidRPr="0014168F">
              <w:rPr>
                <w:szCs w:val="24"/>
              </w:rPr>
              <w:t xml:space="preserve"> </w:t>
            </w:r>
            <w:r w:rsidRPr="0014168F">
              <w:rPr>
                <w:szCs w:val="24"/>
              </w:rPr>
              <w:t xml:space="preserve">pasākuma “Pēcdoktorantūras pētniecības atbalsts” </w:t>
            </w:r>
            <w:r w:rsidR="00B2403B" w:rsidRPr="0014168F">
              <w:rPr>
                <w:szCs w:val="24"/>
              </w:rPr>
              <w:t xml:space="preserve">(turpmāk - 1.1.1.2. pasākums) </w:t>
            </w:r>
            <w:r w:rsidRPr="0014168F">
              <w:rPr>
                <w:szCs w:val="24"/>
              </w:rPr>
              <w:t xml:space="preserve">projektu atlasē. 1.1.1.2. pasākuma budžetā ieplānots šo ekspertu darbs </w:t>
            </w:r>
            <w:r w:rsidRPr="0014168F">
              <w:rPr>
                <w:szCs w:val="24"/>
              </w:rPr>
              <w:lastRenderedPageBreak/>
              <w:t>2016. gadā, lai nodrošinātu 1.1.1.2. pasākuma īstenošanas un pētniecības projektu vērtēšanas nep</w:t>
            </w:r>
            <w:r w:rsidR="00D2408B" w:rsidRPr="0014168F">
              <w:rPr>
                <w:szCs w:val="24"/>
              </w:rPr>
              <w:t>ārtrauktību, attiecīgi 1.1.1.5. </w:t>
            </w:r>
            <w:r w:rsidRPr="0014168F">
              <w:rPr>
                <w:szCs w:val="24"/>
              </w:rPr>
              <w:t>pasākuma ietvaros ieplānota tālākā ekspertu darbība. Ievērojot pienākumu periodiskumu, eksperti tiks nodarbināti nepilnu darba laiku – indikatīvi – 0,3 slodzē. Ekspertu pamata pienākumi saistīti ar informācijas apkopošanu par tām zinātniskajām institūcijām un augstākās izglītības iestādēm, ar kurām Latvijas zinātniskajām institūcijām ir līdzšinēja sadarbība pētniecībā vai radniecīgi pētījumu virzieni un ārvalstu zinātniskajām institūcijām un augstākās izglītības institūcijām, ar ko Latvijai ir Starpvaldību līgumi un to izpildprogrammas zinātnes jomā; nodrošināt metodoloģisko atbalstu un padziļinātas konsultācijas pētniecības pieteikumu iesniedzējiem; veikt EK ekspertu datu bāzē iekļauto ekspertu atlasi pētniecības pieteikumu zinātniskai vērtēšanai; piedalīties pētniecības pieteikumu iesniedzēju saturisko atskaišu izvērtēšanā, grozījumu izvērtēšanā, sagatavot nepieciešamo</w:t>
            </w:r>
            <w:r w:rsidR="00B2403B" w:rsidRPr="0014168F">
              <w:rPr>
                <w:szCs w:val="24"/>
              </w:rPr>
              <w:t>s pārskatus un veikt datu analīzi</w:t>
            </w:r>
            <w:r w:rsidRPr="0014168F">
              <w:rPr>
                <w:szCs w:val="24"/>
              </w:rPr>
              <w:t>.</w:t>
            </w:r>
          </w:p>
          <w:p w14:paraId="4938E9E8" w14:textId="032A5B68" w:rsidR="000D1858" w:rsidRPr="0014168F" w:rsidRDefault="000D1858" w:rsidP="00B848E2">
            <w:pPr>
              <w:pStyle w:val="ListParagraph"/>
              <w:tabs>
                <w:tab w:val="left" w:pos="426"/>
                <w:tab w:val="left" w:pos="1134"/>
              </w:tabs>
              <w:ind w:left="0" w:firstLine="516"/>
              <w:contextualSpacing w:val="0"/>
              <w:rPr>
                <w:szCs w:val="24"/>
              </w:rPr>
            </w:pPr>
            <w:r w:rsidRPr="0014168F">
              <w:rPr>
                <w:szCs w:val="24"/>
              </w:rPr>
              <w:t>Nacionālā kontaktpunkta informatīvās un konsultatīvās ekspertīzes paplašināšanai un</w:t>
            </w:r>
            <w:proofErr w:type="gramStart"/>
            <w:r w:rsidRPr="0014168F">
              <w:rPr>
                <w:szCs w:val="24"/>
              </w:rPr>
              <w:t xml:space="preserve">  </w:t>
            </w:r>
            <w:proofErr w:type="gramEnd"/>
            <w:r w:rsidRPr="0014168F">
              <w:rPr>
                <w:szCs w:val="24"/>
              </w:rPr>
              <w:t>darbības efektivitātes uzlabošanas nolūkos pirmās kārtas projekta ietvaros plānots piesaistīt arī atbilstošas kvalifikācijas ekspertus mācību pakalpojumu nodrošināšanai par specifiskiem un aktuāliem jautājumiem, kas saistīti ar programmas “Apvārsnis 2020” projektu iesniegumu izstrādi. Ekspertu piesaistē primāri tiks ņemta vērā ekspertu pieredze un profesionālā kvalifikācija, kā arī zināšanas par ES ietvarprogrammu projektu pieteikumu sagatavošanas dažādiem aspektiem (piemēram, juridiskajiem jautājumiem), kā arī pieredze mācību semināru vadīšanā.</w:t>
            </w:r>
          </w:p>
          <w:p w14:paraId="1B5C8454" w14:textId="77777777" w:rsidR="00363751" w:rsidRPr="0014168F" w:rsidRDefault="00363751" w:rsidP="00DB479F">
            <w:pPr>
              <w:tabs>
                <w:tab w:val="left" w:pos="426"/>
                <w:tab w:val="left" w:pos="993"/>
                <w:tab w:val="left" w:pos="1134"/>
                <w:tab w:val="left" w:pos="1276"/>
              </w:tabs>
              <w:ind w:firstLine="516"/>
            </w:pPr>
            <w:r w:rsidRPr="0014168F">
              <w:t>Projektu vērtēšanas kritēriji paredz, ka:</w:t>
            </w:r>
          </w:p>
          <w:p w14:paraId="6C118CDA" w14:textId="1DB620DD" w:rsidR="00363751" w:rsidRPr="0014168F" w:rsidRDefault="00363751" w:rsidP="00B22F8E">
            <w:pPr>
              <w:pStyle w:val="ListParagraph"/>
              <w:numPr>
                <w:ilvl w:val="0"/>
                <w:numId w:val="14"/>
              </w:numPr>
              <w:tabs>
                <w:tab w:val="left" w:pos="426"/>
                <w:tab w:val="left" w:pos="993"/>
                <w:tab w:val="left" w:pos="1134"/>
                <w:tab w:val="left" w:pos="1276"/>
              </w:tabs>
              <w:ind w:left="0" w:firstLine="360"/>
              <w:rPr>
                <w:bCs/>
                <w:spacing w:val="-2"/>
              </w:rPr>
            </w:pPr>
            <w:r w:rsidRPr="0014168F">
              <w:t xml:space="preserve">Izglītības un zinātnes ministrija kā projekta iesniedzējs </w:t>
            </w:r>
            <w:r w:rsidRPr="0014168F">
              <w:rPr>
                <w:bCs/>
                <w:spacing w:val="-2"/>
              </w:rPr>
              <w:t>sagatavo un sadarbības iestādē iesniedz:</w:t>
            </w:r>
          </w:p>
          <w:p w14:paraId="785588BE" w14:textId="1C01F705" w:rsidR="00363751" w:rsidRPr="0014168F" w:rsidRDefault="00363751" w:rsidP="00B22F8E">
            <w:pPr>
              <w:pStyle w:val="tv2132"/>
              <w:numPr>
                <w:ilvl w:val="2"/>
                <w:numId w:val="4"/>
              </w:numPr>
              <w:tabs>
                <w:tab w:val="left" w:pos="426"/>
                <w:tab w:val="left" w:pos="1134"/>
                <w:tab w:val="left" w:pos="1560"/>
              </w:tabs>
              <w:spacing w:line="240" w:lineRule="auto"/>
              <w:ind w:left="0" w:firstLine="709"/>
              <w:jc w:val="both"/>
              <w:rPr>
                <w:color w:val="auto"/>
                <w:sz w:val="24"/>
                <w:szCs w:val="24"/>
                <w:lang w:val="lv-LV"/>
              </w:rPr>
            </w:pPr>
            <w:r w:rsidRPr="0014168F">
              <w:rPr>
                <w:color w:val="auto"/>
                <w:sz w:val="24"/>
                <w:szCs w:val="24"/>
                <w:lang w:val="lv-LV"/>
              </w:rPr>
              <w:t>rīcības plānu dalībai Kop</w:t>
            </w:r>
            <w:r w:rsidR="00AA6448" w:rsidRPr="0014168F">
              <w:rPr>
                <w:color w:val="auto"/>
                <w:sz w:val="24"/>
                <w:szCs w:val="24"/>
                <w:lang w:val="lv-LV"/>
              </w:rPr>
              <w:t>ēj</w:t>
            </w:r>
            <w:r w:rsidRPr="0014168F">
              <w:rPr>
                <w:color w:val="auto"/>
                <w:sz w:val="24"/>
                <w:szCs w:val="24"/>
                <w:lang w:val="lv-LV"/>
              </w:rPr>
              <w:t xml:space="preserve">ās </w:t>
            </w:r>
            <w:r w:rsidR="00AA6448" w:rsidRPr="0014168F">
              <w:rPr>
                <w:color w:val="auto"/>
                <w:sz w:val="24"/>
                <w:szCs w:val="24"/>
                <w:lang w:val="lv-LV"/>
              </w:rPr>
              <w:t xml:space="preserve">programmēšanas </w:t>
            </w:r>
            <w:r w:rsidRPr="0014168F">
              <w:rPr>
                <w:color w:val="auto"/>
                <w:sz w:val="24"/>
                <w:szCs w:val="24"/>
                <w:lang w:val="lv-LV"/>
              </w:rPr>
              <w:t>iniciatīvās;</w:t>
            </w:r>
          </w:p>
          <w:p w14:paraId="046BE37A" w14:textId="7B3AD724" w:rsidR="00363751" w:rsidRPr="0014168F" w:rsidRDefault="00363751" w:rsidP="00B22F8E">
            <w:pPr>
              <w:pStyle w:val="tv2132"/>
              <w:numPr>
                <w:ilvl w:val="2"/>
                <w:numId w:val="4"/>
              </w:numPr>
              <w:tabs>
                <w:tab w:val="left" w:pos="426"/>
                <w:tab w:val="left" w:pos="1134"/>
                <w:tab w:val="left" w:pos="1560"/>
              </w:tabs>
              <w:spacing w:line="240" w:lineRule="auto"/>
              <w:ind w:left="0" w:firstLine="709"/>
              <w:jc w:val="both"/>
              <w:rPr>
                <w:color w:val="auto"/>
                <w:sz w:val="24"/>
                <w:szCs w:val="24"/>
                <w:lang w:val="lv-LV"/>
              </w:rPr>
            </w:pPr>
            <w:r w:rsidRPr="0014168F">
              <w:rPr>
                <w:color w:val="auto"/>
                <w:sz w:val="24"/>
                <w:szCs w:val="24"/>
                <w:lang w:val="lv-LV"/>
              </w:rPr>
              <w:t>starptautiskās sadarbības stiprināšanas komunikācijas pasākumu plānu;</w:t>
            </w:r>
          </w:p>
          <w:p w14:paraId="3A027BF0" w14:textId="085F25D6" w:rsidR="00363751" w:rsidRPr="0014168F" w:rsidRDefault="00363751" w:rsidP="00B22F8E">
            <w:pPr>
              <w:pStyle w:val="ListParagraph"/>
              <w:numPr>
                <w:ilvl w:val="0"/>
                <w:numId w:val="14"/>
              </w:numPr>
              <w:tabs>
                <w:tab w:val="left" w:pos="426"/>
                <w:tab w:val="left" w:pos="993"/>
                <w:tab w:val="left" w:pos="1134"/>
                <w:tab w:val="left" w:pos="1276"/>
              </w:tabs>
              <w:ind w:left="0" w:firstLine="360"/>
            </w:pPr>
            <w:r w:rsidRPr="0014168F">
              <w:t xml:space="preserve">Valsts izglītības attīstības aģentūra kā projekta iesniedzējs </w:t>
            </w:r>
            <w:r w:rsidRPr="0014168F">
              <w:rPr>
                <w:bCs/>
                <w:spacing w:val="-2"/>
              </w:rPr>
              <w:t>sagatavo un sadarbības iestādē iesniedz:</w:t>
            </w:r>
            <w:r w:rsidRPr="0014168F">
              <w:t xml:space="preserve"> </w:t>
            </w:r>
          </w:p>
          <w:p w14:paraId="7ED02EFD" w14:textId="5967D619" w:rsidR="00A067D4" w:rsidRPr="0014168F" w:rsidRDefault="00363751" w:rsidP="00B22F8E">
            <w:pPr>
              <w:pStyle w:val="tv2132"/>
              <w:numPr>
                <w:ilvl w:val="0"/>
                <w:numId w:val="15"/>
              </w:numPr>
              <w:tabs>
                <w:tab w:val="left" w:pos="426"/>
                <w:tab w:val="left" w:pos="709"/>
                <w:tab w:val="left" w:pos="1560"/>
              </w:tabs>
              <w:spacing w:line="240" w:lineRule="auto"/>
              <w:ind w:left="0" w:firstLine="709"/>
              <w:jc w:val="both"/>
              <w:rPr>
                <w:color w:val="auto"/>
                <w:sz w:val="24"/>
                <w:szCs w:val="24"/>
                <w:lang w:val="lv-LV"/>
              </w:rPr>
            </w:pPr>
            <w:r w:rsidRPr="0014168F">
              <w:rPr>
                <w:color w:val="auto"/>
                <w:sz w:val="24"/>
                <w:szCs w:val="24"/>
                <w:lang w:val="lv-LV"/>
              </w:rPr>
              <w:t xml:space="preserve">Nacionālā kontaktpunkta darbības paplašināšanas un efektivitātes paaugstināšanas </w:t>
            </w:r>
            <w:r w:rsidR="00934F5B" w:rsidRPr="0014168F">
              <w:rPr>
                <w:color w:val="auto"/>
                <w:sz w:val="24"/>
                <w:szCs w:val="24"/>
                <w:lang w:val="lv-LV"/>
              </w:rPr>
              <w:t xml:space="preserve">īstenošanas </w:t>
            </w:r>
            <w:r w:rsidRPr="0014168F">
              <w:rPr>
                <w:color w:val="auto"/>
                <w:sz w:val="24"/>
                <w:szCs w:val="24"/>
                <w:lang w:val="lv-LV"/>
              </w:rPr>
              <w:t>plānu;</w:t>
            </w:r>
          </w:p>
          <w:p w14:paraId="1D40B992" w14:textId="572A2F5C" w:rsidR="003F3244" w:rsidRPr="0014168F" w:rsidRDefault="00363751" w:rsidP="00B22F8E">
            <w:pPr>
              <w:pStyle w:val="tv2132"/>
              <w:numPr>
                <w:ilvl w:val="0"/>
                <w:numId w:val="15"/>
              </w:numPr>
              <w:tabs>
                <w:tab w:val="left" w:pos="426"/>
                <w:tab w:val="left" w:pos="1134"/>
                <w:tab w:val="left" w:pos="1560"/>
              </w:tabs>
              <w:spacing w:line="240" w:lineRule="auto"/>
              <w:ind w:left="0" w:firstLine="709"/>
              <w:jc w:val="both"/>
              <w:rPr>
                <w:color w:val="auto"/>
                <w:sz w:val="24"/>
                <w:szCs w:val="24"/>
                <w:lang w:val="lv-LV"/>
              </w:rPr>
            </w:pPr>
            <w:r w:rsidRPr="0014168F">
              <w:rPr>
                <w:color w:val="auto"/>
                <w:sz w:val="24"/>
                <w:szCs w:val="24"/>
                <w:lang w:val="lv-LV"/>
              </w:rPr>
              <w:t xml:space="preserve">dalības plānu </w:t>
            </w:r>
            <w:r w:rsidR="00934F5B" w:rsidRPr="0014168F">
              <w:rPr>
                <w:color w:val="auto"/>
                <w:sz w:val="24"/>
                <w:szCs w:val="24"/>
                <w:lang w:val="lv-LV"/>
              </w:rPr>
              <w:t xml:space="preserve">indikatīvajos </w:t>
            </w:r>
            <w:r w:rsidRPr="0014168F">
              <w:rPr>
                <w:i/>
                <w:color w:val="auto"/>
                <w:sz w:val="24"/>
                <w:szCs w:val="24"/>
                <w:lang w:val="lv-LV"/>
              </w:rPr>
              <w:t>ERA-NET</w:t>
            </w:r>
            <w:r w:rsidRPr="0014168F">
              <w:rPr>
                <w:color w:val="auto"/>
                <w:sz w:val="24"/>
                <w:szCs w:val="24"/>
                <w:lang w:val="lv-LV"/>
              </w:rPr>
              <w:t xml:space="preserve"> </w:t>
            </w:r>
            <w:r w:rsidR="007C072E" w:rsidRPr="0014168F">
              <w:rPr>
                <w:i/>
                <w:color w:val="auto"/>
                <w:sz w:val="24"/>
                <w:szCs w:val="24"/>
                <w:lang w:val="lv-LV"/>
              </w:rPr>
              <w:t xml:space="preserve">COFUND </w:t>
            </w:r>
            <w:r w:rsidR="00925723" w:rsidRPr="0014168F">
              <w:rPr>
                <w:color w:val="auto"/>
                <w:sz w:val="24"/>
                <w:szCs w:val="24"/>
                <w:lang w:val="lv-LV"/>
              </w:rPr>
              <w:t>aktivitātes</w:t>
            </w:r>
            <w:r w:rsidRPr="0014168F">
              <w:rPr>
                <w:color w:val="auto"/>
                <w:sz w:val="24"/>
                <w:szCs w:val="24"/>
                <w:lang w:val="lv-LV"/>
              </w:rPr>
              <w:t xml:space="preserve"> projektos</w:t>
            </w:r>
            <w:r w:rsidR="003F3244" w:rsidRPr="0014168F">
              <w:rPr>
                <w:color w:val="auto"/>
                <w:sz w:val="24"/>
                <w:szCs w:val="24"/>
                <w:lang w:val="lv-LV"/>
              </w:rPr>
              <w:t>;</w:t>
            </w:r>
          </w:p>
          <w:p w14:paraId="6043C1B4" w14:textId="37A13768" w:rsidR="00363751" w:rsidRPr="0014168F" w:rsidRDefault="00934F5B" w:rsidP="00B22F8E">
            <w:pPr>
              <w:pStyle w:val="tv2132"/>
              <w:numPr>
                <w:ilvl w:val="0"/>
                <w:numId w:val="15"/>
              </w:numPr>
              <w:tabs>
                <w:tab w:val="left" w:pos="426"/>
                <w:tab w:val="left" w:pos="1134"/>
                <w:tab w:val="left" w:pos="1560"/>
              </w:tabs>
              <w:spacing w:line="240" w:lineRule="auto"/>
              <w:ind w:left="0" w:firstLine="709"/>
              <w:jc w:val="both"/>
              <w:rPr>
                <w:color w:val="auto"/>
                <w:sz w:val="24"/>
                <w:szCs w:val="24"/>
                <w:lang w:val="lv-LV"/>
              </w:rPr>
            </w:pPr>
            <w:r w:rsidRPr="0014168F">
              <w:rPr>
                <w:bCs/>
                <w:color w:val="auto"/>
                <w:sz w:val="24"/>
                <w:szCs w:val="24"/>
                <w:lang w:val="lv-LV"/>
              </w:rPr>
              <w:t xml:space="preserve">nolikumu, </w:t>
            </w:r>
            <w:proofErr w:type="gramStart"/>
            <w:r w:rsidRPr="0014168F">
              <w:rPr>
                <w:bCs/>
                <w:color w:val="auto"/>
                <w:sz w:val="24"/>
                <w:szCs w:val="24"/>
                <w:lang w:val="lv-LV"/>
              </w:rPr>
              <w:t>kas nosaka pirmā atlases konkursa atbalsta piešķiršanas kārtību programmas “Apvārsnis 2020” apakšprogrammu konkursos iesniegtu</w:t>
            </w:r>
            <w:proofErr w:type="gramEnd"/>
            <w:r w:rsidRPr="0014168F">
              <w:rPr>
                <w:bCs/>
                <w:color w:val="auto"/>
                <w:sz w:val="24"/>
                <w:szCs w:val="24"/>
                <w:lang w:val="lv-LV"/>
              </w:rPr>
              <w:t xml:space="preserve"> un virs kvalitātes sliekšņa novērtētu projektu sagatavošanas finansēšanai</w:t>
            </w:r>
            <w:r w:rsidR="00363751" w:rsidRPr="0014168F">
              <w:rPr>
                <w:color w:val="auto"/>
                <w:sz w:val="24"/>
                <w:szCs w:val="24"/>
                <w:lang w:val="lv-LV"/>
              </w:rPr>
              <w:t>.</w:t>
            </w:r>
          </w:p>
          <w:p w14:paraId="5BC20944" w14:textId="77777777" w:rsidR="00363751" w:rsidRPr="0014168F" w:rsidRDefault="00363751" w:rsidP="00A067D4">
            <w:pPr>
              <w:tabs>
                <w:tab w:val="left" w:pos="426"/>
                <w:tab w:val="left" w:pos="1134"/>
              </w:tabs>
              <w:ind w:firstLine="516"/>
              <w:jc w:val="both"/>
              <w:rPr>
                <w:bCs/>
              </w:rPr>
            </w:pPr>
            <w:r w:rsidRPr="0014168F">
              <w:rPr>
                <w:bCs/>
              </w:rPr>
              <w:t xml:space="preserve">Pirmās kārtas ietvaros līdz 2023. gada 31. decembrim ir sasniedzami šādi rādītāji: </w:t>
            </w:r>
          </w:p>
          <w:p w14:paraId="3DEA62B9" w14:textId="62B021A8" w:rsidR="00363751" w:rsidRPr="0014168F" w:rsidRDefault="00363751" w:rsidP="00A067D4">
            <w:pPr>
              <w:pStyle w:val="ListParagraph"/>
              <w:numPr>
                <w:ilvl w:val="0"/>
                <w:numId w:val="14"/>
              </w:numPr>
              <w:tabs>
                <w:tab w:val="left" w:pos="426"/>
                <w:tab w:val="left" w:pos="993"/>
                <w:tab w:val="left" w:pos="1134"/>
                <w:tab w:val="left" w:pos="1276"/>
              </w:tabs>
              <w:ind w:left="0" w:firstLine="360"/>
              <w:contextualSpacing w:val="0"/>
              <w:rPr>
                <w:bCs/>
                <w:szCs w:val="24"/>
              </w:rPr>
            </w:pPr>
            <w:r w:rsidRPr="0014168F">
              <w:rPr>
                <w:bCs/>
                <w:szCs w:val="24"/>
              </w:rPr>
              <w:t xml:space="preserve">uzraudzības rādītājs: Eiropas Reģionālās attīstības fonda atbalstīti un virs kvalitātes sliekšņa novērtēti programmas “Apvārsnis </w:t>
            </w:r>
            <w:r w:rsidRPr="0014168F">
              <w:rPr>
                <w:bCs/>
                <w:szCs w:val="24"/>
              </w:rPr>
              <w:lastRenderedPageBreak/>
              <w:t xml:space="preserve">2020” </w:t>
            </w:r>
            <w:r w:rsidR="00366EA9" w:rsidRPr="0014168F">
              <w:rPr>
                <w:bCs/>
                <w:szCs w:val="24"/>
              </w:rPr>
              <w:t xml:space="preserve">un </w:t>
            </w:r>
            <w:r w:rsidR="00535985">
              <w:rPr>
                <w:bCs/>
                <w:szCs w:val="24"/>
              </w:rPr>
              <w:t xml:space="preserve">ES </w:t>
            </w:r>
            <w:r w:rsidR="00366EA9" w:rsidRPr="0014168F">
              <w:rPr>
                <w:bCs/>
                <w:szCs w:val="24"/>
              </w:rPr>
              <w:t xml:space="preserve">9. Ietvara programmas </w:t>
            </w:r>
            <w:r w:rsidRPr="0014168F">
              <w:rPr>
                <w:bCs/>
                <w:szCs w:val="24"/>
              </w:rPr>
              <w:t>ietvaros iesniegti projekti, tajā skaitā:</w:t>
            </w:r>
          </w:p>
          <w:p w14:paraId="0EBB1915" w14:textId="4663FA36" w:rsidR="00E859FE" w:rsidRPr="0014168F" w:rsidRDefault="00363751" w:rsidP="00A067D4">
            <w:pPr>
              <w:pStyle w:val="ListParagraph"/>
              <w:numPr>
                <w:ilvl w:val="0"/>
                <w:numId w:val="12"/>
              </w:numPr>
              <w:tabs>
                <w:tab w:val="left" w:pos="1560"/>
              </w:tabs>
              <w:ind w:left="0" w:firstLine="709"/>
              <w:contextualSpacing w:val="0"/>
              <w:rPr>
                <w:bCs/>
                <w:szCs w:val="24"/>
              </w:rPr>
            </w:pPr>
            <w:r w:rsidRPr="0014168F">
              <w:rPr>
                <w:bCs/>
                <w:szCs w:val="24"/>
              </w:rPr>
              <w:t xml:space="preserve">vismaz </w:t>
            </w:r>
            <w:r w:rsidR="00AA6448" w:rsidRPr="0014168F">
              <w:rPr>
                <w:bCs/>
                <w:szCs w:val="24"/>
              </w:rPr>
              <w:t xml:space="preserve">10 </w:t>
            </w:r>
            <w:r w:rsidRPr="0014168F">
              <w:rPr>
                <w:bCs/>
                <w:szCs w:val="24"/>
              </w:rPr>
              <w:t>Eiropas Reģionālās attīstības fonda atbalstīti un finansēti projekti Kop</w:t>
            </w:r>
            <w:r w:rsidR="00AA6448" w:rsidRPr="0014168F">
              <w:rPr>
                <w:bCs/>
                <w:szCs w:val="24"/>
              </w:rPr>
              <w:t>ēj</w:t>
            </w:r>
            <w:r w:rsidRPr="0014168F">
              <w:rPr>
                <w:bCs/>
                <w:szCs w:val="24"/>
              </w:rPr>
              <w:t xml:space="preserve">ās </w:t>
            </w:r>
            <w:r w:rsidR="00AA6448" w:rsidRPr="0014168F">
              <w:rPr>
                <w:bCs/>
                <w:szCs w:val="24"/>
              </w:rPr>
              <w:t xml:space="preserve">programmēšanas </w:t>
            </w:r>
            <w:r w:rsidRPr="0014168F">
              <w:rPr>
                <w:bCs/>
                <w:szCs w:val="24"/>
              </w:rPr>
              <w:t>iniciatīvās;</w:t>
            </w:r>
          </w:p>
          <w:p w14:paraId="694FF901" w14:textId="0482BB25" w:rsidR="00E859FE" w:rsidRPr="0014168F" w:rsidRDefault="00363751" w:rsidP="00A067D4">
            <w:pPr>
              <w:pStyle w:val="ListParagraph"/>
              <w:numPr>
                <w:ilvl w:val="0"/>
                <w:numId w:val="12"/>
              </w:numPr>
              <w:tabs>
                <w:tab w:val="left" w:pos="1560"/>
              </w:tabs>
              <w:ind w:left="0" w:firstLine="709"/>
              <w:contextualSpacing w:val="0"/>
              <w:rPr>
                <w:bCs/>
                <w:szCs w:val="24"/>
              </w:rPr>
            </w:pPr>
            <w:r w:rsidRPr="0014168F">
              <w:rPr>
                <w:bCs/>
                <w:szCs w:val="24"/>
              </w:rPr>
              <w:t xml:space="preserve">vismaz </w:t>
            </w:r>
            <w:r w:rsidR="00AA6448" w:rsidRPr="0014168F">
              <w:rPr>
                <w:bCs/>
                <w:szCs w:val="24"/>
              </w:rPr>
              <w:t xml:space="preserve">10 </w:t>
            </w:r>
            <w:r w:rsidRPr="0014168F">
              <w:rPr>
                <w:bCs/>
                <w:szCs w:val="24"/>
              </w:rPr>
              <w:t xml:space="preserve">Eiropas Reģionālās attīstības fonda atbalstīti un finansēti projekti </w:t>
            </w:r>
            <w:r w:rsidRPr="0014168F">
              <w:rPr>
                <w:bCs/>
                <w:i/>
                <w:szCs w:val="24"/>
              </w:rPr>
              <w:t>ERA-NET</w:t>
            </w:r>
            <w:r w:rsidRPr="0014168F">
              <w:rPr>
                <w:bCs/>
                <w:szCs w:val="24"/>
              </w:rPr>
              <w:t xml:space="preserve"> </w:t>
            </w:r>
            <w:r w:rsidR="007C072E" w:rsidRPr="0014168F">
              <w:rPr>
                <w:i/>
                <w:szCs w:val="24"/>
              </w:rPr>
              <w:t xml:space="preserve">COFUND </w:t>
            </w:r>
            <w:r w:rsidRPr="0014168F">
              <w:rPr>
                <w:bCs/>
                <w:szCs w:val="24"/>
              </w:rPr>
              <w:t>pro</w:t>
            </w:r>
            <w:r w:rsidRPr="0014168F">
              <w:rPr>
                <w:szCs w:val="24"/>
              </w:rPr>
              <w:t>jektu ietvaros;</w:t>
            </w:r>
          </w:p>
          <w:p w14:paraId="79C69538" w14:textId="44A28FF2" w:rsidR="00363751" w:rsidRPr="0014168F" w:rsidRDefault="00DB479F" w:rsidP="00A067D4">
            <w:pPr>
              <w:pStyle w:val="ListParagraph"/>
              <w:numPr>
                <w:ilvl w:val="0"/>
                <w:numId w:val="12"/>
              </w:numPr>
              <w:tabs>
                <w:tab w:val="left" w:pos="1560"/>
              </w:tabs>
              <w:ind w:left="0" w:firstLine="709"/>
              <w:contextualSpacing w:val="0"/>
              <w:rPr>
                <w:bCs/>
                <w:szCs w:val="24"/>
              </w:rPr>
            </w:pPr>
            <w:proofErr w:type="gramStart"/>
            <w:r w:rsidRPr="0014168F">
              <w:rPr>
                <w:bCs/>
                <w:szCs w:val="24"/>
              </w:rPr>
              <w:t xml:space="preserve">atbalstīta vismaz 65 </w:t>
            </w:r>
            <w:r w:rsidRPr="0014168F">
              <w:rPr>
                <w:szCs w:val="24"/>
              </w:rPr>
              <w:t xml:space="preserve">programmas “Apvārsnis 2020” apakšprogrammu </w:t>
            </w:r>
            <w:r w:rsidR="005C4E7D" w:rsidRPr="0014168F">
              <w:rPr>
                <w:szCs w:val="24"/>
              </w:rPr>
              <w:t xml:space="preserve">un </w:t>
            </w:r>
            <w:r w:rsidR="00535985">
              <w:rPr>
                <w:szCs w:val="24"/>
              </w:rPr>
              <w:t>ES</w:t>
            </w:r>
            <w:r w:rsidR="005C4E7D" w:rsidRPr="0014168F">
              <w:rPr>
                <w:szCs w:val="24"/>
              </w:rPr>
              <w:t xml:space="preserve"> 9. Ietvara programmas </w:t>
            </w:r>
            <w:r w:rsidRPr="0014168F">
              <w:rPr>
                <w:szCs w:val="24"/>
              </w:rPr>
              <w:t>konkursos iesniegtu un virs kvalitātes sliekšņa novērtētu projektu sagatavošanas finansēšana</w:t>
            </w:r>
            <w:r w:rsidRPr="0014168F" w:rsidDel="004F1018">
              <w:rPr>
                <w:bCs/>
                <w:szCs w:val="24"/>
              </w:rPr>
              <w:t xml:space="preserve"> </w:t>
            </w:r>
            <w:r w:rsidRPr="0014168F">
              <w:rPr>
                <w:bCs/>
                <w:szCs w:val="24"/>
              </w:rPr>
              <w:t>periodā no 2014.</w:t>
            </w:r>
            <w:r w:rsidR="005C7C46" w:rsidRPr="0014168F">
              <w:rPr>
                <w:bCs/>
                <w:szCs w:val="24"/>
              </w:rPr>
              <w:t xml:space="preserve"> </w:t>
            </w:r>
            <w:r w:rsidR="007B6B13" w:rsidRPr="0014168F">
              <w:rPr>
                <w:bCs/>
                <w:szCs w:val="24"/>
              </w:rPr>
              <w:t>gada indikatīvi</w:t>
            </w:r>
            <w:proofErr w:type="gramEnd"/>
            <w:r w:rsidR="007B6B13" w:rsidRPr="0014168F">
              <w:rPr>
                <w:bCs/>
                <w:szCs w:val="24"/>
              </w:rPr>
              <w:t xml:space="preserve"> līdz</w:t>
            </w:r>
            <w:r w:rsidRPr="0014168F">
              <w:rPr>
                <w:bCs/>
                <w:szCs w:val="24"/>
              </w:rPr>
              <w:t xml:space="preserve"> 202</w:t>
            </w:r>
            <w:r w:rsidR="007B6B13" w:rsidRPr="0014168F">
              <w:rPr>
                <w:bCs/>
                <w:szCs w:val="24"/>
              </w:rPr>
              <w:t>3</w:t>
            </w:r>
            <w:r w:rsidRPr="0014168F">
              <w:rPr>
                <w:bCs/>
                <w:szCs w:val="24"/>
              </w:rPr>
              <w:t>. gadam</w:t>
            </w:r>
            <w:r w:rsidR="007B6B13" w:rsidRPr="0014168F">
              <w:rPr>
                <w:bCs/>
                <w:szCs w:val="24"/>
              </w:rPr>
              <w:t xml:space="preserve"> (ja pieejams finansējums)</w:t>
            </w:r>
            <w:r w:rsidR="00363751" w:rsidRPr="0014168F">
              <w:rPr>
                <w:szCs w:val="24"/>
              </w:rPr>
              <w:t>;</w:t>
            </w:r>
          </w:p>
          <w:p w14:paraId="52578AA4" w14:textId="344C4DD0" w:rsidR="00363751" w:rsidRPr="0014168F" w:rsidRDefault="00363751" w:rsidP="00A067D4">
            <w:pPr>
              <w:pStyle w:val="tv2132"/>
              <w:numPr>
                <w:ilvl w:val="0"/>
                <w:numId w:val="14"/>
              </w:numPr>
              <w:tabs>
                <w:tab w:val="left" w:pos="426"/>
                <w:tab w:val="left" w:pos="1134"/>
                <w:tab w:val="left" w:pos="1560"/>
              </w:tabs>
              <w:spacing w:line="240" w:lineRule="auto"/>
              <w:jc w:val="both"/>
              <w:rPr>
                <w:color w:val="auto"/>
                <w:sz w:val="24"/>
                <w:szCs w:val="24"/>
                <w:lang w:val="lv-LV"/>
              </w:rPr>
            </w:pPr>
            <w:r w:rsidRPr="0014168F">
              <w:rPr>
                <w:color w:val="auto"/>
                <w:sz w:val="24"/>
                <w:szCs w:val="24"/>
                <w:lang w:val="lv-LV"/>
              </w:rPr>
              <w:t>specifiskie iznākuma rādītāji:</w:t>
            </w:r>
          </w:p>
          <w:p w14:paraId="703BC2EC" w14:textId="3C23D1B5" w:rsidR="00E859FE" w:rsidRPr="0014168F" w:rsidRDefault="00363751" w:rsidP="00A067D4">
            <w:pPr>
              <w:pStyle w:val="tv2132"/>
              <w:numPr>
                <w:ilvl w:val="0"/>
                <w:numId w:val="13"/>
              </w:numPr>
              <w:tabs>
                <w:tab w:val="left" w:pos="426"/>
                <w:tab w:val="left" w:pos="1134"/>
                <w:tab w:val="left" w:pos="1560"/>
              </w:tabs>
              <w:spacing w:line="240" w:lineRule="auto"/>
              <w:ind w:left="0" w:firstLine="709"/>
              <w:jc w:val="both"/>
              <w:rPr>
                <w:color w:val="auto"/>
                <w:sz w:val="24"/>
                <w:szCs w:val="24"/>
                <w:lang w:val="lv-LV"/>
              </w:rPr>
            </w:pPr>
            <w:r w:rsidRPr="0014168F">
              <w:rPr>
                <w:color w:val="auto"/>
                <w:sz w:val="24"/>
                <w:szCs w:val="24"/>
                <w:lang w:val="lv-LV"/>
              </w:rPr>
              <w:t>nodrošināta dalība piecās Kop</w:t>
            </w:r>
            <w:r w:rsidR="00AA6448" w:rsidRPr="0014168F">
              <w:rPr>
                <w:color w:val="auto"/>
                <w:sz w:val="24"/>
                <w:szCs w:val="24"/>
                <w:lang w:val="lv-LV"/>
              </w:rPr>
              <w:t>ēj</w:t>
            </w:r>
            <w:r w:rsidRPr="0014168F">
              <w:rPr>
                <w:color w:val="auto"/>
                <w:sz w:val="24"/>
                <w:szCs w:val="24"/>
                <w:lang w:val="lv-LV"/>
              </w:rPr>
              <w:t xml:space="preserve">ās </w:t>
            </w:r>
            <w:r w:rsidR="00AA6448" w:rsidRPr="0014168F">
              <w:rPr>
                <w:color w:val="auto"/>
                <w:sz w:val="24"/>
                <w:szCs w:val="24"/>
                <w:lang w:val="lv-LV"/>
              </w:rPr>
              <w:t xml:space="preserve">programmēšanas </w:t>
            </w:r>
            <w:r w:rsidRPr="0014168F">
              <w:rPr>
                <w:color w:val="auto"/>
                <w:sz w:val="24"/>
                <w:szCs w:val="24"/>
                <w:lang w:val="lv-LV"/>
              </w:rPr>
              <w:t>iniciatīvās;</w:t>
            </w:r>
          </w:p>
          <w:p w14:paraId="5B96C6B3" w14:textId="097D4CC1" w:rsidR="00E859FE" w:rsidRPr="0014168F" w:rsidRDefault="00363751" w:rsidP="00A067D4">
            <w:pPr>
              <w:pStyle w:val="tv2132"/>
              <w:numPr>
                <w:ilvl w:val="0"/>
                <w:numId w:val="13"/>
              </w:numPr>
              <w:tabs>
                <w:tab w:val="left" w:pos="426"/>
                <w:tab w:val="left" w:pos="1134"/>
                <w:tab w:val="left" w:pos="1560"/>
              </w:tabs>
              <w:spacing w:line="240" w:lineRule="auto"/>
              <w:ind w:left="0" w:firstLine="709"/>
              <w:jc w:val="both"/>
              <w:rPr>
                <w:color w:val="auto"/>
                <w:sz w:val="24"/>
                <w:szCs w:val="24"/>
                <w:lang w:val="lv-LV"/>
              </w:rPr>
            </w:pPr>
            <w:r w:rsidRPr="0014168F">
              <w:rPr>
                <w:color w:val="auto"/>
                <w:sz w:val="24"/>
                <w:szCs w:val="24"/>
                <w:lang w:val="lv-LV"/>
              </w:rPr>
              <w:t>nodrošināta Pasaules Latviešu zinātnieku kongresa norise Latvijā 2018. gadā;</w:t>
            </w:r>
          </w:p>
          <w:p w14:paraId="4327EF03" w14:textId="5C0C2A3C" w:rsidR="00363751" w:rsidRPr="0014168F" w:rsidRDefault="00363751" w:rsidP="00A067D4">
            <w:pPr>
              <w:pStyle w:val="tv2132"/>
              <w:numPr>
                <w:ilvl w:val="0"/>
                <w:numId w:val="13"/>
              </w:numPr>
              <w:tabs>
                <w:tab w:val="left" w:pos="426"/>
                <w:tab w:val="left" w:pos="1134"/>
                <w:tab w:val="left" w:pos="1560"/>
              </w:tabs>
              <w:spacing w:line="240" w:lineRule="auto"/>
              <w:ind w:left="0" w:firstLine="709"/>
              <w:jc w:val="both"/>
              <w:rPr>
                <w:color w:val="auto"/>
                <w:sz w:val="24"/>
                <w:szCs w:val="24"/>
                <w:lang w:val="lv-LV"/>
              </w:rPr>
            </w:pPr>
            <w:r w:rsidRPr="0014168F">
              <w:rPr>
                <w:color w:val="auto"/>
                <w:sz w:val="24"/>
                <w:szCs w:val="24"/>
                <w:lang w:val="lv-LV"/>
              </w:rPr>
              <w:t>īstenots Nacionālā kontaktpunkta darbības efektivitātes paaugstināšanas plāns atbalstam dalībai programmā “Apvārsnis 2020”</w:t>
            </w:r>
            <w:r w:rsidR="007B6B13" w:rsidRPr="0014168F">
              <w:rPr>
                <w:color w:val="auto"/>
                <w:sz w:val="24"/>
                <w:szCs w:val="24"/>
                <w:lang w:val="lv-LV"/>
              </w:rPr>
              <w:t xml:space="preserve"> un </w:t>
            </w:r>
            <w:r w:rsidR="00535985">
              <w:rPr>
                <w:color w:val="auto"/>
                <w:sz w:val="24"/>
                <w:szCs w:val="24"/>
                <w:lang w:val="lv-LV"/>
              </w:rPr>
              <w:t>ES</w:t>
            </w:r>
            <w:r w:rsidR="00421DCA" w:rsidRPr="0014168F">
              <w:rPr>
                <w:color w:val="auto"/>
                <w:sz w:val="24"/>
                <w:szCs w:val="24"/>
                <w:lang w:val="lv-LV"/>
              </w:rPr>
              <w:t xml:space="preserve"> </w:t>
            </w:r>
            <w:r w:rsidR="007B6B13" w:rsidRPr="0014168F">
              <w:rPr>
                <w:color w:val="auto"/>
                <w:sz w:val="24"/>
                <w:szCs w:val="24"/>
                <w:lang w:val="lv-LV"/>
              </w:rPr>
              <w:t>9. Ietvara programmā</w:t>
            </w:r>
            <w:r w:rsidRPr="0014168F">
              <w:rPr>
                <w:color w:val="auto"/>
                <w:sz w:val="24"/>
                <w:szCs w:val="24"/>
                <w:lang w:val="lv-LV"/>
              </w:rPr>
              <w:t>.</w:t>
            </w:r>
          </w:p>
          <w:p w14:paraId="5BC17223" w14:textId="7C885C32" w:rsidR="009B2E90" w:rsidRDefault="009B2E90" w:rsidP="00B848E2">
            <w:pPr>
              <w:pStyle w:val="tv213"/>
              <w:shd w:val="clear" w:color="auto" w:fill="FFFFFF"/>
              <w:spacing w:before="0" w:beforeAutospacing="0" w:after="0" w:afterAutospacing="0"/>
              <w:ind w:firstLine="516"/>
              <w:jc w:val="both"/>
              <w:rPr>
                <w:bCs/>
              </w:rPr>
            </w:pPr>
            <w:r w:rsidRPr="0014168F">
              <w:rPr>
                <w:bCs/>
              </w:rPr>
              <w:t xml:space="preserve">Finansējuma saņēmējs pirmās kārtas projektu </w:t>
            </w:r>
            <w:r w:rsidRPr="00DB479F">
              <w:rPr>
                <w:bCs/>
              </w:rPr>
              <w:t>īsteno ne ilgāk kā līdz 2023. gada 30. novembrim.</w:t>
            </w:r>
          </w:p>
          <w:p w14:paraId="0F3C5171" w14:textId="2B68EE5C" w:rsidR="005E6641" w:rsidRPr="005E6641" w:rsidRDefault="005E6641" w:rsidP="005E6641">
            <w:pPr>
              <w:pStyle w:val="ListParagraph"/>
              <w:tabs>
                <w:tab w:val="left" w:pos="426"/>
                <w:tab w:val="left" w:pos="1134"/>
              </w:tabs>
              <w:ind w:left="0" w:firstLine="516"/>
              <w:contextualSpacing w:val="0"/>
              <w:rPr>
                <w:szCs w:val="24"/>
              </w:rPr>
            </w:pPr>
          </w:p>
          <w:p w14:paraId="34B8CA8B" w14:textId="77777777" w:rsidR="00907D30" w:rsidRDefault="005E6641" w:rsidP="000313BC">
            <w:pPr>
              <w:tabs>
                <w:tab w:val="left" w:pos="426"/>
                <w:tab w:val="left" w:pos="993"/>
                <w:tab w:val="left" w:pos="1134"/>
                <w:tab w:val="left" w:pos="1276"/>
              </w:tabs>
              <w:ind w:firstLine="516"/>
              <w:jc w:val="both"/>
              <w:rPr>
                <w:iCs/>
              </w:rPr>
            </w:pPr>
            <w:r w:rsidRPr="00907D30">
              <w:rPr>
                <w:b/>
                <w:iCs/>
              </w:rPr>
              <w:t>Otro kārtu</w:t>
            </w:r>
            <w:r w:rsidRPr="00907D30">
              <w:rPr>
                <w:iCs/>
              </w:rPr>
              <w:t xml:space="preserve"> īsteno ierobežotas projektu iesniegumu atlases veidā. </w:t>
            </w:r>
          </w:p>
          <w:p w14:paraId="6CEE504A" w14:textId="2F0D3EB8" w:rsidR="00907D30" w:rsidRPr="0014168F" w:rsidRDefault="005E6641" w:rsidP="00B848E2">
            <w:pPr>
              <w:tabs>
                <w:tab w:val="left" w:pos="426"/>
                <w:tab w:val="left" w:pos="993"/>
                <w:tab w:val="left" w:pos="1134"/>
                <w:tab w:val="left" w:pos="1276"/>
              </w:tabs>
              <w:ind w:firstLine="516"/>
              <w:jc w:val="both"/>
            </w:pPr>
            <w:r w:rsidRPr="00907D30">
              <w:rPr>
                <w:iCs/>
              </w:rPr>
              <w:t>Otrās</w:t>
            </w:r>
            <w:r w:rsidRPr="00291866">
              <w:t xml:space="preserve"> kārtas ietvaros </w:t>
            </w:r>
            <w:r w:rsidR="00B53B9E">
              <w:t xml:space="preserve">kā </w:t>
            </w:r>
            <w:r>
              <w:t>projekta iesniedzējs (</w:t>
            </w:r>
            <w:r w:rsidRPr="00291866">
              <w:t>finansējuma saņēmējs</w:t>
            </w:r>
            <w:r>
              <w:t xml:space="preserve">) </w:t>
            </w:r>
            <w:r w:rsidR="00B53B9E">
              <w:t xml:space="preserve">plānotas </w:t>
            </w:r>
            <w:r w:rsidR="00FC1357">
              <w:t xml:space="preserve">attiecīgo nozaru </w:t>
            </w:r>
            <w:r w:rsidR="00FC1357" w:rsidRPr="00D229B2">
              <w:t xml:space="preserve">Latvijas vadošās </w:t>
            </w:r>
            <w:r w:rsidR="00B53B9E">
              <w:t>18</w:t>
            </w:r>
            <w:r w:rsidR="00907D30">
              <w:t xml:space="preserve"> zinātniskās institūcijas</w:t>
            </w:r>
            <w:r w:rsidR="00FC1357">
              <w:t xml:space="preserve">, </w:t>
            </w:r>
            <w:r w:rsidR="00FC1357" w:rsidRPr="00D229B2">
              <w:t xml:space="preserve">kurās tostarp tiek plānoti </w:t>
            </w:r>
            <w:r w:rsidR="00535985">
              <w:t>ES</w:t>
            </w:r>
            <w:r w:rsidR="00FC1357" w:rsidRPr="00D229B2">
              <w:t xml:space="preserve"> struktūrfondu 2014.–2020. gada plānošanas perioda ieguldījumi pētniecības un </w:t>
            </w:r>
            <w:r w:rsidR="00671FE8" w:rsidRPr="00D229B2">
              <w:t>STEM</w:t>
            </w:r>
            <w:r w:rsidR="00671FE8" w:rsidRPr="00671FE8">
              <w:t xml:space="preserve"> </w:t>
            </w:r>
            <w:proofErr w:type="gramStart"/>
            <w:r w:rsidR="00671FE8" w:rsidRPr="00671FE8">
              <w:t>(</w:t>
            </w:r>
            <w:proofErr w:type="gramEnd"/>
            <w:r w:rsidR="00671FE8" w:rsidRPr="00671FE8">
              <w:rPr>
                <w:i/>
                <w:iCs/>
              </w:rPr>
              <w:t>Science, Technology, Engineering and Mathematics</w:t>
            </w:r>
            <w:r w:rsidR="00671FE8" w:rsidRPr="00671FE8">
              <w:t xml:space="preserve"> – zinātne, tehnoloģijas, inženierzinātnes, matemātika), tajā skaitā medicīnas un radošās industrijas </w:t>
            </w:r>
            <w:r w:rsidR="00FC1357" w:rsidRPr="00D229B2">
              <w:t xml:space="preserve">augstākās izglītības </w:t>
            </w:r>
            <w:r w:rsidR="00FC1357" w:rsidRPr="0014168F">
              <w:t>studiju programmu infrastruktūrā</w:t>
            </w:r>
            <w:r w:rsidR="00A133DC" w:rsidRPr="0014168F">
              <w:t>.</w:t>
            </w:r>
          </w:p>
          <w:p w14:paraId="7EEB4C28" w14:textId="287D0B5D" w:rsidR="006A64B3" w:rsidRPr="0014168F" w:rsidRDefault="006A64B3" w:rsidP="00B848E2">
            <w:pPr>
              <w:pStyle w:val="tv213"/>
              <w:shd w:val="clear" w:color="auto" w:fill="FFFFFF"/>
              <w:spacing w:before="0" w:beforeAutospacing="0" w:after="0" w:afterAutospacing="0"/>
              <w:ind w:firstLine="516"/>
              <w:jc w:val="both"/>
              <w:rPr>
                <w:i/>
              </w:rPr>
            </w:pPr>
            <w:r w:rsidRPr="0014168F">
              <w:t xml:space="preserve">Otrās kārtas </w:t>
            </w:r>
            <w:r w:rsidR="00DF6528" w:rsidRPr="0014168F">
              <w:t>projektu atlases</w:t>
            </w:r>
            <w:r w:rsidR="005E6641" w:rsidRPr="0014168F">
              <w:t xml:space="preserve"> īstenošanai plānotais kopējais attiecināmais finansējums ir</w:t>
            </w:r>
            <w:r w:rsidR="005B19B9" w:rsidRPr="0014168F">
              <w:t xml:space="preserve"> </w:t>
            </w:r>
            <w:r w:rsidR="00402FF0" w:rsidRPr="00402FF0">
              <w:t>6 617 100 </w:t>
            </w:r>
            <w:r w:rsidR="00402FF0">
              <w:t xml:space="preserve"> </w:t>
            </w:r>
            <w:r w:rsidR="00DB479F" w:rsidRPr="0014168F">
              <w:rPr>
                <w:i/>
              </w:rPr>
              <w:t>euro</w:t>
            </w:r>
            <w:r w:rsidR="00DB479F" w:rsidRPr="0014168F">
              <w:t xml:space="preserve">, ko veido Eiropas Reģionālās attīstības fonda finansējums </w:t>
            </w:r>
            <w:r w:rsidR="00402FF0" w:rsidRPr="00402FF0">
              <w:t xml:space="preserve">5 624 535 </w:t>
            </w:r>
            <w:r w:rsidR="00DB479F" w:rsidRPr="0014168F">
              <w:rPr>
                <w:i/>
              </w:rPr>
              <w:t>euro</w:t>
            </w:r>
            <w:r w:rsidR="00DB479F" w:rsidRPr="0014168F">
              <w:t xml:space="preserve"> un valsts budžeta līdzfinansējums </w:t>
            </w:r>
            <w:r w:rsidR="00402FF0" w:rsidRPr="00402FF0">
              <w:t xml:space="preserve">992 565 </w:t>
            </w:r>
            <w:r w:rsidR="00DB479F" w:rsidRPr="0014168F">
              <w:rPr>
                <w:i/>
              </w:rPr>
              <w:t>euro</w:t>
            </w:r>
            <w:r w:rsidR="005B19B9" w:rsidRPr="0014168F">
              <w:rPr>
                <w:i/>
              </w:rPr>
              <w:t>.</w:t>
            </w:r>
          </w:p>
          <w:p w14:paraId="0D1A645C" w14:textId="3283B904" w:rsidR="006D77AB" w:rsidRPr="0014168F" w:rsidRDefault="006D77AB" w:rsidP="00B848E2">
            <w:pPr>
              <w:ind w:right="145" w:firstLine="516"/>
              <w:jc w:val="both"/>
            </w:pPr>
            <w:r w:rsidRPr="0014168F">
              <w:t>Otrās kārtas ietvaros projekta iesniedzējs var īstenot ar saimniecisku darbību nesaistītu projektu.</w:t>
            </w:r>
          </w:p>
          <w:p w14:paraId="07A70DB2" w14:textId="0F118129" w:rsidR="00907D30" w:rsidRPr="0014168F" w:rsidRDefault="00907D30" w:rsidP="00DB479F">
            <w:pPr>
              <w:pStyle w:val="tv213"/>
              <w:shd w:val="clear" w:color="auto" w:fill="FFFFFF"/>
              <w:spacing w:before="0" w:beforeAutospacing="0" w:after="0" w:afterAutospacing="0"/>
              <w:ind w:firstLine="516"/>
              <w:jc w:val="both"/>
            </w:pPr>
            <w:bookmarkStart w:id="13" w:name="_Ref472597219"/>
            <w:bookmarkStart w:id="14" w:name="_Ref348660944"/>
            <w:bookmarkStart w:id="15" w:name="_Ref472493592"/>
            <w:r w:rsidRPr="0014168F">
              <w:t xml:space="preserve">Projekta iesniedzējs (finansējuma saņēmējs) otrās kārtas ietvaros īsteno </w:t>
            </w:r>
            <w:bookmarkStart w:id="16" w:name="_Ref348661635"/>
            <w:bookmarkStart w:id="17" w:name="_Ref474156059"/>
            <w:bookmarkEnd w:id="13"/>
            <w:bookmarkEnd w:id="14"/>
            <w:r w:rsidRPr="0014168F">
              <w:t>pasākumus programmas “Apvārsnis 2020” starptautiskās sadarbības projektu pētniecības un attīstības jomā snieguma palielināšanai</w:t>
            </w:r>
            <w:bookmarkStart w:id="18" w:name="_Ref348662299"/>
            <w:bookmarkEnd w:id="16"/>
            <w:r w:rsidRPr="0014168F">
              <w:t xml:space="preserve">, </w:t>
            </w:r>
            <w:r w:rsidR="00E246E9" w:rsidRPr="0014168F">
              <w:t>kas ietver</w:t>
            </w:r>
            <w:r w:rsidRPr="0014168F">
              <w:t xml:space="preserve"> tīklošanās, mācību un mobil</w:t>
            </w:r>
            <w:r w:rsidR="00E246E9" w:rsidRPr="0014168F">
              <w:t>itātes pasākumus, lai iesaistītos</w:t>
            </w:r>
            <w:r w:rsidRPr="0014168F">
              <w:t xml:space="preserve"> starptautiskos konsorcijos un programmas “Apvārsnis 2020” projektos</w:t>
            </w:r>
            <w:r w:rsidR="00D2408B" w:rsidRPr="0014168F">
              <w:t xml:space="preserve"> un </w:t>
            </w:r>
            <w:r w:rsidR="00535985">
              <w:t>ES</w:t>
            </w:r>
            <w:r w:rsidR="00D2408B" w:rsidRPr="0014168F">
              <w:t xml:space="preserve"> 9. </w:t>
            </w:r>
            <w:proofErr w:type="gramStart"/>
            <w:r w:rsidR="00D2408B" w:rsidRPr="0014168F">
              <w:t>Ietvara programmā</w:t>
            </w:r>
            <w:r w:rsidRPr="0014168F">
              <w:t>,</w:t>
            </w:r>
            <w:proofErr w:type="gramEnd"/>
            <w:r w:rsidRPr="0014168F">
              <w:t xml:space="preserve"> </w:t>
            </w:r>
            <w:bookmarkEnd w:id="18"/>
            <w:r w:rsidRPr="0014168F">
              <w:t>dalību Eiropas Komisijas Kopīgo pētījumu centra organizētajos atbalsta pasākumos un dalību starpta</w:t>
            </w:r>
            <w:bookmarkStart w:id="19" w:name="_Ref348663054"/>
            <w:r w:rsidRPr="0014168F">
              <w:t xml:space="preserve">utiskās zinātniskās konferencēs, programmas “Apvārsnis 2020” </w:t>
            </w:r>
            <w:r w:rsidR="00D2408B" w:rsidRPr="0014168F">
              <w:t xml:space="preserve">un </w:t>
            </w:r>
            <w:r w:rsidR="00535985">
              <w:t>ES</w:t>
            </w:r>
            <w:r w:rsidR="00D2408B" w:rsidRPr="0014168F">
              <w:t xml:space="preserve"> 9. Ietvara programmas </w:t>
            </w:r>
            <w:r w:rsidRPr="0014168F">
              <w:t xml:space="preserve">projektu iesniegumu sagatavošanu, </w:t>
            </w:r>
            <w:bookmarkStart w:id="20" w:name="_Ref473094797"/>
            <w:bookmarkEnd w:id="15"/>
            <w:bookmarkEnd w:id="17"/>
            <w:bookmarkEnd w:id="19"/>
            <w:r w:rsidRPr="0014168F">
              <w:t>starptautisku zinātnisko konferenču organizēšanu Latvijā</w:t>
            </w:r>
            <w:bookmarkStart w:id="21" w:name="_Ref472603951"/>
            <w:bookmarkStart w:id="22" w:name="_Ref348661675"/>
            <w:bookmarkStart w:id="23" w:name="_Ref474155883"/>
            <w:bookmarkEnd w:id="20"/>
            <w:r w:rsidRPr="0014168F">
              <w:t xml:space="preserve">, dalības </w:t>
            </w:r>
            <w:r w:rsidRPr="0014168F">
              <w:lastRenderedPageBreak/>
              <w:t xml:space="preserve">nodrošināšanu </w:t>
            </w:r>
            <w:r w:rsidRPr="0014168F">
              <w:rPr>
                <w:i/>
              </w:rPr>
              <w:t>ERIC</w:t>
            </w:r>
            <w:r w:rsidRPr="0014168F">
              <w:t xml:space="preserve"> konsorcijos</w:t>
            </w:r>
            <w:bookmarkEnd w:id="21"/>
            <w:bookmarkEnd w:id="22"/>
            <w:bookmarkEnd w:id="23"/>
            <w:r w:rsidR="00D2408B" w:rsidRPr="0014168F">
              <w:t>, Eiropas Kodolpētniecības organizācijas Latvijas Nacionālā kontaktpunkta rīcības plāna īstenošanu</w:t>
            </w:r>
            <w:r w:rsidR="00E246E9" w:rsidRPr="0014168F">
              <w:t xml:space="preserve"> </w:t>
            </w:r>
            <w:r w:rsidRPr="0014168F">
              <w:t xml:space="preserve">un citus pasākumus atbilstoši noteikumu projekta </w:t>
            </w:r>
            <w:r w:rsidR="00C9798D" w:rsidRPr="0014168F">
              <w:t>44</w:t>
            </w:r>
            <w:r w:rsidR="00D2408B" w:rsidRPr="0014168F">
              <w:t>. </w:t>
            </w:r>
            <w:r w:rsidRPr="0014168F">
              <w:t xml:space="preserve">punktā noteiktajam.  </w:t>
            </w:r>
          </w:p>
          <w:p w14:paraId="00CF57E6" w14:textId="523F9F62" w:rsidR="00C9798D" w:rsidRPr="0014168F" w:rsidRDefault="006D77AB" w:rsidP="00782418">
            <w:pPr>
              <w:tabs>
                <w:tab w:val="left" w:pos="426"/>
                <w:tab w:val="left" w:pos="1134"/>
              </w:tabs>
              <w:ind w:firstLine="516"/>
              <w:jc w:val="both"/>
            </w:pPr>
            <w:bookmarkStart w:id="24" w:name="_Ref348643460"/>
            <w:r w:rsidRPr="0014168F">
              <w:t xml:space="preserve">Otrās kārtas ietvaros projektu iesniedzēji </w:t>
            </w:r>
            <w:r w:rsidR="00D2408B" w:rsidRPr="0014168F">
              <w:t xml:space="preserve">noteikumu projekta 44.1 un 44.2. apakšpunktā </w:t>
            </w:r>
            <w:proofErr w:type="gramStart"/>
            <w:r w:rsidR="00D2408B" w:rsidRPr="0014168F">
              <w:t>noteiktajām darbībām</w:t>
            </w:r>
            <w:proofErr w:type="gramEnd"/>
            <w:r w:rsidR="00D2408B" w:rsidRPr="0014168F">
              <w:t xml:space="preserve"> (tai skaitā projekta vadībai, ciktāl tas attiecināms uz noteikumu projekta 44.1 un 44.2. apakšpunktā noteiktajām atbalstāmajām darbībām) </w:t>
            </w:r>
            <w:r w:rsidRPr="0014168F">
              <w:t>plāno projekta īstenošanu pa posmiem</w:t>
            </w:r>
            <w:bookmarkEnd w:id="24"/>
            <w:r w:rsidR="004C369A" w:rsidRPr="0014168F">
              <w:t>. P</w:t>
            </w:r>
            <w:r w:rsidRPr="0014168F">
              <w:t xml:space="preserve">irmā posma īstenošanai </w:t>
            </w:r>
            <w:r w:rsidR="00D2408B" w:rsidRPr="0014168F">
              <w:t xml:space="preserve">noteikumu projekta 44.1 un 44.2. apakšpunktā </w:t>
            </w:r>
            <w:proofErr w:type="gramStart"/>
            <w:r w:rsidR="00D2408B" w:rsidRPr="0014168F">
              <w:t>noteiktajām darbībām</w:t>
            </w:r>
            <w:proofErr w:type="gramEnd"/>
            <w:r w:rsidR="00D2408B" w:rsidRPr="0014168F">
              <w:t xml:space="preserve"> </w:t>
            </w:r>
            <w:r w:rsidRPr="0014168F">
              <w:t xml:space="preserve">pieejams finansējums </w:t>
            </w:r>
            <w:r w:rsidR="002A1146" w:rsidRPr="0014168F">
              <w:t xml:space="preserve">93,9 </w:t>
            </w:r>
            <w:r w:rsidRPr="0014168F">
              <w:t>procentu apmērā no projekta iesniedzējam kopējā pieejamā finansējuma, atbilstoši noteikumu projekta 2.</w:t>
            </w:r>
            <w:r w:rsidR="00912FA3" w:rsidRPr="0014168F">
              <w:t xml:space="preserve"> </w:t>
            </w:r>
            <w:r w:rsidRPr="0014168F">
              <w:t>pielikumā noteiktajai publiskā finansējuma sadalījuma metodikai</w:t>
            </w:r>
            <w:r w:rsidR="004C369A" w:rsidRPr="0014168F">
              <w:t xml:space="preserve">. Savukārt </w:t>
            </w:r>
            <w:r w:rsidR="00C9798D" w:rsidRPr="0014168F">
              <w:t xml:space="preserve">6,1 </w:t>
            </w:r>
            <w:r w:rsidRPr="0014168F">
              <w:t>procent</w:t>
            </w:r>
            <w:r w:rsidR="00C9798D" w:rsidRPr="0014168F">
              <w:t>s</w:t>
            </w:r>
            <w:r w:rsidRPr="0014168F">
              <w:t xml:space="preserve"> no projekta iesniedzējiem aprēķinātā publiskā finansējuma ietver otrās kārtas projektu snieguma </w:t>
            </w:r>
            <w:r w:rsidR="00EB1F46">
              <w:t>rezerves finansējumā</w:t>
            </w:r>
            <w:r w:rsidRPr="0014168F">
              <w:t xml:space="preserve">. </w:t>
            </w:r>
            <w:r w:rsidR="0098394C" w:rsidRPr="0014168F">
              <w:t>L</w:t>
            </w:r>
            <w:r w:rsidR="00494019" w:rsidRPr="0014168F">
              <w:t>ēmumu par snieguma fonda finansējuma pārdali otrās kārtas finansējuma saņēmējiem pieņem Izg</w:t>
            </w:r>
            <w:r w:rsidR="00CC73AF">
              <w:t xml:space="preserve">lītības un </w:t>
            </w:r>
            <w:r w:rsidR="00CC73AF" w:rsidRPr="00EB1F46">
              <w:t xml:space="preserve">zinātnes ministrija </w:t>
            </w:r>
            <w:r w:rsidR="00974188" w:rsidRPr="00EB1F46">
              <w:t>pēc EK lēmuma par snieguma ietvara izpildi (snieguma fonda</w:t>
            </w:r>
            <w:r w:rsidR="00974188" w:rsidRPr="0014168F">
              <w:t xml:space="preserve"> finansējums būs </w:t>
            </w:r>
            <w:proofErr w:type="gramStart"/>
            <w:r w:rsidR="00974188" w:rsidRPr="0014168F">
              <w:t>pieejams indikatīvi 2019. gada septembrī</w:t>
            </w:r>
            <w:proofErr w:type="gramEnd"/>
            <w:r w:rsidR="00974188" w:rsidRPr="0014168F">
              <w:t>)</w:t>
            </w:r>
            <w:r w:rsidR="00974188">
              <w:t xml:space="preserve"> </w:t>
            </w:r>
            <w:r w:rsidR="00974188" w:rsidRPr="00974188">
              <w:t>un pēc 2020. gada 1. aprīļa,</w:t>
            </w:r>
            <w:r w:rsidR="000313BC">
              <w:t xml:space="preserve"> </w:t>
            </w:r>
            <w:r w:rsidR="00494019" w:rsidRPr="0014168F">
              <w:t xml:space="preserve">balstoties uz finansējuma saņēmēju sasniegtajiem starptautiskās sadarbības rezultātiem attiecīgā periodā, </w:t>
            </w:r>
            <w:r w:rsidRPr="0014168F">
              <w:t xml:space="preserve">ja </w:t>
            </w:r>
            <w:r w:rsidR="00494019" w:rsidRPr="0014168F">
              <w:t xml:space="preserve">Izglītības un zinātnes ministrija </w:t>
            </w:r>
            <w:r w:rsidRPr="0014168F">
              <w:t xml:space="preserve">pēc </w:t>
            </w:r>
            <w:r w:rsidR="00BB7190">
              <w:t>EK</w:t>
            </w:r>
            <w:r w:rsidRPr="0014168F">
              <w:t xml:space="preserve"> lēmuma par snieguma ietvara izpildi ierosinās palielināt otrajai kārtai p</w:t>
            </w:r>
            <w:r w:rsidR="004C369A" w:rsidRPr="0014168F">
              <w:t xml:space="preserve">ieejamo attiecināmo finansējumu. </w:t>
            </w:r>
            <w:r w:rsidR="00C9798D" w:rsidRPr="0014168F">
              <w:t>Snieguma fonda finansējuma sadales rādītāju noteikšanai tiks ņemti vērā zinātniskās institūcijas snieguma dati, kas pieejami zinātniskās darbības bāzes finansējuma aprēķina veidlapā, vai nepieciešamības gadījumā iztrūkstošā informācija tiks pieprasīta otrās kārtas finansējuma saņēmējiem. Snieguma fonda finansējuma sadales rādītāju noteikšanai tiks ņemti vērā šādi parametri:</w:t>
            </w:r>
          </w:p>
          <w:p w14:paraId="2D6BBF23" w14:textId="00746CBE" w:rsidR="00C9798D" w:rsidRPr="0014168F" w:rsidRDefault="00C9798D" w:rsidP="00C9798D">
            <w:pPr>
              <w:numPr>
                <w:ilvl w:val="0"/>
                <w:numId w:val="17"/>
              </w:numPr>
              <w:tabs>
                <w:tab w:val="left" w:pos="426"/>
                <w:tab w:val="left" w:pos="1134"/>
              </w:tabs>
              <w:jc w:val="both"/>
            </w:pPr>
            <w:r w:rsidRPr="0014168F">
              <w:t>piesai</w:t>
            </w:r>
            <w:r w:rsidR="005B0A0B" w:rsidRPr="0014168F">
              <w:t>stītais</w:t>
            </w:r>
            <w:r w:rsidRPr="0014168F">
              <w:t xml:space="preserve"> </w:t>
            </w:r>
            <w:r w:rsidR="005B0A0B" w:rsidRPr="0014168F">
              <w:t xml:space="preserve">starptautisko projektu </w:t>
            </w:r>
            <w:r w:rsidRPr="0014168F">
              <w:t>finansējuma apmērs;</w:t>
            </w:r>
          </w:p>
          <w:p w14:paraId="19907E7B" w14:textId="56B062A1" w:rsidR="00C9798D" w:rsidRPr="0014168F" w:rsidRDefault="004E6278" w:rsidP="00782418">
            <w:pPr>
              <w:pStyle w:val="ListParagraph"/>
              <w:numPr>
                <w:ilvl w:val="0"/>
                <w:numId w:val="17"/>
              </w:numPr>
            </w:pPr>
            <w:r w:rsidRPr="0014168F">
              <w:rPr>
                <w:szCs w:val="24"/>
                <w:lang w:eastAsia="lv-LV"/>
              </w:rPr>
              <w:t>programmā “Apvārsnis 2020” īstenoto projektu darbību raksturs (pētniecības, attīstības vai inovāciju</w:t>
            </w:r>
            <w:proofErr w:type="gramStart"/>
            <w:r w:rsidRPr="0014168F">
              <w:rPr>
                <w:szCs w:val="24"/>
                <w:lang w:eastAsia="lv-LV"/>
              </w:rPr>
              <w:t xml:space="preserve"> vai</w:t>
            </w:r>
            <w:proofErr w:type="gramEnd"/>
            <w:r w:rsidRPr="0014168F">
              <w:rPr>
                <w:szCs w:val="24"/>
                <w:lang w:eastAsia="lv-LV"/>
              </w:rPr>
              <w:t xml:space="preserve"> sadarbības un tīklošanās projekti), kā arī </w:t>
            </w:r>
            <w:r w:rsidR="00F703E1">
              <w:rPr>
                <w:szCs w:val="24"/>
                <w:lang w:eastAsia="lv-LV"/>
              </w:rPr>
              <w:t xml:space="preserve">zinātniskās institūcijas dalību </w:t>
            </w:r>
            <w:r w:rsidR="00F703E1" w:rsidRPr="0014168F">
              <w:rPr>
                <w:szCs w:val="24"/>
                <w:lang w:eastAsia="lv-LV"/>
              </w:rPr>
              <w:t>projekt</w:t>
            </w:r>
            <w:r w:rsidR="00F703E1">
              <w:rPr>
                <w:szCs w:val="24"/>
                <w:lang w:eastAsia="lv-LV"/>
              </w:rPr>
              <w:t xml:space="preserve">os sadalījuma attiecība - </w:t>
            </w:r>
            <w:r w:rsidRPr="0014168F">
              <w:rPr>
                <w:szCs w:val="24"/>
                <w:lang w:eastAsia="lv-LV"/>
              </w:rPr>
              <w:t xml:space="preserve">kā </w:t>
            </w:r>
            <w:r w:rsidR="00F703E1">
              <w:rPr>
                <w:szCs w:val="24"/>
                <w:lang w:eastAsia="lv-LV"/>
              </w:rPr>
              <w:t xml:space="preserve">projekta </w:t>
            </w:r>
            <w:r w:rsidRPr="0014168F">
              <w:rPr>
                <w:szCs w:val="24"/>
                <w:lang w:eastAsia="lv-LV"/>
              </w:rPr>
              <w:t xml:space="preserve">koordinatoram vai </w:t>
            </w:r>
            <w:r w:rsidR="00F703E1">
              <w:rPr>
                <w:szCs w:val="24"/>
                <w:lang w:eastAsia="lv-LV"/>
              </w:rPr>
              <w:t xml:space="preserve">projekta </w:t>
            </w:r>
            <w:r w:rsidRPr="0014168F">
              <w:rPr>
                <w:szCs w:val="24"/>
                <w:lang w:eastAsia="lv-LV"/>
              </w:rPr>
              <w:t>sadarbības partnerim</w:t>
            </w:r>
            <w:r w:rsidR="00C9798D" w:rsidRPr="0014168F">
              <w:t>;</w:t>
            </w:r>
          </w:p>
          <w:p w14:paraId="5750EEB7" w14:textId="5A51BF4A" w:rsidR="00C9798D" w:rsidRPr="0014168F" w:rsidRDefault="00C9798D" w:rsidP="00C9798D">
            <w:pPr>
              <w:numPr>
                <w:ilvl w:val="0"/>
                <w:numId w:val="17"/>
              </w:numPr>
              <w:tabs>
                <w:tab w:val="left" w:pos="426"/>
                <w:tab w:val="left" w:pos="1134"/>
              </w:tabs>
              <w:jc w:val="both"/>
            </w:pPr>
            <w:r w:rsidRPr="0014168F">
              <w:t xml:space="preserve">zinātniskās institūcijas </w:t>
            </w:r>
            <w:r w:rsidR="00D2408B" w:rsidRPr="0014168F">
              <w:t xml:space="preserve">individuālā starptautiskās sadarbības snieguma </w:t>
            </w:r>
            <w:r w:rsidRPr="0014168F">
              <w:t>dinamika.</w:t>
            </w:r>
          </w:p>
          <w:p w14:paraId="67131FDD" w14:textId="08D02711" w:rsidR="00907D30" w:rsidRPr="0014168F" w:rsidRDefault="00907D30" w:rsidP="00B848E2">
            <w:pPr>
              <w:tabs>
                <w:tab w:val="left" w:pos="426"/>
                <w:tab w:val="left" w:pos="993"/>
                <w:tab w:val="left" w:pos="1134"/>
                <w:tab w:val="left" w:pos="1276"/>
              </w:tabs>
              <w:ind w:firstLine="516"/>
              <w:jc w:val="both"/>
            </w:pPr>
            <w:r w:rsidRPr="0014168F">
              <w:t xml:space="preserve">Projektu vērtēšanas kritēriji paredz, ka </w:t>
            </w:r>
            <w:r w:rsidR="00E246E9" w:rsidRPr="0014168F">
              <w:t>zinātniskās institūcijas</w:t>
            </w:r>
            <w:r w:rsidRPr="0014168F">
              <w:t xml:space="preserve"> </w:t>
            </w:r>
            <w:r w:rsidRPr="0014168F">
              <w:rPr>
                <w:bCs/>
                <w:spacing w:val="-2"/>
              </w:rPr>
              <w:t xml:space="preserve">izstrādā un sadarbības iestādē iesniedz projekta iesniegumu un šādus dokumentus: </w:t>
            </w:r>
          </w:p>
          <w:p w14:paraId="63BA4FF4" w14:textId="11D7B33D" w:rsidR="00907D30" w:rsidRPr="0014168F" w:rsidRDefault="00907D30" w:rsidP="00A067D4">
            <w:pPr>
              <w:pStyle w:val="ListParagraph"/>
              <w:numPr>
                <w:ilvl w:val="1"/>
                <w:numId w:val="10"/>
              </w:numPr>
              <w:tabs>
                <w:tab w:val="left" w:pos="426"/>
                <w:tab w:val="left" w:pos="1134"/>
              </w:tabs>
              <w:ind w:left="0" w:firstLine="709"/>
              <w:rPr>
                <w:szCs w:val="24"/>
              </w:rPr>
            </w:pPr>
            <w:bookmarkStart w:id="25" w:name="_Ref474348433"/>
            <w:r w:rsidRPr="0014168F">
              <w:rPr>
                <w:szCs w:val="24"/>
              </w:rPr>
              <w:t>plānu dalībai programmas “Apvārsnis 2020” konkursos un citās pētniecības un inovācijas atbalsta pro</w:t>
            </w:r>
            <w:r w:rsidR="00966AA9" w:rsidRPr="0014168F">
              <w:rPr>
                <w:szCs w:val="24"/>
              </w:rPr>
              <w:t>grammās un tehnoloģiju ierosmēs</w:t>
            </w:r>
            <w:r w:rsidRPr="0014168F">
              <w:rPr>
                <w:szCs w:val="24"/>
              </w:rPr>
              <w:t>;</w:t>
            </w:r>
            <w:bookmarkEnd w:id="25"/>
          </w:p>
          <w:p w14:paraId="7D9A2857" w14:textId="30720257" w:rsidR="00907D30" w:rsidRPr="0014168F" w:rsidRDefault="00907D30" w:rsidP="00A067D4">
            <w:pPr>
              <w:pStyle w:val="ListParagraph"/>
              <w:numPr>
                <w:ilvl w:val="1"/>
                <w:numId w:val="10"/>
              </w:numPr>
              <w:tabs>
                <w:tab w:val="left" w:pos="426"/>
                <w:tab w:val="left" w:pos="1134"/>
              </w:tabs>
              <w:ind w:left="0" w:firstLine="709"/>
              <w:rPr>
                <w:szCs w:val="24"/>
              </w:rPr>
            </w:pPr>
            <w:bookmarkStart w:id="26" w:name="_Ref474348435"/>
            <w:r w:rsidRPr="0014168F">
              <w:rPr>
                <w:szCs w:val="24"/>
              </w:rPr>
              <w:t>zinātniskās institūcijas iekšējo kārtību starptautiskās sadarbības, tostarp pētniecības mob</w:t>
            </w:r>
            <w:r w:rsidR="00E246E9" w:rsidRPr="0014168F">
              <w:rPr>
                <w:szCs w:val="24"/>
              </w:rPr>
              <w:t>ilitātes un dalības programmas “</w:t>
            </w:r>
            <w:r w:rsidRPr="0014168F">
              <w:rPr>
                <w:szCs w:val="24"/>
              </w:rPr>
              <w:t>Apvārsnis 2020</w:t>
            </w:r>
            <w:r w:rsidR="00E246E9" w:rsidRPr="0014168F">
              <w:rPr>
                <w:szCs w:val="24"/>
              </w:rPr>
              <w:t>”</w:t>
            </w:r>
            <w:r w:rsidRPr="0014168F">
              <w:rPr>
                <w:szCs w:val="24"/>
              </w:rPr>
              <w:t xml:space="preserve"> konkursos un citās pētniecības un inovācijas atbalsta programmās un tehnoloģiju ierosmēs, atbalsta pasākumu finansēšanai;</w:t>
            </w:r>
            <w:bookmarkEnd w:id="26"/>
          </w:p>
          <w:p w14:paraId="3EA17664" w14:textId="77777777" w:rsidR="0006025E" w:rsidRPr="0014168F" w:rsidRDefault="00907D30" w:rsidP="00A067D4">
            <w:pPr>
              <w:pStyle w:val="ListParagraph"/>
              <w:numPr>
                <w:ilvl w:val="1"/>
                <w:numId w:val="10"/>
              </w:numPr>
              <w:tabs>
                <w:tab w:val="left" w:pos="426"/>
                <w:tab w:val="left" w:pos="1134"/>
              </w:tabs>
              <w:ind w:left="0" w:firstLine="709"/>
              <w:rPr>
                <w:szCs w:val="24"/>
              </w:rPr>
            </w:pPr>
            <w:r w:rsidRPr="0014168F">
              <w:rPr>
                <w:i/>
                <w:szCs w:val="24"/>
              </w:rPr>
              <w:lastRenderedPageBreak/>
              <w:t>ERIC</w:t>
            </w:r>
            <w:r w:rsidRPr="0014168F">
              <w:rPr>
                <w:szCs w:val="24"/>
              </w:rPr>
              <w:t xml:space="preserve"> konsorcija Latvijas Nacionālās partnerības plānu nacionālā konsorcija izveidei un darbībai</w:t>
            </w:r>
            <w:r w:rsidR="00966AA9" w:rsidRPr="0014168F">
              <w:rPr>
                <w:szCs w:val="24"/>
              </w:rPr>
              <w:t xml:space="preserve"> </w:t>
            </w:r>
            <w:r w:rsidRPr="0014168F">
              <w:rPr>
                <w:szCs w:val="24"/>
              </w:rPr>
              <w:t>(ja attiecināms)</w:t>
            </w:r>
            <w:r w:rsidR="0006025E" w:rsidRPr="0014168F">
              <w:rPr>
                <w:szCs w:val="24"/>
              </w:rPr>
              <w:t>;</w:t>
            </w:r>
          </w:p>
          <w:p w14:paraId="04A70DD2" w14:textId="1AC79E73" w:rsidR="0081164C" w:rsidRPr="00F93BA5" w:rsidRDefault="0006025E" w:rsidP="00A067D4">
            <w:pPr>
              <w:pStyle w:val="ListParagraph"/>
              <w:numPr>
                <w:ilvl w:val="1"/>
                <w:numId w:val="10"/>
              </w:numPr>
              <w:tabs>
                <w:tab w:val="left" w:pos="426"/>
                <w:tab w:val="left" w:pos="1134"/>
              </w:tabs>
              <w:ind w:left="0" w:firstLine="709"/>
              <w:rPr>
                <w:szCs w:val="24"/>
              </w:rPr>
            </w:pPr>
            <w:r w:rsidRPr="0014168F">
              <w:rPr>
                <w:szCs w:val="24"/>
              </w:rPr>
              <w:t xml:space="preserve">Eiropas Kodolpētniecības organizācijas </w:t>
            </w:r>
            <w:r w:rsidR="001005A5">
              <w:rPr>
                <w:szCs w:val="24"/>
              </w:rPr>
              <w:t>(CERN)</w:t>
            </w:r>
            <w:r w:rsidR="00D2408B" w:rsidRPr="0014168F">
              <w:rPr>
                <w:szCs w:val="24"/>
              </w:rPr>
              <w:t xml:space="preserve"> </w:t>
            </w:r>
            <w:r w:rsidR="001005A5">
              <w:rPr>
                <w:szCs w:val="24"/>
              </w:rPr>
              <w:t xml:space="preserve">Latvijas </w:t>
            </w:r>
            <w:r w:rsidR="00D2408B" w:rsidRPr="0014168F">
              <w:rPr>
                <w:szCs w:val="24"/>
              </w:rPr>
              <w:t xml:space="preserve">Nacionālā </w:t>
            </w:r>
            <w:r w:rsidR="00D2408B" w:rsidRPr="00F93BA5">
              <w:rPr>
                <w:szCs w:val="24"/>
              </w:rPr>
              <w:t xml:space="preserve">kontaktpunkta rīcības plānu </w:t>
            </w:r>
            <w:r w:rsidRPr="00F93BA5">
              <w:rPr>
                <w:szCs w:val="24"/>
              </w:rPr>
              <w:t>(ja attiecināms)</w:t>
            </w:r>
            <w:r w:rsidR="0081164C" w:rsidRPr="00F93BA5">
              <w:rPr>
                <w:szCs w:val="24"/>
              </w:rPr>
              <w:t>;</w:t>
            </w:r>
          </w:p>
          <w:p w14:paraId="208132CC" w14:textId="6E4DD1CC" w:rsidR="0081164C" w:rsidRPr="00F93BA5" w:rsidRDefault="0081164C" w:rsidP="0081164C">
            <w:pPr>
              <w:pStyle w:val="ListParagraph"/>
              <w:numPr>
                <w:ilvl w:val="1"/>
                <w:numId w:val="10"/>
              </w:numPr>
              <w:tabs>
                <w:tab w:val="left" w:pos="426"/>
                <w:tab w:val="left" w:pos="1134"/>
              </w:tabs>
              <w:ind w:left="0" w:firstLine="709"/>
              <w:rPr>
                <w:szCs w:val="24"/>
              </w:rPr>
            </w:pPr>
            <w:r w:rsidRPr="00F93BA5">
              <w:rPr>
                <w:szCs w:val="24"/>
              </w:rPr>
              <w:t xml:space="preserve">rīcības plānu sadarbības nodrošināšanai </w:t>
            </w:r>
            <w:r w:rsidR="00F93BA5" w:rsidRPr="00F93BA5">
              <w:rPr>
                <w:bCs/>
                <w:szCs w:val="24"/>
              </w:rPr>
              <w:t xml:space="preserve">kvantu skaitļošanas jomā </w:t>
            </w:r>
            <w:r w:rsidRPr="00F93BA5">
              <w:rPr>
                <w:szCs w:val="24"/>
              </w:rPr>
              <w:t xml:space="preserve">ar Kvantu programmatūras pētniecības centru (Nīderlande) un Parīzes Kvantu skaitļošanas centru (Francija) (ja attiecināms); </w:t>
            </w:r>
          </w:p>
          <w:p w14:paraId="033052CA" w14:textId="629CEE01" w:rsidR="00912FA3" w:rsidRPr="00F93BA5" w:rsidRDefault="0081164C" w:rsidP="0081164C">
            <w:pPr>
              <w:pStyle w:val="ListParagraph"/>
              <w:numPr>
                <w:ilvl w:val="1"/>
                <w:numId w:val="10"/>
              </w:numPr>
              <w:tabs>
                <w:tab w:val="left" w:pos="426"/>
                <w:tab w:val="left" w:pos="1134"/>
              </w:tabs>
              <w:ind w:left="0" w:firstLine="709"/>
              <w:rPr>
                <w:szCs w:val="24"/>
              </w:rPr>
            </w:pPr>
            <w:r w:rsidRPr="00F93BA5">
              <w:rPr>
                <w:szCs w:val="24"/>
              </w:rPr>
              <w:t>sadarbības līgumu (ja attiecināms).</w:t>
            </w:r>
          </w:p>
          <w:p w14:paraId="68B473AC" w14:textId="2FF0AAD2" w:rsidR="006D77AB" w:rsidRPr="0014168F" w:rsidRDefault="006D77AB" w:rsidP="00B848E2">
            <w:pPr>
              <w:tabs>
                <w:tab w:val="left" w:pos="426"/>
                <w:tab w:val="left" w:pos="1134"/>
              </w:tabs>
              <w:ind w:firstLine="516"/>
              <w:jc w:val="both"/>
            </w:pPr>
            <w:r w:rsidRPr="0014168F">
              <w:t xml:space="preserve">Projekta iesniedzējs (finansējuma saņēmējs) otrajā kārtā atbalstāmās darbības īsteno atbilstoši attiecīgās zinātniskās institūcijas izstrādātajai un </w:t>
            </w:r>
            <w:proofErr w:type="gramStart"/>
            <w:r w:rsidRPr="0014168F">
              <w:t>apstiprinātajai iekšējai kārtībai</w:t>
            </w:r>
            <w:proofErr w:type="gramEnd"/>
            <w:r w:rsidRPr="0014168F">
              <w:t xml:space="preserve"> starptautiskās sadarbības, tostarp pētniecības mobilitātes un dalības programmas “Apvārsnis 2020” konkursos un citās pētniecības un inovācijas atbalsta programmās un tehnoloģiju ierosmēs, atbalsta pasākumu finansēšanai. Programmas “Apvārsnis 2020” projekta i</w:t>
            </w:r>
            <w:r w:rsidR="00A067D4" w:rsidRPr="0014168F">
              <w:t xml:space="preserve">esnieguma sagatavošanas izmaksu apmēra </w:t>
            </w:r>
            <w:r w:rsidR="00A067D4" w:rsidRPr="00F93BA5">
              <w:t>noteik</w:t>
            </w:r>
            <w:r w:rsidR="001E4C26" w:rsidRPr="00F93BA5">
              <w:t>šanai</w:t>
            </w:r>
            <w:r w:rsidRPr="00F93BA5">
              <w:t xml:space="preserve"> </w:t>
            </w:r>
            <w:r w:rsidR="008B249A" w:rsidRPr="00F93BA5">
              <w:t xml:space="preserve">Izglītības un zinātnes ministrija </w:t>
            </w:r>
            <w:r w:rsidRPr="00F93BA5">
              <w:t xml:space="preserve">plāno </w:t>
            </w:r>
            <w:r w:rsidR="00A067D4" w:rsidRPr="00F93BA5">
              <w:t>izstrādāt</w:t>
            </w:r>
            <w:r w:rsidRPr="00F93BA5">
              <w:t xml:space="preserve"> </w:t>
            </w:r>
            <w:r w:rsidR="00A067D4" w:rsidRPr="00F93BA5">
              <w:t>vienas vienības</w:t>
            </w:r>
            <w:r w:rsidR="00A067D4" w:rsidRPr="0014168F">
              <w:t xml:space="preserve"> izmaksu metodiku</w:t>
            </w:r>
            <w:r w:rsidRPr="0014168F">
              <w:t xml:space="preserve">, vienlaikus izmaksu ierobežojumi </w:t>
            </w:r>
            <w:r w:rsidR="00F93BA5" w:rsidRPr="0014168F">
              <w:t>projekta iesnieguma sagatavošana</w:t>
            </w:r>
            <w:r w:rsidR="00F93BA5">
              <w:t xml:space="preserve">i </w:t>
            </w:r>
            <w:r w:rsidRPr="0014168F">
              <w:t>noteikti noteikumu projekta 4</w:t>
            </w:r>
            <w:r w:rsidR="00F93BA5">
              <w:t>7</w:t>
            </w:r>
            <w:r w:rsidRPr="0014168F">
              <w:t>.2.</w:t>
            </w:r>
            <w:proofErr w:type="gramStart"/>
            <w:r w:rsidRPr="0014168F">
              <w:t xml:space="preserve"> </w:t>
            </w:r>
            <w:r w:rsidR="00F93BA5">
              <w:t xml:space="preserve"> </w:t>
            </w:r>
            <w:proofErr w:type="gramEnd"/>
            <w:r w:rsidR="00F93BA5">
              <w:t>un 47</w:t>
            </w:r>
            <w:r w:rsidR="007660C5">
              <w:t>.3.</w:t>
            </w:r>
            <w:r w:rsidRPr="0014168F">
              <w:t xml:space="preserve">apakšpunktā. </w:t>
            </w:r>
          </w:p>
          <w:p w14:paraId="57461076" w14:textId="35680A1F" w:rsidR="002E0AAA" w:rsidRPr="00A55415" w:rsidRDefault="002E0AAA" w:rsidP="00E51F9C">
            <w:pPr>
              <w:pStyle w:val="ListParagraph"/>
              <w:tabs>
                <w:tab w:val="left" w:pos="426"/>
                <w:tab w:val="left" w:pos="1134"/>
              </w:tabs>
              <w:ind w:left="0" w:firstLine="516"/>
              <w:rPr>
                <w:b/>
                <w:szCs w:val="24"/>
              </w:rPr>
            </w:pPr>
            <w:r w:rsidRPr="0014168F">
              <w:rPr>
                <w:szCs w:val="24"/>
              </w:rPr>
              <w:t xml:space="preserve">Zinātniskā institūcija, kas ir finansējuma saņēmējs otrās kārtas ietvaros, var saņemt atbalstu </w:t>
            </w:r>
            <w:proofErr w:type="gramStart"/>
            <w:r w:rsidRPr="0014168F">
              <w:rPr>
                <w:szCs w:val="24"/>
              </w:rPr>
              <w:t>(</w:t>
            </w:r>
            <w:proofErr w:type="gramEnd"/>
            <w:r w:rsidRPr="0014168F">
              <w:rPr>
                <w:szCs w:val="24"/>
              </w:rPr>
              <w:t>vienas vienības izmaksu veidā</w:t>
            </w:r>
            <w:r w:rsidR="00A67B99" w:rsidRPr="0014168F">
              <w:rPr>
                <w:szCs w:val="24"/>
              </w:rPr>
              <w:t xml:space="preserve"> vai līdz</w:t>
            </w:r>
            <w:r w:rsidR="009954FD" w:rsidRPr="0014168F">
              <w:rPr>
                <w:szCs w:val="24"/>
              </w:rPr>
              <w:t xml:space="preserve"> vienas vienības izmaksu metodikas izstrādei </w:t>
            </w:r>
            <w:r w:rsidR="00CA7DBC" w:rsidRPr="0014168F">
              <w:rPr>
                <w:szCs w:val="24"/>
              </w:rPr>
              <w:t>(2017. gada 4</w:t>
            </w:r>
            <w:r w:rsidR="00287098" w:rsidRPr="0014168F">
              <w:rPr>
                <w:szCs w:val="24"/>
              </w:rPr>
              <w:t xml:space="preserve">. ceturksnī) </w:t>
            </w:r>
            <w:r w:rsidR="009954FD" w:rsidRPr="0014168F">
              <w:rPr>
                <w:szCs w:val="24"/>
              </w:rPr>
              <w:t xml:space="preserve">un saskaņošanai ar vadošo iestādi – pēc faktiskajām izmaksām, bet nepārsniedzot 9000 </w:t>
            </w:r>
            <w:r w:rsidR="009954FD" w:rsidRPr="0014168F">
              <w:rPr>
                <w:i/>
                <w:szCs w:val="24"/>
              </w:rPr>
              <w:t>euro</w:t>
            </w:r>
            <w:r w:rsidR="00287098" w:rsidRPr="0014168F">
              <w:rPr>
                <w:szCs w:val="24"/>
              </w:rPr>
              <w:t>, ja projekta iesniedzējs ir programmas “Apvārsnis 2020” projekta iesnieguma koordinators un nepārsniedz</w:t>
            </w:r>
            <w:r w:rsidR="006F505F" w:rsidRPr="0014168F">
              <w:rPr>
                <w:szCs w:val="24"/>
              </w:rPr>
              <w:t>ot</w:t>
            </w:r>
            <w:r w:rsidR="00287098" w:rsidRPr="0014168F">
              <w:rPr>
                <w:szCs w:val="24"/>
              </w:rPr>
              <w:t xml:space="preserve"> 6000 </w:t>
            </w:r>
            <w:r w:rsidR="00287098" w:rsidRPr="0014168F">
              <w:rPr>
                <w:i/>
                <w:szCs w:val="24"/>
              </w:rPr>
              <w:t>euro</w:t>
            </w:r>
            <w:r w:rsidR="00287098" w:rsidRPr="0014168F">
              <w:rPr>
                <w:szCs w:val="24"/>
              </w:rPr>
              <w:t>, ja projekta iesniedzējs ir programmas “Apvārsnis 2020” projekta iesnieguma partneris</w:t>
            </w:r>
            <w:r w:rsidRPr="0014168F">
              <w:rPr>
                <w:szCs w:val="24"/>
              </w:rPr>
              <w:t xml:space="preserve">) par tādu projektu izstrādi, kas </w:t>
            </w:r>
            <w:r w:rsidR="003D5E85" w:rsidRPr="0014168F">
              <w:rPr>
                <w:szCs w:val="24"/>
              </w:rPr>
              <w:t xml:space="preserve">iesniegts </w:t>
            </w:r>
            <w:r w:rsidRPr="0014168F">
              <w:rPr>
                <w:szCs w:val="24"/>
              </w:rPr>
              <w:t xml:space="preserve">programmas “Apvārsnis 2020” </w:t>
            </w:r>
            <w:r w:rsidR="003D5E85" w:rsidRPr="0014168F">
              <w:rPr>
                <w:szCs w:val="24"/>
              </w:rPr>
              <w:t xml:space="preserve">apakšprogrammas </w:t>
            </w:r>
            <w:r w:rsidRPr="0014168F">
              <w:rPr>
                <w:szCs w:val="24"/>
              </w:rPr>
              <w:t>konkursā un saņē</w:t>
            </w:r>
            <w:r w:rsidR="003D5E85" w:rsidRPr="0014168F">
              <w:rPr>
                <w:szCs w:val="24"/>
              </w:rPr>
              <w:t xml:space="preserve">mis virssliekšņa novērtējumu, bet </w:t>
            </w:r>
            <w:r w:rsidRPr="0014168F">
              <w:rPr>
                <w:szCs w:val="24"/>
              </w:rPr>
              <w:t xml:space="preserve">par konkrētā projekta izstrādi </w:t>
            </w:r>
            <w:r w:rsidR="00F93BA5">
              <w:rPr>
                <w:szCs w:val="24"/>
              </w:rPr>
              <w:t xml:space="preserve">iepriekš </w:t>
            </w:r>
            <w:r w:rsidRPr="0014168F">
              <w:rPr>
                <w:szCs w:val="24"/>
              </w:rPr>
              <w:t xml:space="preserve">nav saņēmis </w:t>
            </w:r>
            <w:r w:rsidR="00F93BA5" w:rsidRPr="00D97FA5">
              <w:rPr>
                <w:szCs w:val="24"/>
              </w:rPr>
              <w:t xml:space="preserve">Eiropas strukturālo un investīciju fondu vai </w:t>
            </w:r>
            <w:r w:rsidRPr="00D97FA5">
              <w:rPr>
                <w:szCs w:val="24"/>
              </w:rPr>
              <w:t>valsts</w:t>
            </w:r>
            <w:r w:rsidRPr="0014168F">
              <w:rPr>
                <w:szCs w:val="24"/>
              </w:rPr>
              <w:t xml:space="preserve"> budžeta finansējumu</w:t>
            </w:r>
            <w:r w:rsidR="00182865" w:rsidRPr="0014168F">
              <w:rPr>
                <w:szCs w:val="24"/>
              </w:rPr>
              <w:t>.</w:t>
            </w:r>
            <w:r w:rsidR="00C73F6E" w:rsidRPr="0014168F">
              <w:rPr>
                <w:szCs w:val="24"/>
              </w:rPr>
              <w:t xml:space="preserve"> Programmas “Apvārsnis 2020” un </w:t>
            </w:r>
            <w:r w:rsidR="00535985">
              <w:rPr>
                <w:szCs w:val="24"/>
              </w:rPr>
              <w:t>ES</w:t>
            </w:r>
            <w:r w:rsidR="005C7C46" w:rsidRPr="0014168F">
              <w:rPr>
                <w:szCs w:val="24"/>
              </w:rPr>
              <w:t xml:space="preserve"> </w:t>
            </w:r>
            <w:r w:rsidR="00C73F6E" w:rsidRPr="0014168F">
              <w:rPr>
                <w:szCs w:val="24"/>
              </w:rPr>
              <w:t xml:space="preserve">9. Ietvara programmas starptautiskās sadarbības projektu pētniecības un attīstības jomā snieguma palielināšanai projekta iesniedzējs veic programmas “Apvārsnis 2020” un </w:t>
            </w:r>
            <w:r w:rsidR="00535985">
              <w:rPr>
                <w:szCs w:val="24"/>
              </w:rPr>
              <w:t>ES</w:t>
            </w:r>
            <w:r w:rsidR="008B14B0" w:rsidRPr="0014168F">
              <w:rPr>
                <w:szCs w:val="24"/>
              </w:rPr>
              <w:t xml:space="preserve"> </w:t>
            </w:r>
            <w:r w:rsidR="00C73F6E" w:rsidRPr="0014168F">
              <w:rPr>
                <w:szCs w:val="24"/>
              </w:rPr>
              <w:t xml:space="preserve">9. Ietvara programmas projektu iesniegumu sagatavošanu, tai skaitā var doties komandējumos un darba braucienos pie potenciālajiem projekta partneriem uz projekta plānošanas sanāksmēm, organizēt darba seminārus Latvijā un piesaistīt ārējos ekspertus projekta sagatavošanai, kā arī apmeklēt tīklošanās, mācību un mobilitātes pasākumus, kas vērsti uz iesaisti starptautiskos konsorcijos un attiecīgi programmas “Apvārsnis 2020” un </w:t>
            </w:r>
            <w:r w:rsidR="00535985">
              <w:rPr>
                <w:szCs w:val="24"/>
              </w:rPr>
              <w:t>ES</w:t>
            </w:r>
            <w:r w:rsidR="008B14B0" w:rsidRPr="0014168F">
              <w:rPr>
                <w:szCs w:val="24"/>
              </w:rPr>
              <w:t xml:space="preserve"> </w:t>
            </w:r>
            <w:r w:rsidR="00C73F6E" w:rsidRPr="0014168F">
              <w:rPr>
                <w:szCs w:val="24"/>
              </w:rPr>
              <w:t xml:space="preserve">9. Ietvara programmas projektos, tai skaitā programmas “Apvārsnis 2020” un </w:t>
            </w:r>
            <w:r w:rsidR="00535985">
              <w:rPr>
                <w:szCs w:val="24"/>
              </w:rPr>
              <w:t xml:space="preserve">ES </w:t>
            </w:r>
            <w:r w:rsidR="00C73F6E" w:rsidRPr="0014168F">
              <w:rPr>
                <w:szCs w:val="24"/>
              </w:rPr>
              <w:t>9. Ietvara programmas ietvaros organizētajās partnerības biržās un informācijas dienās, Eiropas Komisijas Kopīgo pētījumu centra organizētajos atbalsta pasākumos un starptautiskās zinātniskās konferencēs.</w:t>
            </w:r>
            <w:r w:rsidR="00A55415">
              <w:rPr>
                <w:szCs w:val="24"/>
              </w:rPr>
              <w:t xml:space="preserve"> </w:t>
            </w:r>
          </w:p>
          <w:p w14:paraId="4A7E0F5D" w14:textId="77777777" w:rsidR="006D77AB" w:rsidRPr="0014168F" w:rsidRDefault="006D77AB" w:rsidP="00B848E2">
            <w:pPr>
              <w:tabs>
                <w:tab w:val="left" w:pos="426"/>
                <w:tab w:val="left" w:pos="1134"/>
              </w:tabs>
              <w:ind w:firstLine="516"/>
              <w:jc w:val="both"/>
              <w:rPr>
                <w:bCs/>
              </w:rPr>
            </w:pPr>
            <w:bookmarkStart w:id="27" w:name="_Ref348658193"/>
            <w:bookmarkStart w:id="28" w:name="_Ref474390834"/>
            <w:r w:rsidRPr="0014168F">
              <w:rPr>
                <w:bCs/>
              </w:rPr>
              <w:t>Otrās kārtas ietvaros līdz 2023. gada 31. decembrim ir sasniedzami šādi rādītāji:</w:t>
            </w:r>
            <w:bookmarkEnd w:id="27"/>
            <w:r w:rsidRPr="0014168F">
              <w:rPr>
                <w:bCs/>
              </w:rPr>
              <w:t xml:space="preserve"> </w:t>
            </w:r>
          </w:p>
          <w:p w14:paraId="62B8605D" w14:textId="06A70463" w:rsidR="006D77AB" w:rsidRPr="0014168F" w:rsidRDefault="006D77AB" w:rsidP="00A067D4">
            <w:pPr>
              <w:pStyle w:val="ListParagraph"/>
              <w:numPr>
                <w:ilvl w:val="0"/>
                <w:numId w:val="11"/>
              </w:numPr>
              <w:tabs>
                <w:tab w:val="left" w:pos="426"/>
                <w:tab w:val="left" w:pos="1134"/>
              </w:tabs>
              <w:rPr>
                <w:szCs w:val="24"/>
              </w:rPr>
            </w:pPr>
            <w:bookmarkStart w:id="29" w:name="_Ref348666072"/>
            <w:bookmarkStart w:id="30" w:name="_Ref348656110"/>
            <w:r w:rsidRPr="0014168F">
              <w:rPr>
                <w:bCs/>
                <w:szCs w:val="24"/>
              </w:rPr>
              <w:lastRenderedPageBreak/>
              <w:t xml:space="preserve">uzraudzības rādītājs </w:t>
            </w:r>
            <w:r w:rsidRPr="0014168F">
              <w:rPr>
                <w:szCs w:val="24"/>
              </w:rPr>
              <w:t>–</w:t>
            </w:r>
            <w:r w:rsidRPr="0014168F">
              <w:rPr>
                <w:bCs/>
                <w:szCs w:val="24"/>
              </w:rPr>
              <w:t xml:space="preserve"> Eiropas Reģionālās attīstības fonda atbalstīti un virs kvalitātes sliekšņa novērtēti </w:t>
            </w:r>
            <w:r w:rsidR="009922A4">
              <w:rPr>
                <w:bCs/>
                <w:szCs w:val="24"/>
              </w:rPr>
              <w:t xml:space="preserve">ne mazāk kā </w:t>
            </w:r>
            <w:r w:rsidR="00DB479F" w:rsidRPr="0014168F">
              <w:rPr>
                <w:bCs/>
                <w:szCs w:val="24"/>
              </w:rPr>
              <w:t>458</w:t>
            </w:r>
            <w:r w:rsidRPr="0014168F">
              <w:rPr>
                <w:bCs/>
                <w:szCs w:val="24"/>
              </w:rPr>
              <w:t xml:space="preserve"> programmas “Apvārsnis 2020” </w:t>
            </w:r>
            <w:r w:rsidR="00DB479F" w:rsidRPr="0014168F">
              <w:rPr>
                <w:szCs w:val="24"/>
              </w:rPr>
              <w:t xml:space="preserve">un </w:t>
            </w:r>
            <w:r w:rsidR="00535985">
              <w:rPr>
                <w:szCs w:val="24"/>
              </w:rPr>
              <w:t>ES</w:t>
            </w:r>
            <w:r w:rsidR="00DB479F" w:rsidRPr="0014168F">
              <w:rPr>
                <w:szCs w:val="24"/>
              </w:rPr>
              <w:t xml:space="preserve"> 9. Ietvara programmas</w:t>
            </w:r>
            <w:r w:rsidR="00DB479F" w:rsidRPr="0014168F">
              <w:rPr>
                <w:bCs/>
                <w:szCs w:val="24"/>
              </w:rPr>
              <w:t xml:space="preserve"> </w:t>
            </w:r>
            <w:r w:rsidRPr="0014168F">
              <w:rPr>
                <w:bCs/>
                <w:szCs w:val="24"/>
              </w:rPr>
              <w:t>ietvaros iesniegti projekti</w:t>
            </w:r>
            <w:bookmarkEnd w:id="28"/>
            <w:r w:rsidRPr="0014168F">
              <w:rPr>
                <w:bCs/>
                <w:szCs w:val="24"/>
              </w:rPr>
              <w:t xml:space="preserve">, kura sadalījums pa projektu iesniedzējiem noteikts noteikumu projekta </w:t>
            </w:r>
            <w:bookmarkEnd w:id="29"/>
            <w:bookmarkEnd w:id="30"/>
            <w:r w:rsidR="009922A4">
              <w:rPr>
                <w:bCs/>
                <w:szCs w:val="24"/>
              </w:rPr>
              <w:t>41</w:t>
            </w:r>
            <w:r w:rsidRPr="0014168F">
              <w:rPr>
                <w:bCs/>
                <w:szCs w:val="24"/>
              </w:rPr>
              <w:t>. punktā;</w:t>
            </w:r>
          </w:p>
          <w:p w14:paraId="101357FF" w14:textId="0F8E75B8" w:rsidR="006D77AB" w:rsidRPr="00F10D97" w:rsidRDefault="006D77AB" w:rsidP="00A067D4">
            <w:pPr>
              <w:pStyle w:val="ListParagraph"/>
              <w:numPr>
                <w:ilvl w:val="0"/>
                <w:numId w:val="11"/>
              </w:numPr>
              <w:tabs>
                <w:tab w:val="left" w:pos="426"/>
                <w:tab w:val="left" w:pos="1134"/>
              </w:tabs>
              <w:rPr>
                <w:szCs w:val="24"/>
              </w:rPr>
            </w:pPr>
            <w:r w:rsidRPr="006D77AB">
              <w:rPr>
                <w:bCs/>
                <w:szCs w:val="24"/>
              </w:rPr>
              <w:t xml:space="preserve">specifiskais iznākuma rādītājs </w:t>
            </w:r>
            <w:r w:rsidRPr="006D77AB">
              <w:rPr>
                <w:szCs w:val="24"/>
              </w:rPr>
              <w:t xml:space="preserve">– </w:t>
            </w:r>
            <w:r w:rsidRPr="006D77AB">
              <w:rPr>
                <w:bCs/>
                <w:szCs w:val="24"/>
              </w:rPr>
              <w:t>īstenots Latvijas Nacionālās par</w:t>
            </w:r>
            <w:r w:rsidRPr="00F10D97">
              <w:rPr>
                <w:bCs/>
                <w:szCs w:val="24"/>
              </w:rPr>
              <w:t xml:space="preserve">tnerības plāns dalībai astoņos </w:t>
            </w:r>
            <w:r w:rsidRPr="00F10D97">
              <w:rPr>
                <w:bCs/>
                <w:i/>
                <w:szCs w:val="24"/>
              </w:rPr>
              <w:t>ERIC</w:t>
            </w:r>
            <w:r w:rsidR="005E0F38" w:rsidRPr="00F10D97">
              <w:rPr>
                <w:bCs/>
                <w:szCs w:val="24"/>
              </w:rPr>
              <w:t xml:space="preserve"> konsorcijos;</w:t>
            </w:r>
          </w:p>
          <w:p w14:paraId="74DF1EC4" w14:textId="505FFE90" w:rsidR="005E0F38" w:rsidRPr="00F10D97" w:rsidRDefault="005E0F38" w:rsidP="005E0F38">
            <w:pPr>
              <w:pStyle w:val="ListParagraph"/>
              <w:numPr>
                <w:ilvl w:val="0"/>
                <w:numId w:val="11"/>
              </w:numPr>
              <w:tabs>
                <w:tab w:val="left" w:pos="426"/>
                <w:tab w:val="left" w:pos="1134"/>
              </w:tabs>
              <w:rPr>
                <w:szCs w:val="24"/>
              </w:rPr>
            </w:pPr>
            <w:r w:rsidRPr="00F10D97">
              <w:rPr>
                <w:szCs w:val="24"/>
              </w:rPr>
              <w:t xml:space="preserve">specifiskais iznākuma rādītājs – īstenots Eiropas Kodolpētniecības organizācijas </w:t>
            </w:r>
            <w:r w:rsidR="009922A4" w:rsidRPr="00F10D97">
              <w:rPr>
                <w:szCs w:val="24"/>
              </w:rPr>
              <w:t xml:space="preserve">(CERN) </w:t>
            </w:r>
            <w:r w:rsidRPr="00F10D97">
              <w:rPr>
                <w:szCs w:val="24"/>
              </w:rPr>
              <w:t>Latvijas Nacionālā kontaktpunkta rīcības plāns;</w:t>
            </w:r>
          </w:p>
          <w:p w14:paraId="6746D9AD" w14:textId="11BE2BF6" w:rsidR="005E0F38" w:rsidRPr="00F10D97" w:rsidRDefault="005E0F38" w:rsidP="005E0F38">
            <w:pPr>
              <w:pStyle w:val="ListParagraph"/>
              <w:numPr>
                <w:ilvl w:val="0"/>
                <w:numId w:val="11"/>
              </w:numPr>
              <w:tabs>
                <w:tab w:val="left" w:pos="426"/>
                <w:tab w:val="left" w:pos="1134"/>
              </w:tabs>
              <w:rPr>
                <w:szCs w:val="24"/>
              </w:rPr>
            </w:pPr>
            <w:r w:rsidRPr="00F10D97">
              <w:rPr>
                <w:szCs w:val="24"/>
              </w:rPr>
              <w:t>specifiskais iznākuma rādītājs – īstenots rīcības plāns sadarbības nodrošināšanai kvantu skaitļo</w:t>
            </w:r>
            <w:r w:rsidR="009922A4" w:rsidRPr="00F10D97">
              <w:rPr>
                <w:szCs w:val="24"/>
              </w:rPr>
              <w:t>šanas jomā starp šo noteikumu 35</w:t>
            </w:r>
            <w:r w:rsidRPr="00F10D97">
              <w:rPr>
                <w:szCs w:val="24"/>
              </w:rPr>
              <w:t xml:space="preserve">.9. apakšpunktā noteikto projekta iesniedzēju, Kvantu programmatūras pētniecības centru (Nīderlande) un Parīzes Kvantu skaitļošanas centru (Francija). </w:t>
            </w:r>
          </w:p>
          <w:p w14:paraId="53E38677" w14:textId="1DBE76D8" w:rsidR="006D77AB" w:rsidRPr="00F10D97" w:rsidRDefault="009E52AE" w:rsidP="005E0F38">
            <w:pPr>
              <w:pStyle w:val="tv213"/>
              <w:shd w:val="clear" w:color="auto" w:fill="FFFFFF"/>
              <w:spacing w:before="0" w:beforeAutospacing="0" w:after="0" w:afterAutospacing="0"/>
              <w:ind w:firstLine="516"/>
              <w:jc w:val="both"/>
              <w:rPr>
                <w:bCs/>
              </w:rPr>
            </w:pPr>
            <w:r w:rsidRPr="00F10D97">
              <w:rPr>
                <w:bCs/>
              </w:rPr>
              <w:t>Finansējuma saņēmējs ar saimniecisku darbību nesaistītu projektu īsteno ne ilgāk kā līdz 2022. gada 31. decembrim.</w:t>
            </w:r>
          </w:p>
          <w:p w14:paraId="71CE9887" w14:textId="77777777" w:rsidR="009E52AE" w:rsidRPr="00F10D97" w:rsidRDefault="009E52AE" w:rsidP="00742290">
            <w:pPr>
              <w:tabs>
                <w:tab w:val="left" w:pos="426"/>
                <w:tab w:val="left" w:pos="1134"/>
              </w:tabs>
              <w:jc w:val="both"/>
            </w:pPr>
          </w:p>
          <w:p w14:paraId="02FF959C" w14:textId="77777777" w:rsidR="00742290" w:rsidRPr="00F10D97" w:rsidRDefault="00742290" w:rsidP="005E0F38">
            <w:pPr>
              <w:tabs>
                <w:tab w:val="left" w:pos="426"/>
                <w:tab w:val="left" w:pos="1134"/>
              </w:tabs>
              <w:ind w:firstLine="516"/>
              <w:jc w:val="both"/>
            </w:pPr>
            <w:r w:rsidRPr="008B36C4">
              <w:rPr>
                <w:b/>
              </w:rPr>
              <w:t>Trešo kārtu</w:t>
            </w:r>
            <w:r w:rsidRPr="00F10D97">
              <w:t xml:space="preserve"> īsteno atklātas projektu iesniegumu atlases veidā.</w:t>
            </w:r>
          </w:p>
          <w:p w14:paraId="31B0CF30" w14:textId="56A74982" w:rsidR="00742290" w:rsidRPr="00F10D97" w:rsidRDefault="00742290" w:rsidP="00B848E2">
            <w:pPr>
              <w:tabs>
                <w:tab w:val="left" w:pos="426"/>
                <w:tab w:val="left" w:pos="1134"/>
              </w:tabs>
              <w:ind w:firstLine="516"/>
              <w:jc w:val="both"/>
            </w:pPr>
            <w:bookmarkStart w:id="31" w:name="_Ref474930834"/>
            <w:r w:rsidRPr="00F10D97">
              <w:t xml:space="preserve">Projekta iesniedzējs ir zinātniskā institūcija, kas trešās kārtas ietvaros iesniedz vienu </w:t>
            </w:r>
            <w:r w:rsidRPr="00F10D97">
              <w:rPr>
                <w:bCs/>
                <w:spacing w:val="-2"/>
              </w:rPr>
              <w:t xml:space="preserve">vai vairākus </w:t>
            </w:r>
            <w:r w:rsidRPr="00F10D97">
              <w:t>projektu iesniegumus</w:t>
            </w:r>
            <w:r w:rsidR="006F505F" w:rsidRPr="00F10D97">
              <w:t xml:space="preserve"> un Marijas Sklodovskas-Kirī apakšprogrammas Eiropas Zinātnieku Nakts (</w:t>
            </w:r>
            <w:r w:rsidR="006F505F" w:rsidRPr="00F10D97">
              <w:rPr>
                <w:i/>
              </w:rPr>
              <w:t>European Researchers’ Night</w:t>
            </w:r>
            <w:r w:rsidR="006F505F" w:rsidRPr="00F10D97">
              <w:t>)</w:t>
            </w:r>
            <w:r w:rsidR="00462FB9" w:rsidRPr="00F10D97">
              <w:t xml:space="preserve"> projekta ietva</w:t>
            </w:r>
            <w:r w:rsidR="006F505F" w:rsidRPr="00F10D97">
              <w:t>ros</w:t>
            </w:r>
            <w:r w:rsidR="00462FB9" w:rsidRPr="00F10D97">
              <w:t xml:space="preserve"> </w:t>
            </w:r>
            <w:r w:rsidR="00C34FB0" w:rsidRPr="00F10D97">
              <w:t>–</w:t>
            </w:r>
            <w:r w:rsidR="00462FB9" w:rsidRPr="00F10D97">
              <w:t xml:space="preserve"> </w:t>
            </w:r>
            <w:r w:rsidR="00C34FB0" w:rsidRPr="00F10D97">
              <w:t>arī tiešā pārvaldes iestāde</w:t>
            </w:r>
            <w:r w:rsidRPr="00F10D97">
              <w:t>.</w:t>
            </w:r>
            <w:bookmarkEnd w:id="31"/>
            <w:r w:rsidRPr="00F10D97">
              <w:t xml:space="preserve"> </w:t>
            </w:r>
            <w:r w:rsidR="00B86F4E" w:rsidRPr="00F10D97">
              <w:t xml:space="preserve">Ņemot vērā, ka programmas “Apvārsnis 2020” Eiropas Zinātnieku Nakts </w:t>
            </w:r>
            <w:proofErr w:type="gramStart"/>
            <w:r w:rsidR="00B86F4E" w:rsidRPr="00F10D97">
              <w:t>(</w:t>
            </w:r>
            <w:proofErr w:type="gramEnd"/>
            <w:r w:rsidR="00B86F4E" w:rsidRPr="00F10D97">
              <w:rPr>
                <w:i/>
              </w:rPr>
              <w:t>European Researchers’ Night</w:t>
            </w:r>
            <w:r w:rsidR="00B86F4E" w:rsidRPr="00F10D97">
              <w:t xml:space="preserve">) projekta ieviešanas nosacījumi pieļauj projekta koordinatoram būt ne tikai zinātniskajai institūcijai, bet arī institūcijai, kura ir nacionāla līmeņa zinātnes pārstāvoša institūcija vai zinātnes centrs. Saskaņā ar līdzšinējo praksi projekta koordinatora funkcijas Latvijā ir uzņēmusies Valsts izglītības attīstības aģentūra, kā partnerus piesaistot lielākas Latvijas zinātniskās institūcijas.  </w:t>
            </w:r>
          </w:p>
          <w:p w14:paraId="23D59F4E" w14:textId="3DCF93D8" w:rsidR="006A64B3" w:rsidRPr="00F10D97" w:rsidRDefault="006A64B3" w:rsidP="00B848E2">
            <w:pPr>
              <w:pStyle w:val="tv213"/>
              <w:shd w:val="clear" w:color="auto" w:fill="FFFFFF"/>
              <w:spacing w:before="0" w:beforeAutospacing="0" w:after="0" w:afterAutospacing="0"/>
              <w:ind w:firstLine="516"/>
              <w:jc w:val="both"/>
            </w:pPr>
            <w:r w:rsidRPr="00F10D97">
              <w:t xml:space="preserve">Trešās kārtas </w:t>
            </w:r>
            <w:r w:rsidR="00DF6528" w:rsidRPr="00F10D97">
              <w:t>projektu atlases</w:t>
            </w:r>
            <w:r w:rsidR="005E6641" w:rsidRPr="00F10D97">
              <w:t xml:space="preserve"> īstenošanai plānotais kopējais attiecināmais finansējums ir</w:t>
            </w:r>
            <w:r w:rsidR="005B19B9" w:rsidRPr="00F10D97">
              <w:t xml:space="preserve"> </w:t>
            </w:r>
            <w:r w:rsidR="00C7767B" w:rsidRPr="00F10D97">
              <w:t xml:space="preserve">9 300 000 </w:t>
            </w:r>
            <w:r w:rsidR="00C7767B" w:rsidRPr="00F10D97">
              <w:rPr>
                <w:i/>
              </w:rPr>
              <w:t>euro</w:t>
            </w:r>
            <w:r w:rsidR="00C7767B" w:rsidRPr="00F10D97">
              <w:t xml:space="preserve">, ko veido Eiropas Reģionālās attīstības fonda finansējums 7 905 000 </w:t>
            </w:r>
            <w:r w:rsidR="00C7767B" w:rsidRPr="00F10D97">
              <w:rPr>
                <w:i/>
              </w:rPr>
              <w:t>euro</w:t>
            </w:r>
            <w:r w:rsidR="00C7767B" w:rsidRPr="00F10D97">
              <w:t xml:space="preserve"> un valsts budžeta līdzfinansējums 1 395 000 </w:t>
            </w:r>
            <w:r w:rsidR="00C7767B" w:rsidRPr="00F10D97">
              <w:rPr>
                <w:i/>
              </w:rPr>
              <w:t>euro</w:t>
            </w:r>
            <w:r w:rsidR="00C7767B" w:rsidRPr="00F10D97">
              <w:t xml:space="preserve">. </w:t>
            </w:r>
          </w:p>
          <w:bookmarkEnd w:id="0"/>
          <w:p w14:paraId="2F06C391" w14:textId="5C99DB69" w:rsidR="006D77AB" w:rsidRPr="00912FA3" w:rsidRDefault="006D77AB" w:rsidP="00FE6D67">
            <w:pPr>
              <w:tabs>
                <w:tab w:val="left" w:pos="426"/>
                <w:tab w:val="left" w:pos="1134"/>
              </w:tabs>
              <w:ind w:right="107" w:firstLine="516"/>
              <w:jc w:val="both"/>
            </w:pPr>
            <w:r w:rsidRPr="00F10D97">
              <w:t>Trešās kārtas ietvaros p</w:t>
            </w:r>
            <w:r w:rsidR="00912FA3" w:rsidRPr="00F10D97">
              <w:t>rojekta iesniedzējs</w:t>
            </w:r>
            <w:r w:rsidR="00912FA3">
              <w:t xml:space="preserve"> var īstenot </w:t>
            </w:r>
            <w:r w:rsidRPr="00912FA3">
              <w:t>ar saimniecis</w:t>
            </w:r>
            <w:r w:rsidR="00912FA3">
              <w:t xml:space="preserve">ku darbību nesaistītu projektu vai </w:t>
            </w:r>
            <w:r w:rsidRPr="00912FA3">
              <w:t>ar saimniecisku darbību saistītu projektu.</w:t>
            </w:r>
          </w:p>
          <w:p w14:paraId="1430BB76" w14:textId="573BD4A9" w:rsidR="00C938A5" w:rsidRPr="00C938A5" w:rsidRDefault="00C938A5" w:rsidP="00B848E2">
            <w:pPr>
              <w:tabs>
                <w:tab w:val="left" w:pos="426"/>
                <w:tab w:val="left" w:pos="1134"/>
              </w:tabs>
              <w:ind w:firstLine="516"/>
              <w:jc w:val="both"/>
            </w:pPr>
            <w:bookmarkStart w:id="32" w:name="_Ref348716411"/>
            <w:r w:rsidRPr="00C938A5">
              <w:t>Trešās kārtas ietvaros atbalst</w:t>
            </w:r>
            <w:r w:rsidR="006C162C">
              <w:t xml:space="preserve">s paredzēts </w:t>
            </w:r>
            <w:r w:rsidRPr="00C938A5">
              <w:t xml:space="preserve">programmas “Apvārsnis 2020” virs kvalitātes sliekšņa novērtētu, bet finansējumu nesaņēmušu </w:t>
            </w:r>
            <w:r w:rsidR="00C55F65">
              <w:t xml:space="preserve">Latvijas zinātnisko institūciju </w:t>
            </w:r>
            <w:r w:rsidRPr="00C938A5">
              <w:t xml:space="preserve">projektu vai to daļu finansēšanai </w:t>
            </w:r>
            <w:r w:rsidR="006C162C">
              <w:t>noteikumu projektā noteiktās</w:t>
            </w:r>
            <w:r w:rsidRPr="00C938A5">
              <w:t xml:space="preserve"> apakšprogrammās</w:t>
            </w:r>
            <w:r w:rsidR="006C162C">
              <w:t>.</w:t>
            </w:r>
            <w:bookmarkEnd w:id="32"/>
          </w:p>
          <w:p w14:paraId="0E6226FF" w14:textId="662867BB" w:rsidR="00C55F65" w:rsidRDefault="00E246E9" w:rsidP="00B848E2">
            <w:pPr>
              <w:tabs>
                <w:tab w:val="left" w:pos="426"/>
                <w:tab w:val="left" w:pos="1134"/>
              </w:tabs>
              <w:ind w:firstLine="516"/>
              <w:jc w:val="both"/>
            </w:pPr>
            <w:bookmarkStart w:id="33" w:name="_Ref474394638"/>
            <w:r>
              <w:t xml:space="preserve">Trešās kārtas </w:t>
            </w:r>
            <w:r w:rsidR="00C55F65" w:rsidRPr="00E22693">
              <w:t>atlasi</w:t>
            </w:r>
            <w:r>
              <w:t xml:space="preserve"> plānots organizēt </w:t>
            </w:r>
            <w:r w:rsidRPr="00E22693">
              <w:t>atklātas projektu iesniegumu atlases veidā</w:t>
            </w:r>
            <w:r w:rsidR="00C55F65" w:rsidRPr="00E22693">
              <w:t xml:space="preserve">, atbalstu piešķirot konkrētajā programmas </w:t>
            </w:r>
            <w:r w:rsidR="005E0F38">
              <w:t>“</w:t>
            </w:r>
            <w:r w:rsidR="00C55F65" w:rsidRPr="00063D88">
              <w:t xml:space="preserve">Apvārsnis 2020” </w:t>
            </w:r>
            <w:r w:rsidR="00C55F65" w:rsidRPr="00E22693">
              <w:t xml:space="preserve">apakšprogrammā iesniegta projekta īstenošanai vai </w:t>
            </w:r>
            <w:r w:rsidR="00C55F65" w:rsidRPr="00E22693">
              <w:lastRenderedPageBreak/>
              <w:t>līdzfinansēšanai, nevērtējot projekta iesnieguma zinātnisko kvalitāti, bet finansējumu piešķirot projektiem to iesniegšanas secībā, kamēr pieejams finansējums.</w:t>
            </w:r>
          </w:p>
          <w:p w14:paraId="1FC54053" w14:textId="3FB74D7D" w:rsidR="009E52AE" w:rsidRDefault="009E52AE" w:rsidP="00B848E2">
            <w:pPr>
              <w:tabs>
                <w:tab w:val="left" w:pos="426"/>
                <w:tab w:val="left" w:pos="1134"/>
              </w:tabs>
              <w:ind w:firstLine="516"/>
              <w:jc w:val="both"/>
              <w:rPr>
                <w:bCs/>
                <w:spacing w:val="-2"/>
              </w:rPr>
            </w:pPr>
            <w:r w:rsidRPr="00363751">
              <w:t>Projektu vē</w:t>
            </w:r>
            <w:r w:rsidRPr="0014168F">
              <w:t xml:space="preserve">rtēšanas kritēriji paredz, ka projekta iesniedzējs </w:t>
            </w:r>
            <w:r w:rsidRPr="0014168F">
              <w:rPr>
                <w:bCs/>
                <w:spacing w:val="-2"/>
              </w:rPr>
              <w:t xml:space="preserve">sadarbības iestādē iesniedz projekta iesnieguma kopiju, kas izstrādāts un iesniegts kādā no </w:t>
            </w:r>
            <w:r w:rsidR="008A051C" w:rsidRPr="0014168F">
              <w:rPr>
                <w:bCs/>
                <w:spacing w:val="-2"/>
              </w:rPr>
              <w:t>noteikumu projekta 5</w:t>
            </w:r>
            <w:r w:rsidR="009922A4">
              <w:rPr>
                <w:bCs/>
                <w:spacing w:val="-2"/>
              </w:rPr>
              <w:t>3</w:t>
            </w:r>
            <w:r w:rsidR="007660C5">
              <w:rPr>
                <w:bCs/>
                <w:spacing w:val="-2"/>
              </w:rPr>
              <w:t>.</w:t>
            </w:r>
            <w:r w:rsidR="008A051C" w:rsidRPr="0014168F">
              <w:rPr>
                <w:bCs/>
                <w:spacing w:val="-2"/>
              </w:rPr>
              <w:t xml:space="preserve"> punktā noteiktajām </w:t>
            </w:r>
            <w:r w:rsidRPr="0014168F">
              <w:t xml:space="preserve">programmas “Apvārsnis 2020” apakšprogrammām un saņēmis virs kvalitātes sliekšņa novērtējumu </w:t>
            </w:r>
            <w:proofErr w:type="gramStart"/>
            <w:r w:rsidRPr="0014168F">
              <w:t>(</w:t>
            </w:r>
            <w:proofErr w:type="gramEnd"/>
            <w:r w:rsidR="00BB7190">
              <w:t>EK</w:t>
            </w:r>
            <w:r w:rsidRPr="0014168F">
              <w:t xml:space="preserve"> izsniegts dokuments, kas apliecina, ka projekta pieteikumam ir veikts projekta kvalitātes izvērtējums </w:t>
            </w:r>
            <w:r w:rsidRPr="00C938A5">
              <w:t xml:space="preserve">un tas ir pārvarējis noteikto kvalitātes slieksni programmas “Apvārsnis 2020” projektu pieteikumu vērtēšanā </w:t>
            </w:r>
            <w:r>
              <w:t xml:space="preserve">vai </w:t>
            </w:r>
            <w:r w:rsidR="00BB7190">
              <w:t>EK</w:t>
            </w:r>
            <w:r>
              <w:t xml:space="preserve"> izsniegts </w:t>
            </w:r>
            <w:r w:rsidRPr="00C938A5">
              <w:t>Izcilības zīmoga sertifikāts (</w:t>
            </w:r>
            <w:r w:rsidRPr="00C938A5">
              <w:rPr>
                <w:i/>
              </w:rPr>
              <w:t>Seal of Excellence</w:t>
            </w:r>
            <w:r w:rsidRPr="00C938A5">
              <w:t>)</w:t>
            </w:r>
            <w:r>
              <w:t xml:space="preserve">, </w:t>
            </w:r>
            <w:r w:rsidRPr="00C938A5">
              <w:t xml:space="preserve">ja konkrētajai programmas “Apvārsnis 2020” apakšprogrammai </w:t>
            </w:r>
            <w:r w:rsidR="00BB7190">
              <w:t>EK</w:t>
            </w:r>
            <w:r w:rsidRPr="00C938A5">
              <w:t xml:space="preserve"> īsteno Izcilības zīmoga sertifikāta piešķiršanas iniciatīvu</w:t>
            </w:r>
            <w:r>
              <w:t>)</w:t>
            </w:r>
            <w:r w:rsidR="00B16945">
              <w:t xml:space="preserve"> vai </w:t>
            </w:r>
            <w:r w:rsidR="00B16945" w:rsidRPr="00B16945">
              <w:t xml:space="preserve">kopuzņēmuma ECSEL ietvaros </w:t>
            </w:r>
            <w:r w:rsidR="00B16945">
              <w:t xml:space="preserve">īstenošanai </w:t>
            </w:r>
            <w:r w:rsidR="00B16945" w:rsidRPr="00B16945">
              <w:t>apstiprināta projekta no Eiropas strukturālajiem un investīciju fondiem finansējamas darba paketes</w:t>
            </w:r>
            <w:r w:rsidR="00B16945">
              <w:t xml:space="preserve"> kopiju</w:t>
            </w:r>
            <w:r>
              <w:rPr>
                <w:bCs/>
                <w:spacing w:val="-2"/>
              </w:rPr>
              <w:t>.</w:t>
            </w:r>
          </w:p>
          <w:p w14:paraId="56131793" w14:textId="37AB29B3" w:rsidR="00B16945" w:rsidRDefault="00B16945" w:rsidP="00B848E2">
            <w:pPr>
              <w:tabs>
                <w:tab w:val="left" w:pos="426"/>
                <w:tab w:val="left" w:pos="1134"/>
              </w:tabs>
              <w:ind w:firstLine="516"/>
              <w:jc w:val="both"/>
              <w:rPr>
                <w:bCs/>
                <w:spacing w:val="-2"/>
              </w:rPr>
            </w:pPr>
            <w:r>
              <w:rPr>
                <w:bCs/>
                <w:spacing w:val="-2"/>
              </w:rPr>
              <w:t xml:space="preserve">Lai mazinātu administratīvo slogu, trešās </w:t>
            </w:r>
            <w:r w:rsidRPr="00B16945">
              <w:rPr>
                <w:bCs/>
                <w:spacing w:val="-2"/>
              </w:rPr>
              <w:t xml:space="preserve">kārtas projektu </w:t>
            </w:r>
            <w:r>
              <w:rPr>
                <w:bCs/>
                <w:spacing w:val="-2"/>
              </w:rPr>
              <w:t xml:space="preserve">pieteikumu </w:t>
            </w:r>
            <w:r w:rsidRPr="00B16945">
              <w:rPr>
                <w:bCs/>
                <w:spacing w:val="-2"/>
              </w:rPr>
              <w:t>vērtēšanas sistēma</w:t>
            </w:r>
            <w:r>
              <w:rPr>
                <w:bCs/>
                <w:spacing w:val="-2"/>
              </w:rPr>
              <w:t xml:space="preserve"> paredz veikt projekta vērtēšanu atbilstoši </w:t>
            </w:r>
            <w:r w:rsidR="005055C9">
              <w:rPr>
                <w:bCs/>
                <w:spacing w:val="-2"/>
              </w:rPr>
              <w:t>vienotajiem</w:t>
            </w:r>
            <w:r>
              <w:rPr>
                <w:bCs/>
                <w:spacing w:val="-2"/>
              </w:rPr>
              <w:t xml:space="preserve"> un specifiskajiem atbilstības kritērijiem, </w:t>
            </w:r>
            <w:r w:rsidR="005055C9">
              <w:rPr>
                <w:bCs/>
                <w:spacing w:val="-2"/>
              </w:rPr>
              <w:t>atkārtoti neveicot projekta kvalitātes vērtējumu un pieņemot to projekta pieteikuma kvalitātes vērtējumu, kas tika veikts programmas</w:t>
            </w:r>
            <w:proofErr w:type="gramStart"/>
            <w:r w:rsidR="005055C9">
              <w:rPr>
                <w:bCs/>
                <w:spacing w:val="-2"/>
              </w:rPr>
              <w:t xml:space="preserve"> </w:t>
            </w:r>
            <w:r w:rsidRPr="00B16945">
              <w:rPr>
                <w:bCs/>
                <w:spacing w:val="-2"/>
              </w:rPr>
              <w:t xml:space="preserve"> </w:t>
            </w:r>
            <w:proofErr w:type="gramEnd"/>
            <w:r w:rsidR="005055C9">
              <w:rPr>
                <w:bCs/>
                <w:spacing w:val="-2"/>
              </w:rPr>
              <w:t>“Apvārsnis 2020” konkursa ietvaros.</w:t>
            </w:r>
            <w:r w:rsidRPr="00B16945">
              <w:rPr>
                <w:bCs/>
                <w:spacing w:val="-2"/>
              </w:rPr>
              <w:t xml:space="preserve"> </w:t>
            </w:r>
            <w:r w:rsidR="005055C9">
              <w:rPr>
                <w:bCs/>
                <w:spacing w:val="-2"/>
              </w:rPr>
              <w:t>P</w:t>
            </w:r>
            <w:r>
              <w:rPr>
                <w:bCs/>
                <w:spacing w:val="-2"/>
              </w:rPr>
              <w:t>rojektu pieteikumu uzraudzības procedūras</w:t>
            </w:r>
            <w:r w:rsidRPr="00B16945">
              <w:rPr>
                <w:bCs/>
                <w:spacing w:val="-2"/>
              </w:rPr>
              <w:t xml:space="preserve"> tiks nodrošināta</w:t>
            </w:r>
            <w:r>
              <w:rPr>
                <w:bCs/>
                <w:spacing w:val="-2"/>
              </w:rPr>
              <w:t>s</w:t>
            </w:r>
            <w:r w:rsidRPr="00B16945">
              <w:rPr>
                <w:bCs/>
                <w:spacing w:val="-2"/>
              </w:rPr>
              <w:t xml:space="preserve"> saskaņā a</w:t>
            </w:r>
            <w:r>
              <w:rPr>
                <w:bCs/>
                <w:spacing w:val="-2"/>
              </w:rPr>
              <w:t xml:space="preserve">r ES struktūrfondu uzraudzības </w:t>
            </w:r>
            <w:r w:rsidRPr="00B16945">
              <w:rPr>
                <w:bCs/>
                <w:spacing w:val="-2"/>
              </w:rPr>
              <w:t>sistēmas darbības pamatprincipiem un kārtību</w:t>
            </w:r>
            <w:r>
              <w:rPr>
                <w:bCs/>
                <w:spacing w:val="-2"/>
              </w:rPr>
              <w:t xml:space="preserve">. </w:t>
            </w:r>
          </w:p>
          <w:p w14:paraId="0F8D07AC" w14:textId="26F707DB" w:rsidR="00990E99" w:rsidRPr="00B16945" w:rsidRDefault="00990E99" w:rsidP="00990E99">
            <w:pPr>
              <w:tabs>
                <w:tab w:val="left" w:pos="426"/>
                <w:tab w:val="left" w:pos="1134"/>
              </w:tabs>
              <w:ind w:firstLine="516"/>
              <w:jc w:val="both"/>
              <w:rPr>
                <w:bCs/>
                <w:spacing w:val="-2"/>
              </w:rPr>
            </w:pPr>
            <w:r w:rsidRPr="00B16945">
              <w:rPr>
                <w:bCs/>
                <w:spacing w:val="-2"/>
              </w:rPr>
              <w:t>Lai nodrošinātu projektu kvalitātes uzraudzību</w:t>
            </w:r>
            <w:r w:rsidR="00D03185" w:rsidRPr="00B16945">
              <w:rPr>
                <w:bCs/>
                <w:spacing w:val="-2"/>
              </w:rPr>
              <w:t xml:space="preserve">, tiks veikta 1.1.1.5. pasākuma </w:t>
            </w:r>
            <w:r w:rsidR="009922A4">
              <w:rPr>
                <w:bCs/>
                <w:spacing w:val="-2"/>
              </w:rPr>
              <w:t>trešās</w:t>
            </w:r>
            <w:r w:rsidR="00D03185" w:rsidRPr="00B16945">
              <w:rPr>
                <w:bCs/>
                <w:spacing w:val="-2"/>
              </w:rPr>
              <w:t xml:space="preserve"> kārtas ietvaros īstenoto</w:t>
            </w:r>
            <w:r w:rsidRPr="00B16945">
              <w:rPr>
                <w:bCs/>
                <w:spacing w:val="-2"/>
              </w:rPr>
              <w:t xml:space="preserve"> projektu </w:t>
            </w:r>
            <w:r w:rsidR="00D03185" w:rsidRPr="00B16945">
              <w:rPr>
                <w:bCs/>
                <w:spacing w:val="-2"/>
              </w:rPr>
              <w:t xml:space="preserve">(izņemot Kopējās tehnoloģiju ierosmes ECSEL kopuzņēmuma ietvaros atbalstītu projektu no Eiropas strukturālajiem un investīciju fondiem finansējamas darba paketes īstenošanas atbalsta (turpmāk – ECSEL kopuzņēmuma projekts) gadījumā, </w:t>
            </w:r>
            <w:r w:rsidR="0090644A" w:rsidRPr="00B16945">
              <w:rPr>
                <w:bCs/>
                <w:spacing w:val="-2"/>
              </w:rPr>
              <w:t>gadījumos, kad</w:t>
            </w:r>
            <w:r w:rsidR="00D03185" w:rsidRPr="00B16945">
              <w:rPr>
                <w:bCs/>
                <w:spacing w:val="-2"/>
              </w:rPr>
              <w:t xml:space="preserve"> šiem ECSEL kopuzņēmumu projektiem </w:t>
            </w:r>
            <w:r w:rsidR="0090644A" w:rsidRPr="00B16945">
              <w:rPr>
                <w:bCs/>
                <w:spacing w:val="-2"/>
              </w:rPr>
              <w:t>kvalitātes uzraudzību nodrošina ECSEL kopuzņēmums</w:t>
            </w:r>
            <w:r w:rsidR="00D03185" w:rsidRPr="00B16945">
              <w:rPr>
                <w:bCs/>
                <w:spacing w:val="-2"/>
              </w:rPr>
              <w:t xml:space="preserve">) </w:t>
            </w:r>
            <w:r w:rsidRPr="00B16945">
              <w:rPr>
                <w:bCs/>
                <w:spacing w:val="-2"/>
              </w:rPr>
              <w:t>vidusposma un noslēguma rezultātu izvērtē</w:t>
            </w:r>
            <w:r w:rsidR="00D03185" w:rsidRPr="00B16945">
              <w:rPr>
                <w:bCs/>
                <w:spacing w:val="-2"/>
              </w:rPr>
              <w:t>šana</w:t>
            </w:r>
            <w:r w:rsidRPr="00B16945">
              <w:rPr>
                <w:bCs/>
                <w:spacing w:val="-2"/>
              </w:rPr>
              <w:t xml:space="preserve">. Izvērtēšanu veiks </w:t>
            </w:r>
            <w:r w:rsidR="00D03185" w:rsidRPr="00B16945">
              <w:rPr>
                <w:bCs/>
                <w:spacing w:val="-2"/>
              </w:rPr>
              <w:t>EK</w:t>
            </w:r>
            <w:r w:rsidRPr="00B16945">
              <w:rPr>
                <w:bCs/>
                <w:spacing w:val="-2"/>
              </w:rPr>
              <w:t xml:space="preserve"> zinātnisko ekspertu datubāzē iekļauti eksperti. Ekspertus izvēlas, izmantojot šādus atlases kritērijus:</w:t>
            </w:r>
          </w:p>
          <w:p w14:paraId="306C06AF" w14:textId="4C85E8E6" w:rsidR="00990E99" w:rsidRPr="00B16945" w:rsidRDefault="00990E99" w:rsidP="00990E99">
            <w:pPr>
              <w:pStyle w:val="ListParagraph"/>
              <w:numPr>
                <w:ilvl w:val="0"/>
                <w:numId w:val="20"/>
              </w:numPr>
              <w:tabs>
                <w:tab w:val="left" w:pos="426"/>
                <w:tab w:val="left" w:pos="1134"/>
              </w:tabs>
              <w:rPr>
                <w:bCs/>
                <w:spacing w:val="-2"/>
              </w:rPr>
            </w:pPr>
            <w:r w:rsidRPr="00B16945">
              <w:rPr>
                <w:bCs/>
                <w:spacing w:val="-2"/>
              </w:rPr>
              <w:t>ekspertam ir doktora zinātniskais grāds;</w:t>
            </w:r>
          </w:p>
          <w:p w14:paraId="3B494011" w14:textId="5C29FC7A" w:rsidR="00990E99" w:rsidRPr="00B16945" w:rsidRDefault="00990E99" w:rsidP="00990E99">
            <w:pPr>
              <w:pStyle w:val="ListParagraph"/>
              <w:numPr>
                <w:ilvl w:val="0"/>
                <w:numId w:val="20"/>
              </w:numPr>
              <w:tabs>
                <w:tab w:val="left" w:pos="426"/>
                <w:tab w:val="left" w:pos="1134"/>
              </w:tabs>
              <w:rPr>
                <w:bCs/>
                <w:spacing w:val="-2"/>
              </w:rPr>
            </w:pPr>
            <w:r w:rsidRPr="00B16945">
              <w:rPr>
                <w:bCs/>
                <w:spacing w:val="-2"/>
              </w:rPr>
              <w:t>eksperta zinātniskā kvalifikācija atbilst konkrētā projekta iesnieguma zinātnes nozares apakšnozarei;</w:t>
            </w:r>
          </w:p>
          <w:p w14:paraId="042B9383" w14:textId="0558D3C2" w:rsidR="00990E99" w:rsidRPr="00B16945" w:rsidRDefault="00990E99" w:rsidP="00990E99">
            <w:pPr>
              <w:pStyle w:val="ListParagraph"/>
              <w:numPr>
                <w:ilvl w:val="0"/>
                <w:numId w:val="20"/>
              </w:numPr>
              <w:tabs>
                <w:tab w:val="left" w:pos="426"/>
                <w:tab w:val="left" w:pos="1134"/>
              </w:tabs>
              <w:rPr>
                <w:bCs/>
                <w:spacing w:val="-2"/>
              </w:rPr>
            </w:pPr>
            <w:r w:rsidRPr="00B16945">
              <w:rPr>
                <w:bCs/>
                <w:spacing w:val="-2"/>
              </w:rPr>
              <w:t>ekspertam ir atbilstoša profesionālā pieredze un kompetence.</w:t>
            </w:r>
          </w:p>
          <w:p w14:paraId="276AB165" w14:textId="5328BEE5" w:rsidR="00990E99" w:rsidRPr="00B16945" w:rsidRDefault="00990E99" w:rsidP="00990E99">
            <w:pPr>
              <w:tabs>
                <w:tab w:val="left" w:pos="426"/>
                <w:tab w:val="left" w:pos="1134"/>
              </w:tabs>
              <w:ind w:firstLine="516"/>
              <w:jc w:val="both"/>
              <w:rPr>
                <w:bCs/>
                <w:spacing w:val="-2"/>
              </w:rPr>
            </w:pPr>
            <w:r w:rsidRPr="00B16945">
              <w:rPr>
                <w:bCs/>
                <w:spacing w:val="-2"/>
              </w:rPr>
              <w:t xml:space="preserve">Saskaņā ar Publisko iepirkumu likumu, par ekspertiem, kuri ir iekļauti </w:t>
            </w:r>
            <w:r w:rsidR="00D03185" w:rsidRPr="00B16945">
              <w:rPr>
                <w:bCs/>
                <w:spacing w:val="-2"/>
              </w:rPr>
              <w:t>EK</w:t>
            </w:r>
            <w:r w:rsidRPr="00B16945">
              <w:rPr>
                <w:bCs/>
                <w:spacing w:val="-2"/>
              </w:rPr>
              <w:t xml:space="preserve"> zinātnisko ekspertu datubāzē, nav jāveic iepirkums. Minētā eksperta izraudzīšanās procesa gaitā tiks nodrošināts, ka atlīdzība ekspertiem netiek pārkompensēta, tādējādi ekspertiem nesaņemot komercdarbības atbalstu. Lai to nodrošinātu, sadarbības iestāde nosaka ekspertu atalgojumu atbilstoši faktiskajai šādu pakalpojumu tirgus cenai, ņemot vērā projekta apjomu un sarežģītības pakāpi.</w:t>
            </w:r>
          </w:p>
          <w:p w14:paraId="54A53F09" w14:textId="6504FB2F" w:rsidR="00703A02" w:rsidRDefault="00703A02" w:rsidP="00B848E2">
            <w:pPr>
              <w:tabs>
                <w:tab w:val="left" w:pos="426"/>
                <w:tab w:val="left" w:pos="1134"/>
              </w:tabs>
              <w:ind w:firstLine="516"/>
              <w:jc w:val="both"/>
              <w:rPr>
                <w:bCs/>
              </w:rPr>
            </w:pPr>
            <w:r w:rsidRPr="009E52AE">
              <w:rPr>
                <w:bCs/>
              </w:rPr>
              <w:lastRenderedPageBreak/>
              <w:t xml:space="preserve">Finansējuma saņēmējs </w:t>
            </w:r>
            <w:r>
              <w:rPr>
                <w:bCs/>
              </w:rPr>
              <w:t xml:space="preserve">trešās kārtas </w:t>
            </w:r>
            <w:r w:rsidRPr="009E52AE">
              <w:rPr>
                <w:bCs/>
              </w:rPr>
              <w:t>projektu īsteno ne ilgāk kā līdz 202</w:t>
            </w:r>
            <w:r>
              <w:rPr>
                <w:bCs/>
              </w:rPr>
              <w:t>3</w:t>
            </w:r>
            <w:r w:rsidRPr="009E52AE">
              <w:rPr>
                <w:bCs/>
              </w:rPr>
              <w:t>. gada</w:t>
            </w:r>
            <w:r>
              <w:rPr>
                <w:bCs/>
              </w:rPr>
              <w:t xml:space="preserve"> 30</w:t>
            </w:r>
            <w:r w:rsidRPr="009E52AE">
              <w:rPr>
                <w:bCs/>
              </w:rPr>
              <w:t xml:space="preserve">. </w:t>
            </w:r>
            <w:r>
              <w:rPr>
                <w:bCs/>
              </w:rPr>
              <w:t>novembrim</w:t>
            </w:r>
            <w:r w:rsidRPr="009E52AE">
              <w:rPr>
                <w:bCs/>
              </w:rPr>
              <w:t>.</w:t>
            </w:r>
          </w:p>
          <w:bookmarkEnd w:id="33"/>
          <w:p w14:paraId="01DC9F62" w14:textId="51F2EBA4" w:rsidR="009E52AE" w:rsidRDefault="009E52AE" w:rsidP="00B848E2">
            <w:pPr>
              <w:tabs>
                <w:tab w:val="left" w:pos="426"/>
                <w:tab w:val="left" w:pos="1134"/>
              </w:tabs>
              <w:ind w:firstLine="516"/>
              <w:jc w:val="both"/>
            </w:pPr>
            <w:r w:rsidRPr="009E52AE">
              <w:t xml:space="preserve">Finansējumu 1.1.1.5. pasākuma trešās kārtas ietvaros sniedz saskaņā ar </w:t>
            </w:r>
            <w:r w:rsidR="00AD05FE">
              <w:t>Eiropas Komisijas</w:t>
            </w:r>
            <w:r w:rsidR="00D12F64" w:rsidRPr="00C45C03">
              <w:t xml:space="preserve"> 2014. gada 17. jūnija Regul</w:t>
            </w:r>
            <w:r w:rsidR="00D12F64">
              <w:t>ā</w:t>
            </w:r>
            <w:r w:rsidR="00D12F64" w:rsidRPr="00C45C03">
              <w:t xml:space="preserve"> (ES) Nr. </w:t>
            </w:r>
            <w:hyperlink r:id="rId9" w:tgtFrame="_blank" w:history="1">
              <w:r w:rsidR="00D12F64" w:rsidRPr="00C45C03">
                <w:t>651/2014</w:t>
              </w:r>
            </w:hyperlink>
            <w:r w:rsidR="00D12F64" w:rsidRPr="00C45C03">
              <w:t xml:space="preserve">, ar ko noteiktas atbalsta kategorijas atzīst par saderīgām ar iekšējo tirgu, piemērojot Līguma 107. un 108. pantu </w:t>
            </w:r>
            <w:proofErr w:type="gramStart"/>
            <w:r w:rsidR="00D12F64" w:rsidRPr="00C45C03">
              <w:t>(</w:t>
            </w:r>
            <w:proofErr w:type="gramEnd"/>
            <w:r w:rsidR="00535985">
              <w:t>ES</w:t>
            </w:r>
            <w:r w:rsidR="00D12F64" w:rsidRPr="00C45C03">
              <w:t xml:space="preserve"> Oficiālais Vēstnesis, 2014. gada 26. jūnijs, Nr. L 187)</w:t>
            </w:r>
            <w:r w:rsidRPr="009E52AE">
              <w:t xml:space="preserve">, </w:t>
            </w:r>
            <w:r w:rsidR="00D12F64" w:rsidRPr="00C45C03">
              <w:t>(turpmāk – Regula Nr. </w:t>
            </w:r>
            <w:hyperlink r:id="rId10" w:tgtFrame="_blank" w:history="1">
              <w:r w:rsidR="00D12F64" w:rsidRPr="00C45C03">
                <w:t>651/2014</w:t>
              </w:r>
            </w:hyperlink>
            <w:r w:rsidR="00D12F64" w:rsidRPr="00C45C03">
              <w:t>)</w:t>
            </w:r>
            <w:r w:rsidR="00D12F64">
              <w:t xml:space="preserve"> </w:t>
            </w:r>
            <w:r w:rsidRPr="009E52AE">
              <w:t>noteikto.</w:t>
            </w:r>
          </w:p>
          <w:p w14:paraId="1A6584E3" w14:textId="77777777" w:rsidR="000B78D6" w:rsidRPr="009E52AE" w:rsidRDefault="000B78D6" w:rsidP="00B848E2">
            <w:pPr>
              <w:tabs>
                <w:tab w:val="left" w:pos="426"/>
                <w:tab w:val="left" w:pos="1134"/>
              </w:tabs>
              <w:ind w:firstLine="516"/>
              <w:jc w:val="both"/>
            </w:pPr>
          </w:p>
          <w:p w14:paraId="717CEF17" w14:textId="1F9CB210" w:rsidR="00333DF0" w:rsidRDefault="009A72C5" w:rsidP="00333DF0">
            <w:pPr>
              <w:tabs>
                <w:tab w:val="left" w:pos="1276"/>
              </w:tabs>
              <w:ind w:firstLine="516"/>
              <w:jc w:val="both"/>
            </w:pPr>
            <w:r>
              <w:t xml:space="preserve">1.1.1.5. pasākuma </w:t>
            </w:r>
            <w:r w:rsidRPr="000A3C45">
              <w:t xml:space="preserve">ietvaros </w:t>
            </w:r>
            <w:r w:rsidR="00333DF0">
              <w:t xml:space="preserve">ir sasniedzami šādi uzraudzības rādītāji: </w:t>
            </w:r>
          </w:p>
          <w:p w14:paraId="60ED4AA7" w14:textId="5967E29B" w:rsidR="00333DF0" w:rsidRDefault="00333DF0" w:rsidP="00333DF0">
            <w:pPr>
              <w:tabs>
                <w:tab w:val="left" w:pos="1276"/>
              </w:tabs>
              <w:ind w:firstLine="516"/>
              <w:jc w:val="both"/>
            </w:pPr>
            <w:r>
              <w:t>1.</w:t>
            </w:r>
            <w:r>
              <w:tab/>
              <w:t xml:space="preserve">iznākuma rādītājs līdz 2018. gada 31. decembrim – virs kvalitātes sliekšņa novērtēto un Eiropas Reģionālās attīstības fonda atbalstīto programmas “Apvārsnis 2020” projektu pieteikumu skaits, tai skaitā </w:t>
            </w:r>
            <w:r w:rsidRPr="00333DF0">
              <w:rPr>
                <w:i/>
              </w:rPr>
              <w:t>Baltic Bonus</w:t>
            </w:r>
            <w:r>
              <w:t xml:space="preserve"> programmas ietvaros – 154</w:t>
            </w:r>
          </w:p>
          <w:p w14:paraId="0A55C7E8" w14:textId="016D4980" w:rsidR="00333DF0" w:rsidRDefault="00333DF0" w:rsidP="00333DF0">
            <w:pPr>
              <w:tabs>
                <w:tab w:val="left" w:pos="1276"/>
              </w:tabs>
              <w:ind w:firstLine="516"/>
              <w:jc w:val="both"/>
            </w:pPr>
            <w:r>
              <w:t>2.</w:t>
            </w:r>
            <w:r>
              <w:tab/>
              <w:t xml:space="preserve">finanšu rādītājs līdz 2018. gada 31. decembrim – sertificēti izdevumi 4 809 228 </w:t>
            </w:r>
            <w:r w:rsidRPr="00333DF0">
              <w:rPr>
                <w:i/>
              </w:rPr>
              <w:t>euro</w:t>
            </w:r>
            <w:r>
              <w:t xml:space="preserve"> apmērā;</w:t>
            </w:r>
          </w:p>
          <w:p w14:paraId="17E2BD97" w14:textId="185C9081" w:rsidR="00333DF0" w:rsidRDefault="00333DF0" w:rsidP="00333DF0">
            <w:pPr>
              <w:tabs>
                <w:tab w:val="left" w:pos="1276"/>
              </w:tabs>
              <w:ind w:firstLine="516"/>
              <w:jc w:val="both"/>
            </w:pPr>
            <w:r>
              <w:t>3.</w:t>
            </w:r>
            <w:r>
              <w:tab/>
              <w:t xml:space="preserve">iznākuma rādītājs līdz 2023. gada 31. decembrim – virs kvalitātes sliekšņa novērtēto un Eiropas Reģionālās attīstības fonda atbalstīto programmas “Apvārsnis 2020” un </w:t>
            </w:r>
            <w:r w:rsidR="00BB7190">
              <w:t>ES</w:t>
            </w:r>
            <w:r>
              <w:t xml:space="preserve"> 9. Ietvara programmas projektu pieteikumu skaits, tai skaitā </w:t>
            </w:r>
            <w:r w:rsidRPr="00333DF0">
              <w:rPr>
                <w:i/>
              </w:rPr>
              <w:t>Baltic Bonus</w:t>
            </w:r>
            <w:r>
              <w:t xml:space="preserve"> programmas ietvaros – 1029;</w:t>
            </w:r>
          </w:p>
          <w:p w14:paraId="606C26BD" w14:textId="2E7D37D1" w:rsidR="00333DF0" w:rsidRDefault="00333DF0" w:rsidP="00333DF0">
            <w:pPr>
              <w:tabs>
                <w:tab w:val="left" w:pos="1276"/>
              </w:tabs>
              <w:ind w:firstLine="516"/>
              <w:jc w:val="both"/>
            </w:pPr>
            <w:r>
              <w:t>4.</w:t>
            </w:r>
            <w:r>
              <w:tab/>
              <w:t xml:space="preserve"> rezultāta rādītāji, kas sasniedzami līdz 2023. gada 31. decembrim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koprezultātā:</w:t>
            </w:r>
          </w:p>
          <w:p w14:paraId="3016FB66" w14:textId="14D323C5" w:rsidR="00333DF0" w:rsidRDefault="00333DF0" w:rsidP="00333DF0">
            <w:pPr>
              <w:tabs>
                <w:tab w:val="left" w:pos="1276"/>
              </w:tabs>
              <w:ind w:firstLine="516"/>
              <w:jc w:val="both"/>
            </w:pPr>
            <w:r>
              <w:t>4.1.</w:t>
            </w:r>
            <w:r>
              <w:tab/>
              <w:t xml:space="preserve">vidējais zinātnisko publikāciju skaits uz vienu zinātniskā personāla pilna darba laika ekvivalentu gadā – 0,48; </w:t>
            </w:r>
          </w:p>
          <w:p w14:paraId="509D889B" w14:textId="0310040D" w:rsidR="00333DF0" w:rsidRDefault="00333DF0" w:rsidP="00333DF0">
            <w:pPr>
              <w:tabs>
                <w:tab w:val="left" w:pos="1276"/>
              </w:tabs>
              <w:ind w:firstLine="516"/>
              <w:jc w:val="both"/>
            </w:pPr>
            <w:r>
              <w:t>4.2.</w:t>
            </w:r>
            <w:r>
              <w:tab/>
              <w:t xml:space="preserve">valsts un augstākās izglītības sektora piesaistītais ārējais finansējums zinātniski pētnieciskajam darbam – 160 600 000 </w:t>
            </w:r>
            <w:r w:rsidRPr="00333DF0">
              <w:rPr>
                <w:i/>
              </w:rPr>
              <w:t>euro</w:t>
            </w:r>
            <w:r>
              <w:t>.</w:t>
            </w:r>
          </w:p>
          <w:p w14:paraId="16F2BEA4" w14:textId="1542198D" w:rsidR="009E52AE" w:rsidRPr="0014168F" w:rsidRDefault="009D0B23" w:rsidP="00E711C7">
            <w:pPr>
              <w:tabs>
                <w:tab w:val="left" w:pos="1276"/>
              </w:tabs>
              <w:ind w:firstLine="658"/>
              <w:jc w:val="both"/>
            </w:pPr>
            <w:r w:rsidRPr="0014168F">
              <w:t xml:space="preserve">Izglītības un zinātnes ministrija </w:t>
            </w:r>
            <w:r w:rsidR="00D90D88" w:rsidRPr="0014168F">
              <w:t>izstrādāj</w:t>
            </w:r>
            <w:r w:rsidR="00EB60D7" w:rsidRPr="0014168F">
              <w:t>a</w:t>
            </w:r>
            <w:r w:rsidR="00D90D88" w:rsidRPr="0014168F">
              <w:t xml:space="preserve"> </w:t>
            </w:r>
            <w:r w:rsidRPr="0014168F">
              <w:t xml:space="preserve">pieteikumu par grozījumiem 1.1.1.5. pasākuma iznākuma rādītāja </w:t>
            </w:r>
            <w:r w:rsidR="00D240D1" w:rsidRPr="0014168F">
              <w:rPr>
                <w:i/>
              </w:rPr>
              <w:t>“virs kvalitātes sliekšņa novērtēto</w:t>
            </w:r>
            <w:r w:rsidR="00D240D1" w:rsidRPr="00D240D1">
              <w:rPr>
                <w:i/>
              </w:rPr>
              <w:t xml:space="preserve"> un Eiropas Reģionālās attīstības fonda atbalstīto programmas “Apvārsnis 2020” projektu pieteikumu skaits, tai skaitā Baltic Bonus iniciatīvas ietvaros”</w:t>
            </w:r>
            <w:r w:rsidR="00D240D1">
              <w:t xml:space="preserve"> </w:t>
            </w:r>
            <w:r w:rsidRPr="009D0B23">
              <w:t>vērtībā</w:t>
            </w:r>
            <w:r w:rsidR="001F4E26">
              <w:t xml:space="preserve">. </w:t>
            </w:r>
            <w:r w:rsidR="001F4E26" w:rsidRPr="001F4E26">
              <w:t xml:space="preserve">Nepieciešamība samazināt iznākuma rādītāja plānoto vērtību 2023. gadā ir pamatojama </w:t>
            </w:r>
            <w:proofErr w:type="gramStart"/>
            <w:r w:rsidR="001F4E26" w:rsidRPr="001F4E26">
              <w:t>ar Komisijas Īstenošanas Regulas (ES) Nr.</w:t>
            </w:r>
            <w:r w:rsidR="003D660B">
              <w:t xml:space="preserve"> 215/2014 5. panta 6. punktā un </w:t>
            </w:r>
            <w:r w:rsidR="003D660B" w:rsidRPr="003D660B">
              <w:t>Eiropas Parlamenta un Padomes 2013. gada 17. decembra Regula</w:t>
            </w:r>
            <w:proofErr w:type="gramEnd"/>
            <w:r w:rsidR="003D660B" w:rsidRPr="003D660B">
              <w:t xml:space="preserve">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w:t>
            </w:r>
            <w:r w:rsidR="003D660B" w:rsidRPr="003D660B">
              <w:lastRenderedPageBreak/>
              <w:t>(EK) Nr. 1083/2006 (turpmāk – Regula Nr.1303/2013)</w:t>
            </w:r>
            <w:r w:rsidR="003D660B">
              <w:t xml:space="preserve"> </w:t>
            </w:r>
            <w:r w:rsidR="001F4E26" w:rsidRPr="001F4E26">
              <w:t>II pielikuma 5. punktā minēto attiecībā par nepareiziem pieņēmumiem un sociālekonomisko situāciju nozarē, kā rezultātā plānotā vērtība ir noteikta pārāk augsta.</w:t>
            </w:r>
            <w:r w:rsidR="001F4E26">
              <w:t xml:space="preserve"> S</w:t>
            </w:r>
            <w:r w:rsidR="001F4E26" w:rsidRPr="001F4E26">
              <w:t>ociālekonomisko apstākļu rezultātā mainījušies iznākuma rādītāja sasniegšanu ietekmējošie faktori, tādi kā pieņēmums par zinātnes jomai plānotā valsts budžeta finansējuma apmēra pieaugumu un ar to saistīto zinātniskajās institūcijās nodarbinātā zinātniskā personāla skaitu attiecīgajā laika periodā.</w:t>
            </w:r>
            <w:r w:rsidR="001F4E26">
              <w:t xml:space="preserve"> </w:t>
            </w:r>
            <w:r w:rsidR="00FB355E">
              <w:t xml:space="preserve">Vienlaikus diskusiju rezultātā ar nozari </w:t>
            </w:r>
            <w:r w:rsidR="00FB355E" w:rsidRPr="0014168F">
              <w:t xml:space="preserve">pārstāvošajām zinātniskajām un augstākās izglītības institūcijām, izstrādājot 1.1.1.5. pasākuma sākotnējo novērtējumu un atbalsta nosacījumus,  nonākts pie secinājuma, ka plānotā iznākuma rādītāja vērtība noteikta nesamērīgi augsta. </w:t>
            </w:r>
            <w:r w:rsidR="00EB60D7" w:rsidRPr="0014168F">
              <w:t xml:space="preserve">Minētie grozījumi apstiprināti ar Ministru kabineta 2017.gada 29.marta rīkojumu Nr.160 “Grozījumi Eiropas Savienības struktūrfondu un Kohēzijas fonda 2014.-2020. gada plānošanas perioda darbības programmā “Izaugsme un nodarbinātība”” un iesniegti </w:t>
            </w:r>
            <w:r w:rsidR="00BB7190">
              <w:t>EK</w:t>
            </w:r>
            <w:r w:rsidR="00EB60D7" w:rsidRPr="0014168F">
              <w:t xml:space="preserve">. </w:t>
            </w:r>
            <w:r w:rsidR="00D240D1" w:rsidRPr="0014168F">
              <w:t xml:space="preserve">Izstrādātajā </w:t>
            </w:r>
            <w:r w:rsidR="00D90D88" w:rsidRPr="0014168F">
              <w:t>noteikumu projektā ir iekļ</w:t>
            </w:r>
            <w:r w:rsidR="00D240D1" w:rsidRPr="0014168F">
              <w:t>aut</w:t>
            </w:r>
            <w:r w:rsidR="00E97F33" w:rsidRPr="0014168F">
              <w:t>as</w:t>
            </w:r>
            <w:r w:rsidR="00D90D88" w:rsidRPr="0014168F">
              <w:t xml:space="preserve"> </w:t>
            </w:r>
            <w:r w:rsidR="00E3758B">
              <w:t>darbības programmā</w:t>
            </w:r>
            <w:r w:rsidR="00E97F33" w:rsidRPr="0014168F">
              <w:t xml:space="preserve"> </w:t>
            </w:r>
            <w:r w:rsidR="00E3758B" w:rsidRPr="0014168F">
              <w:t>“Izaugsme un nodarbinātība”</w:t>
            </w:r>
            <w:r w:rsidR="00E3758B">
              <w:t xml:space="preserve"> </w:t>
            </w:r>
            <w:r w:rsidR="00E97F33" w:rsidRPr="0014168F">
              <w:t xml:space="preserve">noteiktās </w:t>
            </w:r>
            <w:r w:rsidR="00D90D88" w:rsidRPr="0014168F">
              <w:t>rādīt</w:t>
            </w:r>
            <w:r w:rsidR="00D240D1" w:rsidRPr="0014168F">
              <w:t>āj</w:t>
            </w:r>
            <w:r w:rsidR="00E97F33" w:rsidRPr="0014168F">
              <w:t xml:space="preserve">u vērtības. </w:t>
            </w:r>
            <w:r w:rsidR="009E49B0" w:rsidRPr="0014168F">
              <w:t>K</w:t>
            </w:r>
            <w:r w:rsidR="00E97F33" w:rsidRPr="0014168F">
              <w:t>atram finansējuma saņēmējam sasniedzamo rādītāju vērtības</w:t>
            </w:r>
            <w:r w:rsidR="009E49B0" w:rsidRPr="0014168F">
              <w:t xml:space="preserve"> noteiktas noteikumu projekta nodaļā par attiecīgās atlases kārtas īstenošanu</w:t>
            </w:r>
            <w:r w:rsidR="00E711C7" w:rsidRPr="0014168F">
              <w:t>.</w:t>
            </w:r>
          </w:p>
          <w:p w14:paraId="68600293" w14:textId="42C77F86" w:rsidR="009E49B0" w:rsidRPr="00F10D97" w:rsidRDefault="009E49B0" w:rsidP="00B848E2">
            <w:pPr>
              <w:tabs>
                <w:tab w:val="left" w:pos="567"/>
                <w:tab w:val="left" w:pos="2884"/>
              </w:tabs>
              <w:ind w:firstLine="567"/>
              <w:jc w:val="both"/>
            </w:pPr>
            <w:r w:rsidRPr="0014168F">
              <w:t xml:space="preserve">Ievērojot, ka programmas “Apvārsnis 2020” normatīvais regulējums paredz, </w:t>
            </w:r>
            <w:r w:rsidRPr="00F10D97">
              <w:t xml:space="preserve">ka programma </w:t>
            </w:r>
            <w:r w:rsidR="0022688F" w:rsidRPr="00F10D97">
              <w:t xml:space="preserve">ir uzsākta sākot ar 2014. gada 1. janvāri un </w:t>
            </w:r>
            <w:r w:rsidRPr="00F10D97">
              <w:t xml:space="preserve">tiek īstenota līdz </w:t>
            </w:r>
            <w:proofErr w:type="gramStart"/>
            <w:r w:rsidRPr="00F10D97">
              <w:t>2020.gadam</w:t>
            </w:r>
            <w:proofErr w:type="gramEnd"/>
            <w:r w:rsidRPr="00F10D97">
              <w:t>, un ie</w:t>
            </w:r>
            <w:r w:rsidR="00C23F6D" w:rsidRPr="00F10D97">
              <w:t>vērojot to, ka 1.1.1.5. pasākumu</w:t>
            </w:r>
            <w:r w:rsidRPr="00F10D97">
              <w:t xml:space="preserve"> plānots īstenot līdz 2023. gadam, lai </w:t>
            </w:r>
            <w:r w:rsidR="00C23F6D" w:rsidRPr="00F10D97">
              <w:t>nodrošinātu 1.1.1.5. pasākumā plānoto darbību un finansējuma nepārtrauktību, kā arī sasniedzamo uzraudzības rādītāju sasniegšanu, 1.1.1.5. pasākum</w:t>
            </w:r>
            <w:r w:rsidR="000B4634" w:rsidRPr="00F10D97">
              <w:t xml:space="preserve">a nosacījumu ieviešanu plānots </w:t>
            </w:r>
            <w:r w:rsidR="00D72762" w:rsidRPr="00F10D97">
              <w:t>secīgi papildināt</w:t>
            </w:r>
            <w:r w:rsidR="000B4634" w:rsidRPr="00F10D97">
              <w:t xml:space="preserve"> ar </w:t>
            </w:r>
            <w:r w:rsidR="00535985" w:rsidRPr="00F10D97">
              <w:t>ES</w:t>
            </w:r>
            <w:r w:rsidR="00E711C7" w:rsidRPr="00F10D97">
              <w:t xml:space="preserve"> </w:t>
            </w:r>
            <w:r w:rsidR="00C23F6D" w:rsidRPr="00F10D97">
              <w:t>9. Iet</w:t>
            </w:r>
            <w:r w:rsidR="000B4634" w:rsidRPr="00F10D97">
              <w:t>vara programmas īstenošanu.</w:t>
            </w:r>
          </w:p>
          <w:p w14:paraId="27A463E2" w14:textId="2282E7ED" w:rsidR="0009556C" w:rsidRPr="00F10D97" w:rsidRDefault="0009556C" w:rsidP="00680356">
            <w:pPr>
              <w:tabs>
                <w:tab w:val="left" w:pos="567"/>
                <w:tab w:val="left" w:pos="2884"/>
              </w:tabs>
              <w:ind w:firstLine="567"/>
              <w:jc w:val="both"/>
            </w:pPr>
            <w:r w:rsidRPr="00F10D97">
              <w:t>Ņemot vērā to, ka uz šo brīdi visi programmas “Apvārsnis 2020” un 9. Ietvara programmas ieviešanas nosacījumi, tai skaitā apakšprogrammu konkursu tematiskie bloki un to izsludināšanas termiņi vēl nav precīzi zināmi, projektu sagatavošanā un īstenošanā nozīmīga loma ir efektīvai savstarpējai sadarbībai un informācijas apmaiņai starp Nacionālo kontaktpunktu un zinātniskajām institūcijām, lai iespējami savlaicīgi būtu pieejama aktuālākā informāci</w:t>
            </w:r>
            <w:r w:rsidR="00550A00" w:rsidRPr="00F10D97">
              <w:t>ja par programmu uzsaukumiem un</w:t>
            </w:r>
            <w:r w:rsidRPr="00F10D97">
              <w:t xml:space="preserve"> </w:t>
            </w:r>
            <w:r w:rsidR="00E12D65" w:rsidRPr="00F10D97">
              <w:t>zinātniskās institūcijas</w:t>
            </w:r>
            <w:r w:rsidRPr="00F10D97">
              <w:t xml:space="preserve"> varētu plānot mērķtiecīgu programmas “Apvārsnis 2020” un 9. Ietvara programmas projektu pieteikumu sagatavošanu un </w:t>
            </w:r>
            <w:r w:rsidR="00E12D65" w:rsidRPr="00F10D97">
              <w:t>nodrošināt</w:t>
            </w:r>
            <w:r w:rsidRPr="00F10D97">
              <w:t xml:space="preserve"> 1.1.1.5. pasākuma ietvaros plānoto iznākuma rādītāju sasniegšanu.</w:t>
            </w:r>
          </w:p>
          <w:p w14:paraId="700B5C27" w14:textId="64E94253" w:rsidR="00CE27EA" w:rsidRDefault="00CE27EA" w:rsidP="00B848E2">
            <w:pPr>
              <w:tabs>
                <w:tab w:val="left" w:pos="567"/>
                <w:tab w:val="left" w:pos="2884"/>
              </w:tabs>
              <w:ind w:firstLine="567"/>
              <w:jc w:val="both"/>
            </w:pPr>
            <w:r w:rsidRPr="00F10D97">
              <w:t>Lai nodrošinātu dubul</w:t>
            </w:r>
            <w:r w:rsidRPr="0014168F">
              <w:t>tfinansējuma kontroli, pasākuma ietvaros sadarbības iestāde un VIAA īstenos abpusēju sadarbību, nodrošinot nepieciešamās informācijas apmaiņu.</w:t>
            </w:r>
          </w:p>
          <w:p w14:paraId="7BBF8AFD" w14:textId="39582EF4" w:rsidR="009609B3" w:rsidRDefault="009609B3" w:rsidP="00B848E2">
            <w:pPr>
              <w:tabs>
                <w:tab w:val="left" w:pos="567"/>
                <w:tab w:val="left" w:pos="2884"/>
              </w:tabs>
              <w:ind w:firstLine="567"/>
              <w:jc w:val="both"/>
            </w:pPr>
            <w:r w:rsidRPr="0014168F">
              <w:t>1.1.1.5. pasākuma ietvaros</w:t>
            </w:r>
            <w:r w:rsidRPr="00D229B2">
              <w:t xml:space="preserve"> </w:t>
            </w:r>
            <w:r>
              <w:t>f</w:t>
            </w:r>
            <w:r w:rsidRPr="009609B3">
              <w:t xml:space="preserve">inansējuma saņēmējs iesniedz un sadarbības iestāde uzkrāj datus par </w:t>
            </w:r>
            <w:r>
              <w:t>MK</w:t>
            </w:r>
            <w:r w:rsidRPr="009609B3">
              <w:t xml:space="preserve"> noteikumu 17., 41. un 59. punktā noteiktajiem uzraudzības rādītājiem. Datus par </w:t>
            </w:r>
            <w:r>
              <w:t>MK</w:t>
            </w:r>
            <w:r w:rsidRPr="009609B3">
              <w:t xml:space="preserve"> noteikumu 17.1.1., 17.2.1., 17.3. un 41.1.apakšpunktā un 59. punktā noteiktajiem rādītājiem </w:t>
            </w:r>
            <w:r w:rsidRPr="009609B3">
              <w:lastRenderedPageBreak/>
              <w:t>sadarbības iestāde uzkrāj saimniecisko darbību statistiskās klasifikācijas NACE 2.red 2 zīmju un Ekonomiskās sadarbības un attīstības organizācijas izstrādātās Frascati rokasgrāmatas</w:t>
            </w:r>
            <w:r>
              <w:rPr>
                <w:rStyle w:val="FootnoteReference"/>
              </w:rPr>
              <w:footnoteReference w:id="8"/>
            </w:r>
            <w:r w:rsidRPr="009609B3">
              <w:t xml:space="preserve"> “Norādījumi par pētniecības un eksperimentālās izstrādes attīstības datu vākšanu un paziņošanu” zinātņu nozaru un apakšnozaru klasifikācijas griezumā.</w:t>
            </w:r>
          </w:p>
          <w:p w14:paraId="3A271045" w14:textId="5DEE9869" w:rsidR="002B4D66" w:rsidRPr="0014168F" w:rsidRDefault="007F1804" w:rsidP="00B848E2">
            <w:pPr>
              <w:tabs>
                <w:tab w:val="left" w:pos="567"/>
                <w:tab w:val="left" w:pos="2884"/>
              </w:tabs>
              <w:ind w:firstLine="567"/>
              <w:jc w:val="both"/>
            </w:pPr>
            <w:r>
              <w:t xml:space="preserve">Saskaņā ar MK noteikumos noteikto </w:t>
            </w:r>
            <w:r w:rsidR="002B4D66" w:rsidRPr="0014168F">
              <w:t>1.1.1.5. pasākuma</w:t>
            </w:r>
            <w:r w:rsidR="002B4D66">
              <w:t xml:space="preserve"> pirmās un otrās kārtas ietvaros ar saimniecisku darbību nesaistīta projekta īstenošan</w:t>
            </w:r>
            <w:r>
              <w:t>ai</w:t>
            </w:r>
            <w:r w:rsidR="002B4D66">
              <w:t xml:space="preserve"> atseviš</w:t>
            </w:r>
            <w:r>
              <w:t>ķas</w:t>
            </w:r>
            <w:r w:rsidR="002B4D66">
              <w:t xml:space="preserve"> atbalstāmās darbības ir attiecināma</w:t>
            </w:r>
            <w:r>
              <w:t>s</w:t>
            </w:r>
            <w:proofErr w:type="gramStart"/>
            <w:r w:rsidR="002B4D66">
              <w:t xml:space="preserve"> sākot ar 2014. gada 1. janvāri, ņemot vērā, ka </w:t>
            </w:r>
            <w:r w:rsidR="002B4D66" w:rsidRPr="0014168F">
              <w:t xml:space="preserve">programmas “Apvārsnis 2020” normatīvais regulējums paredz, </w:t>
            </w:r>
            <w:r w:rsidR="002B4D66" w:rsidRPr="00F10D97">
              <w:t>ka programma ir uzsākta</w:t>
            </w:r>
            <w:proofErr w:type="gramEnd"/>
            <w:r w:rsidR="002B4D66" w:rsidRPr="00F10D97">
              <w:t xml:space="preserve"> sākot ar 2014. gada 1. janvāri</w:t>
            </w:r>
            <w:r w:rsidR="002B4D66">
              <w:t xml:space="preserve">, </w:t>
            </w:r>
            <w:r>
              <w:t xml:space="preserve">un </w:t>
            </w:r>
            <w:r w:rsidR="002B4D66">
              <w:t xml:space="preserve">trešās kārtas ietvaros </w:t>
            </w:r>
            <w:r w:rsidR="002B4D66" w:rsidRPr="002B4D66">
              <w:t xml:space="preserve">atbalsts paredzēts programmas “Apvārsnis 2020” virs kvalitātes sliekšņa novērtētu, bet finansējumu nesaņēmušu projektu vai to daļu finansēšanai, kas, sākot ar 2015. gada 1. janvāri, ir iesniegti </w:t>
            </w:r>
            <w:r w:rsidR="002B4D66">
              <w:t xml:space="preserve">noteiktās </w:t>
            </w:r>
            <w:r w:rsidR="002B4D66" w:rsidRPr="002B4D66">
              <w:t>apakšprogrammās</w:t>
            </w:r>
            <w:r w:rsidR="002B4D66">
              <w:t xml:space="preserve">, ievērojot </w:t>
            </w:r>
            <w:r w:rsidR="002B4D66" w:rsidRPr="002B4D66">
              <w:t>ES struktūrfondu un Kohēzijas fonda 2014.–2020. gada plānošanas perioda pētniecības, tehnoloģiju attīstības un inovāciju prioritārā virziena apakškomitejas 2016. gada 15. decembra sēdē</w:t>
            </w:r>
            <w:r w:rsidR="002B4D66">
              <w:t xml:space="preserve"> panākto vienošanos</w:t>
            </w:r>
            <w:r>
              <w:rPr>
                <w:rStyle w:val="FootnoteReference"/>
              </w:rPr>
              <w:footnoteReference w:id="9"/>
            </w:r>
            <w:r>
              <w:t xml:space="preserve">. Lai veicinātu ES struktūrfondu finansējuma apguvi, atsevišķu </w:t>
            </w:r>
            <w:r w:rsidRPr="0014168F">
              <w:t>1.1.1.5. pasākuma</w:t>
            </w:r>
            <w:r>
              <w:t xml:space="preserve"> ietvaros īstenoto darbību īstenošana, saskaņā ar MK noteikumos noteikto, ir attiecināma no 2017. gada 1. janvāra.</w:t>
            </w:r>
          </w:p>
          <w:p w14:paraId="335CDD32" w14:textId="521C0F87" w:rsidR="00D96B01" w:rsidRPr="00D229B2" w:rsidRDefault="00D96B01" w:rsidP="00B848E2">
            <w:pPr>
              <w:tabs>
                <w:tab w:val="left" w:pos="567"/>
                <w:tab w:val="left" w:pos="2884"/>
              </w:tabs>
              <w:ind w:firstLine="567"/>
              <w:jc w:val="both"/>
            </w:pPr>
            <w:r w:rsidRPr="0014168F">
              <w:t>1.1.1.5. pasākuma ietvaros</w:t>
            </w:r>
            <w:r w:rsidRPr="00D229B2">
              <w:t xml:space="preserve"> plānotās darbības papildinās līdz šim veiktos ieguldījumus </w:t>
            </w:r>
            <w:proofErr w:type="gramStart"/>
            <w:r w:rsidRPr="00D229B2">
              <w:t>2007.–</w:t>
            </w:r>
            <w:r w:rsidR="007E73A6">
              <w:t xml:space="preserve"> </w:t>
            </w:r>
            <w:r w:rsidRPr="00D229B2">
              <w:t>2013.</w:t>
            </w:r>
            <w:proofErr w:type="gramEnd"/>
            <w:r w:rsidRPr="00D229B2">
              <w:t xml:space="preserve"> g</w:t>
            </w:r>
            <w:r w:rsidR="00593077">
              <w:t>ada plānošanas perioda 2.1.1.2. </w:t>
            </w:r>
            <w:r w:rsidRPr="00D229B2">
              <w:t xml:space="preserve">aktivitātes projektu ietvaros. Vienlaikus 1.1.1.5. pasākuma ietvaros plānotās ERAF investīcijas nodrošina papildinātību ar vairākiem 1.1.1. </w:t>
            </w:r>
            <w:r w:rsidR="007E73A6">
              <w:t>specifiskā atbalsta mērķa</w:t>
            </w:r>
            <w:r w:rsidRPr="00D229B2">
              <w:t xml:space="preserve"> pasākumiem, kuru primārā mērķa grupa </w:t>
            </w:r>
            <w:r w:rsidR="00E246E9">
              <w:t>ir zinātniskās institūcijas, kā</w:t>
            </w:r>
            <w:r w:rsidRPr="00D229B2">
              <w:t xml:space="preserve"> arī vairākiem </w:t>
            </w:r>
            <w:r w:rsidR="007E73A6">
              <w:t>specifiskā atbalsta mērķiem</w:t>
            </w:r>
            <w:r w:rsidRPr="00D229B2">
              <w:t xml:space="preserve">, kuros plānoti ieguldījumi </w:t>
            </w:r>
            <w:r w:rsidRPr="002032C3">
              <w:t xml:space="preserve">augstākās izglītības kvalitātes un efektivitātes celšanā un augstākās izglītības iestāžu konkurētspējas sekmēšanā, </w:t>
            </w:r>
            <w:r w:rsidR="0059406A">
              <w:t>papildus</w:t>
            </w:r>
            <w:r w:rsidRPr="002032C3">
              <w:t xml:space="preserve"> nodrošinās ES fondu ieguldījumu pētniecībā programmu veidošanas un īstenošanas principus, tai skaitā uzņēmējdarbības atklājuma principu. Tieša sinerģija identificējama</w:t>
            </w:r>
            <w:r w:rsidRPr="00D229B2">
              <w:t xml:space="preserve"> ar šādiem ES fondu atbalsta instrumentiem:</w:t>
            </w:r>
          </w:p>
          <w:p w14:paraId="0C9E9278" w14:textId="3FABCF8A" w:rsidR="00D96B01" w:rsidRPr="00D229B2" w:rsidRDefault="007E73A6" w:rsidP="00B848E2">
            <w:pPr>
              <w:tabs>
                <w:tab w:val="left" w:pos="567"/>
                <w:tab w:val="left" w:pos="2884"/>
              </w:tabs>
              <w:ind w:firstLine="567"/>
              <w:jc w:val="both"/>
            </w:pPr>
            <w:r>
              <w:t>- darbības programmas “</w:t>
            </w:r>
            <w:r w:rsidRPr="007E73A6">
              <w:t>Izaugsme un nodarbinātīb</w:t>
            </w:r>
            <w:r>
              <w:t>a”</w:t>
            </w:r>
            <w:r w:rsidRPr="007E73A6">
              <w:t xml:space="preserve"> prioritārā virziena </w:t>
            </w:r>
            <w:r>
              <w:t>“</w:t>
            </w:r>
            <w:r w:rsidRPr="007E73A6">
              <w:t>Pētniecība, tehn</w:t>
            </w:r>
            <w:r>
              <w:t>oloģiju attīstība un inovācijas”</w:t>
            </w:r>
            <w:r w:rsidRPr="007E73A6">
              <w:t xml:space="preserve"> 1.</w:t>
            </w:r>
            <w:r>
              <w:t>1.1. specifiskā atbalsta mērķa “</w:t>
            </w:r>
            <w:r w:rsidRPr="007E73A6">
              <w:t>Palielināt Latvijas zinātnisko institūciju pētniecisko un inovatīvo kapacitāti un spēju piesaistīt ārējo finansējumu, ieguldot cilvēkresursos un infr</w:t>
            </w:r>
            <w:r>
              <w:t>astruktūrā”</w:t>
            </w:r>
            <w:r w:rsidRPr="007E73A6">
              <w:t xml:space="preserve"> </w:t>
            </w:r>
            <w:r w:rsidR="00D96B01" w:rsidRPr="00D229B2">
              <w:t xml:space="preserve">1.1.1.4. pasākuma “P&amp;A infrastruktūras attīstīšana </w:t>
            </w:r>
            <w:r w:rsidR="005C7C46">
              <w:t xml:space="preserve">viedās specializācijas </w:t>
            </w:r>
            <w:r w:rsidR="00D96B01" w:rsidRPr="00D229B2">
              <w:t xml:space="preserve">jomās un zinātnisko institūciju institucionālās kapacitātes stiprināšana” ietvaros plānotajām investīcijām zinātnisko institūciju </w:t>
            </w:r>
            <w:r w:rsidR="007F13C1">
              <w:t xml:space="preserve">pētniecības un attīstības </w:t>
            </w:r>
            <w:r w:rsidR="0059406A">
              <w:t>infrastruktūras modernizēšanā;</w:t>
            </w:r>
          </w:p>
          <w:p w14:paraId="3A65CE20" w14:textId="0ABCF67B" w:rsidR="00D96B01" w:rsidRPr="00D229B2" w:rsidRDefault="00D96B01" w:rsidP="00B848E2">
            <w:pPr>
              <w:tabs>
                <w:tab w:val="left" w:pos="567"/>
                <w:tab w:val="left" w:pos="2884"/>
              </w:tabs>
              <w:ind w:firstLine="567"/>
              <w:jc w:val="both"/>
            </w:pPr>
            <w:r w:rsidRPr="00D229B2">
              <w:lastRenderedPageBreak/>
              <w:t xml:space="preserve">- </w:t>
            </w:r>
            <w:r w:rsidR="007E73A6" w:rsidRPr="007E73A6">
              <w:t xml:space="preserve">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w:t>
            </w:r>
            <w:r w:rsidRPr="00D229B2">
              <w:t>1.1.1.1. pasākumu “Praktiskas ievirzes pētījumi” un 1.1.1.2. pasākumu</w:t>
            </w:r>
            <w:r>
              <w:t>;</w:t>
            </w:r>
          </w:p>
          <w:p w14:paraId="3B75F944" w14:textId="1056BA9D" w:rsidR="009A72C5" w:rsidRDefault="007E73A6" w:rsidP="00B848E2">
            <w:pPr>
              <w:tabs>
                <w:tab w:val="left" w:pos="567"/>
                <w:tab w:val="left" w:pos="2884"/>
              </w:tabs>
              <w:ind w:firstLine="567"/>
              <w:jc w:val="both"/>
            </w:pPr>
            <w:r>
              <w:t>- 8.2.3. specifisko atbalsta mērķi</w:t>
            </w:r>
            <w:r w:rsidR="00D96B01" w:rsidRPr="00D229B2">
              <w:t xml:space="preserve"> “Nodrošināt labāku pārvaldību augstākās izglītības institūcijās”, kura ietvaros plānotās investīcijas pamatā fokusējas uz augstākās izglītības iestāžu iekšējās pārvaldības procedūru un sistēmu kvalitātes sekmēšanu. Ar līdzīgu ietek</w:t>
            </w:r>
            <w:r w:rsidR="00593077">
              <w:t>mes loģiku vērtējami arī 8.2.1. </w:t>
            </w:r>
            <w:r>
              <w:t>specifiskā atbalsta mērķa</w:t>
            </w:r>
            <w:r w:rsidR="00D96B01" w:rsidRPr="00D229B2">
              <w:t xml:space="preserve"> “Samazināt studiju programmu fragmentāciju un stiprināt resursu koplietošanu” </w:t>
            </w:r>
            <w:proofErr w:type="gramStart"/>
            <w:r w:rsidR="00D96B01" w:rsidRPr="00D229B2">
              <w:t>(</w:t>
            </w:r>
            <w:proofErr w:type="gramEnd"/>
            <w:r w:rsidR="00D96B01" w:rsidRPr="00D229B2">
              <w:t xml:space="preserve">turpmāk – 8.2.1. SAM) un 8.2.2. </w:t>
            </w:r>
            <w:r>
              <w:t>specifiskā atbalsta mērķa</w:t>
            </w:r>
            <w:r w:rsidR="00D96B01" w:rsidRPr="00D229B2">
              <w:t xml:space="preserve"> “Stiprināt augstākās izglītības institūciju akadēmisko personālu stratēģiskās specializācijas jomās” </w:t>
            </w:r>
            <w:proofErr w:type="gramStart"/>
            <w:r w:rsidR="00D96B01" w:rsidRPr="00D229B2">
              <w:t>(</w:t>
            </w:r>
            <w:proofErr w:type="gramEnd"/>
            <w:r w:rsidR="00D96B01" w:rsidRPr="00D229B2">
              <w:t xml:space="preserve">turpmāk – 8.2.2. SAM), kur 1.1.1.5. pasākuma ietvaros zinātnisko institūciju attīstītie starptautiskās sadarbības tīkli var sniegt pienesumu gan kopīgu doktorantūras studiju programmu, gan studiju programmu ES valodās izstrādē </w:t>
            </w:r>
            <w:proofErr w:type="gramStart"/>
            <w:r w:rsidR="00D96B01" w:rsidRPr="00D229B2">
              <w:t>(</w:t>
            </w:r>
            <w:proofErr w:type="gramEnd"/>
            <w:r w:rsidR="00D96B01" w:rsidRPr="00D229B2">
              <w:t xml:space="preserve">8.2.1. SAM ietvaros plānotās investīcijas), gan ārvalstu pasniedzēju piesaistei darbam augstākās izglītības institūcijās (8.2.2. SAM). </w:t>
            </w:r>
          </w:p>
          <w:p w14:paraId="4ED580AA" w14:textId="6A41D068" w:rsidR="007C5D2E" w:rsidRPr="0014168F" w:rsidRDefault="000506CF" w:rsidP="00B848E2">
            <w:pPr>
              <w:tabs>
                <w:tab w:val="left" w:pos="567"/>
                <w:tab w:val="left" w:pos="2884"/>
              </w:tabs>
              <w:ind w:firstLine="567"/>
              <w:jc w:val="both"/>
            </w:pPr>
            <w:r w:rsidRPr="0014168F">
              <w:t xml:space="preserve">Vienlaikus </w:t>
            </w:r>
            <w:r w:rsidR="007C5D2E" w:rsidRPr="0014168F">
              <w:t xml:space="preserve">1.1.1.5. </w:t>
            </w:r>
            <w:r w:rsidRPr="0014168F">
              <w:t xml:space="preserve">pasākumā tiks nodrošināta demarkācija ar </w:t>
            </w:r>
            <w:r w:rsidR="007C5D2E" w:rsidRPr="0014168F">
              <w:t>1.2.1.2.</w:t>
            </w:r>
            <w:r w:rsidR="007E73A6">
              <w:t xml:space="preserve"> </w:t>
            </w:r>
            <w:r w:rsidR="007C5D2E" w:rsidRPr="0014168F">
              <w:t>pasākumā plānotajām darbībām, kur tiek plānoti tēla veidošanas pasākumi ārvalstīs par inovāciju jomu Latvijā nacionālā un institucionālā līmenī, starp abiem pasākumiem indikatīvi iespējama</w:t>
            </w:r>
            <w:proofErr w:type="gramStart"/>
            <w:r w:rsidR="007C5D2E" w:rsidRPr="0014168F">
              <w:t xml:space="preserve">  </w:t>
            </w:r>
            <w:proofErr w:type="gramEnd"/>
            <w:r w:rsidR="007C5D2E" w:rsidRPr="0014168F">
              <w:t xml:space="preserve">darbību pārklāšanās. Apzinoties iepriekš minēto, IZM pirmās atlases kārtas ietvaros ir paredzējusi specifiskās atbilstības kritēriju, kas paredz projekta iesniegumā sniegt pamatojumu par projektā plānoto darbību papildinātību un nepārklāšanos ar valsts budžeta un </w:t>
            </w:r>
            <w:proofErr w:type="gramStart"/>
            <w:r w:rsidR="007C5D2E" w:rsidRPr="0014168F">
              <w:t>cita publiskā finansējuma</w:t>
            </w:r>
            <w:proofErr w:type="gramEnd"/>
            <w:r w:rsidR="007C5D2E" w:rsidRPr="0014168F">
              <w:t xml:space="preserve"> īstenotajām aktivitātēm. Vienlaikus norādām, ka 1.2.1.2. pasākuma ietvaros plānots īstenot informatīvu kampaņu par Latvijas inovāciju ekosistēmu, to piedāvātajām iespējām un veiksmes stāstiem, kamēr 1.1.1.5. pasākuma ietvaros komunikācijas kampaņa galvenokārt būs vērsta uz zinātnē balstītas augstākās izglītības popularizēšanu, mērķtiecīgas sadarbības nodrošināšanu ar Latvijas diasporu ārvalstīs un Latvijas un ārvalstu ekonomiskajām un diplomātiskajām pārstāvniecībām zinātnes jomā, kā rezultātā tiks nodrošināta pasākumā plānoto darbību demarkācija. Tāpēc abu pasākumu darbības ir veidotas kā savstarpēji papildinošas un pastiprinošas. Lai papildinātu </w:t>
            </w:r>
            <w:r w:rsidR="00593077" w:rsidRPr="0014168F">
              <w:t>1.2.1.2. </w:t>
            </w:r>
            <w:r w:rsidR="007C5D2E" w:rsidRPr="0014168F">
              <w:t>pasākuma ietvaros īstenoto zinātnes rezultātu popularizēšanas kampaņu 1.1.1.5. pasākuma ietvaros sagatavo</w:t>
            </w:r>
            <w:r w:rsidR="00495214">
              <w:t>tais saturs tiks nodots arī Latvijas Investīciju attīstības aģentūras</w:t>
            </w:r>
            <w:r w:rsidR="007C5D2E" w:rsidRPr="0014168F">
              <w:t xml:space="preserve"> un tās pārstāvniecībām.</w:t>
            </w:r>
          </w:p>
          <w:p w14:paraId="2678D567" w14:textId="15A15362" w:rsidR="007C5D2E" w:rsidRPr="0014168F" w:rsidRDefault="00D03F99">
            <w:pPr>
              <w:tabs>
                <w:tab w:val="left" w:pos="567"/>
                <w:tab w:val="left" w:pos="2884"/>
              </w:tabs>
              <w:ind w:firstLine="567"/>
              <w:jc w:val="both"/>
              <w:rPr>
                <w:rFonts w:ascii="Arial" w:hAnsi="Arial" w:cs="Arial"/>
                <w:color w:val="414142"/>
                <w:sz w:val="20"/>
                <w:szCs w:val="20"/>
                <w:shd w:val="clear" w:color="auto" w:fill="FFFFFF"/>
              </w:rPr>
            </w:pPr>
            <w:r>
              <w:t>D</w:t>
            </w:r>
            <w:r w:rsidRPr="00D03F99">
              <w:t>arbības programmas “Izaugsme un nodarbinātība” 1.2.1. specifiskā atbalsta mērķa “Palielināt privātā sektora investīcijas P&amp;A” </w:t>
            </w:r>
            <w:r w:rsidR="007C5D2E" w:rsidRPr="0014168F">
              <w:t xml:space="preserve">1.2.1.1. pasākumā “Atbalsts jaunu produktu un tehnoloģiju izstrādei kompetences centru ietvaros” </w:t>
            </w:r>
            <w:r>
              <w:t xml:space="preserve">(turpmāk - </w:t>
            </w:r>
            <w:r w:rsidRPr="0014168F">
              <w:t xml:space="preserve">1.2.1.1. </w:t>
            </w:r>
            <w:r>
              <w:t xml:space="preserve">pasākums) </w:t>
            </w:r>
            <w:r w:rsidR="007C5D2E" w:rsidRPr="0014168F">
              <w:t xml:space="preserve">plānotās darbības un noteiktā mērķa grupa - sīkie </w:t>
            </w:r>
            <w:proofErr w:type="gramStart"/>
            <w:r w:rsidR="007C5D2E" w:rsidRPr="0014168F">
              <w:t>(</w:t>
            </w:r>
            <w:proofErr w:type="gramEnd"/>
            <w:r w:rsidR="007C5D2E" w:rsidRPr="0014168F">
              <w:t xml:space="preserve">mikro), mazie, vidējie </w:t>
            </w:r>
            <w:r w:rsidR="007C5D2E" w:rsidRPr="0014168F">
              <w:lastRenderedPageBreak/>
              <w:t>un lielie komersanti, kas attīsta produktus un tehnoloģijas viedās specializācijas jomās, kā arī pētniecības un zināšanu izplatīšanas organizācijas, atbalstu 1.2.1.1. pasākuma ietvaros saņems pētniecības projektu koordinācijai, tai skaitā sadarbības veicināšanai, informācijas un zināšanu kopīgošanai un tīklošanās un starptautiskas sadarbības veicināšanai, un Ekonomikas ministrija - sadarbības veicināšanai, lai iesaistītos starptautiskos pētniecības projektos. 1.1.1.5. pasākumā plānotās darbības būs papildinošas un galvenokārt vērstas uz zinātnisko institūciju atbalsta pasākumu nodrošināšanu, vienlaikus nodrošinot sinerģiju un demarkāciju ar Ekonomikas ministrijas pārziņā esošajos specifisk</w:t>
            </w:r>
            <w:r w:rsidR="001B72AA">
              <w:t>o</w:t>
            </w:r>
            <w:r w:rsidR="007C5D2E" w:rsidRPr="0014168F">
              <w:t xml:space="preserve"> atb</w:t>
            </w:r>
            <w:r w:rsidR="001B72AA">
              <w:t>alsta</w:t>
            </w:r>
            <w:r w:rsidR="007C5D2E" w:rsidRPr="0014168F">
              <w:t xml:space="preserve"> mērķu pasākumos plānotajām aktivitātēm.</w:t>
            </w:r>
          </w:p>
          <w:p w14:paraId="59E87914" w14:textId="0C2E97E7" w:rsidR="007C5D2E" w:rsidRPr="0014168F" w:rsidRDefault="00495214" w:rsidP="00B848E2">
            <w:pPr>
              <w:tabs>
                <w:tab w:val="left" w:pos="567"/>
                <w:tab w:val="left" w:pos="2884"/>
              </w:tabs>
              <w:ind w:firstLine="567"/>
              <w:jc w:val="both"/>
            </w:pPr>
            <w:r>
              <w:t>Darbības programmas “Izaugsme un nodarbinātība”</w:t>
            </w:r>
            <w:r w:rsidRPr="00495214">
              <w:t xml:space="preserve"> 3.</w:t>
            </w:r>
            <w:r>
              <w:t>2.1. specifiskā atbalsta mērķa “</w:t>
            </w:r>
            <w:r w:rsidRPr="00495214">
              <w:t xml:space="preserve">Palielināt augstas pievienotās vērtības produktu un </w:t>
            </w:r>
            <w:r>
              <w:t>pakalpojumu eksporta proporciju”</w:t>
            </w:r>
            <w:r w:rsidRPr="00495214">
              <w:t xml:space="preserve"> </w:t>
            </w:r>
            <w:r w:rsidR="007C5D2E" w:rsidRPr="0014168F">
              <w:t>3.2.1.2. pasākuma</w:t>
            </w:r>
            <w:r w:rsidR="00A45CC3" w:rsidRPr="0014168F">
              <w:t xml:space="preserve"> “Starptautiskās konkurētspē</w:t>
            </w:r>
            <w:r w:rsidR="000506CF" w:rsidRPr="0014168F">
              <w:t>jas veicināšana”</w:t>
            </w:r>
            <w:r w:rsidR="007C5D2E" w:rsidRPr="0014168F">
              <w:t xml:space="preserve"> </w:t>
            </w:r>
            <w:r>
              <w:t xml:space="preserve">(turpmāk - 3.2.1.2. pasākums) </w:t>
            </w:r>
            <w:r w:rsidR="007C5D2E" w:rsidRPr="0014168F">
              <w:t>mērķis ir veicināt nozaru starptautisko konkurētspēju, atbalstot uzņēmējdarbību un ieiešanu ārvalstu tirgos, nodrošinot Latvijas ārvalstu ekonomisko pārstāvniecību darbību un attīstot Latvijas kā tūrisma galamērķa starptautisko konkurētspēju prioritārajos tūrisma sektoros (darījumu un pasākumu tūrisms, labsajūtas tūrisms)</w:t>
            </w:r>
            <w:r w:rsidR="00A45CC3" w:rsidRPr="0014168F">
              <w:t xml:space="preserve">. 3.2.1.2. pasākumā plānotās atbalstāmās darbības ir vērstas uz komersantu atpazīstamības un konkurētspējas veicināšanas pasākumiem. Savukārt 1.1.1.5. pasākumā plānotās darbības galvenokārt vērstas uz tādu starptautiskās sadarbības pasākumu nodrošināšanu, kuru rezultātā Latvijas zinātniskās institūcijas būtu spējīgas sagatavot vairāk kvalitatīvi novērtētus projektu pieteikumus, kas iesniegti programmas “Apvārsnis 2020” un </w:t>
            </w:r>
            <w:r w:rsidR="00733EF7">
              <w:t xml:space="preserve">ES </w:t>
            </w:r>
            <w:r w:rsidR="00A45CC3" w:rsidRPr="0014168F">
              <w:t>9. Ietvara programmas ietvaros, tādējādi kāpinot Latvijas dalību starptautiskās pētniecības un inovāciju programmās.</w:t>
            </w:r>
          </w:p>
          <w:p w14:paraId="0032F196" w14:textId="6CC3894E" w:rsidR="00226894" w:rsidRPr="00D23C5A" w:rsidRDefault="000506CF">
            <w:pPr>
              <w:tabs>
                <w:tab w:val="left" w:pos="567"/>
                <w:tab w:val="left" w:pos="2884"/>
              </w:tabs>
              <w:ind w:firstLine="567"/>
              <w:jc w:val="both"/>
            </w:pPr>
            <w:r w:rsidRPr="0014168F">
              <w:t xml:space="preserve"> </w:t>
            </w:r>
            <w:r w:rsidR="00226894" w:rsidRPr="0014168F">
              <w:t>1.1.1.5. pasākumam ir netieša ietekme uz horizontālo principu „Vienlīdzīgas iespējas” un “Ilgtspējīga attīstība” (zaļā publiskā iepirkuma piemērošana) ievērošanu. Pirmās un otrās kārtas vērtēšanas kritēriju komplekts ir papildināts ar</w:t>
            </w:r>
            <w:proofErr w:type="gramStart"/>
            <w:r w:rsidR="00226894" w:rsidRPr="0014168F">
              <w:t xml:space="preserve">  </w:t>
            </w:r>
            <w:proofErr w:type="gramEnd"/>
            <w:r w:rsidR="00226894" w:rsidRPr="0014168F">
              <w:t>kvalitātes kritērijiem par horizontālām prioritātēm, kuru ietvaros, projekta iesniedzējam, sniedzot atbilstošu informāciju par šīs prioritātes principu ievērošanu un tās veicināšanu, būs iespēja iegūt papildu punktus katrā no noteiktajiem kvalitātes kritērijiem. 1.1.1.5. pasākuma pirmās un otrās kārtas finansējuma saņēmējs, veicot ieguldījumus starptautiskās sadarbības pasākumu attīstībā var ievērot horizontālā principa „Vienlīdzīgas iespējas” prasības un horizontālā principa “Ilgtspējīga attīstība” nodrošināšanā publiskajos iepirkumos var piemērot zaļā publiskā iepirkuma kritērijus (nav obligāta prasība) un uzkrāj datus par horizontālo principu piemērošanu (ja attiecināms). Horizontālā principa “Vienlīdzīgas iespējas” ieviešana paredzēta atbilstoši Labklājības ministrijas kā par horizontālo principu koordināciju</w:t>
            </w:r>
            <w:r w:rsidR="00733EF7">
              <w:t xml:space="preserve"> atbildīgās iestādes izstrādātajai metodikai</w:t>
            </w:r>
            <w:r w:rsidR="00226894" w:rsidRPr="0014168F">
              <w:t xml:space="preserve"> horizontālā principa “Vienlīdzīgas iespējas” </w:t>
            </w:r>
            <w:r w:rsidR="00226894" w:rsidRPr="0014168F">
              <w:lastRenderedPageBreak/>
              <w:t>īstenošanas uzraudzībai ES fondu 2014.</w:t>
            </w:r>
            <w:r w:rsidR="00733EF7">
              <w:t xml:space="preserve"> – </w:t>
            </w:r>
            <w:r w:rsidR="00226894" w:rsidRPr="0014168F">
              <w:t>2020.</w:t>
            </w:r>
            <w:r w:rsidR="00733EF7">
              <w:t xml:space="preserve"> </w:t>
            </w:r>
            <w:r w:rsidR="00226894" w:rsidRPr="0014168F">
              <w:t>gada plānošanas periodā. Projekta īstenošanas laikā finansējuma saņēmējs informāciju par horizontālo principu ievērošanu iesniedz pēc fakta.</w:t>
            </w:r>
          </w:p>
        </w:tc>
      </w:tr>
      <w:tr w:rsidR="009A72C5" w:rsidRPr="00D91AE9" w14:paraId="1881157B" w14:textId="77777777" w:rsidTr="00593077">
        <w:tc>
          <w:tcPr>
            <w:tcW w:w="161" w:type="pct"/>
            <w:tcBorders>
              <w:top w:val="outset" w:sz="6" w:space="0" w:color="000000"/>
              <w:left w:val="outset" w:sz="6" w:space="0" w:color="000000"/>
              <w:bottom w:val="single" w:sz="4" w:space="0" w:color="auto"/>
              <w:right w:val="outset" w:sz="6" w:space="0" w:color="000000"/>
            </w:tcBorders>
          </w:tcPr>
          <w:p w14:paraId="414EBC62" w14:textId="17C9E225" w:rsidR="009A72C5" w:rsidRPr="0059406A" w:rsidRDefault="009A72C5" w:rsidP="00DD2EFA">
            <w:pPr>
              <w:spacing w:before="100" w:beforeAutospacing="1" w:after="100" w:afterAutospacing="1"/>
            </w:pPr>
            <w:r w:rsidRPr="0059406A">
              <w:lastRenderedPageBreak/>
              <w:t>3.</w:t>
            </w:r>
          </w:p>
        </w:tc>
        <w:tc>
          <w:tcPr>
            <w:tcW w:w="833" w:type="pct"/>
            <w:gridSpan w:val="2"/>
            <w:tcBorders>
              <w:top w:val="outset" w:sz="6" w:space="0" w:color="000000"/>
              <w:left w:val="outset" w:sz="6" w:space="0" w:color="000000"/>
              <w:bottom w:val="single" w:sz="4" w:space="0" w:color="auto"/>
              <w:right w:val="outset" w:sz="6" w:space="0" w:color="000000"/>
            </w:tcBorders>
          </w:tcPr>
          <w:p w14:paraId="049DC256" w14:textId="77777777" w:rsidR="009A72C5" w:rsidRPr="00D91AE9" w:rsidRDefault="009A72C5" w:rsidP="00DD2EFA">
            <w:pPr>
              <w:spacing w:before="100" w:beforeAutospacing="1" w:after="100" w:afterAutospacing="1"/>
            </w:pPr>
            <w:r w:rsidRPr="00D91AE9">
              <w:t>Projekta izstrādē iesaistītās institūcijas</w:t>
            </w:r>
          </w:p>
        </w:tc>
        <w:tc>
          <w:tcPr>
            <w:tcW w:w="4006" w:type="pct"/>
            <w:gridSpan w:val="2"/>
            <w:tcBorders>
              <w:top w:val="outset" w:sz="6" w:space="0" w:color="000000"/>
              <w:left w:val="outset" w:sz="6" w:space="0" w:color="000000"/>
              <w:bottom w:val="single" w:sz="4" w:space="0" w:color="auto"/>
              <w:right w:val="outset" w:sz="6" w:space="0" w:color="000000"/>
            </w:tcBorders>
          </w:tcPr>
          <w:p w14:paraId="333522B4" w14:textId="00F9CDBB" w:rsidR="009A72C5" w:rsidRPr="0014168F" w:rsidRDefault="009A72C5" w:rsidP="00155679">
            <w:pPr>
              <w:ind w:right="93"/>
              <w:jc w:val="both"/>
              <w:rPr>
                <w:bCs/>
                <w:iCs/>
              </w:rPr>
            </w:pPr>
            <w:r w:rsidRPr="0014168F">
              <w:rPr>
                <w:bCs/>
                <w:iCs/>
              </w:rPr>
              <w:t>SAM 1.1.1.5</w:t>
            </w:r>
            <w:r w:rsidR="004647F1" w:rsidRPr="0014168F">
              <w:rPr>
                <w:bCs/>
                <w:iCs/>
              </w:rPr>
              <w:t>.</w:t>
            </w:r>
            <w:r w:rsidR="00BA0E1E" w:rsidRPr="0014168F">
              <w:rPr>
                <w:bCs/>
                <w:iCs/>
              </w:rPr>
              <w:t xml:space="preserve"> </w:t>
            </w:r>
            <w:r w:rsidRPr="0014168F">
              <w:rPr>
                <w:bCs/>
                <w:iCs/>
              </w:rPr>
              <w:t xml:space="preserve">pasākuma plānošanas un noteikumu projekta izstrādes ietvaros tiek iesaistītas </w:t>
            </w:r>
            <w:r w:rsidR="00155679">
              <w:rPr>
                <w:bCs/>
                <w:iCs/>
              </w:rPr>
              <w:t>ES</w:t>
            </w:r>
            <w:r w:rsidRPr="0014168F">
              <w:rPr>
                <w:bCs/>
                <w:iCs/>
              </w:rPr>
              <w:t xml:space="preserve"> fondu vadībā iesaistītās iestādes un sociālie partneri.</w:t>
            </w:r>
          </w:p>
        </w:tc>
      </w:tr>
      <w:tr w:rsidR="009A72C5" w:rsidRPr="00D91AE9" w14:paraId="7CA34F48" w14:textId="77777777" w:rsidTr="00F10D97">
        <w:trPr>
          <w:trHeight w:val="3949"/>
        </w:trPr>
        <w:tc>
          <w:tcPr>
            <w:tcW w:w="161" w:type="pct"/>
            <w:tcBorders>
              <w:top w:val="single" w:sz="4" w:space="0" w:color="auto"/>
              <w:left w:val="single" w:sz="4" w:space="0" w:color="auto"/>
              <w:bottom w:val="single" w:sz="4" w:space="0" w:color="auto"/>
              <w:right w:val="single" w:sz="4" w:space="0" w:color="auto"/>
            </w:tcBorders>
          </w:tcPr>
          <w:p w14:paraId="2B21CB1A" w14:textId="77777777" w:rsidR="009A72C5" w:rsidRPr="00D91AE9" w:rsidRDefault="009A72C5" w:rsidP="00DD2EFA">
            <w:pPr>
              <w:spacing w:before="100" w:beforeAutospacing="1" w:after="100" w:afterAutospacing="1"/>
            </w:pPr>
            <w:r w:rsidRPr="00D91AE9">
              <w:t>4.</w:t>
            </w:r>
          </w:p>
        </w:tc>
        <w:tc>
          <w:tcPr>
            <w:tcW w:w="833" w:type="pct"/>
            <w:gridSpan w:val="2"/>
            <w:tcBorders>
              <w:top w:val="single" w:sz="4" w:space="0" w:color="auto"/>
              <w:left w:val="single" w:sz="4" w:space="0" w:color="auto"/>
              <w:bottom w:val="single" w:sz="4" w:space="0" w:color="auto"/>
              <w:right w:val="single" w:sz="4" w:space="0" w:color="auto"/>
            </w:tcBorders>
          </w:tcPr>
          <w:p w14:paraId="4A797FDC" w14:textId="77777777" w:rsidR="009A72C5" w:rsidRPr="00D91AE9" w:rsidRDefault="009A72C5" w:rsidP="00DD2EFA">
            <w:pPr>
              <w:spacing w:before="100" w:beforeAutospacing="1" w:after="100" w:afterAutospacing="1"/>
            </w:pPr>
            <w:r w:rsidRPr="00D91AE9">
              <w:t>Cita informācija</w:t>
            </w:r>
          </w:p>
        </w:tc>
        <w:tc>
          <w:tcPr>
            <w:tcW w:w="4006" w:type="pct"/>
            <w:gridSpan w:val="2"/>
            <w:tcBorders>
              <w:top w:val="single" w:sz="4" w:space="0" w:color="auto"/>
              <w:left w:val="single" w:sz="4" w:space="0" w:color="auto"/>
              <w:bottom w:val="single" w:sz="4" w:space="0" w:color="auto"/>
              <w:right w:val="single" w:sz="4" w:space="0" w:color="auto"/>
            </w:tcBorders>
          </w:tcPr>
          <w:p w14:paraId="7D4922EC" w14:textId="77777777" w:rsidR="009A72C5" w:rsidRPr="009922A4" w:rsidRDefault="009A72C5" w:rsidP="00F46F24">
            <w:pPr>
              <w:ind w:right="91"/>
              <w:jc w:val="both"/>
            </w:pPr>
            <w:r w:rsidRPr="0014168F">
              <w:t>SAM 1.1.1.5.</w:t>
            </w:r>
            <w:r w:rsidR="00BA0E1E" w:rsidRPr="0014168F">
              <w:t xml:space="preserve"> </w:t>
            </w:r>
            <w:r w:rsidRPr="0014168F">
              <w:t xml:space="preserve">pasākuma projekta iesniegumu vērtēšanas kritēriji ir </w:t>
            </w:r>
            <w:r w:rsidR="00726668" w:rsidRPr="0014168F">
              <w:t>izskatīti</w:t>
            </w:r>
            <w:r w:rsidRPr="0014168F">
              <w:t xml:space="preserve"> </w:t>
            </w:r>
            <w:r w:rsidR="00F46F24" w:rsidRPr="009922A4">
              <w:t xml:space="preserve">ES struktūrfondu un Kohēzijas fonda 2014.–2020. gada plānošanas perioda pētniecības, tehnoloģiju attīstības un inovāciju prioritārā virziena apakškomitejas </w:t>
            </w:r>
            <w:r w:rsidRPr="009922A4">
              <w:t>2016.</w:t>
            </w:r>
            <w:r w:rsidR="00BA0E1E" w:rsidRPr="009922A4">
              <w:t xml:space="preserve"> </w:t>
            </w:r>
            <w:r w:rsidR="00726668" w:rsidRPr="009922A4">
              <w:t xml:space="preserve">gada 29. septembra un 15. decembra </w:t>
            </w:r>
            <w:r w:rsidRPr="009922A4">
              <w:t>sēdē</w:t>
            </w:r>
            <w:r w:rsidR="0059406A" w:rsidRPr="009922A4">
              <w:t>.</w:t>
            </w:r>
          </w:p>
          <w:p w14:paraId="32B248E5" w14:textId="5860ED5E" w:rsidR="00CC3C87" w:rsidRPr="00CC3C87" w:rsidRDefault="00CC3C87" w:rsidP="00DB7418">
            <w:pPr>
              <w:ind w:right="91"/>
              <w:jc w:val="both"/>
              <w:rPr>
                <w:b/>
              </w:rPr>
            </w:pPr>
            <w:r w:rsidRPr="009922A4">
              <w:t>Lai izpildītu ar Ministru kabineta 2017. gada 14. marta</w:t>
            </w:r>
            <w:proofErr w:type="gramStart"/>
            <w:r w:rsidRPr="009922A4">
              <w:t xml:space="preserve">  </w:t>
            </w:r>
            <w:proofErr w:type="gramEnd"/>
            <w:r w:rsidRPr="009922A4">
              <w:t xml:space="preserve">protokollēmuma </w:t>
            </w:r>
            <w:r w:rsidR="00F93856" w:rsidRPr="009922A4">
              <w:t xml:space="preserve">(protokols Nr.12 43.§) </w:t>
            </w:r>
            <w:r w:rsidRPr="009922A4">
              <w:t>3.1. apakšpunktā Izglītības un zinātnes ministrijai doto uzdevumu, noteikumu projektam ir pievienots protokollēmuma projekts, kur noteikts  Izglītības un zinātnes ministrijai iesniegt Centrālajā finanšu un līgumu aģentūrā informāciju par 1.1.1.5. pasākuma pirmās un otrās projektu iesniegumu atlases kārtas</w:t>
            </w:r>
            <w:r w:rsidR="00DB7418" w:rsidRPr="009922A4">
              <w:t xml:space="preserve"> ietvaros noteiktā katra plānotā projekta iesnieguma</w:t>
            </w:r>
            <w:r w:rsidRPr="009922A4">
              <w:t xml:space="preserve"> iesniegšanas termiņu un indikatīvo ikgadējo projekta naudas plūsmu, 10 darba dienu laikā no šo noteikumu spēkā stāšanās.</w:t>
            </w:r>
            <w:r w:rsidRPr="00CC3C87">
              <w:rPr>
                <w:b/>
              </w:rPr>
              <w:t xml:space="preserve"> </w:t>
            </w:r>
          </w:p>
        </w:tc>
      </w:tr>
      <w:tr w:rsidR="00593077" w:rsidRPr="00D91AE9" w14:paraId="1162F9A4" w14:textId="77777777" w:rsidTr="00593077">
        <w:trPr>
          <w:trHeight w:val="35"/>
        </w:trPr>
        <w:tc>
          <w:tcPr>
            <w:tcW w:w="161" w:type="pct"/>
            <w:tcBorders>
              <w:top w:val="single" w:sz="4" w:space="0" w:color="auto"/>
              <w:left w:val="nil"/>
              <w:bottom w:val="single" w:sz="4" w:space="0" w:color="auto"/>
              <w:right w:val="nil"/>
            </w:tcBorders>
          </w:tcPr>
          <w:p w14:paraId="1D0FB8C2" w14:textId="77777777" w:rsidR="00593077" w:rsidRDefault="00593077" w:rsidP="00DD2EFA">
            <w:pPr>
              <w:spacing w:before="100" w:beforeAutospacing="1" w:after="100" w:afterAutospacing="1"/>
            </w:pPr>
          </w:p>
          <w:p w14:paraId="63D56FAC" w14:textId="77777777" w:rsidR="00593077" w:rsidRPr="00D91AE9" w:rsidRDefault="00593077" w:rsidP="00DD2EFA">
            <w:pPr>
              <w:spacing w:before="100" w:beforeAutospacing="1" w:after="100" w:afterAutospacing="1"/>
            </w:pPr>
          </w:p>
        </w:tc>
        <w:tc>
          <w:tcPr>
            <w:tcW w:w="833" w:type="pct"/>
            <w:gridSpan w:val="2"/>
            <w:tcBorders>
              <w:top w:val="single" w:sz="4" w:space="0" w:color="auto"/>
              <w:left w:val="nil"/>
              <w:bottom w:val="single" w:sz="4" w:space="0" w:color="auto"/>
              <w:right w:val="nil"/>
            </w:tcBorders>
          </w:tcPr>
          <w:p w14:paraId="0E29F4FA" w14:textId="77777777" w:rsidR="00593077" w:rsidRPr="00D91AE9" w:rsidRDefault="00593077" w:rsidP="00DD2EFA">
            <w:pPr>
              <w:spacing w:before="100" w:beforeAutospacing="1" w:after="100" w:afterAutospacing="1"/>
            </w:pPr>
          </w:p>
        </w:tc>
        <w:tc>
          <w:tcPr>
            <w:tcW w:w="4006" w:type="pct"/>
            <w:gridSpan w:val="2"/>
            <w:tcBorders>
              <w:top w:val="single" w:sz="4" w:space="0" w:color="auto"/>
              <w:left w:val="nil"/>
              <w:bottom w:val="single" w:sz="4" w:space="0" w:color="auto"/>
              <w:right w:val="nil"/>
            </w:tcBorders>
          </w:tcPr>
          <w:p w14:paraId="7AA7C5FA" w14:textId="77777777" w:rsidR="00593077" w:rsidRPr="0069771B" w:rsidRDefault="00593077" w:rsidP="00DD2EFA">
            <w:pPr>
              <w:ind w:right="91"/>
              <w:jc w:val="both"/>
            </w:pPr>
          </w:p>
        </w:tc>
      </w:tr>
      <w:tr w:rsidR="009A72C5" w:rsidRPr="00D91AE9" w14:paraId="5794F79F" w14:textId="77777777" w:rsidTr="00593077">
        <w:tc>
          <w:tcPr>
            <w:tcW w:w="5000" w:type="pct"/>
            <w:gridSpan w:val="5"/>
            <w:tcBorders>
              <w:top w:val="single" w:sz="4" w:space="0" w:color="auto"/>
              <w:left w:val="single" w:sz="4" w:space="0" w:color="auto"/>
              <w:bottom w:val="single" w:sz="4" w:space="0" w:color="auto"/>
              <w:right w:val="single" w:sz="4" w:space="0" w:color="auto"/>
            </w:tcBorders>
            <w:vAlign w:val="center"/>
          </w:tcPr>
          <w:p w14:paraId="2025720C" w14:textId="77777777" w:rsidR="009A72C5" w:rsidRPr="00D91AE9" w:rsidRDefault="009A72C5" w:rsidP="00DD2EFA">
            <w:pPr>
              <w:spacing w:before="100" w:beforeAutospacing="1" w:after="100" w:afterAutospacing="1"/>
              <w:jc w:val="center"/>
              <w:rPr>
                <w:b/>
                <w:bCs/>
              </w:rPr>
            </w:pPr>
            <w:r w:rsidRPr="00D91AE9">
              <w:rPr>
                <w:b/>
              </w:rPr>
              <w:t xml:space="preserve">II. </w:t>
            </w:r>
            <w:r w:rsidRPr="005E57D7">
              <w:rPr>
                <w:b/>
                <w:bCs/>
              </w:rPr>
              <w:t>Tiesību akta projekta ietekme uz sabiedrību, tautsaimniecības attīstību un administratīvo slogu</w:t>
            </w:r>
          </w:p>
        </w:tc>
      </w:tr>
      <w:tr w:rsidR="009A72C5" w:rsidRPr="00D91AE9" w14:paraId="04571C4F" w14:textId="77777777" w:rsidTr="00593077">
        <w:tc>
          <w:tcPr>
            <w:tcW w:w="244" w:type="pct"/>
            <w:gridSpan w:val="2"/>
            <w:tcBorders>
              <w:top w:val="single" w:sz="4" w:space="0" w:color="auto"/>
              <w:left w:val="outset" w:sz="6" w:space="0" w:color="000000"/>
              <w:bottom w:val="outset" w:sz="6" w:space="0" w:color="000000"/>
              <w:right w:val="outset" w:sz="6" w:space="0" w:color="000000"/>
            </w:tcBorders>
          </w:tcPr>
          <w:p w14:paraId="08EC709F" w14:textId="77777777" w:rsidR="009A72C5" w:rsidRPr="00D91AE9" w:rsidRDefault="009A72C5" w:rsidP="00DD2EFA">
            <w:pPr>
              <w:spacing w:before="100" w:beforeAutospacing="1" w:after="100" w:afterAutospacing="1"/>
              <w:jc w:val="center"/>
            </w:pPr>
            <w:r w:rsidRPr="00D91AE9">
              <w:t>1.</w:t>
            </w:r>
          </w:p>
        </w:tc>
        <w:tc>
          <w:tcPr>
            <w:tcW w:w="955" w:type="pct"/>
            <w:gridSpan w:val="2"/>
            <w:tcBorders>
              <w:top w:val="single" w:sz="4" w:space="0" w:color="auto"/>
              <w:left w:val="outset" w:sz="6" w:space="0" w:color="000000"/>
              <w:bottom w:val="outset" w:sz="6" w:space="0" w:color="000000"/>
              <w:right w:val="outset" w:sz="6" w:space="0" w:color="000000"/>
            </w:tcBorders>
          </w:tcPr>
          <w:p w14:paraId="71A93FC7" w14:textId="77777777" w:rsidR="009A72C5" w:rsidRPr="00D91AE9" w:rsidRDefault="009A72C5" w:rsidP="00DD2EFA">
            <w:pPr>
              <w:spacing w:before="100" w:beforeAutospacing="1" w:after="100" w:afterAutospacing="1"/>
            </w:pPr>
            <w:r w:rsidRPr="00D91AE9">
              <w:t>Sabiedrības mērķgrupas, kuras tiesiskais regulējums ietekmē</w:t>
            </w:r>
            <w:proofErr w:type="gramStart"/>
            <w:r w:rsidRPr="00D91AE9">
              <w:t xml:space="preserve"> vai varētu ietekmēt</w:t>
            </w:r>
            <w:proofErr w:type="gramEnd"/>
          </w:p>
        </w:tc>
        <w:tc>
          <w:tcPr>
            <w:tcW w:w="3802" w:type="pct"/>
            <w:tcBorders>
              <w:top w:val="single" w:sz="4" w:space="0" w:color="auto"/>
              <w:left w:val="outset" w:sz="6" w:space="0" w:color="000000"/>
              <w:bottom w:val="outset" w:sz="6" w:space="0" w:color="000000"/>
              <w:right w:val="outset" w:sz="6" w:space="0" w:color="000000"/>
            </w:tcBorders>
          </w:tcPr>
          <w:p w14:paraId="0500A218" w14:textId="2535F783" w:rsidR="009A72C5" w:rsidRPr="00D91AE9" w:rsidRDefault="009A72C5" w:rsidP="00020014">
            <w:pPr>
              <w:ind w:right="91"/>
              <w:jc w:val="both"/>
              <w:rPr>
                <w:sz w:val="28"/>
                <w:szCs w:val="28"/>
              </w:rPr>
            </w:pPr>
            <w:r w:rsidRPr="00EB327C">
              <w:t xml:space="preserve">Tiesiskais regulējums ietekmē </w:t>
            </w:r>
            <w:r>
              <w:t>z</w:t>
            </w:r>
            <w:r w:rsidR="00020014">
              <w:t>inātniskās institūcijas</w:t>
            </w:r>
            <w:r w:rsidRPr="00393D0C">
              <w:t>, zinātnē un pē</w:t>
            </w:r>
            <w:r>
              <w:t>tniecībā nodarbināto personālu, Nacionālo kontaktpunktu</w:t>
            </w:r>
            <w:r w:rsidRPr="00393D0C">
              <w:t>.</w:t>
            </w:r>
          </w:p>
        </w:tc>
      </w:tr>
      <w:tr w:rsidR="009A72C5" w:rsidRPr="00D91AE9" w14:paraId="1D85321D" w14:textId="77777777" w:rsidTr="002B199E">
        <w:tc>
          <w:tcPr>
            <w:tcW w:w="244" w:type="pct"/>
            <w:gridSpan w:val="2"/>
            <w:tcBorders>
              <w:top w:val="outset" w:sz="6" w:space="0" w:color="000000"/>
              <w:left w:val="outset" w:sz="6" w:space="0" w:color="000000"/>
              <w:bottom w:val="outset" w:sz="6" w:space="0" w:color="000000"/>
              <w:right w:val="outset" w:sz="6" w:space="0" w:color="000000"/>
            </w:tcBorders>
          </w:tcPr>
          <w:p w14:paraId="1CE5AEE9" w14:textId="77777777" w:rsidR="009A72C5" w:rsidRPr="00D91AE9" w:rsidRDefault="009A72C5" w:rsidP="00DD2EFA">
            <w:pPr>
              <w:ind w:left="57" w:right="57"/>
              <w:jc w:val="center"/>
            </w:pPr>
            <w:r w:rsidRPr="00D91AE9">
              <w:t>2.</w:t>
            </w:r>
          </w:p>
        </w:tc>
        <w:tc>
          <w:tcPr>
            <w:tcW w:w="955" w:type="pct"/>
            <w:gridSpan w:val="2"/>
            <w:tcBorders>
              <w:top w:val="outset" w:sz="6" w:space="0" w:color="000000"/>
              <w:left w:val="outset" w:sz="6" w:space="0" w:color="000000"/>
              <w:bottom w:val="outset" w:sz="6" w:space="0" w:color="000000"/>
              <w:right w:val="outset" w:sz="6" w:space="0" w:color="000000"/>
            </w:tcBorders>
          </w:tcPr>
          <w:p w14:paraId="3273DA91" w14:textId="77777777" w:rsidR="009A72C5" w:rsidRPr="00D91AE9" w:rsidRDefault="009A72C5" w:rsidP="00DD2EFA">
            <w:pPr>
              <w:ind w:left="57" w:right="57"/>
            </w:pPr>
            <w:r w:rsidRPr="00D91AE9">
              <w:t>Tiesiskā regulējuma ietekme uz tautsaimniecību un administratīvo slogu</w:t>
            </w:r>
          </w:p>
        </w:tc>
        <w:tc>
          <w:tcPr>
            <w:tcW w:w="3802" w:type="pct"/>
            <w:tcBorders>
              <w:top w:val="outset" w:sz="6" w:space="0" w:color="000000"/>
              <w:left w:val="outset" w:sz="6" w:space="0" w:color="000000"/>
              <w:bottom w:val="outset" w:sz="6" w:space="0" w:color="000000"/>
              <w:right w:val="outset" w:sz="6" w:space="0" w:color="000000"/>
            </w:tcBorders>
          </w:tcPr>
          <w:p w14:paraId="2194AFD0" w14:textId="1754FF96" w:rsidR="009A72C5" w:rsidRPr="00753686" w:rsidRDefault="009A72C5" w:rsidP="00DD2EFA">
            <w:pPr>
              <w:shd w:val="clear" w:color="auto" w:fill="FFFFFF"/>
              <w:ind w:left="57" w:right="113"/>
              <w:jc w:val="both"/>
            </w:pPr>
            <w:r w:rsidRPr="00753686">
              <w:t xml:space="preserve">Noteikumu projekta tiesiskais regulējums ietekmēs starptautiskās sadarbības pasākumu attīstību un sniegs pozitīvu </w:t>
            </w:r>
            <w:r w:rsidRPr="00E76644">
              <w:t>ietekmi</w:t>
            </w:r>
            <w:r>
              <w:t xml:space="preserve"> pasākuma mērķa grupai</w:t>
            </w:r>
            <w:r w:rsidRPr="00E76644">
              <w:t xml:space="preserve"> (</w:t>
            </w:r>
            <w:r w:rsidR="00E475DA">
              <w:t xml:space="preserve">zinātniskajām institūcijām, </w:t>
            </w:r>
            <w:r w:rsidR="00CA5C86" w:rsidRPr="00CA5C86">
              <w:t>Latvijas Republikas Uzņēmumu reģistrā reģistrētiem komersantiem</w:t>
            </w:r>
            <w:r>
              <w:t xml:space="preserve">, zinātniskajam personālam un Nacionālā </w:t>
            </w:r>
            <w:r w:rsidRPr="0014168F">
              <w:t>kontaktpunkta kapacitātes stiprināšanai). 1.1.1.5.</w:t>
            </w:r>
            <w:r w:rsidR="00BA0E1E" w:rsidRPr="0014168F">
              <w:t xml:space="preserve"> </w:t>
            </w:r>
            <w:r w:rsidRPr="0014168F">
              <w:t xml:space="preserve">pasākumā tiek nodrošināta iespēja saņemt ERAF atbalstu </w:t>
            </w:r>
            <w:r w:rsidR="003D49AB" w:rsidRPr="0014168F">
              <w:t xml:space="preserve">programmas “Apvārsnis 2020” </w:t>
            </w:r>
            <w:r w:rsidR="00E711C7" w:rsidRPr="0014168F">
              <w:t xml:space="preserve">un </w:t>
            </w:r>
            <w:r w:rsidR="00155679">
              <w:t>ES</w:t>
            </w:r>
            <w:r w:rsidR="00E711C7" w:rsidRPr="0014168F">
              <w:t xml:space="preserve"> 9. Ietvara programmas</w:t>
            </w:r>
            <w:r w:rsidR="00E711C7" w:rsidRPr="0014168F">
              <w:rPr>
                <w:bCs/>
              </w:rPr>
              <w:t xml:space="preserve"> </w:t>
            </w:r>
            <w:r w:rsidR="003D49AB" w:rsidRPr="0014168F">
              <w:t xml:space="preserve">projektu iesniegumu sagatavošanai, starptautisku zinātnisko konferenču organizēšanai Latvijā, dalības nodrošināšanai </w:t>
            </w:r>
            <w:r w:rsidR="003D49AB" w:rsidRPr="0014168F">
              <w:rPr>
                <w:i/>
              </w:rPr>
              <w:t>ERIC</w:t>
            </w:r>
            <w:r w:rsidR="003D49AB" w:rsidRPr="0014168F">
              <w:t xml:space="preserve"> konsorcijos, </w:t>
            </w:r>
            <w:r w:rsidRPr="0014168F">
              <w:t>virs kvalitātes sliekšņa novērtētu, bet nefinansētu Latvijas zinātnisko instit</w:t>
            </w:r>
            <w:r w:rsidR="003D49AB" w:rsidRPr="0014168F">
              <w:t xml:space="preserve">ūciju </w:t>
            </w:r>
            <w:r w:rsidRPr="0014168F">
              <w:t>iesniegtu projektu īstenošanai</w:t>
            </w:r>
            <w:r w:rsidR="003D49AB" w:rsidRPr="0014168F">
              <w:t xml:space="preserve"> noteiktās</w:t>
            </w:r>
            <w:r w:rsidR="003D49AB">
              <w:t xml:space="preserve"> </w:t>
            </w:r>
            <w:r w:rsidR="003D49AB" w:rsidRPr="00095EC8">
              <w:t xml:space="preserve">programmas </w:t>
            </w:r>
            <w:r w:rsidR="003D49AB">
              <w:t>“</w:t>
            </w:r>
            <w:r w:rsidR="003D49AB" w:rsidRPr="00095EC8">
              <w:t xml:space="preserve">Apvārsnis 2020” </w:t>
            </w:r>
            <w:r w:rsidR="003D49AB">
              <w:lastRenderedPageBreak/>
              <w:t>apakš</w:t>
            </w:r>
            <w:r w:rsidR="003D49AB" w:rsidRPr="00095EC8">
              <w:t>programmās</w:t>
            </w:r>
            <w:r w:rsidR="003D49AB">
              <w:t xml:space="preserve">, </w:t>
            </w:r>
            <w:r w:rsidRPr="00095EC8">
              <w:t xml:space="preserve">kā arī Nacionālā kontaktpunkta </w:t>
            </w:r>
            <w:bookmarkStart w:id="35" w:name="_Ref455125474"/>
            <w:r w:rsidRPr="00095EC8">
              <w:t xml:space="preserve">darbības efektivitātes stiprināšanai un mācību pasākumu organizēšanai potenciālajiem </w:t>
            </w:r>
            <w:r>
              <w:t xml:space="preserve">programmas </w:t>
            </w:r>
            <w:r w:rsidR="00BA0E1E">
              <w:t>“</w:t>
            </w:r>
            <w:r w:rsidR="00BA0E1E" w:rsidRPr="00095EC8">
              <w:t xml:space="preserve">Apvārsnis 2020” </w:t>
            </w:r>
            <w:r w:rsidRPr="00095EC8">
              <w:t>projektu pieteicējiem</w:t>
            </w:r>
            <w:bookmarkEnd w:id="35"/>
            <w:r w:rsidRPr="00E475DA">
              <w:t>, tādējādi</w:t>
            </w:r>
            <w:r w:rsidRPr="00E76644">
              <w:t xml:space="preserve"> sekmējot </w:t>
            </w:r>
            <w:r>
              <w:t xml:space="preserve">zinātnisko institūciju atpazīstamību, sadarbības tīklu veidošanu, zinātnisko institūciju iekļaušanos </w:t>
            </w:r>
            <w:r w:rsidR="004461CB">
              <w:t>Eiropas Pētniecības telpas un Eiropas P</w:t>
            </w:r>
            <w:r w:rsidRPr="00095EC8">
              <w:t>ētniecības infrastruktūru stratēģiskā foruma infrastruktūrā</w:t>
            </w:r>
            <w:r>
              <w:t xml:space="preserve"> un </w:t>
            </w:r>
            <w:r w:rsidRPr="00095EC8">
              <w:t>starptautisko sadarbību pētniecības un tehnoloģiju jomā</w:t>
            </w:r>
            <w:r>
              <w:t xml:space="preserve">. </w:t>
            </w:r>
          </w:p>
          <w:p w14:paraId="60298ECF" w14:textId="77777777" w:rsidR="009A72C5" w:rsidRPr="00753686" w:rsidRDefault="009A72C5" w:rsidP="00DD2EFA">
            <w:pPr>
              <w:shd w:val="clear" w:color="auto" w:fill="FFFFFF"/>
              <w:ind w:left="57" w:right="113"/>
              <w:jc w:val="both"/>
            </w:pPr>
          </w:p>
          <w:p w14:paraId="355889A5" w14:textId="77777777" w:rsidR="009A72C5" w:rsidRPr="00753686" w:rsidRDefault="009A72C5" w:rsidP="00DD2EFA">
            <w:pPr>
              <w:shd w:val="clear" w:color="auto" w:fill="FFFFFF"/>
              <w:ind w:left="57" w:right="113"/>
              <w:jc w:val="both"/>
              <w:rPr>
                <w:b/>
              </w:rPr>
            </w:pPr>
            <w:r w:rsidRPr="00753686">
              <w:rPr>
                <w:b/>
              </w:rPr>
              <w:t>Ietekme uz makroekonomisko vidi:</w:t>
            </w:r>
          </w:p>
          <w:p w14:paraId="20A54EBE" w14:textId="767C6F02" w:rsidR="009A72C5" w:rsidRPr="00753686" w:rsidRDefault="009A72C5" w:rsidP="00DD2EFA">
            <w:pPr>
              <w:shd w:val="clear" w:color="auto" w:fill="FFFFFF"/>
              <w:ind w:left="57" w:right="113"/>
              <w:jc w:val="both"/>
            </w:pPr>
            <w:r>
              <w:t>1.1.1.5</w:t>
            </w:r>
            <w:r w:rsidRPr="00E76644">
              <w:t>.</w:t>
            </w:r>
            <w:r w:rsidR="00BA0E1E">
              <w:t xml:space="preserve"> </w:t>
            </w:r>
            <w:r w:rsidRPr="00E76644">
              <w:t>pasākuma īstenošana netiešā veidā pozitīvi ietekm</w:t>
            </w:r>
            <w:r>
              <w:t xml:space="preserve">ēs makroekonomisko vidi, jo pasākuma </w:t>
            </w:r>
            <w:r w:rsidRPr="00F93993">
              <w:t xml:space="preserve">aktivitātes ir vērstas uz </w:t>
            </w:r>
            <w:r>
              <w:t>starptautiskās sadarbības tīklu attīstību, zinātnisko institūciju kapacitātes stiprināšanu, ārvalstu finansējuma piesaisti Latvijas pētniecības un inovāciju attīstības jomā, Latvijas zinātnieku prasm</w:t>
            </w:r>
            <w:r w:rsidR="000E08B6">
              <w:t>ju attīstībai</w:t>
            </w:r>
            <w:r>
              <w:t>, kompetenta</w:t>
            </w:r>
            <w:r w:rsidRPr="00F93993">
              <w:t xml:space="preserve"> un prasmīga </w:t>
            </w:r>
            <w:r>
              <w:t>zinātniskā personāla</w:t>
            </w:r>
            <w:r w:rsidRPr="00F93993">
              <w:t xml:space="preserve"> </w:t>
            </w:r>
            <w:r w:rsidR="000E08B6">
              <w:t>skaita palielinājumu</w:t>
            </w:r>
            <w:r w:rsidRPr="00F93993">
              <w:t>,</w:t>
            </w:r>
            <w:r>
              <w:t xml:space="preserve"> </w:t>
            </w:r>
            <w:r w:rsidRPr="00E76644">
              <w:t>cilvēkresursu atjaunotni un kvalificētu speciālistu skaita pieaugumu</w:t>
            </w:r>
            <w:r>
              <w:t>,</w:t>
            </w:r>
            <w:r w:rsidRPr="00F93993">
              <w:t xml:space="preserve"> </w:t>
            </w:r>
            <w:r w:rsidRPr="005C3D85">
              <w:rPr>
                <w:rFonts w:eastAsia="Calibri"/>
                <w:color w:val="000000"/>
              </w:rPr>
              <w:t>sekmējot Latvijas zinātnes izcilība</w:t>
            </w:r>
            <w:r>
              <w:rPr>
                <w:rFonts w:eastAsia="Calibri"/>
                <w:color w:val="000000"/>
              </w:rPr>
              <w:t xml:space="preserve">s un starptautiskās </w:t>
            </w:r>
            <w:r w:rsidRPr="005C3D85">
              <w:rPr>
                <w:rFonts w:eastAsia="Calibri"/>
                <w:color w:val="000000"/>
              </w:rPr>
              <w:t>konkurētspēja</w:t>
            </w:r>
            <w:r>
              <w:rPr>
                <w:rFonts w:eastAsia="Calibri"/>
                <w:color w:val="000000"/>
              </w:rPr>
              <w:t>s palielināšanos</w:t>
            </w:r>
            <w:r>
              <w:t xml:space="preserve"> un </w:t>
            </w:r>
            <w:r w:rsidR="006274AB">
              <w:t>veicinot</w:t>
            </w:r>
            <w:r w:rsidRPr="00F93993">
              <w:t xml:space="preserve"> tautsaimniecības attīstību valst</w:t>
            </w:r>
            <w:r>
              <w:t>ī kopumā.</w:t>
            </w:r>
            <w:r w:rsidRPr="00753686">
              <w:t xml:space="preserve"> </w:t>
            </w:r>
          </w:p>
          <w:p w14:paraId="00CA93A9" w14:textId="1F034293" w:rsidR="009A72C5" w:rsidRPr="00E76644" w:rsidRDefault="009A72C5" w:rsidP="00DD2EFA">
            <w:pPr>
              <w:shd w:val="clear" w:color="auto" w:fill="FFFFFF"/>
              <w:ind w:left="57" w:right="113"/>
              <w:jc w:val="both"/>
            </w:pPr>
            <w:r w:rsidRPr="00E76644">
              <w:t>Pietiekams un kvalificēts cilvēkkapitāls</w:t>
            </w:r>
            <w:r w:rsidR="00593077">
              <w:t xml:space="preserve"> un attīstīta zinātnisko institūciju starptautiskās sadarbības tīklu bāze</w:t>
            </w:r>
            <w:r w:rsidRPr="00E76644">
              <w:t xml:space="preserve"> ir viens no priekšnosacījumiem, lai</w:t>
            </w:r>
            <w:proofErr w:type="gramStart"/>
            <w:r w:rsidRPr="00E76644">
              <w:t xml:space="preserve"> izpildoties citiem labvēlīgiem apstākļiem</w:t>
            </w:r>
            <w:proofErr w:type="gramEnd"/>
            <w:r w:rsidRPr="00E76644">
              <w:t>, inve</w:t>
            </w:r>
            <w:r>
              <w:t>stīcijas pētniecībā un inovācijā</w:t>
            </w:r>
            <w:r w:rsidRPr="00E76644">
              <w:t xml:space="preserve">s būtu efektīvas un veicinātu valsts ekonomikas izaugsmi un attīstību. </w:t>
            </w:r>
          </w:p>
          <w:p w14:paraId="768F7C8E" w14:textId="77777777" w:rsidR="009A72C5" w:rsidRPr="00E76644" w:rsidRDefault="009A72C5" w:rsidP="00DD2EFA">
            <w:pPr>
              <w:shd w:val="clear" w:color="auto" w:fill="FFFFFF"/>
              <w:ind w:left="57" w:right="113"/>
              <w:jc w:val="both"/>
            </w:pPr>
          </w:p>
          <w:p w14:paraId="79AA3C55" w14:textId="77777777" w:rsidR="009A72C5" w:rsidRPr="00753686" w:rsidRDefault="009A72C5" w:rsidP="00DD2EFA">
            <w:pPr>
              <w:shd w:val="clear" w:color="auto" w:fill="FFFFFF"/>
              <w:ind w:left="57" w:right="113"/>
              <w:jc w:val="both"/>
              <w:rPr>
                <w:b/>
              </w:rPr>
            </w:pPr>
            <w:r w:rsidRPr="00753686">
              <w:rPr>
                <w:b/>
              </w:rPr>
              <w:t xml:space="preserve">Ietekme uz administratīvajām procedūrām un to izmaksām: </w:t>
            </w:r>
          </w:p>
          <w:p w14:paraId="3FC5ACDB" w14:textId="32582DE9" w:rsidR="009A72C5" w:rsidRPr="009F18E1" w:rsidRDefault="009A72C5" w:rsidP="009F18E1">
            <w:pPr>
              <w:shd w:val="clear" w:color="auto" w:fill="FFFFFF"/>
              <w:ind w:left="57" w:right="113"/>
              <w:jc w:val="both"/>
            </w:pPr>
            <w:r w:rsidRPr="002D230A">
              <w:t xml:space="preserve">Kopumā sabiedrības grupām un institūcijām noteikumu projekta tiesiskais regulējums nemaina tiesības un </w:t>
            </w:r>
            <w:r w:rsidRPr="00681991">
              <w:t>pienāk</w:t>
            </w:r>
            <w:r w:rsidR="009F18E1">
              <w:t>umus, kā arī veicamās darbības.</w:t>
            </w:r>
          </w:p>
        </w:tc>
      </w:tr>
      <w:tr w:rsidR="009A72C5" w:rsidRPr="00D91AE9" w14:paraId="0060F8AB" w14:textId="77777777" w:rsidTr="002B199E">
        <w:tc>
          <w:tcPr>
            <w:tcW w:w="244" w:type="pct"/>
            <w:gridSpan w:val="2"/>
            <w:tcBorders>
              <w:top w:val="outset" w:sz="6" w:space="0" w:color="000000"/>
              <w:left w:val="outset" w:sz="6" w:space="0" w:color="000000"/>
              <w:bottom w:val="outset" w:sz="6" w:space="0" w:color="000000"/>
              <w:right w:val="outset" w:sz="6" w:space="0" w:color="000000"/>
            </w:tcBorders>
          </w:tcPr>
          <w:p w14:paraId="19E0533C" w14:textId="77777777" w:rsidR="009A72C5" w:rsidRPr="00D91AE9" w:rsidRDefault="009A72C5" w:rsidP="00DD2EFA">
            <w:pPr>
              <w:ind w:left="57" w:right="57"/>
              <w:jc w:val="center"/>
            </w:pPr>
            <w:r w:rsidRPr="00D91AE9">
              <w:lastRenderedPageBreak/>
              <w:t>3.</w:t>
            </w:r>
          </w:p>
        </w:tc>
        <w:tc>
          <w:tcPr>
            <w:tcW w:w="955" w:type="pct"/>
            <w:gridSpan w:val="2"/>
            <w:tcBorders>
              <w:top w:val="outset" w:sz="6" w:space="0" w:color="000000"/>
              <w:left w:val="outset" w:sz="6" w:space="0" w:color="000000"/>
              <w:bottom w:val="outset" w:sz="6" w:space="0" w:color="000000"/>
              <w:right w:val="outset" w:sz="6" w:space="0" w:color="000000"/>
            </w:tcBorders>
          </w:tcPr>
          <w:p w14:paraId="4DE5F053" w14:textId="77777777" w:rsidR="009A72C5" w:rsidRPr="00D91AE9" w:rsidRDefault="009A72C5" w:rsidP="00DD2EFA">
            <w:pPr>
              <w:ind w:left="57" w:right="57"/>
            </w:pPr>
            <w:r w:rsidRPr="00D91AE9">
              <w:t>Administratīvo izmaksu monetārs novērtējums</w:t>
            </w:r>
          </w:p>
        </w:tc>
        <w:tc>
          <w:tcPr>
            <w:tcW w:w="3802" w:type="pct"/>
            <w:tcBorders>
              <w:top w:val="outset" w:sz="6" w:space="0" w:color="000000"/>
              <w:left w:val="outset" w:sz="6" w:space="0" w:color="000000"/>
              <w:bottom w:val="outset" w:sz="6" w:space="0" w:color="000000"/>
              <w:right w:val="outset" w:sz="6" w:space="0" w:color="000000"/>
            </w:tcBorders>
          </w:tcPr>
          <w:p w14:paraId="09417D97" w14:textId="77777777" w:rsidR="00AD2DA1" w:rsidRDefault="00AD2DA1" w:rsidP="00DD2EFA">
            <w:pPr>
              <w:shd w:val="clear" w:color="auto" w:fill="FFFFFF"/>
              <w:ind w:left="57" w:right="113"/>
              <w:jc w:val="both"/>
              <w:rPr>
                <w:b/>
              </w:rPr>
            </w:pPr>
            <w:r>
              <w:rPr>
                <w:b/>
              </w:rPr>
              <w:t>Administratīvās izmaksas:</w:t>
            </w:r>
          </w:p>
          <w:p w14:paraId="471AEB4D" w14:textId="67728F08" w:rsidR="00F14744" w:rsidRPr="00681991" w:rsidRDefault="00951D79" w:rsidP="00F14744">
            <w:pPr>
              <w:shd w:val="clear" w:color="auto" w:fill="FFFFFF"/>
              <w:ind w:left="57" w:right="113"/>
              <w:jc w:val="both"/>
            </w:pPr>
            <w:r w:rsidRPr="00681991">
              <w:t xml:space="preserve">- </w:t>
            </w:r>
            <w:r w:rsidR="00F14744" w:rsidRPr="00681991">
              <w:t xml:space="preserve">ievietojot tīmekļa vietnē informāciju par </w:t>
            </w:r>
            <w:r w:rsidR="00F14744">
              <w:t>piešķirto atbalstu</w:t>
            </w:r>
            <w:r w:rsidR="00F14744" w:rsidRPr="00681991">
              <w:t xml:space="preserve">: (darbaspēka atlīdzības </w:t>
            </w:r>
            <w:r w:rsidR="00F14744" w:rsidRPr="00664A99">
              <w:t>vidējā likme * laiks, kas nepieciešams informācijas ieviet</w:t>
            </w:r>
            <w:r w:rsidR="001464E3">
              <w:t>ošanai tīmekļvietnē) * (projekta</w:t>
            </w:r>
            <w:r w:rsidR="00F14744" w:rsidRPr="00664A99">
              <w:t xml:space="preserve"> īstenošanas personāla skaits, kas ievieto informāciju * informācijas sniegšanas biežums visā projekta īstenošanas laikā) = (5,34*0,5) * (1*</w:t>
            </w:r>
            <w:r w:rsidR="001278F2">
              <w:t>35</w:t>
            </w:r>
            <w:r w:rsidR="00F14744" w:rsidRPr="00664A99">
              <w:t>) = 2,67*</w:t>
            </w:r>
            <w:r w:rsidR="001278F2">
              <w:t>35</w:t>
            </w:r>
            <w:r w:rsidR="00F14744" w:rsidRPr="00664A99">
              <w:t xml:space="preserve"> = </w:t>
            </w:r>
            <w:r w:rsidR="001278F2">
              <w:t>93,45</w:t>
            </w:r>
            <w:r w:rsidR="00F14744" w:rsidRPr="00664A99">
              <w:t xml:space="preserve"> </w:t>
            </w:r>
            <w:r w:rsidR="00F14744" w:rsidRPr="00664A99">
              <w:rPr>
                <w:i/>
              </w:rPr>
              <w:t>euro</w:t>
            </w:r>
            <w:r w:rsidR="00F14744">
              <w:t xml:space="preserve">; </w:t>
            </w:r>
          </w:p>
          <w:p w14:paraId="1903B60F" w14:textId="35A7484F" w:rsidR="009A72C5" w:rsidRPr="00681991" w:rsidRDefault="009A72C5" w:rsidP="00DD2EFA">
            <w:pPr>
              <w:shd w:val="clear" w:color="auto" w:fill="FFFFFF"/>
              <w:ind w:left="57" w:right="113"/>
              <w:jc w:val="both"/>
            </w:pPr>
            <w:r w:rsidRPr="00681991">
              <w:t xml:space="preserve">- ievietojot informāciju tīmekļa vietnē par </w:t>
            </w:r>
            <w:r>
              <w:t>1.1.1.5</w:t>
            </w:r>
            <w:r w:rsidRPr="00681991">
              <w:t>.</w:t>
            </w:r>
            <w:r w:rsidR="00DD2EFA">
              <w:t xml:space="preserve"> </w:t>
            </w:r>
            <w:r w:rsidRPr="00681991">
              <w:t xml:space="preserve">pasākuma finansējuma saņēmēja projekta īstenošanu: (darbaspēka atlīdzības </w:t>
            </w:r>
            <w:r w:rsidRPr="00664A99">
              <w:t>vidējā likme * laiks, kas nepieciešams informācijas ieviet</w:t>
            </w:r>
            <w:r w:rsidR="006274AB">
              <w:t>ošanai tīmekļvietnē) * (projekta</w:t>
            </w:r>
            <w:r w:rsidRPr="00664A99">
              <w:t xml:space="preserve"> īstenošanas personāla skaits, kas ievieto informāciju * informācijas sniegšanas biežums visā projekta īstenošanas laikā) = (5,</w:t>
            </w:r>
            <w:r w:rsidR="00DD2EFA" w:rsidRPr="00664A99">
              <w:t>34</w:t>
            </w:r>
            <w:r w:rsidRPr="00664A99">
              <w:t>*0,5) * (1*</w:t>
            </w:r>
            <w:r w:rsidR="00BE360D">
              <w:t>24</w:t>
            </w:r>
            <w:r w:rsidRPr="00664A99">
              <w:t>) = 2,</w:t>
            </w:r>
            <w:r w:rsidR="00DD2EFA" w:rsidRPr="00664A99">
              <w:t>67</w:t>
            </w:r>
            <w:r w:rsidRPr="00664A99">
              <w:t>*</w:t>
            </w:r>
            <w:r w:rsidR="00BE360D">
              <w:t>24</w:t>
            </w:r>
            <w:r w:rsidRPr="00664A99">
              <w:t xml:space="preserve"> = </w:t>
            </w:r>
            <w:r w:rsidR="00BE360D">
              <w:t>64,08</w:t>
            </w:r>
            <w:r w:rsidRPr="00664A99">
              <w:t xml:space="preserve"> </w:t>
            </w:r>
            <w:r w:rsidRPr="00664A99">
              <w:rPr>
                <w:i/>
              </w:rPr>
              <w:t>euro</w:t>
            </w:r>
            <w:r w:rsidR="00951D79">
              <w:t>.</w:t>
            </w:r>
          </w:p>
          <w:p w14:paraId="3E6C174B" w14:textId="77777777" w:rsidR="009A72C5" w:rsidRDefault="009A72C5" w:rsidP="00DD2EFA">
            <w:pPr>
              <w:shd w:val="clear" w:color="auto" w:fill="FFFFFF"/>
              <w:ind w:left="57" w:right="113"/>
              <w:jc w:val="both"/>
            </w:pPr>
            <w:r w:rsidRPr="002D230A">
              <w:t xml:space="preserve">Administratīvo izmaksu monetārs novērtējums par ar datu uzkrāšanu/ievadīšanu, informācijas sagatavošanu un informācijas </w:t>
            </w:r>
            <w:r w:rsidRPr="002D230A">
              <w:lastRenderedPageBreak/>
              <w:t>ievietošanu tīmekļa vietnē saistītajiem izdevumiem ir veikts indikatīvi.</w:t>
            </w:r>
          </w:p>
          <w:p w14:paraId="53C67AC7" w14:textId="5FD67683" w:rsidR="00DD2EFA" w:rsidRPr="00DD2EFA" w:rsidRDefault="00DD2EFA" w:rsidP="00FD156B">
            <w:pPr>
              <w:shd w:val="clear" w:color="auto" w:fill="FFFFFF"/>
              <w:ind w:left="57" w:right="113"/>
              <w:jc w:val="both"/>
            </w:pPr>
            <w:r w:rsidRPr="00DD2EFA">
              <w:t>Aprēķinam izmantot</w:t>
            </w:r>
            <w:r w:rsidR="00951D79">
              <w:t>s</w:t>
            </w:r>
            <w:r w:rsidRPr="00DD2EFA">
              <w:t xml:space="preserve"> pieņēmum</w:t>
            </w:r>
            <w:r w:rsidR="00951D79">
              <w:t>s</w:t>
            </w:r>
            <w:r w:rsidRPr="00DD2EFA">
              <w:t>, ka</w:t>
            </w:r>
            <w:r w:rsidR="00951D79">
              <w:t xml:space="preserve"> </w:t>
            </w:r>
            <w:r w:rsidR="00FD156B">
              <w:t>informācijas sniegšanas un datu uzkrāšanas pienākumus</w:t>
            </w:r>
            <w:r w:rsidRPr="00DD2EFA">
              <w:t xml:space="preserve"> veic darbinieki ar vidējo mēneša darba samaksu sabiedriskajā sektorā, kas 2015.</w:t>
            </w:r>
            <w:r w:rsidR="00BA0E1E">
              <w:t xml:space="preserve"> </w:t>
            </w:r>
            <w:r w:rsidRPr="00DD2EFA">
              <w:t xml:space="preserve">gadā Latvijā bija 855 </w:t>
            </w:r>
            <w:r w:rsidRPr="00DD2EFA">
              <w:rPr>
                <w:i/>
              </w:rPr>
              <w:t>euro</w:t>
            </w:r>
            <w:r w:rsidRPr="00DD2EFA">
              <w:t xml:space="preserve"> mēnesī (</w:t>
            </w:r>
            <w:hyperlink r:id="rId11" w:history="1">
              <w:r w:rsidRPr="00DD2EFA">
                <w:rPr>
                  <w:rStyle w:val="Hyperlink"/>
                  <w:color w:val="auto"/>
                </w:rPr>
                <w:t>http://www.csb.gov.lv/statistikas-temas/darba-samaksa-galvenie-raditaji-30270.html</w:t>
              </w:r>
            </w:hyperlink>
            <w:r w:rsidRPr="00DD2EFA">
              <w:t xml:space="preserve">), kam atbilst stundas samaksas likme 5,34 </w:t>
            </w:r>
            <w:r w:rsidRPr="00DD2EFA">
              <w:rPr>
                <w:i/>
              </w:rPr>
              <w:t>euro</w:t>
            </w:r>
            <w:r w:rsidR="005C7C46">
              <w:t>.</w:t>
            </w:r>
          </w:p>
        </w:tc>
      </w:tr>
      <w:tr w:rsidR="009A72C5" w:rsidRPr="00D91AE9" w14:paraId="194DF3B1" w14:textId="77777777" w:rsidTr="002B199E">
        <w:tc>
          <w:tcPr>
            <w:tcW w:w="244" w:type="pct"/>
            <w:gridSpan w:val="2"/>
            <w:tcBorders>
              <w:top w:val="outset" w:sz="6" w:space="0" w:color="000000"/>
              <w:left w:val="outset" w:sz="6" w:space="0" w:color="000000"/>
              <w:bottom w:val="outset" w:sz="6" w:space="0" w:color="000000"/>
              <w:right w:val="outset" w:sz="6" w:space="0" w:color="000000"/>
            </w:tcBorders>
          </w:tcPr>
          <w:p w14:paraId="23305977" w14:textId="77777777" w:rsidR="009A72C5" w:rsidRPr="00D91AE9" w:rsidRDefault="009A72C5" w:rsidP="00DD2EFA">
            <w:pPr>
              <w:ind w:left="57" w:right="57"/>
              <w:jc w:val="center"/>
            </w:pPr>
            <w:r w:rsidRPr="00D91AE9">
              <w:lastRenderedPageBreak/>
              <w:t>4.</w:t>
            </w:r>
          </w:p>
        </w:tc>
        <w:tc>
          <w:tcPr>
            <w:tcW w:w="955" w:type="pct"/>
            <w:gridSpan w:val="2"/>
            <w:tcBorders>
              <w:top w:val="outset" w:sz="6" w:space="0" w:color="000000"/>
              <w:left w:val="outset" w:sz="6" w:space="0" w:color="000000"/>
              <w:bottom w:val="outset" w:sz="6" w:space="0" w:color="000000"/>
              <w:right w:val="outset" w:sz="6" w:space="0" w:color="000000"/>
            </w:tcBorders>
          </w:tcPr>
          <w:p w14:paraId="10E4FD8E" w14:textId="77777777" w:rsidR="009A72C5" w:rsidRPr="00D91AE9" w:rsidRDefault="009A72C5" w:rsidP="00DD2EFA">
            <w:pPr>
              <w:ind w:left="57" w:right="57"/>
            </w:pPr>
            <w:r w:rsidRPr="00D91AE9">
              <w:t> Cita informācija</w:t>
            </w:r>
          </w:p>
        </w:tc>
        <w:tc>
          <w:tcPr>
            <w:tcW w:w="3802" w:type="pct"/>
            <w:tcBorders>
              <w:top w:val="outset" w:sz="6" w:space="0" w:color="000000"/>
              <w:left w:val="outset" w:sz="6" w:space="0" w:color="000000"/>
              <w:bottom w:val="outset" w:sz="6" w:space="0" w:color="000000"/>
              <w:right w:val="outset" w:sz="6" w:space="0" w:color="000000"/>
            </w:tcBorders>
          </w:tcPr>
          <w:p w14:paraId="3BDFF1D9" w14:textId="53D99016" w:rsidR="009A72C5" w:rsidRPr="00D91AE9" w:rsidRDefault="00226894" w:rsidP="00226894">
            <w:pPr>
              <w:jc w:val="both"/>
              <w:rPr>
                <w:rFonts w:eastAsia="Calibri"/>
              </w:rPr>
            </w:pPr>
            <w:r>
              <w:rPr>
                <w:rFonts w:eastAsia="Calibri"/>
              </w:rPr>
              <w:t>Nav.</w:t>
            </w:r>
            <w:r w:rsidRPr="00226894">
              <w:rPr>
                <w:rFonts w:eastAsia="Calibri"/>
              </w:rPr>
              <w:t xml:space="preserve"> </w:t>
            </w:r>
          </w:p>
        </w:tc>
      </w:tr>
    </w:tbl>
    <w:p w14:paraId="5E8A8951" w14:textId="77777777" w:rsidR="009A72C5" w:rsidRPr="00D91AE9" w:rsidRDefault="009A72C5" w:rsidP="009A72C5"/>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1252"/>
        <w:gridCol w:w="1332"/>
        <w:gridCol w:w="1311"/>
        <w:gridCol w:w="1311"/>
        <w:gridCol w:w="1380"/>
      </w:tblGrid>
      <w:tr w:rsidR="009A72C5" w:rsidRPr="00D91AE9" w14:paraId="647ABBA7" w14:textId="77777777" w:rsidTr="00DD2EFA">
        <w:trPr>
          <w:trHeight w:val="361"/>
          <w:jc w:val="center"/>
        </w:trPr>
        <w:tc>
          <w:tcPr>
            <w:tcW w:w="8763" w:type="dxa"/>
            <w:gridSpan w:val="6"/>
            <w:vAlign w:val="center"/>
          </w:tcPr>
          <w:p w14:paraId="03C2D53A" w14:textId="77777777" w:rsidR="009A72C5" w:rsidRPr="00D91AE9" w:rsidRDefault="009A72C5" w:rsidP="00DD2EFA">
            <w:pPr>
              <w:pStyle w:val="naisnod"/>
              <w:spacing w:before="0" w:after="0"/>
              <w:rPr>
                <w:b w:val="0"/>
                <w:i/>
              </w:rPr>
            </w:pPr>
            <w:r w:rsidRPr="00D91AE9">
              <w:br w:type="page"/>
              <w:t>III. Tiesību akta projekta ietekme uz valsts budžetu un pašvaldību budžetiem</w:t>
            </w:r>
          </w:p>
        </w:tc>
      </w:tr>
      <w:tr w:rsidR="009A72C5" w:rsidRPr="00D91AE9" w14:paraId="78E36C0A" w14:textId="77777777" w:rsidTr="00DD2EFA">
        <w:trPr>
          <w:jc w:val="center"/>
        </w:trPr>
        <w:tc>
          <w:tcPr>
            <w:tcW w:w="2229" w:type="dxa"/>
            <w:vMerge w:val="restart"/>
            <w:vAlign w:val="center"/>
          </w:tcPr>
          <w:p w14:paraId="537DEE9A" w14:textId="77777777" w:rsidR="009A72C5" w:rsidRPr="00D91AE9" w:rsidRDefault="009A72C5" w:rsidP="00DD2EFA">
            <w:pPr>
              <w:pStyle w:val="naisf"/>
              <w:spacing w:before="0" w:after="0"/>
              <w:jc w:val="center"/>
              <w:rPr>
                <w:b/>
              </w:rPr>
            </w:pPr>
            <w:r w:rsidRPr="00D91AE9">
              <w:rPr>
                <w:b/>
              </w:rPr>
              <w:t>Rādītāji</w:t>
            </w:r>
          </w:p>
          <w:p w14:paraId="21376A3B" w14:textId="77777777" w:rsidR="009A72C5" w:rsidRPr="00D91AE9" w:rsidRDefault="009A72C5" w:rsidP="00DD2EFA"/>
          <w:p w14:paraId="65F31C91" w14:textId="77777777" w:rsidR="009A72C5" w:rsidRPr="00D91AE9" w:rsidRDefault="009A72C5" w:rsidP="00DD2EFA"/>
          <w:p w14:paraId="3A9BDD4A" w14:textId="77777777" w:rsidR="009A72C5" w:rsidRPr="00D91AE9" w:rsidRDefault="009A72C5" w:rsidP="00DD2EFA"/>
        </w:tc>
        <w:tc>
          <w:tcPr>
            <w:tcW w:w="2625" w:type="dxa"/>
            <w:gridSpan w:val="2"/>
            <w:vMerge w:val="restart"/>
            <w:vAlign w:val="center"/>
          </w:tcPr>
          <w:p w14:paraId="088527F8" w14:textId="0A5B731A" w:rsidR="009A72C5" w:rsidRPr="00D91AE9" w:rsidRDefault="009A72C5" w:rsidP="00336B59">
            <w:pPr>
              <w:pStyle w:val="naisf"/>
              <w:spacing w:before="0" w:after="0"/>
              <w:jc w:val="center"/>
              <w:rPr>
                <w:b/>
              </w:rPr>
            </w:pPr>
            <w:proofErr w:type="gramStart"/>
            <w:r w:rsidRPr="00D91AE9">
              <w:rPr>
                <w:b/>
              </w:rPr>
              <w:t>201</w:t>
            </w:r>
            <w:r w:rsidR="00776F4C">
              <w:rPr>
                <w:b/>
              </w:rPr>
              <w:t>7</w:t>
            </w:r>
            <w:r w:rsidRPr="00D91AE9">
              <w:rPr>
                <w:b/>
              </w:rPr>
              <w:t>.gads</w:t>
            </w:r>
            <w:proofErr w:type="gramEnd"/>
          </w:p>
        </w:tc>
        <w:tc>
          <w:tcPr>
            <w:tcW w:w="3909" w:type="dxa"/>
            <w:gridSpan w:val="3"/>
            <w:vAlign w:val="center"/>
          </w:tcPr>
          <w:p w14:paraId="775AFE87" w14:textId="77777777" w:rsidR="009A72C5" w:rsidRPr="00D91AE9" w:rsidRDefault="009A72C5" w:rsidP="00DD2EFA">
            <w:pPr>
              <w:pStyle w:val="naisf"/>
              <w:spacing w:before="0" w:after="0"/>
              <w:jc w:val="center"/>
              <w:rPr>
                <w:b/>
                <w:i/>
              </w:rPr>
            </w:pPr>
            <w:r w:rsidRPr="00D91AE9">
              <w:t>Turpmākie trīs gadi (</w:t>
            </w:r>
            <w:r w:rsidRPr="00D91AE9">
              <w:rPr>
                <w:i/>
              </w:rPr>
              <w:t>euro</w:t>
            </w:r>
            <w:r w:rsidRPr="00D91AE9">
              <w:t>)</w:t>
            </w:r>
          </w:p>
        </w:tc>
      </w:tr>
      <w:tr w:rsidR="009A72C5" w:rsidRPr="00D91AE9" w14:paraId="000616D7" w14:textId="77777777" w:rsidTr="00336B59">
        <w:trPr>
          <w:jc w:val="center"/>
        </w:trPr>
        <w:tc>
          <w:tcPr>
            <w:tcW w:w="2229" w:type="dxa"/>
            <w:vMerge/>
            <w:vAlign w:val="center"/>
          </w:tcPr>
          <w:p w14:paraId="47B4A428" w14:textId="77777777" w:rsidR="009A72C5" w:rsidRPr="00D91AE9" w:rsidRDefault="009A72C5" w:rsidP="00DD2EFA">
            <w:pPr>
              <w:pStyle w:val="naisf"/>
              <w:spacing w:before="0" w:after="0"/>
              <w:jc w:val="center"/>
              <w:rPr>
                <w:b/>
                <w:i/>
              </w:rPr>
            </w:pPr>
          </w:p>
        </w:tc>
        <w:tc>
          <w:tcPr>
            <w:tcW w:w="2625" w:type="dxa"/>
            <w:gridSpan w:val="2"/>
            <w:vMerge/>
            <w:tcBorders>
              <w:bottom w:val="single" w:sz="4" w:space="0" w:color="auto"/>
            </w:tcBorders>
            <w:vAlign w:val="center"/>
          </w:tcPr>
          <w:p w14:paraId="780A7B5A" w14:textId="77777777" w:rsidR="009A72C5" w:rsidRPr="00D91AE9" w:rsidRDefault="009A72C5" w:rsidP="00DD2EFA">
            <w:pPr>
              <w:pStyle w:val="naisf"/>
              <w:spacing w:before="0" w:after="0"/>
              <w:jc w:val="center"/>
              <w:rPr>
                <w:b/>
                <w:i/>
              </w:rPr>
            </w:pPr>
          </w:p>
        </w:tc>
        <w:tc>
          <w:tcPr>
            <w:tcW w:w="1276" w:type="dxa"/>
            <w:tcBorders>
              <w:bottom w:val="single" w:sz="4" w:space="0" w:color="auto"/>
            </w:tcBorders>
            <w:vAlign w:val="center"/>
          </w:tcPr>
          <w:p w14:paraId="452B3052" w14:textId="22D5E283" w:rsidR="009A72C5" w:rsidRPr="00D91AE9" w:rsidRDefault="009A72C5" w:rsidP="00336B59">
            <w:pPr>
              <w:pStyle w:val="naisf"/>
              <w:spacing w:before="0" w:after="0"/>
              <w:jc w:val="center"/>
              <w:rPr>
                <w:b/>
                <w:i/>
              </w:rPr>
            </w:pPr>
            <w:proofErr w:type="gramStart"/>
            <w:r w:rsidRPr="00D91AE9">
              <w:rPr>
                <w:b/>
                <w:bCs/>
              </w:rPr>
              <w:t>201</w:t>
            </w:r>
            <w:r w:rsidR="00776F4C">
              <w:rPr>
                <w:b/>
                <w:bCs/>
              </w:rPr>
              <w:t>8</w:t>
            </w:r>
            <w:r w:rsidRPr="00D91AE9">
              <w:rPr>
                <w:b/>
                <w:bCs/>
              </w:rPr>
              <w:t>.</w:t>
            </w:r>
            <w:r w:rsidR="004078BF">
              <w:rPr>
                <w:b/>
                <w:bCs/>
              </w:rPr>
              <w:t>g.</w:t>
            </w:r>
            <w:proofErr w:type="gramEnd"/>
          </w:p>
        </w:tc>
        <w:tc>
          <w:tcPr>
            <w:tcW w:w="1246" w:type="dxa"/>
            <w:tcBorders>
              <w:bottom w:val="single" w:sz="4" w:space="0" w:color="auto"/>
            </w:tcBorders>
            <w:vAlign w:val="center"/>
          </w:tcPr>
          <w:p w14:paraId="24E980C0" w14:textId="025F86F9" w:rsidR="009A72C5" w:rsidRPr="00D91AE9" w:rsidRDefault="009A72C5" w:rsidP="00336B59">
            <w:pPr>
              <w:pStyle w:val="naisf"/>
              <w:spacing w:before="0" w:after="0"/>
              <w:jc w:val="center"/>
              <w:rPr>
                <w:b/>
                <w:i/>
              </w:rPr>
            </w:pPr>
            <w:proofErr w:type="gramStart"/>
            <w:r w:rsidRPr="00D91AE9">
              <w:rPr>
                <w:b/>
                <w:bCs/>
              </w:rPr>
              <w:t>201</w:t>
            </w:r>
            <w:r w:rsidR="00776F4C">
              <w:rPr>
                <w:b/>
                <w:bCs/>
              </w:rPr>
              <w:t>9</w:t>
            </w:r>
            <w:r w:rsidRPr="00D91AE9">
              <w:rPr>
                <w:b/>
                <w:bCs/>
              </w:rPr>
              <w:t>.</w:t>
            </w:r>
            <w:r w:rsidR="004078BF">
              <w:rPr>
                <w:b/>
                <w:bCs/>
              </w:rPr>
              <w:t>g.</w:t>
            </w:r>
            <w:proofErr w:type="gramEnd"/>
          </w:p>
        </w:tc>
        <w:tc>
          <w:tcPr>
            <w:tcW w:w="1387" w:type="dxa"/>
            <w:vAlign w:val="center"/>
          </w:tcPr>
          <w:p w14:paraId="2CFCF9C0" w14:textId="25C9A798" w:rsidR="009A72C5" w:rsidRPr="00D91AE9" w:rsidRDefault="00776F4C" w:rsidP="00336B59">
            <w:pPr>
              <w:pStyle w:val="naisf"/>
              <w:spacing w:before="0" w:after="0"/>
              <w:jc w:val="center"/>
              <w:rPr>
                <w:b/>
                <w:i/>
              </w:rPr>
            </w:pPr>
            <w:proofErr w:type="gramStart"/>
            <w:r>
              <w:rPr>
                <w:b/>
                <w:bCs/>
              </w:rPr>
              <w:t>2020</w:t>
            </w:r>
            <w:r w:rsidR="009A72C5" w:rsidRPr="00D91AE9">
              <w:rPr>
                <w:b/>
                <w:bCs/>
              </w:rPr>
              <w:t>.</w:t>
            </w:r>
            <w:r w:rsidR="004078BF">
              <w:rPr>
                <w:b/>
                <w:bCs/>
              </w:rPr>
              <w:t>g.</w:t>
            </w:r>
            <w:proofErr w:type="gramEnd"/>
          </w:p>
        </w:tc>
      </w:tr>
      <w:tr w:rsidR="009A72C5" w:rsidRPr="00D91AE9" w14:paraId="79215584" w14:textId="77777777" w:rsidTr="00336B59">
        <w:trPr>
          <w:jc w:val="center"/>
        </w:trPr>
        <w:tc>
          <w:tcPr>
            <w:tcW w:w="2229" w:type="dxa"/>
            <w:vMerge/>
            <w:tcBorders>
              <w:right w:val="single" w:sz="4" w:space="0" w:color="auto"/>
            </w:tcBorders>
            <w:vAlign w:val="center"/>
          </w:tcPr>
          <w:p w14:paraId="04A6F2A7" w14:textId="77777777" w:rsidR="009A72C5" w:rsidRPr="00D91AE9" w:rsidRDefault="009A72C5" w:rsidP="00DD2EFA">
            <w:pPr>
              <w:pStyle w:val="naisf"/>
              <w:spacing w:before="0" w:after="0"/>
              <w:jc w:val="center"/>
              <w:rPr>
                <w:b/>
                <w:i/>
              </w:rPr>
            </w:pPr>
          </w:p>
        </w:tc>
        <w:tc>
          <w:tcPr>
            <w:tcW w:w="1273" w:type="dxa"/>
            <w:tcBorders>
              <w:top w:val="single" w:sz="4" w:space="0" w:color="auto"/>
              <w:left w:val="single" w:sz="4" w:space="0" w:color="auto"/>
              <w:bottom w:val="single" w:sz="4" w:space="0" w:color="auto"/>
              <w:right w:val="single" w:sz="4" w:space="0" w:color="auto"/>
            </w:tcBorders>
            <w:vAlign w:val="center"/>
          </w:tcPr>
          <w:p w14:paraId="13B79B28" w14:textId="77777777" w:rsidR="009A72C5" w:rsidRPr="00D91AE9" w:rsidRDefault="009A72C5" w:rsidP="00DD2EFA">
            <w:pPr>
              <w:pStyle w:val="naisf"/>
              <w:spacing w:before="0" w:after="0"/>
              <w:ind w:firstLine="0"/>
              <w:rPr>
                <w:b/>
                <w:i/>
              </w:rPr>
            </w:pPr>
            <w:r w:rsidRPr="00D91AE9">
              <w:t>saskaņā ar valsts budžetu kārtējam gadam</w:t>
            </w:r>
          </w:p>
        </w:tc>
        <w:tc>
          <w:tcPr>
            <w:tcW w:w="1352" w:type="dxa"/>
            <w:tcBorders>
              <w:top w:val="single" w:sz="4" w:space="0" w:color="auto"/>
              <w:left w:val="single" w:sz="4" w:space="0" w:color="auto"/>
              <w:bottom w:val="single" w:sz="4" w:space="0" w:color="auto"/>
              <w:right w:val="single" w:sz="4" w:space="0" w:color="auto"/>
            </w:tcBorders>
            <w:vAlign w:val="center"/>
          </w:tcPr>
          <w:p w14:paraId="05C80E4B" w14:textId="77777777" w:rsidR="009A72C5" w:rsidRPr="00D91AE9" w:rsidRDefault="009A72C5" w:rsidP="00DD2EFA">
            <w:pPr>
              <w:pStyle w:val="naisf"/>
              <w:spacing w:before="0" w:after="0"/>
              <w:ind w:firstLine="0"/>
              <w:rPr>
                <w:b/>
                <w:i/>
              </w:rPr>
            </w:pPr>
            <w:r w:rsidRPr="00D91AE9">
              <w:t>izmaiņas kārtējā gadā, salīdzinot ar valsts budžetu kārtējam gadam</w:t>
            </w:r>
          </w:p>
        </w:tc>
        <w:tc>
          <w:tcPr>
            <w:tcW w:w="1276" w:type="dxa"/>
            <w:tcBorders>
              <w:top w:val="single" w:sz="4" w:space="0" w:color="auto"/>
              <w:left w:val="single" w:sz="4" w:space="0" w:color="auto"/>
              <w:bottom w:val="single" w:sz="4" w:space="0" w:color="auto"/>
              <w:right w:val="single" w:sz="4" w:space="0" w:color="auto"/>
            </w:tcBorders>
            <w:vAlign w:val="center"/>
          </w:tcPr>
          <w:p w14:paraId="66D8FC79" w14:textId="63EAB69E" w:rsidR="009A72C5" w:rsidRPr="009922A4" w:rsidRDefault="009A72C5" w:rsidP="00DD2EFA">
            <w:pPr>
              <w:pStyle w:val="naisf"/>
              <w:spacing w:before="0" w:after="0"/>
              <w:ind w:firstLine="0"/>
              <w:rPr>
                <w:i/>
              </w:rPr>
            </w:pPr>
            <w:r w:rsidRPr="009922A4">
              <w:t>iz</w:t>
            </w:r>
            <w:r w:rsidR="004078BF" w:rsidRPr="009922A4">
              <w:t>maiņas, salīdzinot ar kārtējo (2017.</w:t>
            </w:r>
            <w:r w:rsidRPr="009922A4">
              <w:t>) gadu</w:t>
            </w:r>
          </w:p>
        </w:tc>
        <w:tc>
          <w:tcPr>
            <w:tcW w:w="1246" w:type="dxa"/>
            <w:tcBorders>
              <w:top w:val="single" w:sz="4" w:space="0" w:color="auto"/>
              <w:left w:val="single" w:sz="4" w:space="0" w:color="auto"/>
              <w:bottom w:val="single" w:sz="4" w:space="0" w:color="auto"/>
            </w:tcBorders>
            <w:vAlign w:val="center"/>
          </w:tcPr>
          <w:p w14:paraId="2D5AA291" w14:textId="69B29F54" w:rsidR="009A72C5" w:rsidRPr="009922A4" w:rsidRDefault="009A72C5" w:rsidP="00DD2EFA">
            <w:pPr>
              <w:pStyle w:val="naisf"/>
              <w:spacing w:before="0" w:after="0"/>
              <w:ind w:firstLine="0"/>
              <w:rPr>
                <w:i/>
              </w:rPr>
            </w:pPr>
            <w:r w:rsidRPr="009922A4">
              <w:t>iz</w:t>
            </w:r>
            <w:r w:rsidR="004078BF" w:rsidRPr="009922A4">
              <w:t>maiņas, salīdzinot ar kārtējo (2017.</w:t>
            </w:r>
            <w:r w:rsidRPr="009922A4">
              <w:t>) gadu</w:t>
            </w:r>
          </w:p>
        </w:tc>
        <w:tc>
          <w:tcPr>
            <w:tcW w:w="1387" w:type="dxa"/>
            <w:vAlign w:val="center"/>
          </w:tcPr>
          <w:p w14:paraId="091B5891" w14:textId="3BF5498D" w:rsidR="009A72C5" w:rsidRPr="009922A4" w:rsidRDefault="009A72C5" w:rsidP="00DD2EFA">
            <w:pPr>
              <w:pStyle w:val="naisf"/>
              <w:spacing w:before="0" w:after="0"/>
              <w:ind w:firstLine="0"/>
              <w:rPr>
                <w:i/>
              </w:rPr>
            </w:pPr>
            <w:r w:rsidRPr="009922A4">
              <w:t>iz</w:t>
            </w:r>
            <w:r w:rsidR="004078BF" w:rsidRPr="009922A4">
              <w:t>maiņas, salīdzinot ar kārtējo (2017.</w:t>
            </w:r>
            <w:r w:rsidRPr="009922A4">
              <w:t>) gadu</w:t>
            </w:r>
          </w:p>
        </w:tc>
      </w:tr>
      <w:tr w:rsidR="009A72C5" w:rsidRPr="00D91AE9" w14:paraId="47FAACF9" w14:textId="77777777" w:rsidTr="00336B59">
        <w:trPr>
          <w:jc w:val="center"/>
        </w:trPr>
        <w:tc>
          <w:tcPr>
            <w:tcW w:w="2229" w:type="dxa"/>
            <w:vAlign w:val="center"/>
          </w:tcPr>
          <w:p w14:paraId="0EDA948E" w14:textId="77777777" w:rsidR="009A72C5" w:rsidRPr="001C62D2" w:rsidRDefault="009A72C5" w:rsidP="001C62D2">
            <w:pPr>
              <w:pStyle w:val="naisf"/>
              <w:spacing w:before="0" w:after="0"/>
              <w:ind w:firstLine="0"/>
              <w:jc w:val="center"/>
              <w:rPr>
                <w:color w:val="000000"/>
              </w:rPr>
            </w:pPr>
            <w:r w:rsidRPr="001C62D2">
              <w:rPr>
                <w:color w:val="000000"/>
              </w:rPr>
              <w:t>1</w:t>
            </w:r>
          </w:p>
        </w:tc>
        <w:tc>
          <w:tcPr>
            <w:tcW w:w="1273" w:type="dxa"/>
            <w:tcBorders>
              <w:top w:val="single" w:sz="4" w:space="0" w:color="auto"/>
            </w:tcBorders>
            <w:vAlign w:val="center"/>
          </w:tcPr>
          <w:p w14:paraId="7281B8C4" w14:textId="77777777" w:rsidR="009A72C5" w:rsidRPr="001C62D2" w:rsidRDefault="009A72C5" w:rsidP="001C62D2">
            <w:pPr>
              <w:pStyle w:val="naisf"/>
              <w:spacing w:before="0" w:after="0"/>
              <w:ind w:firstLine="0"/>
              <w:jc w:val="center"/>
              <w:rPr>
                <w:color w:val="000000"/>
              </w:rPr>
            </w:pPr>
            <w:r w:rsidRPr="001C62D2">
              <w:rPr>
                <w:color w:val="000000"/>
              </w:rPr>
              <w:t>2</w:t>
            </w:r>
          </w:p>
        </w:tc>
        <w:tc>
          <w:tcPr>
            <w:tcW w:w="1352" w:type="dxa"/>
            <w:tcBorders>
              <w:top w:val="single" w:sz="4" w:space="0" w:color="auto"/>
            </w:tcBorders>
            <w:vAlign w:val="center"/>
          </w:tcPr>
          <w:p w14:paraId="759A2558" w14:textId="77777777" w:rsidR="009A72C5" w:rsidRPr="001C62D2" w:rsidRDefault="009A72C5" w:rsidP="001C62D2">
            <w:pPr>
              <w:pStyle w:val="naisf"/>
              <w:spacing w:before="0" w:after="0"/>
              <w:ind w:firstLine="0"/>
              <w:jc w:val="center"/>
              <w:rPr>
                <w:color w:val="000000"/>
              </w:rPr>
            </w:pPr>
            <w:r w:rsidRPr="001C62D2">
              <w:rPr>
                <w:color w:val="000000"/>
              </w:rPr>
              <w:t>3</w:t>
            </w:r>
          </w:p>
        </w:tc>
        <w:tc>
          <w:tcPr>
            <w:tcW w:w="1276" w:type="dxa"/>
            <w:tcBorders>
              <w:top w:val="single" w:sz="4" w:space="0" w:color="auto"/>
            </w:tcBorders>
            <w:vAlign w:val="center"/>
          </w:tcPr>
          <w:p w14:paraId="3597A1C5" w14:textId="77777777" w:rsidR="009A72C5" w:rsidRPr="001C62D2" w:rsidRDefault="009A72C5" w:rsidP="001C62D2">
            <w:pPr>
              <w:pStyle w:val="naisf"/>
              <w:spacing w:before="0" w:after="0"/>
              <w:ind w:firstLine="0"/>
              <w:jc w:val="center"/>
              <w:rPr>
                <w:color w:val="000000"/>
              </w:rPr>
            </w:pPr>
            <w:r w:rsidRPr="001C62D2">
              <w:rPr>
                <w:color w:val="000000"/>
              </w:rPr>
              <w:t>4</w:t>
            </w:r>
          </w:p>
        </w:tc>
        <w:tc>
          <w:tcPr>
            <w:tcW w:w="1246" w:type="dxa"/>
            <w:tcBorders>
              <w:top w:val="single" w:sz="4" w:space="0" w:color="auto"/>
            </w:tcBorders>
            <w:vAlign w:val="center"/>
          </w:tcPr>
          <w:p w14:paraId="1525E5B3" w14:textId="77777777" w:rsidR="009A72C5" w:rsidRPr="001C62D2" w:rsidRDefault="009A72C5" w:rsidP="001C62D2">
            <w:pPr>
              <w:pStyle w:val="naisf"/>
              <w:spacing w:before="0" w:after="0"/>
              <w:ind w:firstLine="0"/>
              <w:jc w:val="center"/>
              <w:rPr>
                <w:color w:val="000000"/>
              </w:rPr>
            </w:pPr>
            <w:r w:rsidRPr="001C62D2">
              <w:rPr>
                <w:color w:val="000000"/>
              </w:rPr>
              <w:t>5</w:t>
            </w:r>
          </w:p>
        </w:tc>
        <w:tc>
          <w:tcPr>
            <w:tcW w:w="1387" w:type="dxa"/>
            <w:vAlign w:val="center"/>
          </w:tcPr>
          <w:p w14:paraId="69E9C36A" w14:textId="77777777" w:rsidR="009A72C5" w:rsidRPr="001C62D2" w:rsidRDefault="009A72C5" w:rsidP="001C62D2">
            <w:pPr>
              <w:pStyle w:val="naisf"/>
              <w:spacing w:before="0" w:after="0"/>
              <w:ind w:firstLine="0"/>
              <w:jc w:val="center"/>
              <w:rPr>
                <w:color w:val="000000"/>
              </w:rPr>
            </w:pPr>
            <w:r w:rsidRPr="001C62D2">
              <w:rPr>
                <w:color w:val="000000"/>
              </w:rPr>
              <w:t>6</w:t>
            </w:r>
          </w:p>
        </w:tc>
      </w:tr>
      <w:tr w:rsidR="005E57D7" w:rsidRPr="00D91AE9" w14:paraId="500B75B9" w14:textId="77777777" w:rsidTr="00DD2EFA">
        <w:trPr>
          <w:trHeight w:val="379"/>
          <w:jc w:val="center"/>
        </w:trPr>
        <w:tc>
          <w:tcPr>
            <w:tcW w:w="2229" w:type="dxa"/>
          </w:tcPr>
          <w:p w14:paraId="76CAA2C5" w14:textId="77777777" w:rsidR="005E57D7" w:rsidRPr="00C2761A" w:rsidRDefault="005E57D7" w:rsidP="005E57D7">
            <w:pPr>
              <w:pStyle w:val="naisf"/>
              <w:spacing w:before="0" w:after="0"/>
              <w:ind w:firstLine="0"/>
              <w:rPr>
                <w:i/>
              </w:rPr>
            </w:pPr>
            <w:r w:rsidRPr="00C2761A">
              <w:t>1.Budžeta ieņēmumi:</w:t>
            </w:r>
          </w:p>
        </w:tc>
        <w:tc>
          <w:tcPr>
            <w:tcW w:w="1273" w:type="dxa"/>
            <w:vAlign w:val="center"/>
          </w:tcPr>
          <w:p w14:paraId="56D3695C" w14:textId="77777777" w:rsidR="005E57D7" w:rsidRPr="00C2761A" w:rsidRDefault="005E57D7" w:rsidP="005E57D7">
            <w:pPr>
              <w:pStyle w:val="naisf"/>
              <w:spacing w:before="0" w:after="0"/>
              <w:ind w:firstLine="0"/>
              <w:jc w:val="center"/>
            </w:pPr>
            <w:r w:rsidRPr="00C2761A">
              <w:t>0</w:t>
            </w:r>
          </w:p>
        </w:tc>
        <w:tc>
          <w:tcPr>
            <w:tcW w:w="1352" w:type="dxa"/>
            <w:vAlign w:val="center"/>
          </w:tcPr>
          <w:p w14:paraId="077DC9C3" w14:textId="77777777" w:rsidR="005E57D7" w:rsidRPr="00C2761A" w:rsidRDefault="005E57D7" w:rsidP="005E57D7">
            <w:pPr>
              <w:pStyle w:val="naisf"/>
              <w:spacing w:before="0" w:after="0"/>
              <w:ind w:firstLine="0"/>
              <w:jc w:val="center"/>
            </w:pPr>
            <w:r>
              <w:t>0</w:t>
            </w:r>
          </w:p>
        </w:tc>
        <w:tc>
          <w:tcPr>
            <w:tcW w:w="1276" w:type="dxa"/>
            <w:shd w:val="clear" w:color="auto" w:fill="auto"/>
            <w:vAlign w:val="center"/>
          </w:tcPr>
          <w:p w14:paraId="7FB2016C" w14:textId="08541F5D" w:rsidR="005E57D7" w:rsidRPr="0014168F" w:rsidRDefault="00A20C29" w:rsidP="005E57D7">
            <w:pPr>
              <w:pStyle w:val="naisf"/>
              <w:spacing w:before="0" w:after="0"/>
              <w:ind w:firstLine="0"/>
              <w:jc w:val="center"/>
            </w:pPr>
            <w:r w:rsidRPr="0014168F">
              <w:rPr>
                <w:color w:val="000000"/>
              </w:rPr>
              <w:t>5</w:t>
            </w:r>
            <w:r w:rsidR="002E62FD" w:rsidRPr="0014168F">
              <w:rPr>
                <w:color w:val="000000"/>
              </w:rPr>
              <w:t> </w:t>
            </w:r>
            <w:r w:rsidRPr="0014168F">
              <w:rPr>
                <w:color w:val="000000"/>
              </w:rPr>
              <w:t>533</w:t>
            </w:r>
            <w:r w:rsidR="002E62FD" w:rsidRPr="0014168F">
              <w:rPr>
                <w:color w:val="000000"/>
              </w:rPr>
              <w:t xml:space="preserve"> </w:t>
            </w:r>
            <w:r w:rsidRPr="0014168F">
              <w:rPr>
                <w:color w:val="000000"/>
              </w:rPr>
              <w:t>973</w:t>
            </w:r>
          </w:p>
        </w:tc>
        <w:tc>
          <w:tcPr>
            <w:tcW w:w="1246" w:type="dxa"/>
            <w:shd w:val="clear" w:color="auto" w:fill="auto"/>
            <w:vAlign w:val="center"/>
          </w:tcPr>
          <w:p w14:paraId="6AED864A" w14:textId="2C18132D" w:rsidR="005E57D7" w:rsidRPr="0014168F" w:rsidRDefault="002E62FD" w:rsidP="005E57D7">
            <w:pPr>
              <w:pStyle w:val="naisf"/>
              <w:spacing w:before="0" w:after="0"/>
              <w:ind w:firstLine="0"/>
              <w:jc w:val="center"/>
            </w:pPr>
            <w:r w:rsidRPr="0014168F">
              <w:rPr>
                <w:color w:val="000000"/>
              </w:rPr>
              <w:t>5 533 973</w:t>
            </w:r>
          </w:p>
        </w:tc>
        <w:tc>
          <w:tcPr>
            <w:tcW w:w="1387" w:type="dxa"/>
            <w:shd w:val="clear" w:color="auto" w:fill="auto"/>
            <w:vAlign w:val="center"/>
          </w:tcPr>
          <w:p w14:paraId="3545C10A" w14:textId="5B385F7A" w:rsidR="005E57D7" w:rsidRPr="0014168F" w:rsidRDefault="002C7EB9" w:rsidP="005E57D7">
            <w:pPr>
              <w:jc w:val="center"/>
            </w:pPr>
            <w:r w:rsidRPr="0014168F">
              <w:rPr>
                <w:color w:val="000000"/>
              </w:rPr>
              <w:t>5 533 973</w:t>
            </w:r>
          </w:p>
        </w:tc>
      </w:tr>
      <w:tr w:rsidR="002E62FD" w:rsidRPr="00D91AE9" w14:paraId="23537B1A" w14:textId="77777777" w:rsidTr="00DD2EFA">
        <w:trPr>
          <w:trHeight w:val="379"/>
          <w:jc w:val="center"/>
        </w:trPr>
        <w:tc>
          <w:tcPr>
            <w:tcW w:w="2229" w:type="dxa"/>
          </w:tcPr>
          <w:p w14:paraId="62B012EC" w14:textId="77777777" w:rsidR="002E62FD" w:rsidRPr="00C2761A" w:rsidRDefault="002E62FD" w:rsidP="002E62FD">
            <w:r w:rsidRPr="00C2761A">
              <w:rPr>
                <w:rFonts w:eastAsia="Calibri"/>
              </w:rPr>
              <w:t>1.1. valsts pamatbudžets, tai skaitā ieņēmumi no maksas pakalpojumiem un citi pašu ieņēmumi</w:t>
            </w:r>
          </w:p>
        </w:tc>
        <w:tc>
          <w:tcPr>
            <w:tcW w:w="1273" w:type="dxa"/>
            <w:vAlign w:val="center"/>
          </w:tcPr>
          <w:p w14:paraId="17D2C3F9" w14:textId="77777777" w:rsidR="002E62FD" w:rsidRPr="00C2761A" w:rsidRDefault="002E62FD" w:rsidP="002E62FD">
            <w:pPr>
              <w:pStyle w:val="naisf"/>
              <w:spacing w:before="0" w:after="0"/>
              <w:ind w:firstLine="0"/>
              <w:jc w:val="center"/>
            </w:pPr>
            <w:r w:rsidRPr="00C2761A">
              <w:rPr>
                <w:rFonts w:eastAsia="Calibri"/>
              </w:rPr>
              <w:t>0</w:t>
            </w:r>
          </w:p>
        </w:tc>
        <w:tc>
          <w:tcPr>
            <w:tcW w:w="1352" w:type="dxa"/>
            <w:vAlign w:val="center"/>
          </w:tcPr>
          <w:p w14:paraId="0BB4F1F0" w14:textId="77777777" w:rsidR="002E62FD" w:rsidRPr="00C2761A" w:rsidRDefault="002E62FD" w:rsidP="002E62FD">
            <w:pPr>
              <w:pStyle w:val="naisf"/>
              <w:spacing w:before="0" w:after="0"/>
              <w:ind w:firstLine="0"/>
              <w:jc w:val="center"/>
            </w:pPr>
            <w:r>
              <w:t>0</w:t>
            </w:r>
          </w:p>
        </w:tc>
        <w:tc>
          <w:tcPr>
            <w:tcW w:w="1276" w:type="dxa"/>
            <w:shd w:val="clear" w:color="auto" w:fill="auto"/>
            <w:vAlign w:val="center"/>
          </w:tcPr>
          <w:p w14:paraId="37B24CCB" w14:textId="6BA93A65" w:rsidR="002E62FD" w:rsidRPr="0014168F" w:rsidRDefault="002E62FD" w:rsidP="002E62FD">
            <w:pPr>
              <w:pStyle w:val="naisf"/>
              <w:spacing w:before="0" w:after="0"/>
              <w:ind w:firstLine="0"/>
              <w:jc w:val="center"/>
            </w:pPr>
            <w:r w:rsidRPr="0014168F">
              <w:rPr>
                <w:color w:val="000000"/>
              </w:rPr>
              <w:t>5 533 973</w:t>
            </w:r>
          </w:p>
        </w:tc>
        <w:tc>
          <w:tcPr>
            <w:tcW w:w="1246" w:type="dxa"/>
            <w:shd w:val="clear" w:color="auto" w:fill="auto"/>
            <w:vAlign w:val="center"/>
          </w:tcPr>
          <w:p w14:paraId="4E38E1F6" w14:textId="5B7AF119" w:rsidR="002E62FD" w:rsidRPr="0014168F" w:rsidRDefault="002E62FD" w:rsidP="002E62FD">
            <w:pPr>
              <w:pStyle w:val="naisf"/>
              <w:spacing w:before="0" w:after="0"/>
              <w:ind w:firstLine="0"/>
              <w:jc w:val="center"/>
            </w:pPr>
            <w:r w:rsidRPr="0014168F">
              <w:rPr>
                <w:color w:val="000000"/>
              </w:rPr>
              <w:t>5 533 973</w:t>
            </w:r>
          </w:p>
        </w:tc>
        <w:tc>
          <w:tcPr>
            <w:tcW w:w="1387" w:type="dxa"/>
            <w:shd w:val="clear" w:color="auto" w:fill="auto"/>
            <w:vAlign w:val="center"/>
          </w:tcPr>
          <w:p w14:paraId="77416884" w14:textId="17B83D41" w:rsidR="002E62FD" w:rsidRPr="0014168F" w:rsidRDefault="002C7EB9" w:rsidP="002E62FD">
            <w:pPr>
              <w:jc w:val="center"/>
            </w:pPr>
            <w:r w:rsidRPr="0014168F">
              <w:rPr>
                <w:color w:val="000000"/>
              </w:rPr>
              <w:t>5 533 973</w:t>
            </w:r>
          </w:p>
        </w:tc>
      </w:tr>
      <w:tr w:rsidR="005E57D7" w:rsidRPr="00D91AE9" w14:paraId="173C099B" w14:textId="77777777" w:rsidTr="00DD2EFA">
        <w:trPr>
          <w:trHeight w:val="379"/>
          <w:jc w:val="center"/>
        </w:trPr>
        <w:tc>
          <w:tcPr>
            <w:tcW w:w="2229" w:type="dxa"/>
          </w:tcPr>
          <w:p w14:paraId="54A664B1" w14:textId="77777777" w:rsidR="005E57D7" w:rsidRPr="00C2761A" w:rsidRDefault="005E57D7" w:rsidP="005E57D7">
            <w:r w:rsidRPr="00C2761A">
              <w:rPr>
                <w:rFonts w:eastAsia="Calibri"/>
              </w:rPr>
              <w:t>1.2. valsts speciālais budžets</w:t>
            </w:r>
          </w:p>
        </w:tc>
        <w:tc>
          <w:tcPr>
            <w:tcW w:w="1273" w:type="dxa"/>
            <w:vAlign w:val="center"/>
          </w:tcPr>
          <w:p w14:paraId="0E71C8C0" w14:textId="77777777" w:rsidR="005E57D7" w:rsidRPr="00C2761A" w:rsidRDefault="005E57D7" w:rsidP="005E57D7">
            <w:pPr>
              <w:pStyle w:val="naisf"/>
              <w:spacing w:before="0" w:after="0"/>
              <w:ind w:firstLine="0"/>
              <w:jc w:val="center"/>
            </w:pPr>
            <w:r w:rsidRPr="00C2761A">
              <w:rPr>
                <w:rFonts w:eastAsia="Calibri"/>
              </w:rPr>
              <w:t>0</w:t>
            </w:r>
          </w:p>
        </w:tc>
        <w:tc>
          <w:tcPr>
            <w:tcW w:w="1352" w:type="dxa"/>
            <w:vAlign w:val="center"/>
          </w:tcPr>
          <w:p w14:paraId="3E2F1730" w14:textId="77777777" w:rsidR="005E57D7" w:rsidRPr="00C2761A" w:rsidRDefault="005E57D7" w:rsidP="005E57D7">
            <w:pPr>
              <w:pStyle w:val="naisf"/>
              <w:spacing w:before="0" w:after="0"/>
              <w:ind w:firstLine="0"/>
              <w:jc w:val="center"/>
            </w:pPr>
            <w:r w:rsidRPr="00C2761A">
              <w:rPr>
                <w:rFonts w:eastAsia="Calibri"/>
              </w:rPr>
              <w:t>0</w:t>
            </w:r>
          </w:p>
        </w:tc>
        <w:tc>
          <w:tcPr>
            <w:tcW w:w="1276" w:type="dxa"/>
            <w:shd w:val="clear" w:color="auto" w:fill="auto"/>
            <w:vAlign w:val="center"/>
          </w:tcPr>
          <w:p w14:paraId="2F995113" w14:textId="77777777" w:rsidR="005E57D7" w:rsidRPr="0014168F" w:rsidRDefault="005E57D7" w:rsidP="005E57D7">
            <w:pPr>
              <w:pStyle w:val="naisf"/>
              <w:spacing w:before="0" w:after="0"/>
              <w:ind w:firstLine="0"/>
              <w:jc w:val="center"/>
            </w:pPr>
            <w:r w:rsidRPr="0014168F">
              <w:rPr>
                <w:rFonts w:eastAsia="Calibri"/>
              </w:rPr>
              <w:t>0</w:t>
            </w:r>
          </w:p>
        </w:tc>
        <w:tc>
          <w:tcPr>
            <w:tcW w:w="1246" w:type="dxa"/>
            <w:shd w:val="clear" w:color="auto" w:fill="auto"/>
            <w:vAlign w:val="center"/>
          </w:tcPr>
          <w:p w14:paraId="27C80811" w14:textId="77777777" w:rsidR="005E57D7" w:rsidRPr="0014168F" w:rsidRDefault="005E57D7" w:rsidP="005E57D7">
            <w:pPr>
              <w:pStyle w:val="naisf"/>
              <w:spacing w:before="0" w:after="0"/>
              <w:ind w:firstLine="0"/>
              <w:jc w:val="center"/>
            </w:pPr>
            <w:r w:rsidRPr="0014168F">
              <w:rPr>
                <w:rFonts w:eastAsia="Calibri"/>
              </w:rPr>
              <w:t>0</w:t>
            </w:r>
          </w:p>
        </w:tc>
        <w:tc>
          <w:tcPr>
            <w:tcW w:w="1387" w:type="dxa"/>
            <w:shd w:val="clear" w:color="auto" w:fill="auto"/>
            <w:vAlign w:val="center"/>
          </w:tcPr>
          <w:p w14:paraId="3FEA3690" w14:textId="77777777" w:rsidR="005E57D7" w:rsidRPr="0014168F" w:rsidRDefault="005E57D7" w:rsidP="005E57D7">
            <w:pPr>
              <w:pStyle w:val="naisf"/>
              <w:spacing w:before="0" w:after="0"/>
              <w:ind w:firstLine="0"/>
              <w:jc w:val="center"/>
            </w:pPr>
            <w:r w:rsidRPr="0014168F">
              <w:rPr>
                <w:rFonts w:eastAsia="Calibri"/>
              </w:rPr>
              <w:t>0</w:t>
            </w:r>
          </w:p>
        </w:tc>
      </w:tr>
      <w:tr w:rsidR="005E57D7" w:rsidRPr="00D91AE9" w14:paraId="2AA91597" w14:textId="77777777" w:rsidTr="00DD2EFA">
        <w:trPr>
          <w:trHeight w:val="379"/>
          <w:jc w:val="center"/>
        </w:trPr>
        <w:tc>
          <w:tcPr>
            <w:tcW w:w="2229" w:type="dxa"/>
          </w:tcPr>
          <w:p w14:paraId="75494A3C" w14:textId="77777777" w:rsidR="005E57D7" w:rsidRPr="00C2761A" w:rsidRDefault="005E57D7" w:rsidP="005E57D7">
            <w:r w:rsidRPr="00C2761A">
              <w:rPr>
                <w:rFonts w:eastAsia="Calibri"/>
              </w:rPr>
              <w:t>1.3. pašvaldību budžets</w:t>
            </w:r>
          </w:p>
        </w:tc>
        <w:tc>
          <w:tcPr>
            <w:tcW w:w="1273" w:type="dxa"/>
            <w:vAlign w:val="center"/>
          </w:tcPr>
          <w:p w14:paraId="17B1D237" w14:textId="77777777" w:rsidR="005E57D7" w:rsidRPr="00C2761A" w:rsidRDefault="005E57D7" w:rsidP="005E57D7">
            <w:pPr>
              <w:pStyle w:val="naisf"/>
              <w:spacing w:before="0" w:after="0"/>
              <w:ind w:firstLine="0"/>
              <w:jc w:val="center"/>
            </w:pPr>
            <w:r w:rsidRPr="00C2761A">
              <w:rPr>
                <w:rFonts w:eastAsia="Calibri"/>
              </w:rPr>
              <w:t>0</w:t>
            </w:r>
          </w:p>
        </w:tc>
        <w:tc>
          <w:tcPr>
            <w:tcW w:w="1352" w:type="dxa"/>
            <w:vAlign w:val="center"/>
          </w:tcPr>
          <w:p w14:paraId="1BDA498C" w14:textId="77777777" w:rsidR="005E57D7" w:rsidRPr="00C2761A" w:rsidRDefault="005E57D7" w:rsidP="005E57D7">
            <w:pPr>
              <w:pStyle w:val="naisf"/>
              <w:spacing w:before="0" w:after="0"/>
              <w:ind w:firstLine="0"/>
              <w:jc w:val="center"/>
            </w:pPr>
            <w:r w:rsidRPr="00C2761A">
              <w:rPr>
                <w:rFonts w:eastAsia="Calibri"/>
              </w:rPr>
              <w:t>0</w:t>
            </w:r>
          </w:p>
        </w:tc>
        <w:tc>
          <w:tcPr>
            <w:tcW w:w="1276" w:type="dxa"/>
            <w:shd w:val="clear" w:color="auto" w:fill="auto"/>
            <w:vAlign w:val="center"/>
          </w:tcPr>
          <w:p w14:paraId="204430DD" w14:textId="77777777" w:rsidR="005E57D7" w:rsidRPr="0014168F" w:rsidRDefault="005E57D7" w:rsidP="005E57D7">
            <w:pPr>
              <w:pStyle w:val="naisf"/>
              <w:spacing w:before="0" w:after="0"/>
              <w:ind w:firstLine="0"/>
              <w:jc w:val="center"/>
            </w:pPr>
            <w:r w:rsidRPr="0014168F">
              <w:rPr>
                <w:rFonts w:eastAsia="Calibri"/>
              </w:rPr>
              <w:t>0</w:t>
            </w:r>
          </w:p>
        </w:tc>
        <w:tc>
          <w:tcPr>
            <w:tcW w:w="1246" w:type="dxa"/>
            <w:shd w:val="clear" w:color="auto" w:fill="auto"/>
            <w:vAlign w:val="center"/>
          </w:tcPr>
          <w:p w14:paraId="7313602E" w14:textId="77777777" w:rsidR="005E57D7" w:rsidRPr="0014168F" w:rsidRDefault="005E57D7" w:rsidP="005E57D7">
            <w:pPr>
              <w:pStyle w:val="naisf"/>
              <w:spacing w:before="0" w:after="0"/>
              <w:ind w:firstLine="0"/>
              <w:jc w:val="center"/>
            </w:pPr>
            <w:r w:rsidRPr="0014168F">
              <w:rPr>
                <w:rFonts w:eastAsia="Calibri"/>
              </w:rPr>
              <w:t>0</w:t>
            </w:r>
          </w:p>
        </w:tc>
        <w:tc>
          <w:tcPr>
            <w:tcW w:w="1387" w:type="dxa"/>
            <w:shd w:val="clear" w:color="auto" w:fill="auto"/>
            <w:vAlign w:val="center"/>
          </w:tcPr>
          <w:p w14:paraId="495DB301" w14:textId="77777777" w:rsidR="005E57D7" w:rsidRPr="0014168F" w:rsidRDefault="005E57D7" w:rsidP="005E57D7">
            <w:pPr>
              <w:pStyle w:val="naisf"/>
              <w:spacing w:before="0" w:after="0"/>
              <w:ind w:firstLine="0"/>
              <w:jc w:val="center"/>
            </w:pPr>
            <w:r w:rsidRPr="0014168F">
              <w:rPr>
                <w:rFonts w:eastAsia="Calibri"/>
              </w:rPr>
              <w:t>0</w:t>
            </w:r>
          </w:p>
        </w:tc>
      </w:tr>
      <w:tr w:rsidR="00B00B68" w:rsidRPr="00D91AE9" w14:paraId="3CC881E8" w14:textId="77777777" w:rsidTr="00DD2EFA">
        <w:trPr>
          <w:jc w:val="center"/>
        </w:trPr>
        <w:tc>
          <w:tcPr>
            <w:tcW w:w="2229" w:type="dxa"/>
          </w:tcPr>
          <w:p w14:paraId="33AE0EBC" w14:textId="77777777" w:rsidR="00B00B68" w:rsidRPr="00C2761A" w:rsidRDefault="00B00B68" w:rsidP="00B00B68">
            <w:r w:rsidRPr="00C2761A">
              <w:t>2. Budžeta izdevumi:</w:t>
            </w:r>
          </w:p>
        </w:tc>
        <w:tc>
          <w:tcPr>
            <w:tcW w:w="1273" w:type="dxa"/>
            <w:vAlign w:val="center"/>
          </w:tcPr>
          <w:p w14:paraId="377803B6" w14:textId="77777777" w:rsidR="00B00B68" w:rsidRPr="00C2761A" w:rsidRDefault="00B00B68" w:rsidP="00B00B68">
            <w:pPr>
              <w:pStyle w:val="naisf"/>
              <w:spacing w:before="0" w:after="0"/>
              <w:ind w:firstLine="0"/>
              <w:jc w:val="center"/>
            </w:pPr>
            <w:r w:rsidRPr="00C2761A">
              <w:t>0</w:t>
            </w:r>
          </w:p>
        </w:tc>
        <w:tc>
          <w:tcPr>
            <w:tcW w:w="1352" w:type="dxa"/>
            <w:vAlign w:val="center"/>
          </w:tcPr>
          <w:p w14:paraId="1233268D" w14:textId="77777777" w:rsidR="00B00B68" w:rsidRPr="00C2761A" w:rsidRDefault="00B00B68" w:rsidP="00B00B68">
            <w:pPr>
              <w:pStyle w:val="naisf"/>
              <w:spacing w:before="0" w:after="0"/>
              <w:ind w:firstLine="0"/>
              <w:jc w:val="center"/>
            </w:pPr>
            <w:r>
              <w:t>0</w:t>
            </w:r>
          </w:p>
        </w:tc>
        <w:tc>
          <w:tcPr>
            <w:tcW w:w="1276" w:type="dxa"/>
            <w:shd w:val="clear" w:color="auto" w:fill="auto"/>
            <w:vAlign w:val="center"/>
          </w:tcPr>
          <w:p w14:paraId="4F5AA2FF" w14:textId="7236AF8F" w:rsidR="00B00B68" w:rsidRPr="0014168F" w:rsidRDefault="00DA736C" w:rsidP="00B00B68">
            <w:pPr>
              <w:pStyle w:val="naisf"/>
              <w:spacing w:before="0" w:after="0"/>
              <w:ind w:firstLine="0"/>
              <w:jc w:val="center"/>
              <w:rPr>
                <w:highlight w:val="yellow"/>
              </w:rPr>
            </w:pPr>
            <w:r w:rsidRPr="0014168F">
              <w:rPr>
                <w:color w:val="000000"/>
              </w:rPr>
              <w:t>6 510 557</w:t>
            </w:r>
          </w:p>
        </w:tc>
        <w:tc>
          <w:tcPr>
            <w:tcW w:w="1246" w:type="dxa"/>
            <w:shd w:val="clear" w:color="auto" w:fill="auto"/>
            <w:vAlign w:val="center"/>
          </w:tcPr>
          <w:p w14:paraId="632BFE2E" w14:textId="5464F660" w:rsidR="00B00B68" w:rsidRPr="0014168F" w:rsidRDefault="00A66EFE" w:rsidP="00B00B68">
            <w:pPr>
              <w:pStyle w:val="naisf"/>
              <w:spacing w:before="0" w:after="0"/>
              <w:ind w:firstLine="0"/>
              <w:jc w:val="center"/>
              <w:rPr>
                <w:highlight w:val="yellow"/>
              </w:rPr>
            </w:pPr>
            <w:r w:rsidRPr="0014168F">
              <w:rPr>
                <w:color w:val="000000"/>
              </w:rPr>
              <w:t>6 510 557</w:t>
            </w:r>
          </w:p>
        </w:tc>
        <w:tc>
          <w:tcPr>
            <w:tcW w:w="1387" w:type="dxa"/>
            <w:shd w:val="clear" w:color="auto" w:fill="auto"/>
            <w:vAlign w:val="center"/>
          </w:tcPr>
          <w:p w14:paraId="29C319FB" w14:textId="27905CD4" w:rsidR="00B00B68" w:rsidRPr="0014168F" w:rsidRDefault="002C7EB9" w:rsidP="00B00B68">
            <w:pPr>
              <w:pStyle w:val="naisf"/>
              <w:spacing w:before="0" w:after="0"/>
              <w:ind w:firstLine="0"/>
              <w:jc w:val="center"/>
              <w:rPr>
                <w:highlight w:val="yellow"/>
              </w:rPr>
            </w:pPr>
            <w:r w:rsidRPr="0014168F">
              <w:rPr>
                <w:color w:val="000000"/>
              </w:rPr>
              <w:t>6 510 557</w:t>
            </w:r>
          </w:p>
        </w:tc>
      </w:tr>
      <w:tr w:rsidR="00A20C29" w:rsidRPr="00D91AE9" w14:paraId="2A970205" w14:textId="77777777" w:rsidTr="00DD2EFA">
        <w:trPr>
          <w:jc w:val="center"/>
        </w:trPr>
        <w:tc>
          <w:tcPr>
            <w:tcW w:w="2229" w:type="dxa"/>
          </w:tcPr>
          <w:p w14:paraId="732C854F" w14:textId="77777777" w:rsidR="00A20C29" w:rsidRPr="00C2761A" w:rsidRDefault="00A20C29" w:rsidP="00A20C29">
            <w:r w:rsidRPr="00C2761A">
              <w:rPr>
                <w:rFonts w:eastAsia="Calibri"/>
              </w:rPr>
              <w:t>2.1. valsts pamatbudžets</w:t>
            </w:r>
          </w:p>
        </w:tc>
        <w:tc>
          <w:tcPr>
            <w:tcW w:w="1273" w:type="dxa"/>
            <w:vAlign w:val="center"/>
          </w:tcPr>
          <w:p w14:paraId="0E031459" w14:textId="77777777" w:rsidR="00A20C29" w:rsidRPr="00C2761A" w:rsidRDefault="00A20C29" w:rsidP="00A20C29">
            <w:pPr>
              <w:pStyle w:val="naisf"/>
              <w:spacing w:before="0" w:after="0"/>
              <w:ind w:firstLine="0"/>
              <w:jc w:val="center"/>
            </w:pPr>
            <w:r w:rsidRPr="00C2761A">
              <w:rPr>
                <w:rFonts w:eastAsia="Calibri"/>
              </w:rPr>
              <w:t>0</w:t>
            </w:r>
          </w:p>
        </w:tc>
        <w:tc>
          <w:tcPr>
            <w:tcW w:w="1352" w:type="dxa"/>
            <w:vAlign w:val="center"/>
          </w:tcPr>
          <w:p w14:paraId="27305C7F" w14:textId="77777777" w:rsidR="00A20C29" w:rsidRPr="00C2761A" w:rsidRDefault="00A20C29" w:rsidP="00A20C29">
            <w:pPr>
              <w:pStyle w:val="naisf"/>
              <w:spacing w:before="0" w:after="0"/>
              <w:ind w:firstLine="0"/>
              <w:jc w:val="center"/>
            </w:pPr>
            <w:r>
              <w:t>0</w:t>
            </w:r>
          </w:p>
        </w:tc>
        <w:tc>
          <w:tcPr>
            <w:tcW w:w="1276" w:type="dxa"/>
            <w:shd w:val="clear" w:color="auto" w:fill="auto"/>
            <w:vAlign w:val="center"/>
          </w:tcPr>
          <w:p w14:paraId="05593687" w14:textId="76FFF4B2" w:rsidR="00A20C29" w:rsidRPr="0014168F" w:rsidRDefault="00A20C29" w:rsidP="00A20C29">
            <w:pPr>
              <w:pStyle w:val="naisf"/>
              <w:spacing w:before="0" w:after="0"/>
              <w:ind w:firstLine="0"/>
              <w:jc w:val="center"/>
              <w:rPr>
                <w:highlight w:val="yellow"/>
              </w:rPr>
            </w:pPr>
            <w:r w:rsidRPr="0014168F">
              <w:rPr>
                <w:color w:val="000000"/>
              </w:rPr>
              <w:t>6 510 557</w:t>
            </w:r>
          </w:p>
        </w:tc>
        <w:tc>
          <w:tcPr>
            <w:tcW w:w="1246" w:type="dxa"/>
            <w:shd w:val="clear" w:color="auto" w:fill="auto"/>
            <w:vAlign w:val="center"/>
          </w:tcPr>
          <w:p w14:paraId="4A8D89F9" w14:textId="32E68FFA" w:rsidR="00A20C29" w:rsidRPr="0014168F" w:rsidRDefault="00A66EFE" w:rsidP="00A20C29">
            <w:pPr>
              <w:pStyle w:val="naisf"/>
              <w:spacing w:before="0" w:after="0"/>
              <w:ind w:firstLine="0"/>
              <w:jc w:val="center"/>
              <w:rPr>
                <w:highlight w:val="yellow"/>
              </w:rPr>
            </w:pPr>
            <w:r w:rsidRPr="0014168F">
              <w:rPr>
                <w:color w:val="000000"/>
              </w:rPr>
              <w:t>6 510 557</w:t>
            </w:r>
          </w:p>
        </w:tc>
        <w:tc>
          <w:tcPr>
            <w:tcW w:w="1387" w:type="dxa"/>
            <w:shd w:val="clear" w:color="auto" w:fill="auto"/>
            <w:vAlign w:val="center"/>
          </w:tcPr>
          <w:p w14:paraId="32F2E063" w14:textId="01B74FFB" w:rsidR="00A20C29" w:rsidRPr="0014168F" w:rsidRDefault="002C7EB9" w:rsidP="00A20C29">
            <w:pPr>
              <w:pStyle w:val="naisf"/>
              <w:spacing w:before="0" w:after="0"/>
              <w:ind w:firstLine="0"/>
              <w:jc w:val="center"/>
              <w:rPr>
                <w:highlight w:val="yellow"/>
              </w:rPr>
            </w:pPr>
            <w:r w:rsidRPr="0014168F">
              <w:rPr>
                <w:color w:val="000000"/>
              </w:rPr>
              <w:t>6 510 557</w:t>
            </w:r>
          </w:p>
        </w:tc>
      </w:tr>
      <w:tr w:rsidR="005E57D7" w:rsidRPr="00D91AE9" w14:paraId="6E9198D2" w14:textId="77777777" w:rsidTr="00DD2EFA">
        <w:trPr>
          <w:jc w:val="center"/>
        </w:trPr>
        <w:tc>
          <w:tcPr>
            <w:tcW w:w="2229" w:type="dxa"/>
          </w:tcPr>
          <w:p w14:paraId="7E353B4D" w14:textId="77777777" w:rsidR="005E57D7" w:rsidRPr="00C2761A" w:rsidRDefault="005E57D7" w:rsidP="005E57D7">
            <w:r w:rsidRPr="00C2761A">
              <w:rPr>
                <w:rFonts w:eastAsia="Calibri"/>
              </w:rPr>
              <w:t>2.2. valsts speciālais budžets</w:t>
            </w:r>
          </w:p>
        </w:tc>
        <w:tc>
          <w:tcPr>
            <w:tcW w:w="1273" w:type="dxa"/>
            <w:vAlign w:val="center"/>
          </w:tcPr>
          <w:p w14:paraId="5B30EFBC" w14:textId="77777777" w:rsidR="005E57D7" w:rsidRPr="00C2761A" w:rsidRDefault="005E57D7" w:rsidP="005E57D7">
            <w:pPr>
              <w:pStyle w:val="naisf"/>
              <w:spacing w:before="0" w:after="0"/>
              <w:ind w:firstLine="0"/>
              <w:jc w:val="center"/>
            </w:pPr>
            <w:r w:rsidRPr="00C2761A">
              <w:rPr>
                <w:rFonts w:eastAsia="Calibri"/>
              </w:rPr>
              <w:t>0</w:t>
            </w:r>
          </w:p>
        </w:tc>
        <w:tc>
          <w:tcPr>
            <w:tcW w:w="1352" w:type="dxa"/>
            <w:vAlign w:val="center"/>
          </w:tcPr>
          <w:p w14:paraId="7F69D563" w14:textId="77777777" w:rsidR="005E57D7" w:rsidRPr="00C2761A" w:rsidRDefault="005E57D7" w:rsidP="005E57D7">
            <w:pPr>
              <w:pStyle w:val="naisf"/>
              <w:spacing w:before="0" w:after="0"/>
              <w:ind w:firstLine="0"/>
              <w:jc w:val="center"/>
            </w:pPr>
            <w:r w:rsidRPr="00C2761A">
              <w:rPr>
                <w:rFonts w:eastAsia="Calibri"/>
              </w:rPr>
              <w:t>0</w:t>
            </w:r>
          </w:p>
        </w:tc>
        <w:tc>
          <w:tcPr>
            <w:tcW w:w="1276" w:type="dxa"/>
            <w:shd w:val="clear" w:color="auto" w:fill="auto"/>
            <w:vAlign w:val="center"/>
          </w:tcPr>
          <w:p w14:paraId="1A2C2BDB" w14:textId="77777777" w:rsidR="005E57D7" w:rsidRPr="0014168F" w:rsidRDefault="005E57D7" w:rsidP="005E57D7">
            <w:pPr>
              <w:pStyle w:val="naisf"/>
              <w:spacing w:before="0" w:after="0"/>
              <w:ind w:firstLine="0"/>
              <w:jc w:val="center"/>
            </w:pPr>
            <w:r w:rsidRPr="0014168F">
              <w:rPr>
                <w:rFonts w:eastAsia="Calibri"/>
              </w:rPr>
              <w:t>0</w:t>
            </w:r>
          </w:p>
        </w:tc>
        <w:tc>
          <w:tcPr>
            <w:tcW w:w="1246" w:type="dxa"/>
            <w:shd w:val="clear" w:color="auto" w:fill="auto"/>
            <w:vAlign w:val="center"/>
          </w:tcPr>
          <w:p w14:paraId="2B9B31D3" w14:textId="77777777" w:rsidR="005E57D7" w:rsidRPr="0014168F" w:rsidRDefault="005E57D7" w:rsidP="005E57D7">
            <w:pPr>
              <w:pStyle w:val="naisf"/>
              <w:spacing w:before="0" w:after="0"/>
              <w:ind w:firstLine="0"/>
              <w:jc w:val="center"/>
            </w:pPr>
            <w:r w:rsidRPr="0014168F">
              <w:rPr>
                <w:rFonts w:eastAsia="Calibri"/>
              </w:rPr>
              <w:t>0</w:t>
            </w:r>
          </w:p>
        </w:tc>
        <w:tc>
          <w:tcPr>
            <w:tcW w:w="1387" w:type="dxa"/>
            <w:shd w:val="clear" w:color="auto" w:fill="auto"/>
            <w:vAlign w:val="center"/>
          </w:tcPr>
          <w:p w14:paraId="7BD32724" w14:textId="77777777" w:rsidR="005E57D7" w:rsidRPr="0014168F" w:rsidRDefault="005E57D7" w:rsidP="005E57D7">
            <w:pPr>
              <w:pStyle w:val="naisf"/>
              <w:spacing w:before="0" w:after="0"/>
              <w:ind w:firstLine="0"/>
              <w:jc w:val="center"/>
            </w:pPr>
            <w:r w:rsidRPr="0014168F">
              <w:rPr>
                <w:rFonts w:eastAsia="Calibri"/>
              </w:rPr>
              <w:t>0</w:t>
            </w:r>
          </w:p>
        </w:tc>
      </w:tr>
      <w:tr w:rsidR="005E57D7" w:rsidRPr="00D91AE9" w14:paraId="33DD3F9C" w14:textId="77777777" w:rsidTr="00DD2EFA">
        <w:trPr>
          <w:jc w:val="center"/>
        </w:trPr>
        <w:tc>
          <w:tcPr>
            <w:tcW w:w="2229" w:type="dxa"/>
          </w:tcPr>
          <w:p w14:paraId="62A09D28" w14:textId="77777777" w:rsidR="005E57D7" w:rsidRPr="00C2761A" w:rsidRDefault="005E57D7" w:rsidP="005E57D7">
            <w:r w:rsidRPr="00C2761A">
              <w:rPr>
                <w:rFonts w:eastAsia="Calibri"/>
              </w:rPr>
              <w:t>2.3. pašvaldību budžets</w:t>
            </w:r>
          </w:p>
        </w:tc>
        <w:tc>
          <w:tcPr>
            <w:tcW w:w="1273" w:type="dxa"/>
            <w:vAlign w:val="center"/>
          </w:tcPr>
          <w:p w14:paraId="46BA04E3" w14:textId="77777777" w:rsidR="005E57D7" w:rsidRPr="00C2761A" w:rsidRDefault="005E57D7" w:rsidP="005E57D7">
            <w:pPr>
              <w:pStyle w:val="naisf"/>
              <w:spacing w:before="0" w:after="0"/>
              <w:ind w:firstLine="0"/>
              <w:jc w:val="center"/>
            </w:pPr>
            <w:r w:rsidRPr="00C2761A">
              <w:rPr>
                <w:rFonts w:eastAsia="Calibri"/>
              </w:rPr>
              <w:t>0</w:t>
            </w:r>
          </w:p>
        </w:tc>
        <w:tc>
          <w:tcPr>
            <w:tcW w:w="1352" w:type="dxa"/>
            <w:vAlign w:val="center"/>
          </w:tcPr>
          <w:p w14:paraId="695A4DE2" w14:textId="77777777" w:rsidR="005E57D7" w:rsidRPr="00C2761A" w:rsidRDefault="005E57D7" w:rsidP="005E57D7">
            <w:pPr>
              <w:pStyle w:val="naisf"/>
              <w:spacing w:before="0" w:after="0"/>
              <w:ind w:firstLine="0"/>
              <w:jc w:val="center"/>
            </w:pPr>
            <w:r w:rsidRPr="00C2761A">
              <w:rPr>
                <w:rFonts w:eastAsia="Calibri"/>
              </w:rPr>
              <w:t>0</w:t>
            </w:r>
          </w:p>
        </w:tc>
        <w:tc>
          <w:tcPr>
            <w:tcW w:w="1276" w:type="dxa"/>
            <w:shd w:val="clear" w:color="auto" w:fill="auto"/>
            <w:vAlign w:val="center"/>
          </w:tcPr>
          <w:p w14:paraId="486AB3A3" w14:textId="77777777" w:rsidR="005E57D7" w:rsidRPr="0014168F" w:rsidRDefault="005E57D7" w:rsidP="005E57D7">
            <w:pPr>
              <w:pStyle w:val="naisf"/>
              <w:spacing w:before="0" w:after="0"/>
              <w:ind w:firstLine="0"/>
              <w:jc w:val="center"/>
            </w:pPr>
            <w:r w:rsidRPr="0014168F">
              <w:rPr>
                <w:rFonts w:eastAsia="Calibri"/>
              </w:rPr>
              <w:t>0</w:t>
            </w:r>
          </w:p>
        </w:tc>
        <w:tc>
          <w:tcPr>
            <w:tcW w:w="1246" w:type="dxa"/>
            <w:shd w:val="clear" w:color="auto" w:fill="auto"/>
            <w:vAlign w:val="center"/>
          </w:tcPr>
          <w:p w14:paraId="407A5A91" w14:textId="77777777" w:rsidR="005E57D7" w:rsidRPr="0014168F" w:rsidRDefault="005E57D7" w:rsidP="005E57D7">
            <w:pPr>
              <w:pStyle w:val="naisf"/>
              <w:spacing w:before="0" w:after="0"/>
              <w:ind w:firstLine="0"/>
              <w:jc w:val="center"/>
            </w:pPr>
            <w:r w:rsidRPr="0014168F">
              <w:rPr>
                <w:rFonts w:eastAsia="Calibri"/>
              </w:rPr>
              <w:t>0</w:t>
            </w:r>
          </w:p>
        </w:tc>
        <w:tc>
          <w:tcPr>
            <w:tcW w:w="1387" w:type="dxa"/>
            <w:shd w:val="clear" w:color="auto" w:fill="auto"/>
            <w:vAlign w:val="center"/>
          </w:tcPr>
          <w:p w14:paraId="30F14B29" w14:textId="77777777" w:rsidR="005E57D7" w:rsidRPr="0014168F" w:rsidRDefault="005E57D7" w:rsidP="005E57D7">
            <w:pPr>
              <w:pStyle w:val="naisf"/>
              <w:spacing w:before="0" w:after="0"/>
              <w:ind w:firstLine="0"/>
              <w:jc w:val="center"/>
            </w:pPr>
            <w:r w:rsidRPr="0014168F">
              <w:rPr>
                <w:rFonts w:eastAsia="Calibri"/>
              </w:rPr>
              <w:t>0</w:t>
            </w:r>
          </w:p>
        </w:tc>
      </w:tr>
      <w:tr w:rsidR="00A66EFE" w:rsidRPr="00D91AE9" w14:paraId="2FAB24E8" w14:textId="77777777" w:rsidTr="00DD2EFA">
        <w:trPr>
          <w:jc w:val="center"/>
        </w:trPr>
        <w:tc>
          <w:tcPr>
            <w:tcW w:w="2229" w:type="dxa"/>
          </w:tcPr>
          <w:p w14:paraId="49DE03BC" w14:textId="77777777" w:rsidR="00A66EFE" w:rsidRPr="00C2761A" w:rsidRDefault="00A66EFE" w:rsidP="00A66EFE">
            <w:r w:rsidRPr="00C2761A">
              <w:t>3. Finansiālā ietekme:</w:t>
            </w:r>
          </w:p>
        </w:tc>
        <w:tc>
          <w:tcPr>
            <w:tcW w:w="1273" w:type="dxa"/>
            <w:shd w:val="clear" w:color="auto" w:fill="auto"/>
            <w:vAlign w:val="center"/>
          </w:tcPr>
          <w:p w14:paraId="654228BF" w14:textId="77777777" w:rsidR="00A66EFE" w:rsidRPr="00C2761A" w:rsidRDefault="00A66EFE" w:rsidP="00A66EFE">
            <w:pPr>
              <w:pStyle w:val="naisf"/>
              <w:spacing w:before="0" w:after="0"/>
              <w:ind w:firstLine="0"/>
              <w:jc w:val="center"/>
            </w:pPr>
            <w:r w:rsidRPr="00C2761A">
              <w:t>0</w:t>
            </w:r>
          </w:p>
        </w:tc>
        <w:tc>
          <w:tcPr>
            <w:tcW w:w="1352" w:type="dxa"/>
            <w:shd w:val="clear" w:color="auto" w:fill="auto"/>
            <w:vAlign w:val="center"/>
          </w:tcPr>
          <w:p w14:paraId="36222558" w14:textId="77777777" w:rsidR="00A66EFE" w:rsidRPr="003C4140" w:rsidRDefault="00A66EFE" w:rsidP="00A66EFE">
            <w:pPr>
              <w:pStyle w:val="naisf"/>
              <w:spacing w:before="0" w:after="0"/>
              <w:ind w:firstLine="0"/>
              <w:jc w:val="center"/>
            </w:pPr>
            <w:r>
              <w:t>0</w:t>
            </w:r>
          </w:p>
        </w:tc>
        <w:tc>
          <w:tcPr>
            <w:tcW w:w="1276" w:type="dxa"/>
            <w:shd w:val="clear" w:color="auto" w:fill="auto"/>
            <w:vAlign w:val="center"/>
          </w:tcPr>
          <w:p w14:paraId="56FF6168" w14:textId="71B99A3C" w:rsidR="00A66EFE" w:rsidRPr="0014168F" w:rsidRDefault="00A66EFE" w:rsidP="00A66EFE">
            <w:pPr>
              <w:pStyle w:val="naisf"/>
              <w:spacing w:before="0" w:after="0"/>
              <w:ind w:firstLine="0"/>
              <w:jc w:val="center"/>
            </w:pPr>
            <w:r w:rsidRPr="0014168F">
              <w:rPr>
                <w:color w:val="000000"/>
              </w:rPr>
              <w:t>-976 584</w:t>
            </w:r>
          </w:p>
        </w:tc>
        <w:tc>
          <w:tcPr>
            <w:tcW w:w="1246" w:type="dxa"/>
            <w:shd w:val="clear" w:color="auto" w:fill="auto"/>
            <w:vAlign w:val="center"/>
          </w:tcPr>
          <w:p w14:paraId="1E48B4B7" w14:textId="46CDECDD" w:rsidR="00A66EFE" w:rsidRPr="0014168F" w:rsidRDefault="00A66EFE" w:rsidP="00A66EFE">
            <w:pPr>
              <w:pStyle w:val="naisf"/>
              <w:spacing w:before="0" w:after="0"/>
              <w:ind w:firstLine="0"/>
              <w:jc w:val="center"/>
            </w:pPr>
            <w:r w:rsidRPr="0014168F">
              <w:rPr>
                <w:color w:val="000000"/>
              </w:rPr>
              <w:t>-976 584</w:t>
            </w:r>
          </w:p>
        </w:tc>
        <w:tc>
          <w:tcPr>
            <w:tcW w:w="1387" w:type="dxa"/>
            <w:shd w:val="clear" w:color="auto" w:fill="auto"/>
            <w:vAlign w:val="center"/>
          </w:tcPr>
          <w:p w14:paraId="66499377" w14:textId="7083F918" w:rsidR="00A66EFE" w:rsidRPr="0014168F" w:rsidRDefault="00A66EFE" w:rsidP="00A66EFE">
            <w:pPr>
              <w:pStyle w:val="naisf"/>
              <w:spacing w:before="0" w:after="0"/>
              <w:ind w:firstLine="0"/>
              <w:jc w:val="center"/>
            </w:pPr>
            <w:r w:rsidRPr="0014168F">
              <w:rPr>
                <w:color w:val="000000"/>
              </w:rPr>
              <w:t>-</w:t>
            </w:r>
            <w:r w:rsidR="002C7EB9" w:rsidRPr="0014168F">
              <w:rPr>
                <w:color w:val="000000"/>
              </w:rPr>
              <w:t>976 584</w:t>
            </w:r>
          </w:p>
        </w:tc>
      </w:tr>
      <w:tr w:rsidR="00A66EFE" w:rsidRPr="00D91AE9" w14:paraId="07E849A9" w14:textId="77777777" w:rsidTr="00DD2EFA">
        <w:trPr>
          <w:jc w:val="center"/>
        </w:trPr>
        <w:tc>
          <w:tcPr>
            <w:tcW w:w="2229" w:type="dxa"/>
          </w:tcPr>
          <w:p w14:paraId="53B3A89A" w14:textId="77777777" w:rsidR="00A66EFE" w:rsidRPr="00C2761A" w:rsidRDefault="00A66EFE" w:rsidP="00A66EFE">
            <w:r w:rsidRPr="00C2761A">
              <w:rPr>
                <w:rFonts w:eastAsia="Calibri"/>
              </w:rPr>
              <w:lastRenderedPageBreak/>
              <w:t>3.1. valsts pamatbudžets</w:t>
            </w:r>
          </w:p>
        </w:tc>
        <w:tc>
          <w:tcPr>
            <w:tcW w:w="1273" w:type="dxa"/>
            <w:shd w:val="clear" w:color="auto" w:fill="auto"/>
            <w:vAlign w:val="center"/>
          </w:tcPr>
          <w:p w14:paraId="2E58115C" w14:textId="77777777" w:rsidR="00A66EFE" w:rsidRPr="00C2761A" w:rsidRDefault="00A66EFE" w:rsidP="00A66EFE">
            <w:pPr>
              <w:pStyle w:val="naisf"/>
              <w:spacing w:before="0" w:after="0"/>
              <w:ind w:firstLine="0"/>
              <w:jc w:val="center"/>
            </w:pPr>
            <w:r w:rsidRPr="00C2761A">
              <w:rPr>
                <w:rFonts w:eastAsia="Calibri"/>
              </w:rPr>
              <w:t>0</w:t>
            </w:r>
          </w:p>
        </w:tc>
        <w:tc>
          <w:tcPr>
            <w:tcW w:w="1352" w:type="dxa"/>
            <w:shd w:val="clear" w:color="auto" w:fill="auto"/>
            <w:vAlign w:val="center"/>
          </w:tcPr>
          <w:p w14:paraId="039EC21A" w14:textId="77777777" w:rsidR="00A66EFE" w:rsidRPr="003C4140" w:rsidRDefault="00A66EFE" w:rsidP="00A66EFE">
            <w:pPr>
              <w:pStyle w:val="naisf"/>
              <w:spacing w:before="0" w:after="0"/>
              <w:ind w:firstLine="0"/>
              <w:jc w:val="center"/>
            </w:pPr>
            <w:r>
              <w:t>0</w:t>
            </w:r>
          </w:p>
        </w:tc>
        <w:tc>
          <w:tcPr>
            <w:tcW w:w="1276" w:type="dxa"/>
            <w:shd w:val="clear" w:color="auto" w:fill="auto"/>
            <w:vAlign w:val="center"/>
          </w:tcPr>
          <w:p w14:paraId="7C892473" w14:textId="5084E3F1" w:rsidR="00A66EFE" w:rsidRPr="0014168F" w:rsidRDefault="00A66EFE" w:rsidP="00A66EFE">
            <w:pPr>
              <w:pStyle w:val="naisf"/>
              <w:spacing w:before="0" w:after="0"/>
              <w:ind w:firstLine="0"/>
              <w:jc w:val="center"/>
            </w:pPr>
            <w:r w:rsidRPr="0014168F">
              <w:rPr>
                <w:color w:val="000000"/>
              </w:rPr>
              <w:t>-976 584</w:t>
            </w:r>
          </w:p>
        </w:tc>
        <w:tc>
          <w:tcPr>
            <w:tcW w:w="1246" w:type="dxa"/>
            <w:shd w:val="clear" w:color="auto" w:fill="auto"/>
            <w:vAlign w:val="center"/>
          </w:tcPr>
          <w:p w14:paraId="34485B25" w14:textId="03000476" w:rsidR="00A66EFE" w:rsidRPr="0014168F" w:rsidRDefault="00A66EFE" w:rsidP="00A66EFE">
            <w:pPr>
              <w:pStyle w:val="naisf"/>
              <w:spacing w:before="0" w:after="0"/>
              <w:ind w:firstLine="0"/>
              <w:jc w:val="center"/>
            </w:pPr>
            <w:r w:rsidRPr="0014168F">
              <w:rPr>
                <w:color w:val="000000"/>
              </w:rPr>
              <w:t>-976 584</w:t>
            </w:r>
          </w:p>
        </w:tc>
        <w:tc>
          <w:tcPr>
            <w:tcW w:w="1387" w:type="dxa"/>
            <w:shd w:val="clear" w:color="auto" w:fill="auto"/>
            <w:vAlign w:val="center"/>
          </w:tcPr>
          <w:p w14:paraId="56DD6E96" w14:textId="11F7EE4F" w:rsidR="00A66EFE" w:rsidRPr="0014168F" w:rsidRDefault="00A66EFE" w:rsidP="00A66EFE">
            <w:pPr>
              <w:pStyle w:val="naisf"/>
              <w:spacing w:before="0" w:after="0"/>
              <w:ind w:firstLine="0"/>
              <w:jc w:val="center"/>
            </w:pPr>
            <w:r w:rsidRPr="0014168F">
              <w:rPr>
                <w:color w:val="000000"/>
              </w:rPr>
              <w:t>-</w:t>
            </w:r>
            <w:r w:rsidR="002C7EB9" w:rsidRPr="0014168F">
              <w:rPr>
                <w:color w:val="000000"/>
              </w:rPr>
              <w:t>976 584</w:t>
            </w:r>
          </w:p>
        </w:tc>
      </w:tr>
      <w:tr w:rsidR="005E57D7" w:rsidRPr="00D91AE9" w14:paraId="52E16D12" w14:textId="77777777" w:rsidTr="00DD2EFA">
        <w:trPr>
          <w:jc w:val="center"/>
        </w:trPr>
        <w:tc>
          <w:tcPr>
            <w:tcW w:w="2229" w:type="dxa"/>
          </w:tcPr>
          <w:p w14:paraId="755E91B6" w14:textId="77777777" w:rsidR="005E57D7" w:rsidRPr="00C2761A" w:rsidRDefault="005E57D7" w:rsidP="005E57D7">
            <w:r w:rsidRPr="00C2761A">
              <w:rPr>
                <w:rFonts w:eastAsia="Calibri"/>
              </w:rPr>
              <w:t>3.2. speciālais budžets</w:t>
            </w:r>
          </w:p>
        </w:tc>
        <w:tc>
          <w:tcPr>
            <w:tcW w:w="1273" w:type="dxa"/>
            <w:shd w:val="clear" w:color="auto" w:fill="auto"/>
            <w:vAlign w:val="center"/>
          </w:tcPr>
          <w:p w14:paraId="4808F199" w14:textId="77777777" w:rsidR="005E57D7" w:rsidRPr="00C2761A" w:rsidRDefault="005E57D7" w:rsidP="005E57D7">
            <w:pPr>
              <w:pStyle w:val="naisf"/>
              <w:spacing w:before="0" w:after="0"/>
              <w:ind w:firstLine="0"/>
              <w:jc w:val="center"/>
            </w:pPr>
            <w:r w:rsidRPr="00C2761A">
              <w:rPr>
                <w:rFonts w:eastAsia="Calibri"/>
              </w:rPr>
              <w:t>0</w:t>
            </w:r>
          </w:p>
        </w:tc>
        <w:tc>
          <w:tcPr>
            <w:tcW w:w="1352" w:type="dxa"/>
            <w:shd w:val="clear" w:color="auto" w:fill="auto"/>
            <w:vAlign w:val="center"/>
          </w:tcPr>
          <w:p w14:paraId="1A294570" w14:textId="77777777" w:rsidR="005E57D7" w:rsidRPr="00C2761A" w:rsidRDefault="005E57D7" w:rsidP="005E57D7">
            <w:pPr>
              <w:pStyle w:val="naisf"/>
              <w:spacing w:before="0" w:after="0"/>
              <w:ind w:firstLine="0"/>
              <w:jc w:val="center"/>
            </w:pPr>
            <w:r w:rsidRPr="00C2761A">
              <w:rPr>
                <w:rFonts w:eastAsia="Calibri"/>
              </w:rPr>
              <w:t>0</w:t>
            </w:r>
          </w:p>
        </w:tc>
        <w:tc>
          <w:tcPr>
            <w:tcW w:w="1276" w:type="dxa"/>
            <w:shd w:val="clear" w:color="auto" w:fill="auto"/>
            <w:vAlign w:val="center"/>
          </w:tcPr>
          <w:p w14:paraId="3C599EC6" w14:textId="77777777" w:rsidR="005E57D7" w:rsidRPr="0014168F" w:rsidRDefault="005E57D7" w:rsidP="005E57D7">
            <w:pPr>
              <w:pStyle w:val="naisf"/>
              <w:spacing w:before="0" w:after="0"/>
              <w:ind w:firstLine="0"/>
              <w:jc w:val="center"/>
            </w:pPr>
            <w:r w:rsidRPr="0014168F">
              <w:rPr>
                <w:rFonts w:eastAsia="Calibri"/>
              </w:rPr>
              <w:t>0</w:t>
            </w:r>
          </w:p>
        </w:tc>
        <w:tc>
          <w:tcPr>
            <w:tcW w:w="1246" w:type="dxa"/>
            <w:shd w:val="clear" w:color="auto" w:fill="auto"/>
            <w:vAlign w:val="center"/>
          </w:tcPr>
          <w:p w14:paraId="552CD789" w14:textId="77777777" w:rsidR="005E57D7" w:rsidRPr="0014168F" w:rsidRDefault="005E57D7" w:rsidP="005E57D7">
            <w:pPr>
              <w:pStyle w:val="naisf"/>
              <w:spacing w:before="0" w:after="0"/>
              <w:ind w:firstLine="0"/>
              <w:jc w:val="center"/>
            </w:pPr>
            <w:r w:rsidRPr="0014168F">
              <w:rPr>
                <w:rFonts w:eastAsia="Calibri"/>
              </w:rPr>
              <w:t>0</w:t>
            </w:r>
          </w:p>
        </w:tc>
        <w:tc>
          <w:tcPr>
            <w:tcW w:w="1387" w:type="dxa"/>
            <w:shd w:val="clear" w:color="auto" w:fill="auto"/>
            <w:vAlign w:val="center"/>
          </w:tcPr>
          <w:p w14:paraId="34559928" w14:textId="77777777" w:rsidR="005E57D7" w:rsidRPr="0014168F" w:rsidRDefault="005E57D7" w:rsidP="005E57D7">
            <w:pPr>
              <w:pStyle w:val="naisf"/>
              <w:spacing w:before="0" w:after="0"/>
              <w:ind w:firstLine="0"/>
              <w:jc w:val="center"/>
            </w:pPr>
            <w:r w:rsidRPr="0014168F">
              <w:rPr>
                <w:rFonts w:eastAsia="Calibri"/>
              </w:rPr>
              <w:t>0</w:t>
            </w:r>
          </w:p>
        </w:tc>
      </w:tr>
      <w:tr w:rsidR="005E57D7" w:rsidRPr="00D91AE9" w14:paraId="716FC394" w14:textId="77777777" w:rsidTr="00DD2EFA">
        <w:trPr>
          <w:jc w:val="center"/>
        </w:trPr>
        <w:tc>
          <w:tcPr>
            <w:tcW w:w="2229" w:type="dxa"/>
          </w:tcPr>
          <w:p w14:paraId="2D2227B4" w14:textId="77777777" w:rsidR="005E57D7" w:rsidRPr="00C2761A" w:rsidRDefault="005E57D7" w:rsidP="005E57D7">
            <w:r w:rsidRPr="00C2761A">
              <w:rPr>
                <w:rFonts w:eastAsia="Calibri"/>
              </w:rPr>
              <w:t>3.3. pašvaldību budžets</w:t>
            </w:r>
          </w:p>
        </w:tc>
        <w:tc>
          <w:tcPr>
            <w:tcW w:w="1273" w:type="dxa"/>
            <w:shd w:val="clear" w:color="auto" w:fill="auto"/>
            <w:vAlign w:val="center"/>
          </w:tcPr>
          <w:p w14:paraId="1259E7E7" w14:textId="77777777" w:rsidR="005E57D7" w:rsidRPr="00C2761A" w:rsidRDefault="005E57D7" w:rsidP="005E57D7">
            <w:pPr>
              <w:pStyle w:val="naisf"/>
              <w:spacing w:before="0" w:after="0"/>
              <w:ind w:firstLine="0"/>
              <w:jc w:val="center"/>
            </w:pPr>
            <w:r w:rsidRPr="00C2761A">
              <w:rPr>
                <w:rFonts w:eastAsia="Calibri"/>
              </w:rPr>
              <w:t>0</w:t>
            </w:r>
          </w:p>
        </w:tc>
        <w:tc>
          <w:tcPr>
            <w:tcW w:w="1352" w:type="dxa"/>
            <w:shd w:val="clear" w:color="auto" w:fill="auto"/>
            <w:vAlign w:val="center"/>
          </w:tcPr>
          <w:p w14:paraId="1E2255A6" w14:textId="77777777" w:rsidR="005E57D7" w:rsidRPr="00C2761A" w:rsidRDefault="005E57D7" w:rsidP="005E57D7">
            <w:pPr>
              <w:pStyle w:val="naisf"/>
              <w:spacing w:before="0" w:after="0"/>
              <w:ind w:firstLine="0"/>
              <w:jc w:val="center"/>
            </w:pPr>
            <w:r w:rsidRPr="00C2761A">
              <w:rPr>
                <w:rFonts w:eastAsia="Calibri"/>
              </w:rPr>
              <w:t>0</w:t>
            </w:r>
          </w:p>
        </w:tc>
        <w:tc>
          <w:tcPr>
            <w:tcW w:w="1276" w:type="dxa"/>
            <w:shd w:val="clear" w:color="auto" w:fill="auto"/>
            <w:vAlign w:val="center"/>
          </w:tcPr>
          <w:p w14:paraId="263C74C8" w14:textId="77777777" w:rsidR="005E57D7" w:rsidRPr="0014168F" w:rsidRDefault="005E57D7" w:rsidP="005E57D7">
            <w:pPr>
              <w:pStyle w:val="naisf"/>
              <w:spacing w:before="0" w:after="0"/>
              <w:ind w:firstLine="0"/>
              <w:jc w:val="center"/>
            </w:pPr>
            <w:r w:rsidRPr="0014168F">
              <w:rPr>
                <w:rFonts w:eastAsia="Calibri"/>
              </w:rPr>
              <w:t>0</w:t>
            </w:r>
          </w:p>
        </w:tc>
        <w:tc>
          <w:tcPr>
            <w:tcW w:w="1246" w:type="dxa"/>
            <w:shd w:val="clear" w:color="auto" w:fill="auto"/>
            <w:vAlign w:val="center"/>
          </w:tcPr>
          <w:p w14:paraId="7858EE53" w14:textId="77777777" w:rsidR="005E57D7" w:rsidRPr="0014168F" w:rsidRDefault="005E57D7" w:rsidP="005E57D7">
            <w:pPr>
              <w:pStyle w:val="naisf"/>
              <w:spacing w:before="0" w:after="0"/>
              <w:ind w:firstLine="0"/>
              <w:jc w:val="center"/>
            </w:pPr>
            <w:r w:rsidRPr="0014168F">
              <w:rPr>
                <w:rFonts w:eastAsia="Calibri"/>
              </w:rPr>
              <w:t>0</w:t>
            </w:r>
          </w:p>
        </w:tc>
        <w:tc>
          <w:tcPr>
            <w:tcW w:w="1387" w:type="dxa"/>
            <w:shd w:val="clear" w:color="auto" w:fill="auto"/>
            <w:vAlign w:val="center"/>
          </w:tcPr>
          <w:p w14:paraId="06BBE5E9" w14:textId="77777777" w:rsidR="005E57D7" w:rsidRPr="0014168F" w:rsidRDefault="005E57D7" w:rsidP="005E57D7">
            <w:pPr>
              <w:pStyle w:val="naisf"/>
              <w:spacing w:before="0" w:after="0"/>
              <w:ind w:firstLine="0"/>
              <w:jc w:val="center"/>
            </w:pPr>
            <w:r w:rsidRPr="0014168F">
              <w:rPr>
                <w:rFonts w:eastAsia="Calibri"/>
              </w:rPr>
              <w:t>0</w:t>
            </w:r>
          </w:p>
        </w:tc>
      </w:tr>
      <w:tr w:rsidR="00F6363C" w:rsidRPr="00D91AE9" w14:paraId="0818B5CB" w14:textId="77777777" w:rsidTr="00DD2EFA">
        <w:trPr>
          <w:trHeight w:val="1380"/>
          <w:jc w:val="center"/>
        </w:trPr>
        <w:tc>
          <w:tcPr>
            <w:tcW w:w="2229" w:type="dxa"/>
          </w:tcPr>
          <w:p w14:paraId="67AEFDD9" w14:textId="77777777" w:rsidR="00F6363C" w:rsidRPr="00C2761A" w:rsidRDefault="00F6363C" w:rsidP="00F6363C">
            <w:r w:rsidRPr="00C2761A">
              <w:t xml:space="preserve">4. </w:t>
            </w:r>
            <w:r w:rsidRPr="001B623C">
              <w:t>Finanšu līdzekļi papildu izdevumu finansēšanai</w:t>
            </w:r>
            <w:r w:rsidRPr="00C2761A">
              <w:t xml:space="preserve"> (kompensējošu izdevumu samazinājumu norāda ar "+" zīmi)</w:t>
            </w:r>
          </w:p>
        </w:tc>
        <w:tc>
          <w:tcPr>
            <w:tcW w:w="1273" w:type="dxa"/>
            <w:vAlign w:val="center"/>
          </w:tcPr>
          <w:p w14:paraId="3F4D5C0D" w14:textId="6F7DF5FB" w:rsidR="00F6363C" w:rsidRPr="009922A4" w:rsidRDefault="00F6363C" w:rsidP="00F6363C">
            <w:pPr>
              <w:pStyle w:val="naisf"/>
              <w:spacing w:before="0" w:after="0"/>
              <w:ind w:firstLine="0"/>
              <w:jc w:val="center"/>
            </w:pPr>
            <w:r w:rsidRPr="009922A4">
              <w:t>0</w:t>
            </w:r>
          </w:p>
        </w:tc>
        <w:tc>
          <w:tcPr>
            <w:tcW w:w="1352" w:type="dxa"/>
            <w:vAlign w:val="center"/>
          </w:tcPr>
          <w:p w14:paraId="15D13FFC" w14:textId="4E52A19B" w:rsidR="00F6363C" w:rsidRPr="009922A4" w:rsidRDefault="00F6363C" w:rsidP="00F6363C">
            <w:pPr>
              <w:jc w:val="center"/>
            </w:pPr>
            <w:r w:rsidRPr="009922A4">
              <w:t>0</w:t>
            </w:r>
          </w:p>
        </w:tc>
        <w:tc>
          <w:tcPr>
            <w:tcW w:w="1276" w:type="dxa"/>
            <w:vAlign w:val="center"/>
          </w:tcPr>
          <w:p w14:paraId="1790512F" w14:textId="530EA83A" w:rsidR="00F6363C" w:rsidRPr="009922A4" w:rsidRDefault="00F6363C" w:rsidP="00782418">
            <w:r w:rsidRPr="009922A4">
              <w:rPr>
                <w:color w:val="000000"/>
              </w:rPr>
              <w:t>976 584</w:t>
            </w:r>
          </w:p>
        </w:tc>
        <w:tc>
          <w:tcPr>
            <w:tcW w:w="1246" w:type="dxa"/>
            <w:vAlign w:val="center"/>
          </w:tcPr>
          <w:p w14:paraId="1687391D" w14:textId="745888A4" w:rsidR="00F6363C" w:rsidRPr="0014168F" w:rsidRDefault="00F6363C" w:rsidP="00F6363C">
            <w:pPr>
              <w:jc w:val="center"/>
            </w:pPr>
            <w:r w:rsidRPr="0014168F">
              <w:rPr>
                <w:color w:val="000000"/>
              </w:rPr>
              <w:t>976 584</w:t>
            </w:r>
          </w:p>
        </w:tc>
        <w:tc>
          <w:tcPr>
            <w:tcW w:w="1387" w:type="dxa"/>
            <w:vAlign w:val="center"/>
          </w:tcPr>
          <w:p w14:paraId="5CA6DA7C" w14:textId="037EF80A" w:rsidR="00F6363C" w:rsidRPr="0014168F" w:rsidRDefault="002C7EB9" w:rsidP="00F6363C">
            <w:pPr>
              <w:jc w:val="center"/>
            </w:pPr>
            <w:r w:rsidRPr="0014168F">
              <w:rPr>
                <w:color w:val="000000"/>
              </w:rPr>
              <w:t>976 584</w:t>
            </w:r>
          </w:p>
        </w:tc>
      </w:tr>
      <w:tr w:rsidR="009A72C5" w:rsidRPr="00D91AE9" w14:paraId="3830E293" w14:textId="77777777" w:rsidTr="00DD2EFA">
        <w:trPr>
          <w:jc w:val="center"/>
        </w:trPr>
        <w:tc>
          <w:tcPr>
            <w:tcW w:w="2229" w:type="dxa"/>
          </w:tcPr>
          <w:p w14:paraId="3702F20E" w14:textId="77777777" w:rsidR="009A72C5" w:rsidRPr="00D91AE9" w:rsidRDefault="009A72C5" w:rsidP="00DD2EFA">
            <w:r w:rsidRPr="00D91AE9">
              <w:t>5. Precizēta finansiālā ietekme:</w:t>
            </w:r>
          </w:p>
        </w:tc>
        <w:tc>
          <w:tcPr>
            <w:tcW w:w="1273" w:type="dxa"/>
          </w:tcPr>
          <w:p w14:paraId="070CDD9A" w14:textId="77777777" w:rsidR="009A72C5" w:rsidRPr="00D91AE9" w:rsidRDefault="009A72C5" w:rsidP="00DD2EFA">
            <w:pPr>
              <w:pStyle w:val="naisf"/>
              <w:spacing w:before="0" w:after="0"/>
              <w:jc w:val="left"/>
            </w:pPr>
            <w:r w:rsidRPr="00D91AE9">
              <w:t>0</w:t>
            </w:r>
          </w:p>
        </w:tc>
        <w:tc>
          <w:tcPr>
            <w:tcW w:w="1352" w:type="dxa"/>
          </w:tcPr>
          <w:p w14:paraId="139E209C" w14:textId="77777777" w:rsidR="009A72C5" w:rsidRPr="00D91AE9" w:rsidRDefault="009A72C5" w:rsidP="00DD2EFA">
            <w:pPr>
              <w:pStyle w:val="naisf"/>
              <w:spacing w:before="0" w:after="0"/>
              <w:jc w:val="left"/>
            </w:pPr>
            <w:r w:rsidRPr="00D91AE9">
              <w:t>0</w:t>
            </w:r>
          </w:p>
        </w:tc>
        <w:tc>
          <w:tcPr>
            <w:tcW w:w="1276" w:type="dxa"/>
          </w:tcPr>
          <w:p w14:paraId="3455B4F9" w14:textId="77777777" w:rsidR="009A72C5" w:rsidRPr="00D91AE9" w:rsidRDefault="009A72C5" w:rsidP="00DD2EFA">
            <w:pPr>
              <w:jc w:val="center"/>
            </w:pPr>
            <w:r w:rsidRPr="00D91AE9">
              <w:t>0</w:t>
            </w:r>
          </w:p>
        </w:tc>
        <w:tc>
          <w:tcPr>
            <w:tcW w:w="1246" w:type="dxa"/>
          </w:tcPr>
          <w:p w14:paraId="570C860E" w14:textId="77777777" w:rsidR="009A72C5" w:rsidRPr="00D91AE9" w:rsidRDefault="009A72C5" w:rsidP="00DD2EFA">
            <w:pPr>
              <w:jc w:val="center"/>
            </w:pPr>
            <w:r w:rsidRPr="00D91AE9">
              <w:t>0</w:t>
            </w:r>
          </w:p>
        </w:tc>
        <w:tc>
          <w:tcPr>
            <w:tcW w:w="1387" w:type="dxa"/>
          </w:tcPr>
          <w:p w14:paraId="167F9983" w14:textId="77777777" w:rsidR="009A72C5" w:rsidRPr="00D91AE9" w:rsidRDefault="009A72C5" w:rsidP="00DD2EFA">
            <w:pPr>
              <w:jc w:val="center"/>
            </w:pPr>
            <w:r w:rsidRPr="00D91AE9">
              <w:t>0</w:t>
            </w:r>
          </w:p>
        </w:tc>
      </w:tr>
      <w:tr w:rsidR="009A72C5" w:rsidRPr="00D91AE9" w14:paraId="26C1F2E6" w14:textId="77777777" w:rsidTr="009922A4">
        <w:trPr>
          <w:trHeight w:val="835"/>
          <w:jc w:val="center"/>
        </w:trPr>
        <w:tc>
          <w:tcPr>
            <w:tcW w:w="2229" w:type="dxa"/>
            <w:shd w:val="clear" w:color="auto" w:fill="auto"/>
          </w:tcPr>
          <w:p w14:paraId="4670ECC8" w14:textId="77777777" w:rsidR="009A72C5" w:rsidRPr="00D91AE9" w:rsidRDefault="009A72C5" w:rsidP="00DD2EFA">
            <w:r w:rsidRPr="00D91AE9">
              <w:t>6. Detalizēts ieņēmumu un izdevumu aprēķins (ja nepie</w:t>
            </w:r>
            <w:r w:rsidRPr="00D91AE9">
              <w:softHyphen/>
              <w:t>ciešams, detalizētu ieņēmumu un izdevumu aprēķinu var pie</w:t>
            </w:r>
            <w:r w:rsidRPr="00D91AE9">
              <w:softHyphen/>
              <w:t>vienot anotācijas pielikumā):</w:t>
            </w:r>
          </w:p>
        </w:tc>
        <w:tc>
          <w:tcPr>
            <w:tcW w:w="6534" w:type="dxa"/>
            <w:gridSpan w:val="5"/>
            <w:vMerge w:val="restart"/>
            <w:shd w:val="clear" w:color="auto" w:fill="auto"/>
            <w:vAlign w:val="center"/>
          </w:tcPr>
          <w:p w14:paraId="75388427" w14:textId="77777777" w:rsidR="005E57D7" w:rsidRPr="00681991" w:rsidRDefault="005E57D7" w:rsidP="005E57D7">
            <w:pPr>
              <w:jc w:val="both"/>
            </w:pPr>
            <w:r w:rsidRPr="002D230A">
              <w:t>1.1.1.</w:t>
            </w:r>
            <w:r>
              <w:t>5</w:t>
            </w:r>
            <w:r w:rsidRPr="002D230A">
              <w:t>.</w:t>
            </w:r>
            <w:r w:rsidR="00BA0E1E">
              <w:t xml:space="preserve"> </w:t>
            </w:r>
            <w:r w:rsidRPr="002D230A">
              <w:t>pasākumam pieejamais kopēja</w:t>
            </w:r>
            <w:r w:rsidR="000C1578">
              <w:t xml:space="preserve">is attiecināmais finansējums </w:t>
            </w:r>
            <w:r w:rsidR="000C1578" w:rsidRPr="00D3764F">
              <w:t>ir 32 552 786 </w:t>
            </w:r>
            <w:r w:rsidR="000C1578" w:rsidRPr="00D3764F">
              <w:rPr>
                <w:i/>
              </w:rPr>
              <w:t>euro</w:t>
            </w:r>
            <w:r w:rsidR="000C1578" w:rsidRPr="00D3764F">
              <w:t>, tai skaitā Eiropas Reģionālās attīstības fonda finansējums 27 669 868 </w:t>
            </w:r>
            <w:r w:rsidR="000C1578" w:rsidRPr="00D3764F">
              <w:rPr>
                <w:i/>
              </w:rPr>
              <w:t>euro</w:t>
            </w:r>
            <w:r w:rsidR="000C1578" w:rsidRPr="00D3764F">
              <w:t xml:space="preserve"> un valsts budžeta līdzfinansējums 4 882 918 </w:t>
            </w:r>
            <w:r w:rsidR="000C1578" w:rsidRPr="00D3764F">
              <w:rPr>
                <w:i/>
              </w:rPr>
              <w:t>euro</w:t>
            </w:r>
            <w:r w:rsidRPr="00D3764F">
              <w:t>.</w:t>
            </w:r>
            <w:r w:rsidRPr="00681991">
              <w:t xml:space="preserve"> </w:t>
            </w:r>
          </w:p>
          <w:p w14:paraId="1432C1A9" w14:textId="72A51397" w:rsidR="005E57D7" w:rsidRDefault="005E57D7" w:rsidP="005E57D7">
            <w:pPr>
              <w:jc w:val="both"/>
            </w:pPr>
            <w:r w:rsidRPr="00681991">
              <w:t>Budžeta ieņēmumi ir finansējuma ERAF daļa 85% apmērā no 1.1.1.</w:t>
            </w:r>
            <w:r>
              <w:t>5</w:t>
            </w:r>
            <w:r w:rsidRPr="00681991">
              <w:t>.</w:t>
            </w:r>
            <w:r w:rsidR="00BA0E1E">
              <w:t xml:space="preserve"> </w:t>
            </w:r>
            <w:r w:rsidRPr="00681991">
              <w:t xml:space="preserve">pasākuma </w:t>
            </w:r>
            <w:r w:rsidRPr="00C07733">
              <w:t xml:space="preserve">finansējuma saņēmēja ar saimniecisko darbību nesaistītu </w:t>
            </w:r>
            <w:r w:rsidR="005C2ECF">
              <w:t xml:space="preserve">projektu </w:t>
            </w:r>
            <w:r w:rsidRPr="00C07733">
              <w:t>attiecināmām izmaksām.</w:t>
            </w:r>
          </w:p>
          <w:p w14:paraId="7A3C1CAD" w14:textId="19723B18" w:rsidR="005E57D7" w:rsidRPr="00681991" w:rsidRDefault="005E57D7" w:rsidP="005E57D7">
            <w:pPr>
              <w:jc w:val="both"/>
            </w:pPr>
            <w:r w:rsidRPr="00681991">
              <w:t>Budžeta izdevumi ir kopējie 1.1.1.</w:t>
            </w:r>
            <w:r>
              <w:t>5</w:t>
            </w:r>
            <w:r w:rsidRPr="00681991">
              <w:t>.</w:t>
            </w:r>
            <w:r w:rsidR="00BA0E1E">
              <w:t xml:space="preserve"> </w:t>
            </w:r>
            <w:r w:rsidRPr="00681991">
              <w:t xml:space="preserve">pasākuma finansējuma saņēmēja projekta ieviešanai nepieciešamie publiskā finansējuma (ERAF un valsts budžeta) līdzekļi attiecīgajā gadā </w:t>
            </w:r>
            <w:r>
              <w:t>100</w:t>
            </w:r>
            <w:r w:rsidRPr="00681991">
              <w:t xml:space="preserve"> procentu apmērā no projekta </w:t>
            </w:r>
            <w:proofErr w:type="gramStart"/>
            <w:r w:rsidRPr="00681991">
              <w:t>kopējām attiecināmām izmaksām</w:t>
            </w:r>
            <w:proofErr w:type="gramEnd"/>
            <w:r w:rsidRPr="00681991">
              <w:t>.</w:t>
            </w:r>
          </w:p>
          <w:p w14:paraId="6F250019" w14:textId="5129191F" w:rsidR="005E57D7" w:rsidRDefault="004647F1" w:rsidP="005E57D7">
            <w:pPr>
              <w:jc w:val="both"/>
              <w:rPr>
                <w:lang w:bidi="lo-LA"/>
              </w:rPr>
            </w:pPr>
            <w:r>
              <w:rPr>
                <w:lang w:bidi="lo-LA"/>
              </w:rPr>
              <w:t>1.1.1.5.</w:t>
            </w:r>
            <w:r w:rsidR="00BA0E1E">
              <w:rPr>
                <w:lang w:bidi="lo-LA"/>
              </w:rPr>
              <w:t xml:space="preserve"> </w:t>
            </w:r>
            <w:r w:rsidR="005E57D7">
              <w:rPr>
                <w:lang w:bidi="lo-LA"/>
              </w:rPr>
              <w:t xml:space="preserve">pasākumu īsteno </w:t>
            </w:r>
            <w:r w:rsidR="005C2ECF">
              <w:rPr>
                <w:lang w:bidi="lo-LA"/>
              </w:rPr>
              <w:t xml:space="preserve">trīs </w:t>
            </w:r>
            <w:r w:rsidR="005E57D7">
              <w:rPr>
                <w:lang w:bidi="lo-LA"/>
              </w:rPr>
              <w:t>projekta iesnieguma atlases kārtā</w:t>
            </w:r>
            <w:r w:rsidR="005C2ECF">
              <w:rPr>
                <w:lang w:bidi="lo-LA"/>
              </w:rPr>
              <w:t>s</w:t>
            </w:r>
            <w:r w:rsidR="005E57D7">
              <w:rPr>
                <w:lang w:bidi="lo-LA"/>
              </w:rPr>
              <w:t xml:space="preserve"> par visu pasākumam pieejamo finansējumu. </w:t>
            </w:r>
          </w:p>
          <w:p w14:paraId="7981A49B" w14:textId="58AF7890" w:rsidR="005E57D7" w:rsidRPr="00F72516" w:rsidRDefault="005C2ECF" w:rsidP="005E57D7">
            <w:pPr>
              <w:jc w:val="both"/>
              <w:rPr>
                <w:lang w:bidi="lo-LA"/>
              </w:rPr>
            </w:pPr>
            <w:r>
              <w:rPr>
                <w:lang w:bidi="lo-LA"/>
              </w:rPr>
              <w:t xml:space="preserve">1.1.1.5. </w:t>
            </w:r>
            <w:r w:rsidRPr="00CB7457">
              <w:rPr>
                <w:lang w:bidi="lo-LA"/>
              </w:rPr>
              <w:t xml:space="preserve">pasākumu </w:t>
            </w:r>
            <w:r w:rsidR="005E57D7" w:rsidRPr="00CB7457">
              <w:rPr>
                <w:lang w:bidi="lo-LA"/>
              </w:rPr>
              <w:t xml:space="preserve">plānots ieviest </w:t>
            </w:r>
            <w:r w:rsidR="005E57D7" w:rsidRPr="00F72516">
              <w:rPr>
                <w:lang w:bidi="lo-LA"/>
              </w:rPr>
              <w:t>līdz 2023.</w:t>
            </w:r>
            <w:r w:rsidR="00BA0E1E" w:rsidRPr="00F72516">
              <w:rPr>
                <w:lang w:bidi="lo-LA"/>
              </w:rPr>
              <w:t xml:space="preserve"> </w:t>
            </w:r>
            <w:r w:rsidR="005E57D7" w:rsidRPr="00F72516">
              <w:rPr>
                <w:lang w:bidi="lo-LA"/>
              </w:rPr>
              <w:t>gada 30.</w:t>
            </w:r>
            <w:r w:rsidR="00BA0E1E" w:rsidRPr="00F72516">
              <w:rPr>
                <w:lang w:bidi="lo-LA"/>
              </w:rPr>
              <w:t xml:space="preserve"> </w:t>
            </w:r>
            <w:r w:rsidR="005E57D7" w:rsidRPr="00F72516">
              <w:rPr>
                <w:lang w:bidi="lo-LA"/>
              </w:rPr>
              <w:t xml:space="preserve">novembrim. </w:t>
            </w:r>
          </w:p>
          <w:p w14:paraId="3A481196" w14:textId="672F94BB" w:rsidR="00A20C29" w:rsidRPr="00177055" w:rsidRDefault="00A20C29" w:rsidP="007745EF">
            <w:pPr>
              <w:autoSpaceDE w:val="0"/>
              <w:autoSpaceDN w:val="0"/>
              <w:adjustRightInd w:val="0"/>
              <w:jc w:val="both"/>
            </w:pPr>
            <w:r w:rsidRPr="00F72516">
              <w:t xml:space="preserve">2018. gadā </w:t>
            </w:r>
            <w:r w:rsidR="005E57D7" w:rsidRPr="00F72516">
              <w:t xml:space="preserve">tiek plānots finansējums </w:t>
            </w:r>
            <w:r w:rsidR="007745EF" w:rsidRPr="00F72516">
              <w:t xml:space="preserve">20 procentu apmērā no kopējā plānotā finansējuma, t.i., </w:t>
            </w:r>
            <w:r w:rsidR="00177055" w:rsidRPr="00F72516">
              <w:rPr>
                <w:color w:val="000000"/>
              </w:rPr>
              <w:t>6 510 557</w:t>
            </w:r>
            <w:r w:rsidR="007745EF" w:rsidRPr="00F72516">
              <w:t xml:space="preserve"> </w:t>
            </w:r>
            <w:r w:rsidR="007745EF" w:rsidRPr="00F72516">
              <w:rPr>
                <w:i/>
              </w:rPr>
              <w:t>euro</w:t>
            </w:r>
            <w:r w:rsidR="007745EF" w:rsidRPr="00F72516">
              <w:t xml:space="preserve"> gadā</w:t>
            </w:r>
            <w:r w:rsidR="007745EF" w:rsidRPr="00F72516">
              <w:rPr>
                <w:i/>
              </w:rPr>
              <w:t xml:space="preserve"> </w:t>
            </w:r>
            <w:r w:rsidR="007745EF" w:rsidRPr="00F72516">
              <w:t xml:space="preserve">(t.sk. ERAF </w:t>
            </w:r>
            <w:r w:rsidR="00177055" w:rsidRPr="00F72516">
              <w:rPr>
                <w:color w:val="000000"/>
              </w:rPr>
              <w:t>5 533 973</w:t>
            </w:r>
            <w:r w:rsidR="007745EF" w:rsidRPr="00F72516">
              <w:t xml:space="preserve"> </w:t>
            </w:r>
            <w:r w:rsidR="007745EF" w:rsidRPr="00F72516">
              <w:rPr>
                <w:i/>
              </w:rPr>
              <w:t>euro</w:t>
            </w:r>
            <w:r w:rsidR="007745EF" w:rsidRPr="00F72516">
              <w:t xml:space="preserve">, valsts budžets </w:t>
            </w:r>
            <w:r w:rsidR="00177055" w:rsidRPr="00F72516">
              <w:rPr>
                <w:color w:val="000000"/>
              </w:rPr>
              <w:t xml:space="preserve">976 584 </w:t>
            </w:r>
            <w:r w:rsidR="007745EF" w:rsidRPr="00F72516">
              <w:rPr>
                <w:i/>
              </w:rPr>
              <w:t>euro</w:t>
            </w:r>
            <w:r w:rsidR="007745EF" w:rsidRPr="00F72516">
              <w:t xml:space="preserve">), </w:t>
            </w:r>
            <w:r w:rsidRPr="00F72516">
              <w:t xml:space="preserve">2019. gadā </w:t>
            </w:r>
            <w:r w:rsidR="00177055" w:rsidRPr="00F72516">
              <w:t xml:space="preserve">- 20 procenti, t.i., </w:t>
            </w:r>
            <w:r w:rsidR="00177055" w:rsidRPr="00F72516">
              <w:rPr>
                <w:color w:val="000000"/>
              </w:rPr>
              <w:t>6 510 557</w:t>
            </w:r>
            <w:r w:rsidR="00177055" w:rsidRPr="00F72516">
              <w:t xml:space="preserve"> </w:t>
            </w:r>
            <w:r w:rsidR="00177055" w:rsidRPr="00F72516">
              <w:rPr>
                <w:i/>
              </w:rPr>
              <w:t>euro</w:t>
            </w:r>
            <w:r w:rsidR="00177055" w:rsidRPr="00F72516">
              <w:t xml:space="preserve"> </w:t>
            </w:r>
            <w:proofErr w:type="gramStart"/>
            <w:r w:rsidR="00177055" w:rsidRPr="00F72516">
              <w:t>(</w:t>
            </w:r>
            <w:proofErr w:type="gramEnd"/>
            <w:r w:rsidR="00177055" w:rsidRPr="00F72516">
              <w:t xml:space="preserve">t.sk. ERAF </w:t>
            </w:r>
            <w:r w:rsidR="00177055" w:rsidRPr="00F72516">
              <w:rPr>
                <w:color w:val="000000"/>
              </w:rPr>
              <w:t>5 533 973</w:t>
            </w:r>
            <w:r w:rsidR="00177055" w:rsidRPr="00F72516">
              <w:t xml:space="preserve"> </w:t>
            </w:r>
            <w:r w:rsidR="00177055" w:rsidRPr="00F72516">
              <w:rPr>
                <w:i/>
              </w:rPr>
              <w:t>euro</w:t>
            </w:r>
            <w:r w:rsidR="00177055" w:rsidRPr="00F72516">
              <w:t xml:space="preserve">, valsts budžets </w:t>
            </w:r>
            <w:r w:rsidR="00177055" w:rsidRPr="00F72516">
              <w:rPr>
                <w:color w:val="000000"/>
              </w:rPr>
              <w:t xml:space="preserve">976 584 </w:t>
            </w:r>
            <w:r w:rsidR="00177055" w:rsidRPr="00F72516">
              <w:rPr>
                <w:i/>
              </w:rPr>
              <w:t>euro</w:t>
            </w:r>
            <w:r w:rsidR="00177055" w:rsidRPr="00F72516">
              <w:t>)</w:t>
            </w:r>
            <w:r w:rsidRPr="00F72516">
              <w:t xml:space="preserve">, 2020. gadā </w:t>
            </w:r>
            <w:r w:rsidR="00177055" w:rsidRPr="00F72516">
              <w:t xml:space="preserve">- 20 procenti, t.i., </w:t>
            </w:r>
            <w:r w:rsidR="00177055" w:rsidRPr="00F72516">
              <w:rPr>
                <w:color w:val="000000"/>
              </w:rPr>
              <w:t>6 510 557</w:t>
            </w:r>
            <w:r w:rsidR="00177055" w:rsidRPr="00F72516">
              <w:t xml:space="preserve"> </w:t>
            </w:r>
            <w:r w:rsidR="00177055" w:rsidRPr="00F72516">
              <w:rPr>
                <w:i/>
              </w:rPr>
              <w:t>euro</w:t>
            </w:r>
            <w:r w:rsidR="00177055" w:rsidRPr="00F72516">
              <w:t xml:space="preserve"> (t.sk. ERAF </w:t>
            </w:r>
            <w:r w:rsidR="00177055" w:rsidRPr="00F72516">
              <w:rPr>
                <w:color w:val="000000"/>
              </w:rPr>
              <w:t>5 533 973</w:t>
            </w:r>
            <w:r w:rsidR="00177055" w:rsidRPr="00F72516">
              <w:t xml:space="preserve"> </w:t>
            </w:r>
            <w:r w:rsidR="00177055" w:rsidRPr="00F72516">
              <w:rPr>
                <w:i/>
              </w:rPr>
              <w:t>euro</w:t>
            </w:r>
            <w:r w:rsidR="00177055" w:rsidRPr="00F72516">
              <w:t xml:space="preserve">, valsts budžets </w:t>
            </w:r>
            <w:r w:rsidR="00177055" w:rsidRPr="00F72516">
              <w:rPr>
                <w:color w:val="000000"/>
              </w:rPr>
              <w:t xml:space="preserve">976 584 </w:t>
            </w:r>
            <w:r w:rsidR="00177055" w:rsidRPr="00F72516">
              <w:rPr>
                <w:i/>
              </w:rPr>
              <w:t>euro</w:t>
            </w:r>
            <w:r w:rsidR="00177055" w:rsidRPr="00F72516">
              <w:t>), 2021</w:t>
            </w:r>
            <w:r w:rsidR="00177055">
              <w:t xml:space="preserve">. gadā – 15 procenti, t.i., </w:t>
            </w:r>
            <w:r w:rsidR="009E72E9">
              <w:rPr>
                <w:color w:val="000000"/>
              </w:rPr>
              <w:t>4</w:t>
            </w:r>
            <w:r w:rsidR="00177055" w:rsidRPr="00177055">
              <w:rPr>
                <w:color w:val="000000"/>
              </w:rPr>
              <w:t> </w:t>
            </w:r>
            <w:r w:rsidR="009E72E9">
              <w:rPr>
                <w:color w:val="000000"/>
              </w:rPr>
              <w:t>882</w:t>
            </w:r>
            <w:r w:rsidR="00177055" w:rsidRPr="00177055">
              <w:rPr>
                <w:color w:val="000000"/>
              </w:rPr>
              <w:t xml:space="preserve"> </w:t>
            </w:r>
            <w:r w:rsidR="009E72E9">
              <w:rPr>
                <w:color w:val="000000"/>
              </w:rPr>
              <w:t>918</w:t>
            </w:r>
            <w:r w:rsidR="00177055" w:rsidRPr="00177055">
              <w:t xml:space="preserve"> </w:t>
            </w:r>
            <w:r w:rsidR="00177055" w:rsidRPr="00177055">
              <w:rPr>
                <w:i/>
              </w:rPr>
              <w:t>euro</w:t>
            </w:r>
            <w:r w:rsidR="00177055" w:rsidRPr="00177055">
              <w:t xml:space="preserve"> (t.sk. ERAF </w:t>
            </w:r>
            <w:r w:rsidR="009E72E9">
              <w:rPr>
                <w:color w:val="000000"/>
              </w:rPr>
              <w:t>4</w:t>
            </w:r>
            <w:r w:rsidR="00177055" w:rsidRPr="00177055">
              <w:rPr>
                <w:color w:val="000000"/>
              </w:rPr>
              <w:t> </w:t>
            </w:r>
            <w:r w:rsidR="009E72E9">
              <w:rPr>
                <w:color w:val="000000"/>
              </w:rPr>
              <w:t>150</w:t>
            </w:r>
            <w:r w:rsidR="00177055" w:rsidRPr="00177055">
              <w:rPr>
                <w:color w:val="000000"/>
              </w:rPr>
              <w:t xml:space="preserve"> </w:t>
            </w:r>
            <w:r w:rsidR="009E72E9">
              <w:rPr>
                <w:color w:val="000000"/>
              </w:rPr>
              <w:t>48</w:t>
            </w:r>
            <w:r w:rsidR="00AF520F" w:rsidRPr="005C7C46">
              <w:rPr>
                <w:b/>
                <w:color w:val="000000"/>
              </w:rPr>
              <w:t>1</w:t>
            </w:r>
            <w:r w:rsidR="00177055" w:rsidRPr="00177055">
              <w:t xml:space="preserve"> </w:t>
            </w:r>
            <w:r w:rsidR="00177055" w:rsidRPr="00177055">
              <w:rPr>
                <w:i/>
              </w:rPr>
              <w:t>euro</w:t>
            </w:r>
            <w:r w:rsidR="00177055" w:rsidRPr="00177055">
              <w:t xml:space="preserve">, valsts budžets </w:t>
            </w:r>
            <w:r w:rsidR="009E72E9">
              <w:rPr>
                <w:color w:val="000000"/>
              </w:rPr>
              <w:t>732 43</w:t>
            </w:r>
            <w:r w:rsidR="00AF520F" w:rsidRPr="00E00701">
              <w:rPr>
                <w:b/>
                <w:color w:val="000000"/>
              </w:rPr>
              <w:t>7</w:t>
            </w:r>
            <w:r w:rsidR="00177055" w:rsidRPr="00177055">
              <w:rPr>
                <w:color w:val="000000"/>
              </w:rPr>
              <w:t xml:space="preserve"> </w:t>
            </w:r>
            <w:r w:rsidR="00177055" w:rsidRPr="00177055">
              <w:rPr>
                <w:i/>
              </w:rPr>
              <w:t>euro</w:t>
            </w:r>
            <w:r w:rsidR="00177055" w:rsidRPr="00177055">
              <w:t>)</w:t>
            </w:r>
            <w:r w:rsidR="009E72E9">
              <w:t xml:space="preserve">, 2022. gadā – 15 procenti, t.i., </w:t>
            </w:r>
            <w:r w:rsidR="009E72E9">
              <w:rPr>
                <w:color w:val="000000"/>
              </w:rPr>
              <w:t>4</w:t>
            </w:r>
            <w:r w:rsidR="009E72E9" w:rsidRPr="00177055">
              <w:rPr>
                <w:color w:val="000000"/>
              </w:rPr>
              <w:t> </w:t>
            </w:r>
            <w:r w:rsidR="009E72E9">
              <w:rPr>
                <w:color w:val="000000"/>
              </w:rPr>
              <w:t>882</w:t>
            </w:r>
            <w:r w:rsidR="009E72E9" w:rsidRPr="00177055">
              <w:rPr>
                <w:color w:val="000000"/>
              </w:rPr>
              <w:t xml:space="preserve"> </w:t>
            </w:r>
            <w:r w:rsidR="009E72E9">
              <w:rPr>
                <w:color w:val="000000"/>
              </w:rPr>
              <w:t>918</w:t>
            </w:r>
            <w:r w:rsidR="009E72E9" w:rsidRPr="00177055">
              <w:t xml:space="preserve"> </w:t>
            </w:r>
            <w:r w:rsidR="009E72E9" w:rsidRPr="00177055">
              <w:rPr>
                <w:i/>
              </w:rPr>
              <w:t>euro</w:t>
            </w:r>
            <w:r w:rsidR="009E72E9" w:rsidRPr="00177055">
              <w:t xml:space="preserve"> (t.sk. ERAF </w:t>
            </w:r>
            <w:r w:rsidR="009E72E9">
              <w:rPr>
                <w:color w:val="000000"/>
              </w:rPr>
              <w:t>4</w:t>
            </w:r>
            <w:r w:rsidR="009E72E9" w:rsidRPr="00177055">
              <w:rPr>
                <w:color w:val="000000"/>
              </w:rPr>
              <w:t> </w:t>
            </w:r>
            <w:r w:rsidR="009E72E9">
              <w:rPr>
                <w:color w:val="000000"/>
              </w:rPr>
              <w:t>150</w:t>
            </w:r>
            <w:r w:rsidR="009E72E9" w:rsidRPr="00177055">
              <w:rPr>
                <w:color w:val="000000"/>
              </w:rPr>
              <w:t xml:space="preserve"> </w:t>
            </w:r>
            <w:r w:rsidR="009E72E9">
              <w:rPr>
                <w:color w:val="000000"/>
              </w:rPr>
              <w:t>48</w:t>
            </w:r>
            <w:r w:rsidR="00AF520F" w:rsidRPr="00E00701">
              <w:rPr>
                <w:b/>
                <w:color w:val="000000"/>
              </w:rPr>
              <w:t>1</w:t>
            </w:r>
            <w:r w:rsidR="009E72E9" w:rsidRPr="00177055">
              <w:t xml:space="preserve"> </w:t>
            </w:r>
            <w:r w:rsidR="009E72E9" w:rsidRPr="00177055">
              <w:rPr>
                <w:i/>
              </w:rPr>
              <w:t>euro</w:t>
            </w:r>
            <w:r w:rsidR="009E72E9" w:rsidRPr="00177055">
              <w:t xml:space="preserve">, valsts budžets </w:t>
            </w:r>
            <w:r w:rsidR="009E72E9">
              <w:rPr>
                <w:color w:val="000000"/>
              </w:rPr>
              <w:t>732 43</w:t>
            </w:r>
            <w:r w:rsidR="00AF520F" w:rsidRPr="00E00701">
              <w:rPr>
                <w:b/>
                <w:color w:val="000000"/>
              </w:rPr>
              <w:t>7</w:t>
            </w:r>
            <w:r w:rsidR="009E72E9" w:rsidRPr="00177055">
              <w:rPr>
                <w:color w:val="000000"/>
              </w:rPr>
              <w:t xml:space="preserve"> </w:t>
            </w:r>
            <w:r w:rsidR="009E72E9" w:rsidRPr="00177055">
              <w:rPr>
                <w:i/>
              </w:rPr>
              <w:t>euro</w:t>
            </w:r>
            <w:r w:rsidR="009E72E9" w:rsidRPr="00177055">
              <w:t>)</w:t>
            </w:r>
            <w:r w:rsidR="009E72E9">
              <w:t xml:space="preserve">, 2023. gadā – 10 procenti, t.i., </w:t>
            </w:r>
            <w:r w:rsidR="009E72E9">
              <w:rPr>
                <w:color w:val="000000"/>
              </w:rPr>
              <w:t>3</w:t>
            </w:r>
            <w:r w:rsidR="009E72E9" w:rsidRPr="00177055">
              <w:rPr>
                <w:color w:val="000000"/>
              </w:rPr>
              <w:t> </w:t>
            </w:r>
            <w:r w:rsidR="009E72E9">
              <w:rPr>
                <w:color w:val="000000"/>
              </w:rPr>
              <w:t>255</w:t>
            </w:r>
            <w:r w:rsidR="009E72E9" w:rsidRPr="00177055">
              <w:rPr>
                <w:color w:val="000000"/>
              </w:rPr>
              <w:t xml:space="preserve"> </w:t>
            </w:r>
            <w:r w:rsidR="009E72E9">
              <w:rPr>
                <w:color w:val="000000"/>
              </w:rPr>
              <w:t>279</w:t>
            </w:r>
            <w:r w:rsidR="009E72E9" w:rsidRPr="00177055">
              <w:t xml:space="preserve"> </w:t>
            </w:r>
            <w:r w:rsidR="009E72E9" w:rsidRPr="00177055">
              <w:rPr>
                <w:i/>
              </w:rPr>
              <w:t>euro</w:t>
            </w:r>
            <w:r w:rsidR="009E72E9" w:rsidRPr="00177055">
              <w:t xml:space="preserve"> (t.sk. ERAF </w:t>
            </w:r>
            <w:r w:rsidR="009E72E9">
              <w:rPr>
                <w:color w:val="000000"/>
              </w:rPr>
              <w:t>2 766 987</w:t>
            </w:r>
            <w:r w:rsidR="009E72E9" w:rsidRPr="00177055">
              <w:t xml:space="preserve"> </w:t>
            </w:r>
            <w:r w:rsidR="009E72E9" w:rsidRPr="00177055">
              <w:rPr>
                <w:i/>
              </w:rPr>
              <w:t>euro</w:t>
            </w:r>
            <w:r w:rsidR="009E72E9" w:rsidRPr="00177055">
              <w:t xml:space="preserve">, valsts budžets </w:t>
            </w:r>
            <w:r w:rsidR="009E72E9">
              <w:rPr>
                <w:color w:val="000000"/>
              </w:rPr>
              <w:t>488 292</w:t>
            </w:r>
            <w:r w:rsidR="009E72E9" w:rsidRPr="00177055">
              <w:rPr>
                <w:color w:val="000000"/>
              </w:rPr>
              <w:t xml:space="preserve"> </w:t>
            </w:r>
            <w:r w:rsidR="009E72E9" w:rsidRPr="00177055">
              <w:rPr>
                <w:i/>
              </w:rPr>
              <w:t>euro</w:t>
            </w:r>
            <w:r w:rsidR="009E72E9" w:rsidRPr="00177055">
              <w:t>)</w:t>
            </w:r>
            <w:r w:rsidR="009E72E9">
              <w:t>.</w:t>
            </w:r>
          </w:p>
          <w:p w14:paraId="517B410F" w14:textId="2A5A6829" w:rsidR="005E57D7" w:rsidRPr="009922A4" w:rsidRDefault="005E57D7" w:rsidP="005E57D7">
            <w:pPr>
              <w:autoSpaceDE w:val="0"/>
              <w:autoSpaceDN w:val="0"/>
              <w:adjustRightInd w:val="0"/>
              <w:jc w:val="both"/>
              <w:rPr>
                <w:b/>
              </w:rPr>
            </w:pPr>
            <w:r w:rsidRPr="00874DBC">
              <w:t>Budžeta</w:t>
            </w:r>
            <w:r w:rsidR="00776F4C">
              <w:t xml:space="preserve"> ilgtermiņa saistībās </w:t>
            </w:r>
            <w:r w:rsidR="009E72E9">
              <w:t xml:space="preserve">no </w:t>
            </w:r>
            <w:proofErr w:type="gramStart"/>
            <w:r w:rsidR="009E72E9" w:rsidRPr="009922A4">
              <w:t xml:space="preserve">2017. </w:t>
            </w:r>
            <w:r w:rsidR="004078BF" w:rsidRPr="009922A4">
              <w:t>–</w:t>
            </w:r>
            <w:r w:rsidR="009E72E9" w:rsidRPr="009922A4">
              <w:t xml:space="preserve"> 2023</w:t>
            </w:r>
            <w:r w:rsidRPr="009922A4">
              <w:t>.</w:t>
            </w:r>
            <w:proofErr w:type="gramEnd"/>
            <w:r w:rsidRPr="009922A4">
              <w:t xml:space="preserve"> ga</w:t>
            </w:r>
            <w:r w:rsidR="004647F1" w:rsidRPr="009922A4">
              <w:t>dam šobrīd finansējums 1.1.1.5.</w:t>
            </w:r>
            <w:r w:rsidR="00BA0E1E" w:rsidRPr="009922A4">
              <w:t xml:space="preserve"> </w:t>
            </w:r>
            <w:r w:rsidRPr="009922A4">
              <w:t xml:space="preserve">pasākumam nav paredzēts. </w:t>
            </w:r>
            <w:r w:rsidR="00860B84" w:rsidRPr="009922A4">
              <w:t>1.1.1.5. pasākuma īstenošanai n</w:t>
            </w:r>
            <w:r w:rsidRPr="009922A4">
              <w:t xml:space="preserve">epieciešamais finansējums </w:t>
            </w:r>
            <w:r w:rsidR="00860B84" w:rsidRPr="009922A4">
              <w:t>2018. – 2023. gadam tiks iestrādāts budžeta ilgtermiņa saistībās likumprojekta „Par vidēja termiņa budžeta ietvaru 2018., 2019. un 2020.gadam” sagatavošanas laikā.</w:t>
            </w:r>
          </w:p>
          <w:p w14:paraId="007BC1AE" w14:textId="384D370F" w:rsidR="009A72C5" w:rsidRPr="002D230A" w:rsidRDefault="005E57D7" w:rsidP="00776F4C">
            <w:pPr>
              <w:autoSpaceDE w:val="0"/>
              <w:autoSpaceDN w:val="0"/>
              <w:adjustRightInd w:val="0"/>
              <w:jc w:val="both"/>
            </w:pPr>
            <w:r>
              <w:lastRenderedPageBreak/>
              <w:t>F</w:t>
            </w:r>
            <w:r w:rsidRPr="002D230A">
              <w:t xml:space="preserve">inansējuma sadalījums pa gadiem </w:t>
            </w:r>
            <w:r w:rsidR="00776F4C">
              <w:t>norādīts indikatīvi un var tikt precizēts</w:t>
            </w:r>
            <w:r w:rsidRPr="002D230A">
              <w:t xml:space="preserve">, ņemot vērā faktiski izlietoto finansējumu un atlases </w:t>
            </w:r>
            <w:r w:rsidR="000C1578">
              <w:t xml:space="preserve">kārtu </w:t>
            </w:r>
            <w:r w:rsidRPr="002D230A">
              <w:t>ietvaros apstiprināto pieteikumu skaitu.</w:t>
            </w:r>
          </w:p>
        </w:tc>
      </w:tr>
      <w:tr w:rsidR="009A72C5" w:rsidRPr="00D91AE9" w14:paraId="1B250363" w14:textId="77777777" w:rsidTr="00DD2EFA">
        <w:trPr>
          <w:jc w:val="center"/>
        </w:trPr>
        <w:tc>
          <w:tcPr>
            <w:tcW w:w="2229" w:type="dxa"/>
          </w:tcPr>
          <w:p w14:paraId="79902E5B" w14:textId="77777777" w:rsidR="009A72C5" w:rsidRPr="00D91AE9" w:rsidRDefault="009A72C5" w:rsidP="00DD2EFA">
            <w:r w:rsidRPr="00D91AE9">
              <w:t>6.1. detalizēts ieņēmumu aprēķins</w:t>
            </w:r>
          </w:p>
        </w:tc>
        <w:tc>
          <w:tcPr>
            <w:tcW w:w="6534" w:type="dxa"/>
            <w:gridSpan w:val="5"/>
            <w:vMerge/>
          </w:tcPr>
          <w:p w14:paraId="2B4F455E" w14:textId="77777777" w:rsidR="009A72C5" w:rsidRPr="00E76644" w:rsidRDefault="009A72C5" w:rsidP="00DD2EFA">
            <w:pPr>
              <w:pStyle w:val="naisf"/>
              <w:spacing w:before="0" w:after="0"/>
              <w:ind w:left="57" w:right="113"/>
              <w:rPr>
                <w:i/>
              </w:rPr>
            </w:pPr>
          </w:p>
        </w:tc>
      </w:tr>
      <w:tr w:rsidR="009A72C5" w:rsidRPr="00D91AE9" w14:paraId="5CBCEF1B" w14:textId="77777777" w:rsidTr="00EA3612">
        <w:trPr>
          <w:trHeight w:val="4812"/>
          <w:jc w:val="center"/>
        </w:trPr>
        <w:tc>
          <w:tcPr>
            <w:tcW w:w="2229" w:type="dxa"/>
          </w:tcPr>
          <w:p w14:paraId="75FFB771" w14:textId="77777777" w:rsidR="009A72C5" w:rsidRPr="00FA7D96" w:rsidRDefault="009A72C5" w:rsidP="004647F1">
            <w:r w:rsidRPr="00D91AE9">
              <w:t>6.2. detalizēts izdevumu aprēķins</w:t>
            </w:r>
          </w:p>
        </w:tc>
        <w:tc>
          <w:tcPr>
            <w:tcW w:w="6534" w:type="dxa"/>
            <w:gridSpan w:val="5"/>
            <w:vMerge/>
          </w:tcPr>
          <w:p w14:paraId="6E2D5904" w14:textId="77777777" w:rsidR="009A72C5" w:rsidRPr="00E76644" w:rsidRDefault="009A72C5" w:rsidP="00DD2EFA">
            <w:pPr>
              <w:pStyle w:val="naisf"/>
              <w:spacing w:before="0" w:after="0"/>
              <w:ind w:left="57" w:right="113"/>
              <w:rPr>
                <w:i/>
              </w:rPr>
            </w:pPr>
          </w:p>
        </w:tc>
      </w:tr>
      <w:tr w:rsidR="009A72C5" w:rsidRPr="00D91AE9" w14:paraId="56D96FFD" w14:textId="77777777" w:rsidTr="00DD2EFA">
        <w:trPr>
          <w:trHeight w:val="556"/>
          <w:jc w:val="center"/>
        </w:trPr>
        <w:tc>
          <w:tcPr>
            <w:tcW w:w="2229" w:type="dxa"/>
          </w:tcPr>
          <w:p w14:paraId="572DB400" w14:textId="77777777" w:rsidR="009A72C5" w:rsidRPr="00D91AE9" w:rsidRDefault="009A72C5" w:rsidP="00DD2EFA">
            <w:r w:rsidRPr="00D91AE9">
              <w:t>7. Cita informācija</w:t>
            </w:r>
          </w:p>
        </w:tc>
        <w:tc>
          <w:tcPr>
            <w:tcW w:w="6534" w:type="dxa"/>
            <w:gridSpan w:val="5"/>
          </w:tcPr>
          <w:p w14:paraId="0F5F51FF" w14:textId="1C0F3BC9" w:rsidR="009A72C5" w:rsidRPr="004271BE" w:rsidRDefault="005E57D7" w:rsidP="00776F4C">
            <w:pPr>
              <w:jc w:val="both"/>
            </w:pPr>
            <w:r w:rsidRPr="001B623C">
              <w:t xml:space="preserve">Nepieciešamais finansējums </w:t>
            </w:r>
            <w:r w:rsidR="00776F4C" w:rsidRPr="001B623C">
              <w:t xml:space="preserve">1.1.1.5. pasākuma īstenošanai pēc projektu iesniegumu apstiprināšanas </w:t>
            </w:r>
            <w:r w:rsidRPr="001B623C">
              <w:t xml:space="preserve">tiks pieprasīts normatīvajos </w:t>
            </w:r>
            <w:r w:rsidR="004647F1" w:rsidRPr="001B623C">
              <w:t>aktos noteiktajā kārtībā no 74.</w:t>
            </w:r>
            <w:r w:rsidR="00BA0E1E" w:rsidRPr="001B623C">
              <w:t xml:space="preserve"> </w:t>
            </w:r>
            <w:r w:rsidRPr="001B623C">
              <w:t>resora “Gadskārtējā valsts budžeta izpildes procesā pārdalāmais finansējums” budžeta programmas 80.00.00 “</w:t>
            </w:r>
            <w:r>
              <w:t>Nesadalītais finansējums Eiropas Savienības politiku instrumentu un pārējās ārvalstu finanšu palīdzības līdzfinansēto projektu un pasākumu īstenošanai”.</w:t>
            </w:r>
          </w:p>
        </w:tc>
      </w:tr>
    </w:tbl>
    <w:p w14:paraId="6EAA1A45" w14:textId="77777777" w:rsidR="009A72C5" w:rsidRPr="00D91AE9" w:rsidRDefault="009A72C5" w:rsidP="009A72C5"/>
    <w:p w14:paraId="0EBEAF59" w14:textId="77777777" w:rsidR="009A72C5" w:rsidRPr="00D91AE9" w:rsidRDefault="009A72C5" w:rsidP="009A72C5"/>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6"/>
        <w:gridCol w:w="2161"/>
        <w:gridCol w:w="198"/>
        <w:gridCol w:w="406"/>
        <w:gridCol w:w="1772"/>
        <w:gridCol w:w="1359"/>
        <w:gridCol w:w="817"/>
        <w:gridCol w:w="120"/>
        <w:gridCol w:w="1845"/>
      </w:tblGrid>
      <w:tr w:rsidR="009A72C5" w:rsidRPr="00D91AE9" w14:paraId="3C8B46C0" w14:textId="77777777" w:rsidTr="00BB1E8E">
        <w:trPr>
          <w:trHeight w:val="421"/>
          <w:jc w:val="center"/>
        </w:trPr>
        <w:tc>
          <w:tcPr>
            <w:tcW w:w="8914" w:type="dxa"/>
            <w:gridSpan w:val="9"/>
            <w:tcBorders>
              <w:top w:val="single" w:sz="4" w:space="0" w:color="auto"/>
              <w:left w:val="single" w:sz="4" w:space="0" w:color="auto"/>
              <w:bottom w:val="single" w:sz="4" w:space="0" w:color="auto"/>
              <w:right w:val="single" w:sz="4" w:space="0" w:color="auto"/>
            </w:tcBorders>
            <w:vAlign w:val="center"/>
          </w:tcPr>
          <w:p w14:paraId="44599A8F" w14:textId="77777777" w:rsidR="009A72C5" w:rsidRPr="00D91AE9" w:rsidRDefault="009A72C5" w:rsidP="00DD2EFA">
            <w:pPr>
              <w:rPr>
                <w:b/>
              </w:rPr>
            </w:pPr>
            <w:r w:rsidRPr="00D91AE9">
              <w:rPr>
                <w:b/>
              </w:rPr>
              <w:t>V. Tiesību akta projekta atbilstība Latvijas Republikas starptautiskajām saistībām</w:t>
            </w:r>
          </w:p>
        </w:tc>
      </w:tr>
      <w:tr w:rsidR="009A72C5" w:rsidRPr="00D91AE9" w14:paraId="5F57A7B1"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6" w:type="dxa"/>
            <w:tcBorders>
              <w:top w:val="outset" w:sz="6" w:space="0" w:color="auto"/>
              <w:left w:val="outset" w:sz="6" w:space="0" w:color="auto"/>
              <w:bottom w:val="outset" w:sz="6" w:space="0" w:color="auto"/>
              <w:right w:val="outset" w:sz="6" w:space="0" w:color="auto"/>
            </w:tcBorders>
          </w:tcPr>
          <w:p w14:paraId="462615AE" w14:textId="77777777" w:rsidR="009A72C5" w:rsidRPr="00D91AE9" w:rsidRDefault="009A72C5" w:rsidP="00DD2EFA">
            <w:r w:rsidRPr="00D91AE9">
              <w:t>1.</w:t>
            </w:r>
          </w:p>
        </w:tc>
        <w:tc>
          <w:tcPr>
            <w:tcW w:w="2765" w:type="dxa"/>
            <w:gridSpan w:val="3"/>
            <w:tcBorders>
              <w:top w:val="outset" w:sz="6" w:space="0" w:color="auto"/>
              <w:left w:val="outset" w:sz="6" w:space="0" w:color="auto"/>
              <w:bottom w:val="outset" w:sz="6" w:space="0" w:color="auto"/>
              <w:right w:val="outset" w:sz="6" w:space="0" w:color="auto"/>
            </w:tcBorders>
          </w:tcPr>
          <w:p w14:paraId="3E1A9D90" w14:textId="77777777" w:rsidR="009A72C5" w:rsidRPr="00D91AE9" w:rsidRDefault="009A72C5" w:rsidP="00DD2EFA">
            <w:r w:rsidRPr="00D91AE9">
              <w:t>Saistības pret Eiropas Savienību</w:t>
            </w:r>
          </w:p>
        </w:tc>
        <w:tc>
          <w:tcPr>
            <w:tcW w:w="5913" w:type="dxa"/>
            <w:gridSpan w:val="5"/>
            <w:tcBorders>
              <w:top w:val="outset" w:sz="6" w:space="0" w:color="auto"/>
              <w:left w:val="outset" w:sz="6" w:space="0" w:color="auto"/>
              <w:bottom w:val="outset" w:sz="6" w:space="0" w:color="auto"/>
              <w:right w:val="outset" w:sz="6" w:space="0" w:color="auto"/>
            </w:tcBorders>
          </w:tcPr>
          <w:p w14:paraId="1E1B5FA0" w14:textId="1CD6A5EF" w:rsidR="009A72C5" w:rsidRDefault="00C45C03" w:rsidP="00DD2EFA">
            <w:pPr>
              <w:pStyle w:val="ListParagraph"/>
              <w:numPr>
                <w:ilvl w:val="0"/>
                <w:numId w:val="2"/>
              </w:numPr>
              <w:ind w:right="113"/>
              <w:rPr>
                <w:szCs w:val="24"/>
              </w:rPr>
            </w:pPr>
            <w:r w:rsidRPr="00C45C03">
              <w:rPr>
                <w:szCs w:val="24"/>
              </w:rPr>
              <w:t>Regula Nr. </w:t>
            </w:r>
            <w:hyperlink r:id="rId12" w:tgtFrame="_blank" w:history="1">
              <w:r w:rsidRPr="00C45C03">
                <w:rPr>
                  <w:szCs w:val="24"/>
                </w:rPr>
                <w:t>651/2014</w:t>
              </w:r>
            </w:hyperlink>
            <w:r w:rsidR="009A72C5" w:rsidRPr="00D91AE9">
              <w:rPr>
                <w:szCs w:val="24"/>
              </w:rPr>
              <w:t>;</w:t>
            </w:r>
          </w:p>
          <w:p w14:paraId="1B304D73" w14:textId="7C386CAA" w:rsidR="002A2795" w:rsidRPr="009922A4" w:rsidRDefault="002A2795" w:rsidP="00DD2EFA">
            <w:pPr>
              <w:pStyle w:val="ListParagraph"/>
              <w:numPr>
                <w:ilvl w:val="0"/>
                <w:numId w:val="2"/>
              </w:numPr>
              <w:ind w:right="113"/>
              <w:rPr>
                <w:szCs w:val="24"/>
              </w:rPr>
            </w:pPr>
            <w:r w:rsidRPr="002A2795">
              <w:rPr>
                <w:szCs w:val="24"/>
              </w:rPr>
              <w:t>Eiropas Komisi</w:t>
            </w:r>
            <w:r w:rsidR="009D36E1">
              <w:rPr>
                <w:szCs w:val="24"/>
              </w:rPr>
              <w:t>jas 2014. gada 21. marta Regula</w:t>
            </w:r>
            <w:r w:rsidRPr="002A2795">
              <w:rPr>
                <w:szCs w:val="24"/>
              </w:rPr>
              <w:t xml:space="preserve"> </w:t>
            </w:r>
            <w:r w:rsidR="003D660B">
              <w:rPr>
                <w:szCs w:val="24"/>
              </w:rPr>
              <w:t xml:space="preserve">(ES) </w:t>
            </w:r>
            <w:r w:rsidRPr="002A2795">
              <w:rPr>
                <w:szCs w:val="24"/>
              </w:rPr>
              <w:t>Nr. </w:t>
            </w:r>
            <w:hyperlink r:id="rId13" w:tgtFrame="_blank" w:history="1">
              <w:r w:rsidRPr="002A2795">
                <w:rPr>
                  <w:szCs w:val="24"/>
                </w:rPr>
                <w:t>316/2014</w:t>
              </w:r>
            </w:hyperlink>
            <w:r w:rsidRPr="002A2795">
              <w:rPr>
                <w:szCs w:val="24"/>
              </w:rPr>
              <w:t xml:space="preserve"> par Līguma par Eiropas Savienības darbību 101. panta 3. punkta piemērošanu tehnoloģiju nodošanas </w:t>
            </w:r>
            <w:r w:rsidRPr="009922A4">
              <w:rPr>
                <w:szCs w:val="24"/>
              </w:rPr>
              <w:t xml:space="preserve">nolīgumu kategorijām </w:t>
            </w:r>
            <w:r w:rsidR="00347F57" w:rsidRPr="009922A4">
              <w:rPr>
                <w:szCs w:val="24"/>
              </w:rPr>
              <w:t xml:space="preserve">(Eiropas Savienības Oficiālais Vēstnesis, 2014. gada 28. marts, Nr. L 93) </w:t>
            </w:r>
            <w:proofErr w:type="gramStart"/>
            <w:r w:rsidRPr="009922A4">
              <w:rPr>
                <w:szCs w:val="24"/>
              </w:rPr>
              <w:t>(</w:t>
            </w:r>
            <w:proofErr w:type="gramEnd"/>
            <w:r w:rsidRPr="009922A4">
              <w:rPr>
                <w:szCs w:val="24"/>
              </w:rPr>
              <w:t>turpmāk – Regula Nr. </w:t>
            </w:r>
            <w:hyperlink r:id="rId14" w:tgtFrame="_blank" w:history="1">
              <w:r w:rsidRPr="009922A4">
                <w:rPr>
                  <w:szCs w:val="24"/>
                </w:rPr>
                <w:t>316/2014</w:t>
              </w:r>
            </w:hyperlink>
            <w:r w:rsidRPr="009922A4">
              <w:rPr>
                <w:szCs w:val="24"/>
              </w:rPr>
              <w:t>);</w:t>
            </w:r>
          </w:p>
          <w:p w14:paraId="0F3DDBCD" w14:textId="7EBAC224" w:rsidR="009A72C5" w:rsidRPr="009922A4" w:rsidRDefault="003D660B" w:rsidP="00BA0E1E">
            <w:pPr>
              <w:pStyle w:val="ListParagraph"/>
              <w:numPr>
                <w:ilvl w:val="0"/>
                <w:numId w:val="2"/>
              </w:numPr>
              <w:ind w:right="113"/>
            </w:pPr>
            <w:r w:rsidRPr="009922A4">
              <w:rPr>
                <w:szCs w:val="24"/>
              </w:rPr>
              <w:t>Regula Nr.1303/2013</w:t>
            </w:r>
            <w:r w:rsidR="00FA320C" w:rsidRPr="009922A4">
              <w:rPr>
                <w:szCs w:val="24"/>
              </w:rPr>
              <w:t>;</w:t>
            </w:r>
          </w:p>
          <w:p w14:paraId="37E58D86" w14:textId="6C54DEBC" w:rsidR="00FA320C" w:rsidRPr="009922A4" w:rsidRDefault="00FA320C" w:rsidP="00BA0E1E">
            <w:pPr>
              <w:pStyle w:val="ListParagraph"/>
              <w:numPr>
                <w:ilvl w:val="0"/>
                <w:numId w:val="2"/>
              </w:numPr>
              <w:ind w:right="113"/>
              <w:rPr>
                <w:szCs w:val="24"/>
              </w:rPr>
            </w:pPr>
            <w:r w:rsidRPr="009922A4">
              <w:rPr>
                <w:szCs w:val="24"/>
              </w:rPr>
              <w:t>Eiropas Komisijas 2013. gada 18. decembra Regulu Nr. </w:t>
            </w:r>
            <w:hyperlink r:id="rId15" w:tgtFrame="_blank" w:history="1">
              <w:r w:rsidRPr="009922A4">
                <w:rPr>
                  <w:szCs w:val="24"/>
                </w:rPr>
                <w:t>1407/2013</w:t>
              </w:r>
            </w:hyperlink>
            <w:r w:rsidRPr="009922A4">
              <w:rPr>
                <w:szCs w:val="24"/>
              </w:rPr>
              <w:t> par Līguma par Eiropas Savienības darbību 107. un 108. panta piemērošanu </w:t>
            </w:r>
            <w:r w:rsidRPr="009922A4">
              <w:rPr>
                <w:i/>
                <w:szCs w:val="24"/>
              </w:rPr>
              <w:t>de minimis</w:t>
            </w:r>
            <w:r w:rsidRPr="009922A4">
              <w:rPr>
                <w:szCs w:val="24"/>
              </w:rPr>
              <w:t xml:space="preserve"> atbalstam </w:t>
            </w:r>
            <w:r w:rsidR="00347F57" w:rsidRPr="009922A4">
              <w:rPr>
                <w:szCs w:val="24"/>
              </w:rPr>
              <w:t xml:space="preserve">(Eiropas Savienības Oficiālais Vēstnesis, 2013. gada </w:t>
            </w:r>
            <w:proofErr w:type="gramStart"/>
            <w:r w:rsidR="00347F57" w:rsidRPr="009922A4">
              <w:rPr>
                <w:szCs w:val="24"/>
              </w:rPr>
              <w:t>24.decembris</w:t>
            </w:r>
            <w:proofErr w:type="gramEnd"/>
            <w:r w:rsidR="00347F57" w:rsidRPr="009922A4">
              <w:rPr>
                <w:szCs w:val="24"/>
              </w:rPr>
              <w:t xml:space="preserve">, Nr. L 352) </w:t>
            </w:r>
            <w:r w:rsidRPr="009922A4">
              <w:rPr>
                <w:szCs w:val="24"/>
              </w:rPr>
              <w:t>(turpmāk – Regula Nr.1407/2013)</w:t>
            </w:r>
            <w:r w:rsidR="003774F4" w:rsidRPr="009922A4">
              <w:rPr>
                <w:szCs w:val="24"/>
              </w:rPr>
              <w:t>;</w:t>
            </w:r>
          </w:p>
          <w:p w14:paraId="703BC8D5" w14:textId="06134453" w:rsidR="003774F4" w:rsidRPr="009922A4" w:rsidRDefault="003774F4" w:rsidP="00BA0E1E">
            <w:pPr>
              <w:pStyle w:val="ListParagraph"/>
              <w:numPr>
                <w:ilvl w:val="0"/>
                <w:numId w:val="2"/>
              </w:numPr>
              <w:ind w:right="113"/>
              <w:rPr>
                <w:szCs w:val="24"/>
              </w:rPr>
            </w:pPr>
            <w:r w:rsidRPr="009922A4">
              <w:rPr>
                <w:szCs w:val="24"/>
              </w:rPr>
              <w:t>Padomes 2009. gada 25. jūnija Regula (EK) Nr. 723/2009 par Kopienas tiesisko regulējumu, ko piemēro Eiropas pētniecīb</w:t>
            </w:r>
            <w:r w:rsidR="004461CB" w:rsidRPr="009922A4">
              <w:rPr>
                <w:szCs w:val="24"/>
              </w:rPr>
              <w:t xml:space="preserve">as infrastruktūras </w:t>
            </w:r>
            <w:r w:rsidR="004461CB" w:rsidRPr="009922A4">
              <w:rPr>
                <w:szCs w:val="24"/>
              </w:rPr>
              <w:lastRenderedPageBreak/>
              <w:t xml:space="preserve">konsorcijam </w:t>
            </w:r>
            <w:r w:rsidR="00BA0A3D" w:rsidRPr="009922A4">
              <w:rPr>
                <w:szCs w:val="24"/>
              </w:rPr>
              <w:t>(</w:t>
            </w:r>
            <w:r w:rsidR="00BA0A3D" w:rsidRPr="009922A4">
              <w:rPr>
                <w:i/>
                <w:szCs w:val="24"/>
              </w:rPr>
              <w:t>ERIC</w:t>
            </w:r>
            <w:r w:rsidR="00BA0A3D" w:rsidRPr="009922A4">
              <w:rPr>
                <w:szCs w:val="24"/>
              </w:rPr>
              <w:t xml:space="preserve">) </w:t>
            </w:r>
            <w:r w:rsidRPr="009922A4">
              <w:rPr>
                <w:szCs w:val="24"/>
              </w:rPr>
              <w:t>(Eiropas Savienības Oficiālais Vēstnesis, 2009.</w:t>
            </w:r>
            <w:r w:rsidR="00BA0A3D" w:rsidRPr="009922A4">
              <w:rPr>
                <w:szCs w:val="24"/>
              </w:rPr>
              <w:t xml:space="preserve"> </w:t>
            </w:r>
            <w:r w:rsidRPr="009922A4">
              <w:rPr>
                <w:szCs w:val="24"/>
              </w:rPr>
              <w:t>gada 8.</w:t>
            </w:r>
            <w:r w:rsidR="00BA0A3D" w:rsidRPr="009922A4">
              <w:rPr>
                <w:szCs w:val="24"/>
              </w:rPr>
              <w:t xml:space="preserve"> </w:t>
            </w:r>
            <w:r w:rsidRPr="009922A4">
              <w:rPr>
                <w:szCs w:val="24"/>
              </w:rPr>
              <w:t>augusts, Nr. L 206) (turpmāk – Regula Nr.723/2009);</w:t>
            </w:r>
          </w:p>
          <w:p w14:paraId="342BE757" w14:textId="7EA87B9F" w:rsidR="003774F4" w:rsidRPr="009922A4" w:rsidRDefault="003268BB" w:rsidP="00BA0E1E">
            <w:pPr>
              <w:pStyle w:val="ListParagraph"/>
              <w:numPr>
                <w:ilvl w:val="0"/>
                <w:numId w:val="2"/>
              </w:numPr>
              <w:ind w:right="113"/>
              <w:rPr>
                <w:szCs w:val="24"/>
              </w:rPr>
            </w:pPr>
            <w:r w:rsidRPr="009922A4">
              <w:rPr>
                <w:szCs w:val="24"/>
              </w:rPr>
              <w:t xml:space="preserve">Padomes </w:t>
            </w:r>
            <w:r w:rsidR="003774F4" w:rsidRPr="009922A4">
              <w:rPr>
                <w:szCs w:val="24"/>
              </w:rPr>
              <w:t xml:space="preserve">2014. gada 6. maija Padomes Regula (ES) Nr. 561/2014, ar ko izveido kopuzņēmumu </w:t>
            </w:r>
            <w:r w:rsidR="003774F4" w:rsidRPr="009922A4">
              <w:rPr>
                <w:i/>
                <w:szCs w:val="24"/>
              </w:rPr>
              <w:t>ECSEL</w:t>
            </w:r>
            <w:r w:rsidRPr="009922A4">
              <w:rPr>
                <w:i/>
                <w:szCs w:val="24"/>
              </w:rPr>
              <w:t xml:space="preserve"> </w:t>
            </w:r>
            <w:r w:rsidRPr="009922A4">
              <w:rPr>
                <w:szCs w:val="24"/>
              </w:rPr>
              <w:t xml:space="preserve">(Eiropas Savienības Oficiālais Vēstnesis, 2014. gada 7. jūnijs, Nr. L 169) </w:t>
            </w:r>
            <w:r w:rsidR="004D6858" w:rsidRPr="009922A4">
              <w:rPr>
                <w:szCs w:val="24"/>
              </w:rPr>
              <w:t>(turpmāk – Regula Nr.561/2014)</w:t>
            </w:r>
            <w:r w:rsidR="003774F4" w:rsidRPr="009922A4">
              <w:rPr>
                <w:szCs w:val="24"/>
              </w:rPr>
              <w:t>;</w:t>
            </w:r>
          </w:p>
          <w:p w14:paraId="5B33817C" w14:textId="1C612C0E" w:rsidR="00A201BC" w:rsidRPr="009922A4" w:rsidRDefault="003268BB" w:rsidP="00BA0E1E">
            <w:pPr>
              <w:pStyle w:val="ListParagraph"/>
              <w:numPr>
                <w:ilvl w:val="0"/>
                <w:numId w:val="2"/>
              </w:numPr>
              <w:ind w:right="113"/>
              <w:rPr>
                <w:szCs w:val="24"/>
              </w:rPr>
            </w:pPr>
            <w:r w:rsidRPr="009922A4">
              <w:rPr>
                <w:szCs w:val="24"/>
              </w:rPr>
              <w:t>Eiropas Parlamenta un P</w:t>
            </w:r>
            <w:r w:rsidR="00A201BC" w:rsidRPr="009922A4">
              <w:rPr>
                <w:szCs w:val="24"/>
              </w:rPr>
              <w:t xml:space="preserve">adomes 2013. gada 11. decembra </w:t>
            </w:r>
            <w:r w:rsidRPr="009922A4">
              <w:rPr>
                <w:szCs w:val="24"/>
              </w:rPr>
              <w:t xml:space="preserve">(ES) </w:t>
            </w:r>
            <w:r w:rsidR="00A201BC" w:rsidRPr="009922A4">
              <w:rPr>
                <w:szCs w:val="24"/>
              </w:rPr>
              <w:t>Regula Nr. 1291/201</w:t>
            </w:r>
            <w:hyperlink r:id="rId16" w:tgtFrame="_blank" w:history="1">
              <w:r w:rsidR="00A201BC" w:rsidRPr="009922A4">
                <w:rPr>
                  <w:szCs w:val="24"/>
                </w:rPr>
                <w:t>3</w:t>
              </w:r>
            </w:hyperlink>
            <w:r w:rsidR="00A201BC" w:rsidRPr="009922A4">
              <w:rPr>
                <w:szCs w:val="24"/>
              </w:rPr>
              <w:t xml:space="preserve">, ar ko izveido Pētniecības un inovācijas pamatprogrammu “Apvārsnis 2020” (2014.–2020. gads) un atceļ Lēmumu Nr. 1982/2006/EK </w:t>
            </w:r>
            <w:proofErr w:type="gramStart"/>
            <w:r w:rsidRPr="009922A4">
              <w:rPr>
                <w:szCs w:val="24"/>
              </w:rPr>
              <w:t>(</w:t>
            </w:r>
            <w:proofErr w:type="gramEnd"/>
            <w:r w:rsidRPr="009922A4">
              <w:rPr>
                <w:szCs w:val="24"/>
              </w:rPr>
              <w:t xml:space="preserve">Eiropas Savienības Oficiālais Vēstnesis, 2013. gada 20. decembris, Nr. L 347) </w:t>
            </w:r>
            <w:r w:rsidR="00A201BC" w:rsidRPr="009922A4">
              <w:rPr>
                <w:szCs w:val="24"/>
              </w:rPr>
              <w:t>(turpmāk – Regula Nr. 1291/201</w:t>
            </w:r>
            <w:hyperlink r:id="rId17" w:tgtFrame="_blank" w:history="1">
              <w:r w:rsidR="00A201BC" w:rsidRPr="009922A4">
                <w:rPr>
                  <w:szCs w:val="24"/>
                </w:rPr>
                <w:t>3</w:t>
              </w:r>
            </w:hyperlink>
            <w:r w:rsidR="00A201BC" w:rsidRPr="009922A4">
              <w:rPr>
                <w:szCs w:val="24"/>
              </w:rPr>
              <w:t>)</w:t>
            </w:r>
            <w:r w:rsidR="001370E4" w:rsidRPr="009922A4">
              <w:rPr>
                <w:szCs w:val="24"/>
              </w:rPr>
              <w:t>;</w:t>
            </w:r>
          </w:p>
          <w:p w14:paraId="271803D4" w14:textId="231B29F0" w:rsidR="003774F4" w:rsidRPr="00FA320C" w:rsidRDefault="003268BB" w:rsidP="00BA0E1E">
            <w:pPr>
              <w:pStyle w:val="ListParagraph"/>
              <w:numPr>
                <w:ilvl w:val="0"/>
                <w:numId w:val="2"/>
              </w:numPr>
              <w:ind w:right="113"/>
              <w:rPr>
                <w:szCs w:val="24"/>
              </w:rPr>
            </w:pPr>
            <w:r w:rsidRPr="009922A4">
              <w:rPr>
                <w:szCs w:val="24"/>
              </w:rPr>
              <w:t>Eiropas Parlamenta un P</w:t>
            </w:r>
            <w:r w:rsidR="00A201BC" w:rsidRPr="009922A4">
              <w:rPr>
                <w:szCs w:val="24"/>
              </w:rPr>
              <w:t>adomes 2013. gada 11. decembra Regula Nr. 1290/201</w:t>
            </w:r>
            <w:hyperlink r:id="rId18" w:tgtFrame="_blank" w:history="1">
              <w:r w:rsidR="00A201BC" w:rsidRPr="009922A4">
                <w:rPr>
                  <w:szCs w:val="24"/>
                </w:rPr>
                <w:t>3</w:t>
              </w:r>
            </w:hyperlink>
            <w:r w:rsidR="00A201BC" w:rsidRPr="009922A4">
              <w:rPr>
                <w:szCs w:val="24"/>
              </w:rPr>
              <w:t xml:space="preserve"> ar ko nosaka pētniecības un inovācijas pamatprogrammas “Apvārsnis 2020” (2014.–2020. gads) dalības un rezultātu izplatīšanas noteikumus un atceļ Regulu (EK) Nr. 1906/2006 </w:t>
            </w:r>
            <w:proofErr w:type="gramStart"/>
            <w:r w:rsidRPr="009922A4">
              <w:rPr>
                <w:szCs w:val="24"/>
              </w:rPr>
              <w:t>(</w:t>
            </w:r>
            <w:proofErr w:type="gramEnd"/>
            <w:r w:rsidRPr="009922A4">
              <w:rPr>
                <w:szCs w:val="24"/>
              </w:rPr>
              <w:t xml:space="preserve">Eiropas Savienības Oficiālais Vēstnesis, 2013. gada 20. decembris, Nr. L 347) </w:t>
            </w:r>
            <w:r w:rsidR="00A201BC" w:rsidRPr="009922A4">
              <w:rPr>
                <w:szCs w:val="24"/>
              </w:rPr>
              <w:t>(turpmāk – Regula Nr. 1290/201</w:t>
            </w:r>
            <w:hyperlink r:id="rId19" w:tgtFrame="_blank" w:history="1">
              <w:r w:rsidR="00A201BC" w:rsidRPr="009922A4">
                <w:rPr>
                  <w:szCs w:val="24"/>
                </w:rPr>
                <w:t>3</w:t>
              </w:r>
            </w:hyperlink>
            <w:r w:rsidR="00A201BC" w:rsidRPr="00A201BC">
              <w:rPr>
                <w:szCs w:val="24"/>
              </w:rPr>
              <w:t>).</w:t>
            </w:r>
          </w:p>
        </w:tc>
      </w:tr>
      <w:tr w:rsidR="009A72C5" w:rsidRPr="00D91AE9" w14:paraId="0D3BE2D4"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6" w:type="dxa"/>
            <w:tcBorders>
              <w:top w:val="outset" w:sz="6" w:space="0" w:color="auto"/>
              <w:left w:val="outset" w:sz="6" w:space="0" w:color="auto"/>
              <w:bottom w:val="outset" w:sz="6" w:space="0" w:color="auto"/>
              <w:right w:val="outset" w:sz="6" w:space="0" w:color="auto"/>
            </w:tcBorders>
          </w:tcPr>
          <w:p w14:paraId="40C91CAC" w14:textId="77777777" w:rsidR="009A72C5" w:rsidRPr="00D91AE9" w:rsidRDefault="009A72C5" w:rsidP="00DD2EFA">
            <w:r w:rsidRPr="00D91AE9">
              <w:lastRenderedPageBreak/>
              <w:t>2.</w:t>
            </w:r>
          </w:p>
        </w:tc>
        <w:tc>
          <w:tcPr>
            <w:tcW w:w="2765" w:type="dxa"/>
            <w:gridSpan w:val="3"/>
            <w:tcBorders>
              <w:top w:val="outset" w:sz="6" w:space="0" w:color="auto"/>
              <w:left w:val="outset" w:sz="6" w:space="0" w:color="auto"/>
              <w:bottom w:val="outset" w:sz="6" w:space="0" w:color="auto"/>
              <w:right w:val="outset" w:sz="6" w:space="0" w:color="auto"/>
            </w:tcBorders>
          </w:tcPr>
          <w:p w14:paraId="7E5DD77C" w14:textId="77777777" w:rsidR="009A72C5" w:rsidRPr="00D91AE9" w:rsidRDefault="009A72C5" w:rsidP="00DD2EFA">
            <w:proofErr w:type="gramStart"/>
            <w:r w:rsidRPr="00D91AE9">
              <w:t>Citas starptautiskās saistības</w:t>
            </w:r>
            <w:proofErr w:type="gramEnd"/>
          </w:p>
        </w:tc>
        <w:tc>
          <w:tcPr>
            <w:tcW w:w="5913" w:type="dxa"/>
            <w:gridSpan w:val="5"/>
            <w:tcBorders>
              <w:top w:val="outset" w:sz="6" w:space="0" w:color="auto"/>
              <w:left w:val="outset" w:sz="6" w:space="0" w:color="auto"/>
              <w:bottom w:val="outset" w:sz="6" w:space="0" w:color="auto"/>
              <w:right w:val="outset" w:sz="6" w:space="0" w:color="auto"/>
            </w:tcBorders>
          </w:tcPr>
          <w:p w14:paraId="7120AA8D" w14:textId="77777777" w:rsidR="009A72C5" w:rsidRPr="00D91AE9" w:rsidRDefault="009A72C5" w:rsidP="00DD2EFA">
            <w:pPr>
              <w:ind w:left="57" w:right="113"/>
              <w:jc w:val="both"/>
            </w:pPr>
            <w:r w:rsidRPr="00D91AE9">
              <w:t>Noteikumu projekts šo jomu neskar.</w:t>
            </w:r>
          </w:p>
        </w:tc>
      </w:tr>
      <w:tr w:rsidR="009A72C5" w:rsidRPr="00D91AE9" w14:paraId="311F6AF0"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6" w:type="dxa"/>
            <w:tcBorders>
              <w:top w:val="outset" w:sz="6" w:space="0" w:color="auto"/>
              <w:left w:val="outset" w:sz="6" w:space="0" w:color="auto"/>
              <w:bottom w:val="outset" w:sz="6" w:space="0" w:color="auto"/>
              <w:right w:val="outset" w:sz="6" w:space="0" w:color="auto"/>
            </w:tcBorders>
          </w:tcPr>
          <w:p w14:paraId="4D799F61" w14:textId="77777777" w:rsidR="009A72C5" w:rsidRPr="00D91AE9" w:rsidRDefault="009A72C5" w:rsidP="00DD2EFA">
            <w:r w:rsidRPr="00D91AE9">
              <w:t>3.</w:t>
            </w:r>
          </w:p>
        </w:tc>
        <w:tc>
          <w:tcPr>
            <w:tcW w:w="2765" w:type="dxa"/>
            <w:gridSpan w:val="3"/>
            <w:tcBorders>
              <w:top w:val="outset" w:sz="6" w:space="0" w:color="auto"/>
              <w:left w:val="outset" w:sz="6" w:space="0" w:color="auto"/>
              <w:bottom w:val="outset" w:sz="6" w:space="0" w:color="auto"/>
              <w:right w:val="outset" w:sz="6" w:space="0" w:color="auto"/>
            </w:tcBorders>
          </w:tcPr>
          <w:p w14:paraId="4DE42733" w14:textId="77777777" w:rsidR="009A72C5" w:rsidRPr="00D91AE9" w:rsidRDefault="009A72C5" w:rsidP="00DD2EFA">
            <w:r w:rsidRPr="00D91AE9">
              <w:t>Cita informācija</w:t>
            </w:r>
          </w:p>
        </w:tc>
        <w:tc>
          <w:tcPr>
            <w:tcW w:w="5913" w:type="dxa"/>
            <w:gridSpan w:val="5"/>
            <w:tcBorders>
              <w:top w:val="outset" w:sz="6" w:space="0" w:color="auto"/>
              <w:left w:val="outset" w:sz="6" w:space="0" w:color="auto"/>
              <w:bottom w:val="outset" w:sz="6" w:space="0" w:color="auto"/>
              <w:right w:val="outset" w:sz="6" w:space="0" w:color="auto"/>
            </w:tcBorders>
          </w:tcPr>
          <w:p w14:paraId="44C0BCFF" w14:textId="77777777" w:rsidR="009A72C5" w:rsidRPr="00D91AE9" w:rsidRDefault="009A72C5" w:rsidP="00DD2EFA">
            <w:pPr>
              <w:ind w:left="57" w:right="113"/>
              <w:jc w:val="both"/>
            </w:pPr>
            <w:r w:rsidRPr="00D91AE9">
              <w:t>Nav.</w:t>
            </w:r>
          </w:p>
        </w:tc>
      </w:tr>
      <w:tr w:rsidR="009A72C5" w:rsidRPr="00D91AE9" w14:paraId="391FD11E"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364"/>
          <w:jc w:val="center"/>
        </w:trPr>
        <w:tc>
          <w:tcPr>
            <w:tcW w:w="8914" w:type="dxa"/>
            <w:gridSpan w:val="9"/>
            <w:tcBorders>
              <w:top w:val="outset" w:sz="6" w:space="0" w:color="auto"/>
              <w:left w:val="outset" w:sz="6" w:space="0" w:color="auto"/>
              <w:bottom w:val="outset" w:sz="6" w:space="0" w:color="auto"/>
              <w:right w:val="outset" w:sz="6" w:space="0" w:color="auto"/>
            </w:tcBorders>
            <w:vAlign w:val="center"/>
          </w:tcPr>
          <w:p w14:paraId="1D564D09" w14:textId="77777777" w:rsidR="009A72C5" w:rsidRPr="00D91AE9" w:rsidRDefault="009A72C5" w:rsidP="00DD2EFA">
            <w:pPr>
              <w:rPr>
                <w:b/>
              </w:rPr>
            </w:pPr>
            <w:r w:rsidRPr="00D91AE9">
              <w:rPr>
                <w:b/>
              </w:rPr>
              <w:t>1.tabula</w:t>
            </w:r>
          </w:p>
          <w:p w14:paraId="12D60F90" w14:textId="77777777" w:rsidR="009A72C5" w:rsidRPr="00D91AE9" w:rsidRDefault="009A72C5" w:rsidP="00DD2EFA">
            <w:r w:rsidRPr="00D91AE9">
              <w:rPr>
                <w:b/>
              </w:rPr>
              <w:t>Tiesību akta projekta atbilstība ES tiesību aktiem</w:t>
            </w:r>
          </w:p>
        </w:tc>
      </w:tr>
      <w:tr w:rsidR="009A72C5" w:rsidRPr="00D91AE9" w14:paraId="50CA1F8A"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single" w:sz="4" w:space="0" w:color="auto"/>
            </w:tcBorders>
          </w:tcPr>
          <w:p w14:paraId="14A64285" w14:textId="77777777" w:rsidR="009A72C5" w:rsidRPr="00D91AE9" w:rsidRDefault="009A72C5" w:rsidP="00DD2EFA">
            <w:r w:rsidRPr="00D91AE9">
              <w:t>Attiecīgā ES tiesību akta datums, numurs un nosaukums</w:t>
            </w:r>
          </w:p>
        </w:tc>
        <w:tc>
          <w:tcPr>
            <w:tcW w:w="4672" w:type="dxa"/>
            <w:gridSpan w:val="6"/>
            <w:tcBorders>
              <w:top w:val="single" w:sz="4" w:space="0" w:color="auto"/>
              <w:left w:val="single" w:sz="4" w:space="0" w:color="auto"/>
              <w:bottom w:val="single" w:sz="4" w:space="0" w:color="auto"/>
            </w:tcBorders>
          </w:tcPr>
          <w:p w14:paraId="49529AE5" w14:textId="2769B336" w:rsidR="009A72C5" w:rsidRDefault="009A72C5" w:rsidP="00DD2EFA">
            <w:r w:rsidRPr="00784B48">
              <w:t>Regula Nr. 651/2014</w:t>
            </w:r>
            <w:r w:rsidR="004D6858">
              <w:t>;</w:t>
            </w:r>
          </w:p>
          <w:p w14:paraId="010D0DF9" w14:textId="1D0CD9F6" w:rsidR="009D36E1" w:rsidRPr="00784B48" w:rsidRDefault="009D36E1" w:rsidP="00DD2EFA">
            <w:r>
              <w:t>R</w:t>
            </w:r>
            <w:r w:rsidRPr="002A2795">
              <w:t>egula Nr. </w:t>
            </w:r>
            <w:hyperlink r:id="rId20" w:tgtFrame="_blank" w:history="1">
              <w:r w:rsidRPr="002A2795">
                <w:t>316/2014</w:t>
              </w:r>
            </w:hyperlink>
            <w:r w:rsidR="004D6858">
              <w:t>;</w:t>
            </w:r>
          </w:p>
          <w:p w14:paraId="3E946927" w14:textId="111286D1" w:rsidR="009A72C5" w:rsidRPr="0014168F" w:rsidRDefault="009A72C5" w:rsidP="00DD2EFA">
            <w:r w:rsidRPr="00784B48">
              <w:t xml:space="preserve">Regula </w:t>
            </w:r>
            <w:r w:rsidRPr="0014168F">
              <w:t>Nr. 1303/2013</w:t>
            </w:r>
            <w:r w:rsidR="004D6858" w:rsidRPr="0014168F">
              <w:t>;</w:t>
            </w:r>
          </w:p>
          <w:p w14:paraId="62C6AA0F" w14:textId="77777777" w:rsidR="004D6858" w:rsidRPr="0014168F" w:rsidRDefault="004D6858" w:rsidP="00DD2EFA">
            <w:r w:rsidRPr="0014168F">
              <w:t>Regula Nr.1407/2013;</w:t>
            </w:r>
          </w:p>
          <w:p w14:paraId="2B89CBFB" w14:textId="77777777" w:rsidR="004D6858" w:rsidRPr="0014168F" w:rsidRDefault="004D6858" w:rsidP="00DD2EFA">
            <w:r w:rsidRPr="0014168F">
              <w:t>Regula Nr.723/2009;</w:t>
            </w:r>
          </w:p>
          <w:p w14:paraId="2A1FE8C4" w14:textId="14A5B0A9" w:rsidR="004D6858" w:rsidRPr="0014168F" w:rsidRDefault="004D6858" w:rsidP="00DD2EFA">
            <w:r w:rsidRPr="0014168F">
              <w:t>Regula Nr.</w:t>
            </w:r>
            <w:r w:rsidR="00F10D97">
              <w:t xml:space="preserve"> </w:t>
            </w:r>
            <w:r w:rsidRPr="0014168F">
              <w:t>561/2014;</w:t>
            </w:r>
          </w:p>
          <w:p w14:paraId="4D4E726A" w14:textId="77777777" w:rsidR="004D6858" w:rsidRPr="0014168F" w:rsidRDefault="004D6858" w:rsidP="00DD2EFA">
            <w:r w:rsidRPr="0014168F">
              <w:t>Regula Nr. 1291/201</w:t>
            </w:r>
            <w:hyperlink r:id="rId21" w:tgtFrame="_blank" w:history="1">
              <w:r w:rsidRPr="0014168F">
                <w:t>3</w:t>
              </w:r>
            </w:hyperlink>
            <w:r w:rsidRPr="0014168F">
              <w:t>;</w:t>
            </w:r>
          </w:p>
          <w:p w14:paraId="6CDDC792" w14:textId="18CB1B19" w:rsidR="004D6858" w:rsidRPr="00D91AE9" w:rsidRDefault="004D6858" w:rsidP="00DD2EFA">
            <w:r w:rsidRPr="0014168F">
              <w:t>Regula Nr. 1290/201</w:t>
            </w:r>
            <w:hyperlink r:id="rId22" w:tgtFrame="_blank" w:history="1">
              <w:r w:rsidRPr="0014168F">
                <w:t>3</w:t>
              </w:r>
            </w:hyperlink>
            <w:r w:rsidRPr="0014168F">
              <w:t>.</w:t>
            </w:r>
          </w:p>
        </w:tc>
        <w:tc>
          <w:tcPr>
            <w:tcW w:w="1845" w:type="dxa"/>
          </w:tcPr>
          <w:p w14:paraId="133E1C23" w14:textId="77777777" w:rsidR="009A72C5" w:rsidRPr="00D91AE9" w:rsidRDefault="009A72C5" w:rsidP="00DD2EFA"/>
        </w:tc>
      </w:tr>
      <w:tr w:rsidR="009A72C5" w:rsidRPr="00D91AE9" w14:paraId="126B0294"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7528CD24" w14:textId="5588267F" w:rsidR="009A72C5" w:rsidRPr="00D91AE9" w:rsidRDefault="009A72C5" w:rsidP="00DD2EFA">
            <w:r w:rsidRPr="00D91AE9">
              <w:t>A</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3952E061" w14:textId="77777777" w:rsidR="009A72C5" w:rsidRPr="00D91AE9" w:rsidRDefault="009A72C5" w:rsidP="00DD2EFA">
            <w:r w:rsidRPr="00D91AE9">
              <w:t>B</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3B76BE48" w14:textId="77777777" w:rsidR="009A72C5" w:rsidRPr="00D91AE9" w:rsidRDefault="009A72C5" w:rsidP="00DD2EFA">
            <w:r w:rsidRPr="00D91AE9">
              <w:t>C</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556EB037" w14:textId="77777777" w:rsidR="009A72C5" w:rsidRPr="00D91AE9" w:rsidRDefault="009A72C5" w:rsidP="00DD2EFA">
            <w:r w:rsidRPr="00D91AE9">
              <w:t>D</w:t>
            </w:r>
          </w:p>
        </w:tc>
      </w:tr>
      <w:tr w:rsidR="009A72C5" w:rsidRPr="00D91AE9" w14:paraId="6071ECEF"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tcPr>
          <w:p w14:paraId="2E4E9E04" w14:textId="77777777" w:rsidR="009A72C5" w:rsidRPr="00D91AE9" w:rsidRDefault="009A72C5" w:rsidP="00DD2EFA">
            <w:r w:rsidRPr="00D91AE9">
              <w:t>Attiecīgā ES tiesību akta panta numurs (uzskaitot katru tiesību akta vienību – pantu, daļu, punktu, apakšpunktu)</w:t>
            </w:r>
          </w:p>
        </w:tc>
        <w:tc>
          <w:tcPr>
            <w:tcW w:w="2376" w:type="dxa"/>
            <w:gridSpan w:val="3"/>
            <w:tcBorders>
              <w:top w:val="outset" w:sz="6" w:space="0" w:color="auto"/>
              <w:left w:val="outset" w:sz="6" w:space="0" w:color="auto"/>
              <w:bottom w:val="outset" w:sz="6" w:space="0" w:color="auto"/>
              <w:right w:val="outset" w:sz="6" w:space="0" w:color="auto"/>
            </w:tcBorders>
          </w:tcPr>
          <w:p w14:paraId="1910C66A" w14:textId="77777777" w:rsidR="009A72C5" w:rsidRPr="00D91AE9" w:rsidRDefault="009A72C5" w:rsidP="00DD2EFA">
            <w:r w:rsidRPr="00D91AE9">
              <w:t>Projekta vienība, kas pārņem vai ievieš katru šīs tabulas A ailē minēto ES tiesību akta vienību</w:t>
            </w:r>
            <w:proofErr w:type="gramStart"/>
            <w:r w:rsidRPr="00D91AE9">
              <w:t>, vai tiesību akts</w:t>
            </w:r>
            <w:proofErr w:type="gramEnd"/>
            <w:r w:rsidRPr="00D91AE9">
              <w:t>, kur attiecīgā ES tiesību akta vienība pārņemta vai ieviesta</w:t>
            </w:r>
          </w:p>
        </w:tc>
        <w:tc>
          <w:tcPr>
            <w:tcW w:w="2176" w:type="dxa"/>
            <w:gridSpan w:val="2"/>
            <w:tcBorders>
              <w:top w:val="outset" w:sz="6" w:space="0" w:color="auto"/>
              <w:left w:val="outset" w:sz="6" w:space="0" w:color="auto"/>
              <w:bottom w:val="outset" w:sz="6" w:space="0" w:color="auto"/>
              <w:right w:val="outset" w:sz="6" w:space="0" w:color="auto"/>
            </w:tcBorders>
          </w:tcPr>
          <w:p w14:paraId="33988482" w14:textId="77777777" w:rsidR="009A72C5" w:rsidRPr="00D91AE9" w:rsidRDefault="009A72C5" w:rsidP="00DD2EFA">
            <w:r w:rsidRPr="00D91AE9">
              <w:t>Informācija par to, vai šīs tabulas A ailē minētās ES tiesību akta vienības tiek pārņemtas vai ieviestas pilnībā vai daļēji.</w:t>
            </w:r>
          </w:p>
          <w:p w14:paraId="7D204B4F" w14:textId="77777777" w:rsidR="009A72C5" w:rsidRPr="00D91AE9" w:rsidRDefault="009A72C5" w:rsidP="00DD2EFA">
            <w:r w:rsidRPr="00D91AE9">
              <w:lastRenderedPageBreak/>
              <w:t>Ja attiecīgā ES tiesību akta vienība tiek pārņemta vai ieviesta daļēji, sniedz attiecīgu skaidrojumu, kā arī precīzi norāda, kad un kādā veidā ES tiesību akta vienība tiks pārņemta vai ieviesta pilnībā.</w:t>
            </w:r>
          </w:p>
          <w:p w14:paraId="5AF61EF7" w14:textId="77777777" w:rsidR="009A72C5" w:rsidRPr="00D91AE9" w:rsidRDefault="009A72C5" w:rsidP="00DD2EFA">
            <w:r w:rsidRPr="00D91AE9">
              <w:t>Norāda institūciju, kas ir atbildīga par šo saistību izpildi pilnībā</w:t>
            </w:r>
          </w:p>
        </w:tc>
        <w:tc>
          <w:tcPr>
            <w:tcW w:w="1965" w:type="dxa"/>
            <w:gridSpan w:val="2"/>
            <w:tcBorders>
              <w:top w:val="outset" w:sz="6" w:space="0" w:color="auto"/>
              <w:left w:val="outset" w:sz="6" w:space="0" w:color="auto"/>
              <w:bottom w:val="outset" w:sz="6" w:space="0" w:color="auto"/>
              <w:right w:val="outset" w:sz="6" w:space="0" w:color="auto"/>
            </w:tcBorders>
          </w:tcPr>
          <w:p w14:paraId="2F0EE0F1" w14:textId="77777777" w:rsidR="009A72C5" w:rsidRPr="00D91AE9" w:rsidRDefault="009A72C5" w:rsidP="00DD2EFA">
            <w:r w:rsidRPr="00D91AE9">
              <w:lastRenderedPageBreak/>
              <w:t xml:space="preserve">Informācija par to, vai šīs tabulas B ailē minētās projekta vienības paredz stingrākas prasības nekā šīs tabulas A ailē </w:t>
            </w:r>
            <w:r w:rsidRPr="00D91AE9">
              <w:lastRenderedPageBreak/>
              <w:t>minētās ES tiesību akta vienības.</w:t>
            </w:r>
          </w:p>
          <w:p w14:paraId="68D85703" w14:textId="77777777" w:rsidR="009A72C5" w:rsidRPr="00D91AE9" w:rsidRDefault="009A72C5" w:rsidP="00DD2EFA">
            <w:r w:rsidRPr="00D91AE9">
              <w:t>Ja projekts satur stingrā</w:t>
            </w:r>
            <w:r w:rsidRPr="00D91AE9">
              <w:softHyphen/>
              <w:t>kas prasības nekā attie</w:t>
            </w:r>
            <w:r w:rsidRPr="00D91AE9">
              <w:softHyphen/>
              <w:t>cīgais ES tiesību akts, norāda pamatojumu un samērīgumu.</w:t>
            </w:r>
          </w:p>
          <w:p w14:paraId="4E8F09A5" w14:textId="77777777" w:rsidR="009A72C5" w:rsidRPr="00D91AE9" w:rsidRDefault="009A72C5" w:rsidP="00DD2EFA">
            <w:r w:rsidRPr="00D91AE9">
              <w:t>Norāda iespējamās alternatīvas (t.sk. alternatīvas, kas neparedz tiesiskā regulējuma izstrādi) – kādos gadījumos būtu iespējams izvairīties no stingrāku prasību noteikšanas, nekā paredzēts attiecīgajos ES tiesību aktos</w:t>
            </w:r>
          </w:p>
        </w:tc>
      </w:tr>
      <w:tr w:rsidR="003B3A52" w:rsidRPr="00D91AE9" w14:paraId="11268695" w14:textId="77777777" w:rsidTr="0006481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08D2680B" w14:textId="6C953E64" w:rsidR="003B3A52" w:rsidRPr="00526EDD" w:rsidRDefault="003B3A52" w:rsidP="003B3A52">
            <w:pPr>
              <w:spacing w:before="10"/>
              <w:ind w:left="113" w:right="113"/>
              <w:jc w:val="both"/>
            </w:pPr>
            <w:r w:rsidRPr="00526EDD">
              <w:lastRenderedPageBreak/>
              <w:t>Regulas Nr.651/2014 2. panta 23. punkts</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0AEE1FD4" w14:textId="1BDC3104" w:rsidR="003B3A52" w:rsidRPr="00526EDD" w:rsidRDefault="003B3A52" w:rsidP="003B3A52">
            <w:pPr>
              <w:spacing w:before="10"/>
              <w:ind w:left="113" w:right="113"/>
              <w:jc w:val="both"/>
            </w:pPr>
            <w:r w:rsidRPr="00526EDD">
              <w:t>Noteikumu projekta 2.4. apakšpunkts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6C47B379" w14:textId="0AA3F342" w:rsidR="003B3A52" w:rsidRPr="00526EDD" w:rsidRDefault="003B3A52" w:rsidP="003B3A52">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15BD1049" w14:textId="4EB7E4D2" w:rsidR="003B3A52" w:rsidRPr="00526EDD" w:rsidRDefault="003B3A52" w:rsidP="003B3A52">
            <w:pPr>
              <w:spacing w:before="10"/>
              <w:ind w:left="113" w:right="113"/>
              <w:jc w:val="both"/>
            </w:pPr>
            <w:r w:rsidRPr="00526EDD">
              <w:t>neparedz stingrākas prasības</w:t>
            </w:r>
          </w:p>
        </w:tc>
      </w:tr>
      <w:tr w:rsidR="003B3A52" w:rsidRPr="00D91AE9" w14:paraId="50AE9DD1"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6BC99D53" w14:textId="77777777" w:rsidR="003B3A52" w:rsidRPr="00526EDD" w:rsidRDefault="003B3A52" w:rsidP="003B3A52">
            <w:pPr>
              <w:spacing w:before="10"/>
              <w:ind w:left="113" w:right="113"/>
              <w:jc w:val="both"/>
            </w:pPr>
            <w:r w:rsidRPr="00526EDD">
              <w:t>Regulas Nr.651/2014 2. panta 90. punkts</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30A56247" w14:textId="1F9DCA0A" w:rsidR="003B3A52" w:rsidRPr="00526EDD" w:rsidRDefault="003B3A52" w:rsidP="003B3A52">
            <w:pPr>
              <w:spacing w:before="10"/>
              <w:ind w:left="113" w:right="113"/>
              <w:jc w:val="both"/>
            </w:pPr>
            <w:r w:rsidRPr="00526EDD">
              <w:t>Noteikumu projekta 2.</w:t>
            </w:r>
            <w:r w:rsidR="00817ADD" w:rsidRPr="00526EDD">
              <w:t>6</w:t>
            </w:r>
            <w:r w:rsidRPr="00526EDD">
              <w:t>. apakšpunkts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53B811A3" w14:textId="77777777" w:rsidR="003B3A52" w:rsidRPr="00526EDD" w:rsidRDefault="003B3A52" w:rsidP="003B3A52">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57897DDE" w14:textId="77777777" w:rsidR="003B3A52" w:rsidRPr="00526EDD" w:rsidRDefault="003B3A52" w:rsidP="003B3A52">
            <w:pPr>
              <w:spacing w:before="10"/>
              <w:ind w:left="113" w:right="113"/>
              <w:jc w:val="both"/>
            </w:pPr>
            <w:r w:rsidRPr="00526EDD">
              <w:t>neparedz stingrākas prasības</w:t>
            </w:r>
          </w:p>
        </w:tc>
      </w:tr>
      <w:tr w:rsidR="003B3A52" w:rsidRPr="00D91AE9" w14:paraId="5574D196"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55E9318B" w14:textId="77777777" w:rsidR="003B3A52" w:rsidRPr="00526EDD" w:rsidRDefault="003B3A52" w:rsidP="003B3A52">
            <w:pPr>
              <w:spacing w:before="10"/>
              <w:ind w:left="113" w:right="113"/>
              <w:jc w:val="both"/>
            </w:pPr>
            <w:r w:rsidRPr="00526EDD">
              <w:t>Regulas Nr.651/2014 2. panta 86. punkts</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6E1E7A6F" w14:textId="166BAFD3" w:rsidR="003B3A52" w:rsidRPr="00526EDD" w:rsidRDefault="003B3A52" w:rsidP="003B3A52">
            <w:pPr>
              <w:spacing w:before="10"/>
              <w:ind w:left="113" w:right="113"/>
              <w:jc w:val="both"/>
            </w:pPr>
            <w:r w:rsidRPr="00526EDD">
              <w:t>Noteikumu projekta 2.</w:t>
            </w:r>
            <w:r w:rsidR="00817ADD" w:rsidRPr="00526EDD">
              <w:t>8</w:t>
            </w:r>
            <w:r w:rsidRPr="00526EDD">
              <w:t>. apakšpunkts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224BE578" w14:textId="77777777" w:rsidR="003B3A52" w:rsidRPr="00526EDD" w:rsidRDefault="003B3A52" w:rsidP="003B3A52">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54AEEADC" w14:textId="77777777" w:rsidR="003B3A52" w:rsidRPr="00526EDD" w:rsidRDefault="003B3A52" w:rsidP="003B3A52">
            <w:pPr>
              <w:spacing w:before="10"/>
              <w:ind w:left="113" w:right="113"/>
              <w:jc w:val="both"/>
            </w:pPr>
            <w:r w:rsidRPr="00526EDD">
              <w:t>neparedz stingrākas prasības</w:t>
            </w:r>
          </w:p>
        </w:tc>
      </w:tr>
      <w:tr w:rsidR="007660C5" w:rsidRPr="00D91AE9" w14:paraId="6A0C8F1B"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7EDE1D87" w14:textId="3F18989A" w:rsidR="007660C5" w:rsidRPr="00526EDD" w:rsidRDefault="007660C5" w:rsidP="007660C5">
            <w:pPr>
              <w:spacing w:before="10"/>
              <w:ind w:left="113" w:right="113"/>
              <w:jc w:val="both"/>
            </w:pPr>
            <w:r w:rsidRPr="00526EDD">
              <w:t>Regulas Nr.651/2014 2. panta 84. punkts</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2A1FCEBD" w14:textId="7B5ED5E3" w:rsidR="007660C5" w:rsidRPr="00526EDD" w:rsidRDefault="007660C5" w:rsidP="007660C5">
            <w:pPr>
              <w:spacing w:before="10"/>
              <w:ind w:left="113" w:right="113"/>
              <w:jc w:val="both"/>
            </w:pPr>
            <w:r w:rsidRPr="00526EDD">
              <w:t>Noteikumu projekta 2.12. apakšpunkts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214AE488" w14:textId="444638B4" w:rsidR="007660C5" w:rsidRPr="00526EDD" w:rsidRDefault="007660C5" w:rsidP="007660C5">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512DEDE7" w14:textId="54FA2EFA" w:rsidR="007660C5" w:rsidRPr="00526EDD" w:rsidRDefault="007660C5" w:rsidP="007660C5">
            <w:pPr>
              <w:spacing w:before="10"/>
              <w:ind w:left="113" w:right="113"/>
              <w:jc w:val="both"/>
            </w:pPr>
            <w:r w:rsidRPr="00526EDD">
              <w:t>neparedz stingrākas prasības</w:t>
            </w:r>
          </w:p>
        </w:tc>
      </w:tr>
      <w:tr w:rsidR="007660C5" w:rsidRPr="00D91AE9" w14:paraId="03FE801F"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7D995542" w14:textId="6AFCA0E8" w:rsidR="007660C5" w:rsidRPr="00526EDD" w:rsidRDefault="007660C5" w:rsidP="007660C5">
            <w:pPr>
              <w:spacing w:before="10"/>
              <w:ind w:left="113" w:right="113"/>
              <w:jc w:val="both"/>
            </w:pPr>
            <w:r w:rsidRPr="00526EDD">
              <w:t>Regulas Nr.651/2014 2. panta 18. punkts</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7E68C926" w14:textId="6314E3D7" w:rsidR="007660C5" w:rsidRPr="00526EDD" w:rsidRDefault="007660C5" w:rsidP="007660C5">
            <w:pPr>
              <w:spacing w:before="10"/>
              <w:ind w:left="113" w:right="113"/>
              <w:jc w:val="both"/>
            </w:pPr>
            <w:r w:rsidRPr="00526EDD">
              <w:t>Noteikumu projekta 2.13. apakšpunkts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14F9A088" w14:textId="71D7FFB9" w:rsidR="007660C5" w:rsidRPr="00526EDD" w:rsidRDefault="007660C5" w:rsidP="007660C5">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47904045" w14:textId="067A5B37" w:rsidR="007660C5" w:rsidRPr="00526EDD" w:rsidRDefault="007660C5" w:rsidP="007660C5">
            <w:pPr>
              <w:spacing w:before="10"/>
              <w:ind w:left="113" w:right="113"/>
              <w:jc w:val="both"/>
            </w:pPr>
            <w:r w:rsidRPr="00526EDD">
              <w:t>neparedz stingrākas prasības</w:t>
            </w:r>
          </w:p>
        </w:tc>
      </w:tr>
      <w:tr w:rsidR="007660C5" w:rsidRPr="00D91AE9" w14:paraId="799BE9CA"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5585CBB3" w14:textId="14A740AA" w:rsidR="007660C5" w:rsidRPr="00526EDD" w:rsidRDefault="007660C5" w:rsidP="007660C5">
            <w:pPr>
              <w:spacing w:before="10"/>
              <w:ind w:left="113" w:right="113"/>
              <w:jc w:val="both"/>
            </w:pPr>
            <w:r w:rsidRPr="00526EDD">
              <w:t>Regulas Nr.651/2014 2. panta 24. punkts</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08E472D7" w14:textId="67F5D5CB" w:rsidR="007660C5" w:rsidRPr="00526EDD" w:rsidRDefault="007660C5" w:rsidP="007660C5">
            <w:pPr>
              <w:spacing w:before="10"/>
              <w:ind w:left="113" w:right="113"/>
              <w:jc w:val="both"/>
            </w:pPr>
            <w:r w:rsidRPr="00526EDD">
              <w:t>Noteikumu projekta 2.16. apakšpunkts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3F16494B" w14:textId="1DAA978F" w:rsidR="007660C5" w:rsidRPr="00526EDD" w:rsidRDefault="007660C5" w:rsidP="007660C5">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55069C02" w14:textId="34851C7F" w:rsidR="007660C5" w:rsidRPr="00526EDD" w:rsidRDefault="007660C5" w:rsidP="007660C5">
            <w:pPr>
              <w:spacing w:before="10"/>
              <w:ind w:left="113" w:right="113"/>
              <w:jc w:val="both"/>
            </w:pPr>
            <w:r w:rsidRPr="00526EDD">
              <w:t>neparedz stingrākas prasības</w:t>
            </w:r>
          </w:p>
        </w:tc>
      </w:tr>
      <w:tr w:rsidR="007660C5" w:rsidRPr="00D91AE9" w14:paraId="6AE9D021"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6D64EE41" w14:textId="77777777" w:rsidR="007660C5" w:rsidRPr="00526EDD" w:rsidRDefault="007660C5" w:rsidP="007660C5">
            <w:pPr>
              <w:spacing w:before="10"/>
              <w:ind w:left="113" w:right="113"/>
              <w:jc w:val="both"/>
            </w:pPr>
            <w:r w:rsidRPr="00526EDD">
              <w:t>Regulas Nr.651/2014 2. panta 83. punkts</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541527D3" w14:textId="3859F6F5" w:rsidR="007660C5" w:rsidRPr="00526EDD" w:rsidRDefault="007660C5" w:rsidP="007660C5">
            <w:pPr>
              <w:spacing w:before="10"/>
              <w:ind w:left="113" w:right="113"/>
              <w:jc w:val="both"/>
            </w:pPr>
            <w:r w:rsidRPr="00526EDD">
              <w:t>Noteikumu projekta 2.19. apakšpunkts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4AA5BF5D" w14:textId="77777777" w:rsidR="007660C5" w:rsidRPr="00526EDD" w:rsidRDefault="007660C5" w:rsidP="007660C5">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53AB3A56" w14:textId="77777777" w:rsidR="007660C5" w:rsidRPr="00526EDD" w:rsidRDefault="007660C5" w:rsidP="007660C5">
            <w:pPr>
              <w:spacing w:before="10"/>
              <w:ind w:left="113" w:right="113"/>
              <w:jc w:val="both"/>
            </w:pPr>
            <w:r w:rsidRPr="00526EDD">
              <w:t>neparedz stingrākas prasības</w:t>
            </w:r>
          </w:p>
        </w:tc>
      </w:tr>
      <w:tr w:rsidR="007660C5" w:rsidRPr="00D91AE9" w14:paraId="16C1C037"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26E2687E" w14:textId="77777777" w:rsidR="007660C5" w:rsidRPr="00526EDD" w:rsidRDefault="007660C5" w:rsidP="007660C5">
            <w:pPr>
              <w:spacing w:before="10"/>
              <w:ind w:left="113" w:right="113"/>
              <w:jc w:val="both"/>
            </w:pPr>
            <w:r w:rsidRPr="00526EDD">
              <w:lastRenderedPageBreak/>
              <w:t>Regulas Nr.651/2014 2. panta 85. punkts</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56CF6FD5" w14:textId="08170571" w:rsidR="007660C5" w:rsidRPr="00526EDD" w:rsidRDefault="007660C5" w:rsidP="007660C5">
            <w:pPr>
              <w:spacing w:before="10"/>
              <w:ind w:left="113" w:right="113"/>
              <w:jc w:val="both"/>
            </w:pPr>
            <w:r w:rsidRPr="00526EDD">
              <w:t>Noteikumu projekta 2.23. apakšpunkts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6F0211D9" w14:textId="77777777" w:rsidR="007660C5" w:rsidRPr="00526EDD" w:rsidRDefault="007660C5" w:rsidP="007660C5">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3D739902" w14:textId="77777777" w:rsidR="007660C5" w:rsidRPr="00526EDD" w:rsidRDefault="007660C5" w:rsidP="007660C5">
            <w:pPr>
              <w:spacing w:before="10"/>
              <w:ind w:left="113" w:right="113"/>
              <w:jc w:val="both"/>
            </w:pPr>
            <w:r w:rsidRPr="00526EDD">
              <w:t>neparedz stingrākas prasības</w:t>
            </w:r>
          </w:p>
        </w:tc>
      </w:tr>
      <w:tr w:rsidR="007660C5" w:rsidRPr="00D91AE9" w14:paraId="0327CD6F"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6E91078A" w14:textId="22DAE1E7" w:rsidR="007660C5" w:rsidRPr="00526EDD" w:rsidRDefault="007660C5" w:rsidP="007660C5">
            <w:pPr>
              <w:spacing w:before="10"/>
              <w:ind w:left="113" w:right="113"/>
              <w:jc w:val="both"/>
            </w:pPr>
            <w:r w:rsidRPr="00526EDD">
              <w:t>Regulas Nr.651/2014 2. panta 2. punkts</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4CDB1CF0" w14:textId="09A99BCB" w:rsidR="007660C5" w:rsidRPr="00526EDD" w:rsidRDefault="007660C5" w:rsidP="007660C5">
            <w:pPr>
              <w:spacing w:before="10"/>
              <w:ind w:left="113" w:right="113"/>
              <w:jc w:val="both"/>
            </w:pPr>
            <w:r w:rsidRPr="00526EDD">
              <w:t>Noteikumu projekta 2.25. apakšpunkts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0CF1FAEF" w14:textId="7DEC863D" w:rsidR="007660C5" w:rsidRPr="00526EDD" w:rsidRDefault="007660C5" w:rsidP="007660C5">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3A344AD6" w14:textId="75E6C912" w:rsidR="007660C5" w:rsidRPr="00526EDD" w:rsidRDefault="007660C5" w:rsidP="007660C5">
            <w:pPr>
              <w:spacing w:before="10"/>
              <w:ind w:left="113" w:right="113"/>
              <w:jc w:val="both"/>
            </w:pPr>
            <w:r w:rsidRPr="00526EDD">
              <w:t>neparedz stingrākas prasības</w:t>
            </w:r>
          </w:p>
        </w:tc>
      </w:tr>
      <w:tr w:rsidR="007660C5" w:rsidRPr="00D91AE9" w14:paraId="1DCA85AD"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342DA70F" w14:textId="4310D259" w:rsidR="007660C5" w:rsidRPr="00526EDD" w:rsidRDefault="007660C5" w:rsidP="007660C5">
            <w:pPr>
              <w:spacing w:before="10"/>
              <w:ind w:left="113" w:right="113"/>
              <w:jc w:val="both"/>
            </w:pPr>
            <w:r w:rsidRPr="00526EDD">
              <w:t>Regulas Nr.651/2014 2. panta 87. punkts</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566ECBDB" w14:textId="74C318C7" w:rsidR="007660C5" w:rsidRPr="00526EDD" w:rsidRDefault="007660C5" w:rsidP="007660C5">
            <w:pPr>
              <w:spacing w:before="10"/>
              <w:ind w:left="113" w:right="113"/>
              <w:jc w:val="both"/>
            </w:pPr>
            <w:r w:rsidRPr="00526EDD">
              <w:t>Noteikumu projekta 2.26. apakšpunkts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738F6F7D" w14:textId="366F9AF9" w:rsidR="007660C5" w:rsidRPr="00526EDD" w:rsidRDefault="007660C5" w:rsidP="007660C5">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60B513EE" w14:textId="729924FC" w:rsidR="007660C5" w:rsidRPr="00526EDD" w:rsidRDefault="007660C5" w:rsidP="007660C5">
            <w:pPr>
              <w:spacing w:before="10"/>
              <w:ind w:left="113" w:right="113"/>
              <w:jc w:val="both"/>
            </w:pPr>
            <w:r w:rsidRPr="00526EDD">
              <w:t>neparedz stingrākas prasības</w:t>
            </w:r>
          </w:p>
        </w:tc>
      </w:tr>
      <w:tr w:rsidR="007660C5" w:rsidRPr="00D91AE9" w14:paraId="2BC4972F"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0519D580" w14:textId="0D1E3495" w:rsidR="007660C5" w:rsidRPr="00526EDD" w:rsidRDefault="007660C5" w:rsidP="007660C5">
            <w:pPr>
              <w:spacing w:before="10"/>
              <w:ind w:left="113" w:right="113"/>
              <w:jc w:val="both"/>
            </w:pPr>
            <w:r w:rsidRPr="00526EDD">
              <w:t>Regulas Nr.651/2014 25. panta 3. punkta “a”, “b”, “d” un “e” apakšpunkts</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4B203005" w14:textId="0D8557AB" w:rsidR="007660C5" w:rsidRPr="00526EDD" w:rsidRDefault="00526EDD" w:rsidP="007660C5">
            <w:pPr>
              <w:spacing w:before="10"/>
              <w:ind w:left="113" w:right="113"/>
              <w:jc w:val="both"/>
            </w:pPr>
            <w:r>
              <w:t>Noteikumu projekta 62.1</w:t>
            </w:r>
            <w:r w:rsidR="007660C5" w:rsidRPr="00526EDD">
              <w:t>. apakšpunkts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2CDF0337" w14:textId="7AF2B28D" w:rsidR="007660C5" w:rsidRPr="00526EDD" w:rsidRDefault="007660C5" w:rsidP="007660C5">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028B0ED4" w14:textId="4BB8CAAD" w:rsidR="007660C5" w:rsidRPr="00526EDD" w:rsidRDefault="007660C5" w:rsidP="007660C5">
            <w:pPr>
              <w:spacing w:before="10"/>
              <w:ind w:left="113" w:right="113"/>
              <w:jc w:val="both"/>
            </w:pPr>
            <w:r w:rsidRPr="00526EDD">
              <w:t>neparedz stingrākas prasības</w:t>
            </w:r>
          </w:p>
        </w:tc>
      </w:tr>
      <w:tr w:rsidR="007660C5" w:rsidRPr="00D91AE9" w14:paraId="1101BEBE"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5576E70C" w14:textId="3D492398" w:rsidR="007660C5" w:rsidRPr="00526EDD" w:rsidRDefault="007660C5" w:rsidP="007660C5">
            <w:pPr>
              <w:spacing w:before="10"/>
              <w:ind w:left="113" w:right="113"/>
              <w:jc w:val="both"/>
            </w:pPr>
            <w:r w:rsidRPr="00526EDD">
              <w:t>Regulas Nr.651/2014 25. panta 6. punkta “b” apakšpunkts</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4D8AAAC0" w14:textId="22539DFA" w:rsidR="007660C5" w:rsidRPr="00526EDD" w:rsidRDefault="00526EDD" w:rsidP="007660C5">
            <w:pPr>
              <w:spacing w:before="10"/>
              <w:ind w:left="113" w:right="113"/>
              <w:jc w:val="both"/>
            </w:pPr>
            <w:r>
              <w:t>Noteikumu projekta 64</w:t>
            </w:r>
            <w:r w:rsidR="007660C5" w:rsidRPr="00526EDD">
              <w:t>. 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5BC55719" w14:textId="43D8A498" w:rsidR="007660C5" w:rsidRPr="00526EDD" w:rsidRDefault="007660C5" w:rsidP="007660C5">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3CAB41A2" w14:textId="692F2432" w:rsidR="007660C5" w:rsidRPr="00526EDD" w:rsidRDefault="007660C5" w:rsidP="007660C5">
            <w:pPr>
              <w:spacing w:before="10"/>
              <w:ind w:left="113" w:right="113"/>
              <w:jc w:val="both"/>
            </w:pPr>
            <w:r w:rsidRPr="00526EDD">
              <w:t>neparedz stingrākas prasības</w:t>
            </w:r>
          </w:p>
        </w:tc>
      </w:tr>
      <w:tr w:rsidR="001A4B3E" w:rsidRPr="00D91AE9" w14:paraId="614C1059"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64718717" w14:textId="55F3E4CA" w:rsidR="001A4B3E" w:rsidRPr="00526EDD" w:rsidRDefault="001A4B3E" w:rsidP="007660C5">
            <w:pPr>
              <w:spacing w:before="10"/>
              <w:ind w:left="113" w:right="113"/>
              <w:jc w:val="both"/>
            </w:pPr>
            <w:r w:rsidRPr="00526EDD">
              <w:t>Regulas Nr.651/2014 6. panta 2. punkts</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72585D7C" w14:textId="17EB09E0" w:rsidR="001A4B3E" w:rsidRPr="00526EDD" w:rsidRDefault="001A4B3E" w:rsidP="001A4B3E">
            <w:pPr>
              <w:spacing w:before="10"/>
              <w:ind w:left="113" w:right="113"/>
              <w:jc w:val="both"/>
            </w:pPr>
            <w:r w:rsidRPr="00526EDD">
              <w:t>Noteikumu projekta 65.2. apakšpunkts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43075FF9" w14:textId="11FB1FD4" w:rsidR="001A4B3E" w:rsidRPr="00526EDD" w:rsidRDefault="001A4B3E" w:rsidP="007660C5">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0CF9AC1A" w14:textId="3AB1E6E6" w:rsidR="001A4B3E" w:rsidRPr="00526EDD" w:rsidRDefault="001A4B3E" w:rsidP="007660C5">
            <w:pPr>
              <w:spacing w:before="10"/>
              <w:ind w:left="113" w:right="113"/>
              <w:jc w:val="both"/>
            </w:pPr>
            <w:r w:rsidRPr="00526EDD">
              <w:t>neparedz stingrākas prasības</w:t>
            </w:r>
          </w:p>
        </w:tc>
      </w:tr>
      <w:tr w:rsidR="00E45363" w:rsidRPr="00D91AE9" w14:paraId="137FFD9D"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469AC23C" w14:textId="37A640DB" w:rsidR="00E45363" w:rsidRPr="00526EDD" w:rsidRDefault="00E45363" w:rsidP="00E45363">
            <w:pPr>
              <w:spacing w:before="10"/>
              <w:ind w:left="113" w:right="113"/>
              <w:jc w:val="both"/>
            </w:pPr>
            <w:r w:rsidRPr="00526EDD">
              <w:t xml:space="preserve">Regulas Nr.651/2014 2. panta 18. punkts </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3A1A5250" w14:textId="78ED1347" w:rsidR="00E45363" w:rsidRPr="00526EDD" w:rsidRDefault="00E45363" w:rsidP="00E45363">
            <w:pPr>
              <w:spacing w:before="10"/>
              <w:ind w:left="113" w:right="113"/>
              <w:jc w:val="both"/>
            </w:pPr>
            <w:r w:rsidRPr="00526EDD">
              <w:t xml:space="preserve">Noteikumu </w:t>
            </w:r>
            <w:r w:rsidR="00526EDD">
              <w:t>projekta 71</w:t>
            </w:r>
            <w:r w:rsidRPr="00526EDD">
              <w:t>.1. apakšpunkts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1ED48ABA" w14:textId="058C9700" w:rsidR="00E45363" w:rsidRPr="00526EDD" w:rsidRDefault="00E45363" w:rsidP="00E45363">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5ADAB5DE" w14:textId="7D898734" w:rsidR="00E45363" w:rsidRPr="00526EDD" w:rsidRDefault="00E45363" w:rsidP="00E45363">
            <w:pPr>
              <w:spacing w:before="10"/>
              <w:ind w:left="113" w:right="113"/>
              <w:jc w:val="both"/>
            </w:pPr>
            <w:r w:rsidRPr="00526EDD">
              <w:t>neparedz stingrākas prasības</w:t>
            </w:r>
          </w:p>
        </w:tc>
      </w:tr>
      <w:tr w:rsidR="00E45363" w:rsidRPr="00D91AE9" w14:paraId="530F61F1"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3CFB9E59" w14:textId="42134371" w:rsidR="00E45363" w:rsidRPr="00526EDD" w:rsidRDefault="00E45363" w:rsidP="00E45363">
            <w:pPr>
              <w:spacing w:before="10"/>
              <w:ind w:left="113" w:right="113"/>
              <w:jc w:val="both"/>
            </w:pPr>
            <w:r w:rsidRPr="00526EDD">
              <w:t xml:space="preserve">Regulas Nr.651/2014 1. panta 4. punkta “a” apakšpunkts </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1BF69307" w14:textId="1726D86D" w:rsidR="00E45363" w:rsidRPr="00526EDD" w:rsidRDefault="00526EDD" w:rsidP="00E45363">
            <w:pPr>
              <w:spacing w:before="10"/>
              <w:ind w:left="113" w:right="113"/>
              <w:jc w:val="both"/>
            </w:pPr>
            <w:r>
              <w:t>Noteikumu projekta 71</w:t>
            </w:r>
            <w:r w:rsidR="00E45363" w:rsidRPr="00526EDD">
              <w:t>.5. apakšpunkts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5D732D16" w14:textId="26F2B07B" w:rsidR="00E45363" w:rsidRPr="00526EDD" w:rsidRDefault="00E45363" w:rsidP="00E45363">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26959204" w14:textId="47693021" w:rsidR="00E45363" w:rsidRPr="00526EDD" w:rsidRDefault="00E45363" w:rsidP="00E45363">
            <w:pPr>
              <w:spacing w:before="10"/>
              <w:ind w:left="113" w:right="113"/>
              <w:jc w:val="both"/>
            </w:pPr>
            <w:r w:rsidRPr="00526EDD">
              <w:t>neparedz stingrākas prasības</w:t>
            </w:r>
          </w:p>
        </w:tc>
      </w:tr>
      <w:tr w:rsidR="00E45363" w:rsidRPr="00D91AE9" w14:paraId="07D08BFF"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6FBF553E" w14:textId="52BACDCE" w:rsidR="00E45363" w:rsidRPr="00526EDD" w:rsidRDefault="00E45363" w:rsidP="00E45363">
            <w:pPr>
              <w:spacing w:before="10"/>
              <w:ind w:left="113" w:right="113"/>
              <w:jc w:val="both"/>
            </w:pPr>
            <w:r w:rsidRPr="00526EDD">
              <w:t>Regulas Nr.651/2014 1. panta 2. punkts un 3.punkta “c” un “d” apakšpunkts</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1A36128D" w14:textId="49480C49" w:rsidR="00E45363" w:rsidRPr="00526EDD" w:rsidRDefault="00526EDD" w:rsidP="00E45363">
            <w:pPr>
              <w:spacing w:before="10"/>
              <w:ind w:left="113" w:right="113"/>
              <w:jc w:val="both"/>
            </w:pPr>
            <w:r>
              <w:t>Noteikumu projekta 72</w:t>
            </w:r>
            <w:r w:rsidR="00E45363" w:rsidRPr="00526EDD">
              <w:t>. 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27727BC6" w14:textId="516DA577" w:rsidR="00E45363" w:rsidRPr="00526EDD" w:rsidRDefault="00E45363" w:rsidP="00E45363">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6E031885" w14:textId="7671943A" w:rsidR="00E45363" w:rsidRPr="00526EDD" w:rsidRDefault="00E45363" w:rsidP="00E45363">
            <w:pPr>
              <w:spacing w:before="10"/>
              <w:ind w:left="113" w:right="113"/>
              <w:jc w:val="both"/>
            </w:pPr>
            <w:r w:rsidRPr="00526EDD">
              <w:t>neparedz stingrākas prasības</w:t>
            </w:r>
          </w:p>
        </w:tc>
      </w:tr>
      <w:tr w:rsidR="00526EDD" w:rsidRPr="00D91AE9" w14:paraId="4150D502"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5C3E4C21" w14:textId="252D21DD" w:rsidR="00526EDD" w:rsidRPr="00526EDD" w:rsidRDefault="00526EDD" w:rsidP="00786C4B">
            <w:pPr>
              <w:spacing w:before="10"/>
              <w:ind w:left="109" w:right="113"/>
              <w:jc w:val="both"/>
            </w:pPr>
            <w:r w:rsidRPr="00526EDD">
              <w:t xml:space="preserve">Regulas Nr.651/2014 1. panta </w:t>
            </w:r>
            <w:r>
              <w:t>5</w:t>
            </w:r>
            <w:r w:rsidRPr="00526EDD">
              <w:t xml:space="preserve">. punkts </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5CFB747D" w14:textId="0A450FB8" w:rsidR="00526EDD" w:rsidRDefault="00786C4B" w:rsidP="00526EDD">
            <w:pPr>
              <w:spacing w:before="10"/>
              <w:ind w:left="113" w:right="113"/>
              <w:jc w:val="both"/>
            </w:pPr>
            <w:r>
              <w:t>Noteikumu projekta 73</w:t>
            </w:r>
            <w:r w:rsidR="00526EDD" w:rsidRPr="00526EDD">
              <w:t>. 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35B0CBD5" w14:textId="28144D27" w:rsidR="00526EDD" w:rsidRPr="00526EDD" w:rsidRDefault="00526EDD" w:rsidP="00526EDD">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5A887DD9" w14:textId="2DE09428" w:rsidR="00526EDD" w:rsidRPr="00526EDD" w:rsidRDefault="00526EDD" w:rsidP="00526EDD">
            <w:pPr>
              <w:spacing w:before="10"/>
              <w:ind w:left="113" w:right="113"/>
              <w:jc w:val="both"/>
            </w:pPr>
            <w:r w:rsidRPr="00526EDD">
              <w:t>neparedz stingrākas prasības</w:t>
            </w:r>
          </w:p>
        </w:tc>
      </w:tr>
      <w:tr w:rsidR="00526EDD" w:rsidRPr="00D91AE9" w14:paraId="5FC5C092"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3831F64D" w14:textId="5EBD87BC" w:rsidR="00526EDD" w:rsidRPr="00526EDD" w:rsidRDefault="00526EDD" w:rsidP="00526EDD">
            <w:pPr>
              <w:spacing w:before="10"/>
              <w:ind w:left="113" w:right="113"/>
              <w:jc w:val="both"/>
            </w:pPr>
            <w:r w:rsidRPr="00526EDD">
              <w:t xml:space="preserve">Regulas Nr.651/2014 25. pants </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6FC2B479" w14:textId="2B02B3C2" w:rsidR="00526EDD" w:rsidRPr="00526EDD" w:rsidRDefault="00526EDD" w:rsidP="00526EDD">
            <w:pPr>
              <w:spacing w:before="10"/>
              <w:ind w:left="113" w:right="113"/>
              <w:jc w:val="both"/>
            </w:pPr>
            <w:r w:rsidRPr="00526EDD">
              <w:t xml:space="preserve">Noteikumu projekta </w:t>
            </w:r>
            <w:r>
              <w:t>85</w:t>
            </w:r>
            <w:r w:rsidRPr="00526EDD">
              <w:t>. 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1B927142" w14:textId="4ED77F45" w:rsidR="00526EDD" w:rsidRPr="00526EDD" w:rsidRDefault="00526EDD" w:rsidP="00526EDD">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5C0FA8A6" w14:textId="3C3A5EEC" w:rsidR="00526EDD" w:rsidRPr="00526EDD" w:rsidRDefault="00526EDD" w:rsidP="00526EDD">
            <w:pPr>
              <w:spacing w:before="10"/>
              <w:ind w:left="113" w:right="113"/>
              <w:jc w:val="both"/>
            </w:pPr>
            <w:r w:rsidRPr="00526EDD">
              <w:t>neparedz stingrākas prasības</w:t>
            </w:r>
          </w:p>
        </w:tc>
      </w:tr>
      <w:tr w:rsidR="00526EDD" w:rsidRPr="00D91AE9" w14:paraId="398AA063"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093FB840" w14:textId="249BE87D" w:rsidR="00526EDD" w:rsidRPr="00526EDD" w:rsidRDefault="00526EDD" w:rsidP="00526EDD">
            <w:pPr>
              <w:spacing w:before="10"/>
              <w:ind w:left="113" w:right="113"/>
              <w:jc w:val="both"/>
            </w:pPr>
            <w:r w:rsidRPr="00526EDD">
              <w:t>Regulas Nr.651/2014 9. panta 1. un 4. punkts</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6C8C1F80" w14:textId="7E686CB8" w:rsidR="00526EDD" w:rsidRPr="00526EDD" w:rsidRDefault="00526EDD" w:rsidP="00526EDD">
            <w:pPr>
              <w:spacing w:before="10"/>
              <w:ind w:left="113" w:right="113"/>
              <w:jc w:val="both"/>
            </w:pPr>
            <w:r w:rsidRPr="00526EDD">
              <w:t>Noteikumu projekta 8</w:t>
            </w:r>
            <w:r>
              <w:t>8</w:t>
            </w:r>
            <w:r w:rsidRPr="00526EDD">
              <w:t>. 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56A170CD" w14:textId="150A02CC" w:rsidR="00526EDD" w:rsidRPr="00526EDD" w:rsidRDefault="00526EDD" w:rsidP="00526EDD">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0A7159B1" w14:textId="3C1A14F1" w:rsidR="00526EDD" w:rsidRPr="00526EDD" w:rsidRDefault="00526EDD" w:rsidP="00526EDD">
            <w:pPr>
              <w:spacing w:before="10"/>
              <w:ind w:left="113" w:right="113"/>
              <w:jc w:val="both"/>
            </w:pPr>
            <w:r w:rsidRPr="00526EDD">
              <w:t>neparedz stingrākas prasības</w:t>
            </w:r>
          </w:p>
        </w:tc>
      </w:tr>
      <w:tr w:rsidR="00526EDD" w:rsidRPr="00D91AE9" w14:paraId="5601F835"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2F64F1CC" w14:textId="03B12182" w:rsidR="00526EDD" w:rsidRPr="00526EDD" w:rsidRDefault="00526EDD" w:rsidP="00526EDD">
            <w:pPr>
              <w:spacing w:before="10"/>
              <w:ind w:left="113" w:right="113"/>
              <w:jc w:val="both"/>
            </w:pPr>
            <w:r w:rsidRPr="00526EDD">
              <w:t>Regulas Nr.651/2014 12. pants</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4E9CF1A4" w14:textId="6C847804" w:rsidR="00526EDD" w:rsidRPr="00526EDD" w:rsidRDefault="00526EDD" w:rsidP="00526EDD">
            <w:pPr>
              <w:spacing w:before="10"/>
              <w:ind w:left="113" w:right="113"/>
              <w:jc w:val="both"/>
            </w:pPr>
            <w:r w:rsidRPr="00526EDD">
              <w:t>Noteikumu projekta 8</w:t>
            </w:r>
            <w:r>
              <w:t>9</w:t>
            </w:r>
            <w:r w:rsidRPr="00526EDD">
              <w:t>. 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75EEF98D" w14:textId="20A23EB8" w:rsidR="00526EDD" w:rsidRPr="00526EDD" w:rsidRDefault="00526EDD" w:rsidP="00526EDD">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6BE89DFE" w14:textId="0B4CCEDF" w:rsidR="00526EDD" w:rsidRPr="00526EDD" w:rsidRDefault="00526EDD" w:rsidP="00526EDD">
            <w:pPr>
              <w:spacing w:before="10"/>
              <w:ind w:left="113" w:right="113"/>
              <w:jc w:val="both"/>
            </w:pPr>
            <w:r w:rsidRPr="00526EDD">
              <w:t>neparedz stingrākas prasības</w:t>
            </w:r>
          </w:p>
        </w:tc>
      </w:tr>
      <w:tr w:rsidR="00526EDD" w:rsidRPr="00D91AE9" w14:paraId="1C489CEE"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5840CC19" w14:textId="059CF883" w:rsidR="00526EDD" w:rsidRPr="00526EDD" w:rsidRDefault="00526EDD" w:rsidP="00526EDD">
            <w:pPr>
              <w:spacing w:before="10"/>
              <w:ind w:left="113" w:right="113"/>
              <w:jc w:val="both"/>
            </w:pPr>
            <w:r w:rsidRPr="00526EDD">
              <w:lastRenderedPageBreak/>
              <w:t>Regulas Nr.651/2014 59. pants</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48E2B825" w14:textId="7C22FE7B" w:rsidR="00526EDD" w:rsidRPr="00526EDD" w:rsidRDefault="00526EDD" w:rsidP="00526EDD">
            <w:pPr>
              <w:spacing w:before="10"/>
              <w:ind w:left="113" w:right="113"/>
              <w:jc w:val="both"/>
            </w:pPr>
            <w:r>
              <w:t>Noteikumu projekta 90</w:t>
            </w:r>
            <w:r w:rsidRPr="00526EDD">
              <w:t>. 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3CBF2DD9" w14:textId="4F9C992F" w:rsidR="00526EDD" w:rsidRPr="00526EDD" w:rsidRDefault="00526EDD" w:rsidP="00526EDD">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0D4E9F79" w14:textId="45AD85D4" w:rsidR="00526EDD" w:rsidRPr="00526EDD" w:rsidRDefault="00526EDD" w:rsidP="00526EDD">
            <w:pPr>
              <w:spacing w:before="10"/>
              <w:ind w:left="113" w:right="113"/>
              <w:jc w:val="both"/>
            </w:pPr>
            <w:r w:rsidRPr="00526EDD">
              <w:t>neparedz stingrākas prasības</w:t>
            </w:r>
          </w:p>
        </w:tc>
      </w:tr>
      <w:tr w:rsidR="00526EDD" w:rsidRPr="00D91AE9" w14:paraId="0AC74A72" w14:textId="77777777" w:rsidTr="0006481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21F7B355" w14:textId="3FDBAF68" w:rsidR="00526EDD" w:rsidRPr="00526EDD" w:rsidRDefault="00526EDD" w:rsidP="00526EDD">
            <w:pPr>
              <w:spacing w:before="10"/>
              <w:ind w:left="113" w:right="113"/>
              <w:jc w:val="both"/>
            </w:pPr>
            <w:r w:rsidRPr="00526EDD">
              <w:t>Regulas Nr. </w:t>
            </w:r>
            <w:hyperlink r:id="rId23" w:tgtFrame="_blank" w:history="1">
              <w:r w:rsidRPr="00526EDD">
                <w:t>316/2014</w:t>
              </w:r>
            </w:hyperlink>
            <w:r w:rsidR="00F10D97">
              <w:t xml:space="preserve"> 1. panta “b” apakšpunkts</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36A783F2" w14:textId="2F5BD10E" w:rsidR="00526EDD" w:rsidRPr="00526EDD" w:rsidRDefault="00526EDD" w:rsidP="00526EDD">
            <w:pPr>
              <w:spacing w:before="10"/>
              <w:ind w:left="113" w:right="113"/>
              <w:jc w:val="both"/>
            </w:pPr>
            <w:r w:rsidRPr="00526EDD">
              <w:t>Noteikumu projekta 2.27. apakšpunkts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537D9A01" w14:textId="77777777" w:rsidR="00526EDD" w:rsidRPr="00526EDD" w:rsidRDefault="00526EDD" w:rsidP="00526EDD">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1489EFF5" w14:textId="77777777" w:rsidR="00526EDD" w:rsidRPr="00526EDD" w:rsidRDefault="00526EDD" w:rsidP="00526EDD">
            <w:pPr>
              <w:spacing w:before="10"/>
              <w:ind w:left="113" w:right="113"/>
              <w:jc w:val="both"/>
            </w:pPr>
            <w:r w:rsidRPr="00526EDD">
              <w:t>neparedz stingrākas prasības</w:t>
            </w:r>
          </w:p>
        </w:tc>
      </w:tr>
      <w:tr w:rsidR="00526EDD" w:rsidRPr="00D91AE9" w14:paraId="64ACABA1" w14:textId="77777777" w:rsidTr="0006481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6445C67E" w14:textId="5288A27D" w:rsidR="00526EDD" w:rsidRPr="00526EDD" w:rsidRDefault="00526EDD" w:rsidP="00526EDD">
            <w:pPr>
              <w:spacing w:before="10"/>
              <w:ind w:left="113" w:right="113"/>
              <w:jc w:val="both"/>
            </w:pPr>
            <w:r w:rsidRPr="00526EDD">
              <w:t>Regula Nr.1303/2013</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63DCBE4A" w14:textId="237FF725" w:rsidR="00526EDD" w:rsidRPr="00526EDD" w:rsidRDefault="00526EDD" w:rsidP="00526EDD">
            <w:pPr>
              <w:spacing w:before="10"/>
              <w:ind w:left="113" w:right="113"/>
              <w:jc w:val="both"/>
            </w:pPr>
            <w:r w:rsidRPr="00526EDD">
              <w:t>Noteikumu projekta 19.4. apakšpunkts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267D1A04" w14:textId="5859B453" w:rsidR="00526EDD" w:rsidRPr="00526EDD" w:rsidRDefault="00526EDD" w:rsidP="00526EDD">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285BCBF8" w14:textId="0467C333" w:rsidR="00526EDD" w:rsidRPr="00526EDD" w:rsidRDefault="00526EDD" w:rsidP="00526EDD">
            <w:pPr>
              <w:spacing w:before="10"/>
              <w:ind w:left="113" w:right="113"/>
              <w:jc w:val="both"/>
            </w:pPr>
            <w:r w:rsidRPr="00526EDD">
              <w:t>neparedz stingrākas prasības</w:t>
            </w:r>
          </w:p>
        </w:tc>
      </w:tr>
      <w:tr w:rsidR="00526EDD" w:rsidRPr="00D91AE9" w14:paraId="2B43E903" w14:textId="77777777" w:rsidTr="0006481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2F09324C" w14:textId="5AE62628" w:rsidR="00526EDD" w:rsidRPr="00526EDD" w:rsidRDefault="00526EDD" w:rsidP="00526EDD">
            <w:pPr>
              <w:spacing w:before="10"/>
              <w:ind w:left="113" w:right="113"/>
              <w:jc w:val="both"/>
            </w:pPr>
            <w:r w:rsidRPr="00526EDD">
              <w:t>Regula Nr.1303/2013</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0EDB5BB0" w14:textId="675C067C" w:rsidR="00526EDD" w:rsidRPr="00526EDD" w:rsidRDefault="00526EDD" w:rsidP="00526EDD">
            <w:pPr>
              <w:spacing w:before="10"/>
              <w:ind w:left="113" w:right="113"/>
              <w:jc w:val="both"/>
            </w:pPr>
            <w:r w:rsidRPr="00526EDD">
              <w:t>Noteikumu projekta 20.6. apakšpunkts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10592CC2" w14:textId="5ECC4907" w:rsidR="00526EDD" w:rsidRPr="00526EDD" w:rsidRDefault="00526EDD" w:rsidP="00526EDD">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4816BC55" w14:textId="5E1A713A" w:rsidR="00526EDD" w:rsidRPr="00526EDD" w:rsidRDefault="00526EDD" w:rsidP="00526EDD">
            <w:pPr>
              <w:spacing w:before="10"/>
              <w:ind w:left="113" w:right="113"/>
              <w:jc w:val="both"/>
            </w:pPr>
            <w:r w:rsidRPr="00526EDD">
              <w:t>neparedz stingrākas prasības</w:t>
            </w:r>
          </w:p>
        </w:tc>
      </w:tr>
      <w:tr w:rsidR="00526EDD" w:rsidRPr="00D91AE9" w14:paraId="7B9B328C" w14:textId="77777777" w:rsidTr="0006481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7A5014B8" w14:textId="3DB30D5B" w:rsidR="00526EDD" w:rsidRPr="00526EDD" w:rsidRDefault="00526EDD" w:rsidP="00526EDD">
            <w:pPr>
              <w:spacing w:before="10"/>
              <w:ind w:left="113" w:right="113"/>
              <w:jc w:val="both"/>
            </w:pPr>
            <w:r w:rsidRPr="00526EDD">
              <w:t>Regula Nr.1303/2013</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6D37E0A2" w14:textId="78F23B14" w:rsidR="00526EDD" w:rsidRPr="00526EDD" w:rsidRDefault="00526EDD" w:rsidP="00526EDD">
            <w:pPr>
              <w:spacing w:before="10"/>
              <w:ind w:left="113" w:right="113"/>
              <w:jc w:val="both"/>
            </w:pPr>
            <w:r w:rsidRPr="00526EDD">
              <w:t>Noteikumu projekta 4</w:t>
            </w:r>
            <w:r w:rsidR="004B39F6">
              <w:t>4</w:t>
            </w:r>
            <w:r w:rsidRPr="00526EDD">
              <w:t>.7. apakšpunkts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13B1A88E" w14:textId="38A95B9D" w:rsidR="00526EDD" w:rsidRPr="00526EDD" w:rsidRDefault="00526EDD" w:rsidP="00526EDD">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219C1340" w14:textId="542C6A1B" w:rsidR="00526EDD" w:rsidRPr="00526EDD" w:rsidRDefault="00526EDD" w:rsidP="00526EDD">
            <w:pPr>
              <w:spacing w:before="10"/>
              <w:ind w:left="113" w:right="113"/>
              <w:jc w:val="both"/>
            </w:pPr>
            <w:r w:rsidRPr="00526EDD">
              <w:t>neparedz stingrākas prasības</w:t>
            </w:r>
          </w:p>
        </w:tc>
      </w:tr>
      <w:tr w:rsidR="00526EDD" w:rsidRPr="00D91AE9" w14:paraId="53726959"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3D28D3FB" w14:textId="39425AF2" w:rsidR="00526EDD" w:rsidRPr="00526EDD" w:rsidRDefault="00526EDD" w:rsidP="00526EDD">
            <w:pPr>
              <w:spacing w:before="10"/>
              <w:ind w:left="113" w:right="113"/>
              <w:jc w:val="both"/>
            </w:pPr>
            <w:r w:rsidRPr="00526EDD">
              <w:t xml:space="preserve">Regula Nr.1303/2013 </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62590931" w14:textId="3C2F2D86" w:rsidR="00526EDD" w:rsidRPr="00526EDD" w:rsidRDefault="00526EDD" w:rsidP="00526EDD">
            <w:pPr>
              <w:spacing w:before="10"/>
              <w:ind w:left="113" w:right="113"/>
              <w:jc w:val="both"/>
            </w:pPr>
            <w:r w:rsidRPr="00526EDD">
              <w:t>Noteikumu projekta 7</w:t>
            </w:r>
            <w:r w:rsidR="004B39F6">
              <w:t>6</w:t>
            </w:r>
            <w:r w:rsidRPr="00526EDD">
              <w:t>. 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0CC281CF" w14:textId="5C7E206F" w:rsidR="00526EDD" w:rsidRPr="00526EDD" w:rsidRDefault="00526EDD" w:rsidP="00526EDD">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1CFA8FFC" w14:textId="6DAF1BA3" w:rsidR="00526EDD" w:rsidRPr="00526EDD" w:rsidRDefault="00526EDD" w:rsidP="00526EDD">
            <w:pPr>
              <w:spacing w:before="10"/>
              <w:ind w:left="113" w:right="113"/>
              <w:jc w:val="both"/>
            </w:pPr>
            <w:r w:rsidRPr="00526EDD">
              <w:t>neparedz stingrākas prasības</w:t>
            </w:r>
          </w:p>
        </w:tc>
      </w:tr>
      <w:tr w:rsidR="00526EDD" w:rsidRPr="00D91AE9" w14:paraId="4467DDF5"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3D1617FB" w14:textId="48AAAAA1" w:rsidR="00526EDD" w:rsidRPr="00526EDD" w:rsidRDefault="00526EDD" w:rsidP="00526EDD">
            <w:pPr>
              <w:spacing w:before="10"/>
              <w:ind w:left="113" w:right="113"/>
              <w:jc w:val="both"/>
            </w:pPr>
            <w:r w:rsidRPr="00526EDD">
              <w:t>Regula Nr.1407/2013</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13A2BD6C" w14:textId="52070107" w:rsidR="00526EDD" w:rsidRPr="00526EDD" w:rsidRDefault="00526EDD" w:rsidP="00526EDD">
            <w:pPr>
              <w:spacing w:before="10"/>
              <w:ind w:left="113" w:right="113"/>
              <w:jc w:val="both"/>
            </w:pPr>
            <w:r w:rsidRPr="00526EDD">
              <w:t>Noteikumu projekta 24. 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6549856A" w14:textId="58D50C4C" w:rsidR="00526EDD" w:rsidRPr="00526EDD" w:rsidRDefault="00526EDD" w:rsidP="00526EDD">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509021A7" w14:textId="0045AA29" w:rsidR="00526EDD" w:rsidRPr="00526EDD" w:rsidRDefault="00526EDD" w:rsidP="00526EDD">
            <w:pPr>
              <w:spacing w:before="10"/>
              <w:ind w:left="113" w:right="113"/>
              <w:jc w:val="both"/>
            </w:pPr>
            <w:r w:rsidRPr="00526EDD">
              <w:t>neparedz stingrākas prasības</w:t>
            </w:r>
          </w:p>
        </w:tc>
      </w:tr>
      <w:tr w:rsidR="00526EDD" w:rsidRPr="00D91AE9" w14:paraId="3C4361E7"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17B456EA" w14:textId="3D816CDE" w:rsidR="00526EDD" w:rsidRPr="00526EDD" w:rsidRDefault="00526EDD" w:rsidP="00526EDD">
            <w:pPr>
              <w:spacing w:before="10"/>
              <w:ind w:left="113" w:right="113"/>
              <w:jc w:val="both"/>
            </w:pPr>
            <w:r w:rsidRPr="00526EDD">
              <w:t xml:space="preserve">Regulas Nr.1407/2013 </w:t>
            </w:r>
            <w:proofErr w:type="gramStart"/>
            <w:r w:rsidRPr="00526EDD">
              <w:t>3.panta</w:t>
            </w:r>
            <w:proofErr w:type="gramEnd"/>
            <w:r w:rsidRPr="00526EDD">
              <w:t xml:space="preserve"> 2.punkts</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7C770627" w14:textId="40C4E707" w:rsidR="00526EDD" w:rsidRPr="00526EDD" w:rsidRDefault="00526EDD" w:rsidP="00526EDD">
            <w:pPr>
              <w:spacing w:before="10"/>
              <w:ind w:left="113" w:right="113"/>
              <w:jc w:val="both"/>
            </w:pPr>
            <w:r w:rsidRPr="00526EDD">
              <w:t>Noteikumu projekta 25. 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7D33FA61" w14:textId="676E134B" w:rsidR="00526EDD" w:rsidRPr="00526EDD" w:rsidRDefault="00526EDD" w:rsidP="00526EDD">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4E1950F3" w14:textId="04E70283" w:rsidR="00526EDD" w:rsidRPr="00526EDD" w:rsidRDefault="00526EDD" w:rsidP="00526EDD">
            <w:pPr>
              <w:spacing w:before="10"/>
              <w:ind w:left="113" w:right="113"/>
              <w:jc w:val="both"/>
            </w:pPr>
            <w:r w:rsidRPr="00526EDD">
              <w:t>neparedz stingrākas prasības</w:t>
            </w:r>
          </w:p>
        </w:tc>
      </w:tr>
      <w:tr w:rsidR="00526EDD" w:rsidRPr="00D91AE9" w14:paraId="347BAF7A"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6F6BDBC4" w14:textId="117BEDC2" w:rsidR="00526EDD" w:rsidRPr="00526EDD" w:rsidRDefault="00526EDD" w:rsidP="00526EDD">
            <w:pPr>
              <w:spacing w:before="10"/>
              <w:ind w:left="113" w:right="113"/>
              <w:jc w:val="both"/>
            </w:pPr>
            <w:r w:rsidRPr="00526EDD">
              <w:t xml:space="preserve">Regulas Nr.1407/2013 </w:t>
            </w:r>
            <w:proofErr w:type="gramStart"/>
            <w:r w:rsidRPr="00526EDD">
              <w:t>2.panta</w:t>
            </w:r>
            <w:proofErr w:type="gramEnd"/>
            <w:r w:rsidRPr="00526EDD">
              <w:t xml:space="preserve"> 2.punkts</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17DAD77B" w14:textId="3B182353" w:rsidR="00526EDD" w:rsidRPr="00526EDD" w:rsidRDefault="00526EDD" w:rsidP="00526EDD">
            <w:pPr>
              <w:spacing w:before="10"/>
              <w:ind w:left="113" w:right="113"/>
              <w:jc w:val="both"/>
            </w:pPr>
            <w:r w:rsidRPr="00526EDD">
              <w:t>Noteikumu projekta 26. 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4189451A" w14:textId="1BE9DDFF" w:rsidR="00526EDD" w:rsidRPr="00526EDD" w:rsidRDefault="00526EDD" w:rsidP="00526EDD">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4A2CD1DC" w14:textId="75F63B6D" w:rsidR="00526EDD" w:rsidRPr="00526EDD" w:rsidRDefault="00526EDD" w:rsidP="00526EDD">
            <w:pPr>
              <w:spacing w:before="10"/>
              <w:ind w:left="113" w:right="113"/>
              <w:jc w:val="both"/>
            </w:pPr>
            <w:r w:rsidRPr="00526EDD">
              <w:t>neparedz stingrākas prasības</w:t>
            </w:r>
          </w:p>
        </w:tc>
      </w:tr>
      <w:tr w:rsidR="00526EDD" w:rsidRPr="00D91AE9" w14:paraId="05106F3A"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75F92447" w14:textId="51A38F8B" w:rsidR="00526EDD" w:rsidRPr="00526EDD" w:rsidRDefault="00526EDD" w:rsidP="00526EDD">
            <w:pPr>
              <w:spacing w:before="10"/>
              <w:ind w:left="113" w:right="113"/>
              <w:jc w:val="both"/>
            </w:pPr>
            <w:r w:rsidRPr="00526EDD">
              <w:t xml:space="preserve">Regulas Nr.1407/2013 </w:t>
            </w:r>
            <w:proofErr w:type="gramStart"/>
            <w:r w:rsidRPr="00526EDD">
              <w:t>6.panta</w:t>
            </w:r>
            <w:proofErr w:type="gramEnd"/>
            <w:r w:rsidRPr="00526EDD">
              <w:t xml:space="preserve"> 4.punkts</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71F1A9E8" w14:textId="1DD1D53A" w:rsidR="00526EDD" w:rsidRPr="00526EDD" w:rsidRDefault="00526EDD" w:rsidP="00526EDD">
            <w:pPr>
              <w:spacing w:before="10"/>
              <w:ind w:left="113" w:right="113"/>
              <w:jc w:val="both"/>
            </w:pPr>
            <w:r w:rsidRPr="00526EDD">
              <w:t>Noteikumu projekta 27. 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5F101BB2" w14:textId="7D219D46" w:rsidR="00526EDD" w:rsidRPr="00526EDD" w:rsidRDefault="00526EDD" w:rsidP="00526EDD">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08036398" w14:textId="0D9B758D" w:rsidR="00526EDD" w:rsidRPr="00526EDD" w:rsidRDefault="00526EDD" w:rsidP="00526EDD">
            <w:pPr>
              <w:spacing w:before="10"/>
              <w:ind w:left="113" w:right="113"/>
              <w:jc w:val="both"/>
            </w:pPr>
            <w:r w:rsidRPr="00526EDD">
              <w:t>neparedz stingrākas prasības</w:t>
            </w:r>
          </w:p>
        </w:tc>
      </w:tr>
      <w:tr w:rsidR="00526EDD" w:rsidRPr="00D91AE9" w14:paraId="783C15D9" w14:textId="77777777" w:rsidTr="00782418">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397" w:type="dxa"/>
            <w:gridSpan w:val="2"/>
            <w:tcBorders>
              <w:top w:val="outset" w:sz="6" w:space="0" w:color="auto"/>
              <w:left w:val="outset" w:sz="6" w:space="0" w:color="auto"/>
              <w:bottom w:val="outset" w:sz="6" w:space="0" w:color="auto"/>
              <w:right w:val="outset" w:sz="6" w:space="0" w:color="auto"/>
            </w:tcBorders>
          </w:tcPr>
          <w:p w14:paraId="652D960E" w14:textId="31C1297B" w:rsidR="00526EDD" w:rsidRPr="00526EDD" w:rsidRDefault="00526EDD" w:rsidP="00526EDD">
            <w:pPr>
              <w:spacing w:before="10"/>
              <w:ind w:left="113" w:right="113"/>
              <w:jc w:val="both"/>
            </w:pPr>
            <w:r w:rsidRPr="00526EDD">
              <w:t xml:space="preserve">Regulas Nr.1407/2013 </w:t>
            </w:r>
            <w:proofErr w:type="gramStart"/>
            <w:r w:rsidRPr="00526EDD">
              <w:t>1.panta</w:t>
            </w:r>
            <w:proofErr w:type="gramEnd"/>
            <w:r w:rsidRPr="00526EDD">
              <w:t xml:space="preserve"> 1.punkts</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20E281C9" w14:textId="5273CD93" w:rsidR="00526EDD" w:rsidRPr="00526EDD" w:rsidRDefault="00526EDD" w:rsidP="00526EDD">
            <w:pPr>
              <w:spacing w:before="10"/>
              <w:ind w:left="113" w:right="113"/>
              <w:jc w:val="both"/>
            </w:pPr>
            <w:r w:rsidRPr="00526EDD">
              <w:t>Noteikumu projekta 28. un 29. 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2C99C8AC" w14:textId="1C9CBACF" w:rsidR="00526EDD" w:rsidRPr="00526EDD" w:rsidRDefault="00526EDD" w:rsidP="00526EDD">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22B4415B" w14:textId="43B74FFF" w:rsidR="00526EDD" w:rsidRPr="00526EDD" w:rsidRDefault="00526EDD" w:rsidP="00526EDD">
            <w:pPr>
              <w:spacing w:before="10"/>
              <w:ind w:left="113" w:right="113"/>
              <w:jc w:val="both"/>
            </w:pPr>
            <w:r w:rsidRPr="00526EDD">
              <w:t>neparedz stingrākas prasības</w:t>
            </w:r>
          </w:p>
        </w:tc>
      </w:tr>
      <w:tr w:rsidR="00526EDD" w:rsidRPr="00D91AE9" w14:paraId="1D601F00" w14:textId="77777777" w:rsidTr="00782418">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397" w:type="dxa"/>
            <w:gridSpan w:val="2"/>
            <w:tcBorders>
              <w:top w:val="outset" w:sz="6" w:space="0" w:color="auto"/>
              <w:left w:val="outset" w:sz="6" w:space="0" w:color="auto"/>
              <w:bottom w:val="outset" w:sz="6" w:space="0" w:color="auto"/>
              <w:right w:val="outset" w:sz="6" w:space="0" w:color="auto"/>
            </w:tcBorders>
          </w:tcPr>
          <w:p w14:paraId="41DC684F" w14:textId="0067B0EF" w:rsidR="00526EDD" w:rsidRPr="00526EDD" w:rsidRDefault="00526EDD" w:rsidP="00526EDD">
            <w:pPr>
              <w:spacing w:before="10"/>
              <w:ind w:left="113" w:right="113"/>
              <w:jc w:val="both"/>
            </w:pPr>
            <w:r w:rsidRPr="00526EDD">
              <w:t xml:space="preserve">Regulas Nr.1407/2013 </w:t>
            </w:r>
            <w:proofErr w:type="gramStart"/>
            <w:r w:rsidRPr="00526EDD">
              <w:t>1.panta</w:t>
            </w:r>
            <w:proofErr w:type="gramEnd"/>
            <w:r w:rsidRPr="00526EDD">
              <w:t xml:space="preserve"> 2.punkts</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3F9A75D7" w14:textId="7F59B5E0" w:rsidR="00526EDD" w:rsidRPr="00526EDD" w:rsidRDefault="00526EDD" w:rsidP="00526EDD">
            <w:pPr>
              <w:spacing w:before="10"/>
              <w:ind w:left="113" w:right="113"/>
              <w:jc w:val="both"/>
            </w:pPr>
            <w:r w:rsidRPr="00526EDD">
              <w:t>Noteikumu projekta 29. 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23A79C76" w14:textId="007A45F2" w:rsidR="00526EDD" w:rsidRPr="00526EDD" w:rsidRDefault="00526EDD" w:rsidP="00526EDD">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702A2F29" w14:textId="6DDA175F" w:rsidR="00526EDD" w:rsidRPr="00526EDD" w:rsidRDefault="00526EDD" w:rsidP="00526EDD">
            <w:pPr>
              <w:spacing w:before="10"/>
              <w:ind w:left="113" w:right="113"/>
              <w:jc w:val="both"/>
            </w:pPr>
            <w:r w:rsidRPr="00526EDD">
              <w:t>neparedz stingrākas prasības</w:t>
            </w:r>
          </w:p>
        </w:tc>
      </w:tr>
      <w:tr w:rsidR="00526EDD" w:rsidRPr="00D91AE9" w14:paraId="0DF6583F"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51878171" w14:textId="0F1BC4D0" w:rsidR="00526EDD" w:rsidRPr="00526EDD" w:rsidRDefault="00526EDD" w:rsidP="00526EDD">
            <w:pPr>
              <w:spacing w:before="10"/>
              <w:ind w:left="113" w:right="113"/>
              <w:jc w:val="both"/>
            </w:pPr>
            <w:r w:rsidRPr="00526EDD">
              <w:t>Regulas Nr.1407/2013 8. pants</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567DA597" w14:textId="05EB879E" w:rsidR="00526EDD" w:rsidRPr="00526EDD" w:rsidRDefault="00526EDD" w:rsidP="00526EDD">
            <w:pPr>
              <w:spacing w:before="10"/>
              <w:ind w:left="113" w:right="113"/>
              <w:jc w:val="both"/>
            </w:pPr>
            <w:r w:rsidRPr="00526EDD">
              <w:t xml:space="preserve">Noteikumu projekta </w:t>
            </w:r>
            <w:r w:rsidR="004B39F6">
              <w:t>90</w:t>
            </w:r>
            <w:r w:rsidRPr="00526EDD">
              <w:t>. 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2D466E05" w14:textId="563771EC" w:rsidR="00526EDD" w:rsidRPr="00526EDD" w:rsidRDefault="00526EDD" w:rsidP="00526EDD">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01F77955" w14:textId="281A46F9" w:rsidR="00526EDD" w:rsidRPr="00526EDD" w:rsidRDefault="00526EDD" w:rsidP="00526EDD">
            <w:pPr>
              <w:spacing w:before="10"/>
              <w:ind w:left="113" w:right="113"/>
              <w:jc w:val="both"/>
            </w:pPr>
            <w:r w:rsidRPr="00526EDD">
              <w:t>neparedz stingrākas prasības</w:t>
            </w:r>
          </w:p>
        </w:tc>
      </w:tr>
      <w:tr w:rsidR="00526EDD" w:rsidRPr="00D91AE9" w14:paraId="405664C8"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66A50C97" w14:textId="271FD21E" w:rsidR="00526EDD" w:rsidRPr="00526EDD" w:rsidRDefault="00526EDD" w:rsidP="00526EDD">
            <w:pPr>
              <w:spacing w:before="10"/>
              <w:ind w:left="113" w:right="113"/>
              <w:jc w:val="both"/>
            </w:pPr>
            <w:r w:rsidRPr="00526EDD">
              <w:t>Regula Nr.723/2009</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64E0D98A" w14:textId="0E44F4CB" w:rsidR="00526EDD" w:rsidRPr="00526EDD" w:rsidRDefault="00526EDD" w:rsidP="00526EDD">
            <w:pPr>
              <w:spacing w:before="10"/>
              <w:ind w:left="113" w:right="113"/>
              <w:jc w:val="both"/>
            </w:pPr>
            <w:r w:rsidRPr="00526EDD">
              <w:t>Noteikumu projekta 2.10. apakšpunkts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2106776C" w14:textId="79C7674C" w:rsidR="00526EDD" w:rsidRPr="00526EDD" w:rsidRDefault="00526EDD" w:rsidP="00526EDD">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1020407B" w14:textId="71D2BD80" w:rsidR="00526EDD" w:rsidRPr="00526EDD" w:rsidRDefault="00526EDD" w:rsidP="00526EDD">
            <w:pPr>
              <w:spacing w:before="10"/>
              <w:ind w:left="113" w:right="113"/>
              <w:jc w:val="both"/>
            </w:pPr>
            <w:r w:rsidRPr="00526EDD">
              <w:t>neparedz stingrākas prasības</w:t>
            </w:r>
          </w:p>
        </w:tc>
      </w:tr>
      <w:tr w:rsidR="00526EDD" w:rsidRPr="00D91AE9" w14:paraId="7F958BC4"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644416AF" w14:textId="6FEA5BDE" w:rsidR="00526EDD" w:rsidRPr="00526EDD" w:rsidRDefault="00526EDD" w:rsidP="00526EDD">
            <w:pPr>
              <w:spacing w:before="10"/>
              <w:ind w:left="113" w:right="113"/>
              <w:jc w:val="both"/>
            </w:pPr>
            <w:r w:rsidRPr="00526EDD">
              <w:lastRenderedPageBreak/>
              <w:t>Regula Nr. 561/2014</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232733A9" w14:textId="5E276CBE" w:rsidR="00526EDD" w:rsidRPr="00526EDD" w:rsidRDefault="00526EDD" w:rsidP="00526EDD">
            <w:pPr>
              <w:spacing w:before="10"/>
              <w:ind w:left="113" w:right="113"/>
              <w:jc w:val="both"/>
            </w:pPr>
            <w:r w:rsidRPr="00526EDD">
              <w:t>Noteikumu projekta 2.15. apakšpunkts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31F59D15" w14:textId="44EC9CE7" w:rsidR="00526EDD" w:rsidRPr="00526EDD" w:rsidRDefault="00526EDD" w:rsidP="00526EDD">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3697FB6E" w14:textId="444C2AE0" w:rsidR="00526EDD" w:rsidRPr="00526EDD" w:rsidRDefault="00526EDD" w:rsidP="00526EDD">
            <w:pPr>
              <w:spacing w:before="10"/>
              <w:ind w:left="113" w:right="113"/>
              <w:jc w:val="both"/>
            </w:pPr>
            <w:r w:rsidRPr="00526EDD">
              <w:t>neparedz stingrākas prasības</w:t>
            </w:r>
          </w:p>
        </w:tc>
      </w:tr>
      <w:tr w:rsidR="00526EDD" w:rsidRPr="00D91AE9" w14:paraId="4A3AC56E"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64FBE865" w14:textId="4BB4DA96" w:rsidR="00526EDD" w:rsidRPr="00526EDD" w:rsidRDefault="00526EDD" w:rsidP="00526EDD">
            <w:pPr>
              <w:spacing w:before="10"/>
              <w:ind w:left="113" w:right="113"/>
              <w:jc w:val="both"/>
            </w:pPr>
            <w:r w:rsidRPr="00526EDD">
              <w:t>Regula Nr. 1291/201</w:t>
            </w:r>
            <w:hyperlink r:id="rId24" w:tgtFrame="_blank" w:history="1">
              <w:r w:rsidRPr="00526EDD">
                <w:t>3</w:t>
              </w:r>
            </w:hyperlink>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2F0F576A" w14:textId="73D8CC72" w:rsidR="00526EDD" w:rsidRPr="00526EDD" w:rsidRDefault="00526EDD" w:rsidP="00526EDD">
            <w:pPr>
              <w:spacing w:before="10"/>
              <w:ind w:left="113" w:right="113"/>
              <w:jc w:val="both"/>
            </w:pPr>
            <w:r w:rsidRPr="00526EDD">
              <w:t xml:space="preserve">Noteikumu projekta </w:t>
            </w:r>
            <w:r w:rsidR="004B39F6">
              <w:t>61</w:t>
            </w:r>
            <w:r w:rsidRPr="00526EDD">
              <w:t>. 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7A99467C" w14:textId="45DF8C6B" w:rsidR="00526EDD" w:rsidRPr="00526EDD" w:rsidRDefault="00526EDD" w:rsidP="00526EDD">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6532001A" w14:textId="2C1AC694" w:rsidR="00526EDD" w:rsidRPr="00526EDD" w:rsidRDefault="00526EDD" w:rsidP="00526EDD">
            <w:pPr>
              <w:spacing w:before="10"/>
              <w:ind w:left="113" w:right="113"/>
              <w:jc w:val="both"/>
            </w:pPr>
            <w:r w:rsidRPr="00526EDD">
              <w:t>neparedz stingrākas prasības</w:t>
            </w:r>
          </w:p>
        </w:tc>
      </w:tr>
      <w:tr w:rsidR="00526EDD" w:rsidRPr="00D91AE9" w14:paraId="61B105A8"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7FBA751C" w14:textId="779DD5A7" w:rsidR="00526EDD" w:rsidRPr="00526EDD" w:rsidRDefault="00526EDD" w:rsidP="00526EDD">
            <w:pPr>
              <w:spacing w:before="10"/>
              <w:ind w:left="113" w:right="113"/>
              <w:jc w:val="both"/>
            </w:pPr>
            <w:r w:rsidRPr="00526EDD">
              <w:t>Regula Nr. 1290/201</w:t>
            </w:r>
            <w:hyperlink r:id="rId25" w:tgtFrame="_blank" w:history="1">
              <w:r w:rsidRPr="00526EDD">
                <w:t>3</w:t>
              </w:r>
            </w:hyperlink>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2F2B9DB9" w14:textId="24E76201" w:rsidR="00526EDD" w:rsidRPr="00526EDD" w:rsidRDefault="00526EDD" w:rsidP="00526EDD">
            <w:pPr>
              <w:spacing w:before="10"/>
              <w:ind w:left="113" w:right="113"/>
              <w:jc w:val="both"/>
            </w:pPr>
            <w:r w:rsidRPr="00526EDD">
              <w:t xml:space="preserve">Noteikumu projekta </w:t>
            </w:r>
            <w:r w:rsidR="004B39F6">
              <w:t>61</w:t>
            </w:r>
            <w:r w:rsidRPr="00526EDD">
              <w:t>. punkts</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374E8113" w14:textId="484C164B" w:rsidR="00526EDD" w:rsidRPr="00526EDD" w:rsidRDefault="00526EDD" w:rsidP="00526EDD">
            <w:pPr>
              <w:spacing w:before="10"/>
              <w:ind w:left="113" w:right="113"/>
              <w:jc w:val="both"/>
            </w:pPr>
            <w:r w:rsidRPr="00526EDD">
              <w:t>ieviesta pilnībā</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59BA7896" w14:textId="2A000A72" w:rsidR="00526EDD" w:rsidRPr="00526EDD" w:rsidRDefault="00526EDD" w:rsidP="00526EDD">
            <w:pPr>
              <w:spacing w:before="10"/>
              <w:ind w:left="113" w:right="113"/>
              <w:jc w:val="both"/>
            </w:pPr>
            <w:r w:rsidRPr="00526EDD">
              <w:t>neparedz stingrākas prasības</w:t>
            </w:r>
          </w:p>
        </w:tc>
      </w:tr>
      <w:tr w:rsidR="00526EDD" w:rsidRPr="00D91AE9" w14:paraId="40A26DDA"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tcPr>
          <w:p w14:paraId="3EA41C5D" w14:textId="77777777" w:rsidR="00526EDD" w:rsidRPr="00526EDD" w:rsidRDefault="00526EDD" w:rsidP="00526EDD">
            <w:r w:rsidRPr="00526EDD">
              <w:t>Kā ir izmantota ES tiesību aktā paredzētā rīcības brīvība dalīb</w:t>
            </w:r>
            <w:r w:rsidRPr="00526EDD">
              <w:softHyphen/>
              <w:t>valstij pārņemt vai ieviest noteiktas ES tiesību akta normas?</w:t>
            </w:r>
          </w:p>
          <w:p w14:paraId="38E10476" w14:textId="77777777" w:rsidR="00526EDD" w:rsidRPr="00526EDD" w:rsidRDefault="00526EDD" w:rsidP="00526EDD">
            <w:r w:rsidRPr="00526EDD">
              <w:t>Kādēļ?</w:t>
            </w:r>
          </w:p>
        </w:tc>
        <w:tc>
          <w:tcPr>
            <w:tcW w:w="6517" w:type="dxa"/>
            <w:gridSpan w:val="7"/>
            <w:tcBorders>
              <w:top w:val="outset" w:sz="6" w:space="0" w:color="auto"/>
              <w:left w:val="outset" w:sz="6" w:space="0" w:color="auto"/>
              <w:bottom w:val="outset" w:sz="6" w:space="0" w:color="auto"/>
              <w:right w:val="outset" w:sz="6" w:space="0" w:color="auto"/>
            </w:tcBorders>
          </w:tcPr>
          <w:p w14:paraId="2B74F331" w14:textId="77777777" w:rsidR="00526EDD" w:rsidRPr="00526EDD" w:rsidRDefault="00526EDD" w:rsidP="00526EDD">
            <w:r w:rsidRPr="00526EDD">
              <w:t>Noteikumu projekts šo jomu neskar.</w:t>
            </w:r>
          </w:p>
        </w:tc>
      </w:tr>
      <w:tr w:rsidR="00526EDD" w:rsidRPr="00D91AE9" w14:paraId="4BD8999B"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tcPr>
          <w:p w14:paraId="325D0FE0" w14:textId="77777777" w:rsidR="00526EDD" w:rsidRPr="00D91AE9" w:rsidRDefault="00526EDD" w:rsidP="00526EDD">
            <w:r w:rsidRPr="00D91AE9">
              <w:t>Saistības sniegt paziņojumu ES insti</w:t>
            </w:r>
            <w:r w:rsidRPr="00D91AE9">
              <w:softHyphen/>
              <w:t>tūcijām un ES dalīb</w:t>
            </w:r>
            <w:r w:rsidRPr="00D91AE9">
              <w:softHyphen/>
              <w:t>valstīm atbilstoši normatīvajiem aktiem, kas regulē informācijas sniegšanu par tehnisko noteikumu, valsts atbalsta piešķir</w:t>
            </w:r>
            <w:r w:rsidRPr="00D91AE9">
              <w:softHyphen/>
              <w:t>šanas un finanšu noteikumu (attiecībā uz monetāro politiku) projektiem</w:t>
            </w:r>
          </w:p>
        </w:tc>
        <w:tc>
          <w:tcPr>
            <w:tcW w:w="6517" w:type="dxa"/>
            <w:gridSpan w:val="7"/>
            <w:tcBorders>
              <w:top w:val="outset" w:sz="6" w:space="0" w:color="auto"/>
              <w:left w:val="outset" w:sz="6" w:space="0" w:color="auto"/>
              <w:bottom w:val="outset" w:sz="6" w:space="0" w:color="auto"/>
              <w:right w:val="outset" w:sz="6" w:space="0" w:color="auto"/>
            </w:tcBorders>
          </w:tcPr>
          <w:p w14:paraId="338927E1" w14:textId="16B8FB5D" w:rsidR="00526EDD" w:rsidRDefault="00526EDD" w:rsidP="00526EDD">
            <w:pPr>
              <w:ind w:right="85"/>
              <w:jc w:val="both"/>
              <w:rPr>
                <w:iCs/>
              </w:rPr>
            </w:pPr>
            <w:r>
              <w:rPr>
                <w:iCs/>
              </w:rPr>
              <w:t>Izglītības un zinātnes ministrija kā ES fondu atbildīgā iestāde s</w:t>
            </w:r>
            <w:r w:rsidRPr="00D91AE9">
              <w:rPr>
                <w:iCs/>
              </w:rPr>
              <w:t>askaņā ar Regulas Nr.651/2014 11.</w:t>
            </w:r>
            <w:r>
              <w:rPr>
                <w:iCs/>
              </w:rPr>
              <w:t xml:space="preserve"> </w:t>
            </w:r>
            <w:r w:rsidRPr="00D91AE9">
              <w:rPr>
                <w:iCs/>
              </w:rPr>
              <w:t xml:space="preserve">pantu 20 darba dienu laikā pēc šo Ministru kabineta noteikumu spēkā stāšanās </w:t>
            </w:r>
            <w:r>
              <w:rPr>
                <w:iCs/>
              </w:rPr>
              <w:t>EK</w:t>
            </w:r>
            <w:r w:rsidRPr="00D91AE9">
              <w:rPr>
                <w:iCs/>
              </w:rPr>
              <w:t xml:space="preserve"> nosūta kopsavilkuma informācij</w:t>
            </w:r>
            <w:r>
              <w:rPr>
                <w:iCs/>
              </w:rPr>
              <w:t>u</w:t>
            </w:r>
            <w:r w:rsidRPr="00D91AE9">
              <w:rPr>
                <w:iCs/>
              </w:rPr>
              <w:t xml:space="preserve"> par atbalsta programmu.</w:t>
            </w:r>
          </w:p>
          <w:p w14:paraId="3736C963" w14:textId="180DB2F8" w:rsidR="00526EDD" w:rsidRPr="00D91AE9" w:rsidRDefault="00526EDD" w:rsidP="00526EDD">
            <w:pPr>
              <w:ind w:right="85"/>
              <w:jc w:val="both"/>
            </w:pPr>
          </w:p>
        </w:tc>
      </w:tr>
      <w:tr w:rsidR="00526EDD" w:rsidRPr="00D91AE9" w14:paraId="1F3DFA06"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tcPr>
          <w:p w14:paraId="4F89A374" w14:textId="77777777" w:rsidR="00526EDD" w:rsidRPr="00D91AE9" w:rsidRDefault="00526EDD" w:rsidP="00526EDD">
            <w:r w:rsidRPr="00D91AE9">
              <w:t>Cita informācija</w:t>
            </w:r>
          </w:p>
        </w:tc>
        <w:tc>
          <w:tcPr>
            <w:tcW w:w="6517" w:type="dxa"/>
            <w:gridSpan w:val="7"/>
            <w:tcBorders>
              <w:top w:val="outset" w:sz="6" w:space="0" w:color="auto"/>
              <w:left w:val="outset" w:sz="6" w:space="0" w:color="auto"/>
              <w:bottom w:val="outset" w:sz="6" w:space="0" w:color="auto"/>
              <w:right w:val="outset" w:sz="6" w:space="0" w:color="auto"/>
            </w:tcBorders>
          </w:tcPr>
          <w:p w14:paraId="6E50724E" w14:textId="4D5E0385" w:rsidR="00526EDD" w:rsidRPr="00190C19" w:rsidRDefault="00526EDD" w:rsidP="00526EDD">
            <w:pPr>
              <w:ind w:right="85"/>
              <w:jc w:val="both"/>
              <w:rPr>
                <w:b/>
                <w:highlight w:val="yellow"/>
              </w:rPr>
            </w:pPr>
            <w:r w:rsidRPr="00190C19">
              <w:rPr>
                <w:b/>
              </w:rPr>
              <w:t>Nav</w:t>
            </w:r>
          </w:p>
        </w:tc>
      </w:tr>
      <w:tr w:rsidR="00526EDD" w:rsidRPr="00D91AE9" w14:paraId="6B94B16B"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8914" w:type="dxa"/>
            <w:gridSpan w:val="9"/>
            <w:tcBorders>
              <w:top w:val="outset" w:sz="6" w:space="0" w:color="auto"/>
              <w:left w:val="outset" w:sz="6" w:space="0" w:color="auto"/>
              <w:bottom w:val="outset" w:sz="6" w:space="0" w:color="auto"/>
              <w:right w:val="outset" w:sz="6" w:space="0" w:color="auto"/>
            </w:tcBorders>
            <w:vAlign w:val="center"/>
          </w:tcPr>
          <w:p w14:paraId="27AD6A02" w14:textId="77777777" w:rsidR="00526EDD" w:rsidRPr="00D91AE9" w:rsidRDefault="00526EDD" w:rsidP="00526EDD">
            <w:pPr>
              <w:jc w:val="both"/>
              <w:rPr>
                <w:b/>
              </w:rPr>
            </w:pPr>
            <w:r w:rsidRPr="00D91AE9">
              <w:rPr>
                <w:b/>
              </w:rPr>
              <w:t>2.tabula</w:t>
            </w:r>
          </w:p>
          <w:p w14:paraId="42C8A08C" w14:textId="77777777" w:rsidR="00526EDD" w:rsidRPr="00D91AE9" w:rsidRDefault="00526EDD" w:rsidP="00526EDD">
            <w:pPr>
              <w:jc w:val="both"/>
              <w:rPr>
                <w:b/>
              </w:rPr>
            </w:pPr>
            <w:r w:rsidRPr="00D91AE9">
              <w:rPr>
                <w:b/>
              </w:rPr>
              <w:t>Ar tiesību akta projektu izpildītās vai uzņemtās saistības, kas izriet no starptautiskajiem tiesību aktiem vai starptautiskas institūcijas vai organizācijas dokumentiem.</w:t>
            </w:r>
          </w:p>
          <w:p w14:paraId="25C40230" w14:textId="77777777" w:rsidR="00526EDD" w:rsidRPr="00D91AE9" w:rsidRDefault="00526EDD" w:rsidP="00526EDD">
            <w:pPr>
              <w:jc w:val="both"/>
              <w:rPr>
                <w:b/>
              </w:rPr>
            </w:pPr>
            <w:r w:rsidRPr="00D91AE9">
              <w:rPr>
                <w:b/>
              </w:rPr>
              <w:t>Pasākumi šo saistību izpildei</w:t>
            </w:r>
          </w:p>
        </w:tc>
      </w:tr>
      <w:tr w:rsidR="00526EDD" w:rsidRPr="00D91AE9" w14:paraId="2DBD6820"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95" w:type="dxa"/>
            <w:gridSpan w:val="3"/>
            <w:tcBorders>
              <w:top w:val="outset" w:sz="6" w:space="0" w:color="auto"/>
              <w:left w:val="outset" w:sz="6" w:space="0" w:color="auto"/>
              <w:bottom w:val="outset" w:sz="6" w:space="0" w:color="auto"/>
              <w:right w:val="outset" w:sz="6" w:space="0" w:color="auto"/>
            </w:tcBorders>
            <w:vAlign w:val="center"/>
          </w:tcPr>
          <w:p w14:paraId="426748BD" w14:textId="77777777" w:rsidR="00526EDD" w:rsidRPr="00D91AE9" w:rsidRDefault="00526EDD" w:rsidP="00526EDD">
            <w:r w:rsidRPr="00D91AE9">
              <w:t>Attiecīgā starptautiskā tiesību akta vai starptautiskas institūcijas vai organizācijas dokumenta (turpmāk – starptautiskais dokuments) datums, numurs un nosaukums</w:t>
            </w:r>
          </w:p>
        </w:tc>
        <w:tc>
          <w:tcPr>
            <w:tcW w:w="6319" w:type="dxa"/>
            <w:gridSpan w:val="6"/>
            <w:tcBorders>
              <w:top w:val="outset" w:sz="6" w:space="0" w:color="auto"/>
              <w:left w:val="outset" w:sz="6" w:space="0" w:color="auto"/>
              <w:bottom w:val="outset" w:sz="6" w:space="0" w:color="auto"/>
              <w:right w:val="outset" w:sz="6" w:space="0" w:color="auto"/>
            </w:tcBorders>
          </w:tcPr>
          <w:p w14:paraId="0F5E3FAC" w14:textId="77777777" w:rsidR="00526EDD" w:rsidRPr="00D91AE9" w:rsidRDefault="00526EDD" w:rsidP="00526EDD">
            <w:r w:rsidRPr="00D91AE9">
              <w:t>Noteikumu projekts šo jomu neskar.</w:t>
            </w:r>
          </w:p>
        </w:tc>
      </w:tr>
      <w:tr w:rsidR="00526EDD" w:rsidRPr="00D91AE9" w14:paraId="2DB18784"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95" w:type="dxa"/>
            <w:gridSpan w:val="3"/>
            <w:tcBorders>
              <w:top w:val="outset" w:sz="6" w:space="0" w:color="auto"/>
              <w:left w:val="outset" w:sz="6" w:space="0" w:color="auto"/>
              <w:bottom w:val="outset" w:sz="6" w:space="0" w:color="auto"/>
              <w:right w:val="outset" w:sz="6" w:space="0" w:color="auto"/>
            </w:tcBorders>
            <w:vAlign w:val="center"/>
          </w:tcPr>
          <w:p w14:paraId="565067C5" w14:textId="77777777" w:rsidR="00526EDD" w:rsidRPr="00D91AE9" w:rsidRDefault="00526EDD" w:rsidP="00526EDD">
            <w:r w:rsidRPr="00D91AE9">
              <w:t>A</w:t>
            </w:r>
          </w:p>
        </w:tc>
        <w:tc>
          <w:tcPr>
            <w:tcW w:w="3537" w:type="dxa"/>
            <w:gridSpan w:val="3"/>
            <w:tcBorders>
              <w:top w:val="outset" w:sz="6" w:space="0" w:color="auto"/>
              <w:left w:val="outset" w:sz="6" w:space="0" w:color="auto"/>
              <w:bottom w:val="outset" w:sz="6" w:space="0" w:color="auto"/>
              <w:right w:val="outset" w:sz="6" w:space="0" w:color="auto"/>
            </w:tcBorders>
            <w:vAlign w:val="center"/>
          </w:tcPr>
          <w:p w14:paraId="65A9C9BB" w14:textId="77777777" w:rsidR="00526EDD" w:rsidRPr="00D91AE9" w:rsidRDefault="00526EDD" w:rsidP="00526EDD">
            <w:r w:rsidRPr="00D91AE9">
              <w:t>B</w:t>
            </w:r>
          </w:p>
        </w:tc>
        <w:tc>
          <w:tcPr>
            <w:tcW w:w="2782" w:type="dxa"/>
            <w:gridSpan w:val="3"/>
            <w:tcBorders>
              <w:top w:val="outset" w:sz="6" w:space="0" w:color="auto"/>
              <w:left w:val="outset" w:sz="6" w:space="0" w:color="auto"/>
              <w:bottom w:val="outset" w:sz="6" w:space="0" w:color="auto"/>
              <w:right w:val="outset" w:sz="6" w:space="0" w:color="auto"/>
            </w:tcBorders>
            <w:vAlign w:val="center"/>
          </w:tcPr>
          <w:p w14:paraId="3DACEA9E" w14:textId="77777777" w:rsidR="00526EDD" w:rsidRPr="00D91AE9" w:rsidRDefault="00526EDD" w:rsidP="00526EDD">
            <w:r w:rsidRPr="00D91AE9">
              <w:t>C</w:t>
            </w:r>
          </w:p>
        </w:tc>
      </w:tr>
      <w:tr w:rsidR="00526EDD" w:rsidRPr="00D91AE9" w14:paraId="0B3E0962"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95" w:type="dxa"/>
            <w:gridSpan w:val="3"/>
            <w:tcBorders>
              <w:top w:val="outset" w:sz="6" w:space="0" w:color="auto"/>
              <w:left w:val="outset" w:sz="6" w:space="0" w:color="auto"/>
              <w:bottom w:val="outset" w:sz="6" w:space="0" w:color="auto"/>
              <w:right w:val="outset" w:sz="6" w:space="0" w:color="auto"/>
            </w:tcBorders>
          </w:tcPr>
          <w:p w14:paraId="0EA89DCF" w14:textId="77777777" w:rsidR="00526EDD" w:rsidRPr="00D91AE9" w:rsidRDefault="00526EDD" w:rsidP="00526EDD">
            <w:r w:rsidRPr="00D91AE9">
              <w:lastRenderedPageBreak/>
              <w:t>Starptautiskās saistības (pēc būtības), kas izriet no norādītā starptautiskā dokumenta.</w:t>
            </w:r>
          </w:p>
          <w:p w14:paraId="75BAD348" w14:textId="77777777" w:rsidR="00526EDD" w:rsidRPr="00D91AE9" w:rsidRDefault="00526EDD" w:rsidP="00526EDD">
            <w:r w:rsidRPr="00D91AE9">
              <w:t>Konkrēti veicamie pasākumi vai uzdevumi, kas nepieciešami šo starptautisko saistību izpildei</w:t>
            </w:r>
          </w:p>
        </w:tc>
        <w:tc>
          <w:tcPr>
            <w:tcW w:w="3537" w:type="dxa"/>
            <w:gridSpan w:val="3"/>
            <w:tcBorders>
              <w:top w:val="outset" w:sz="6" w:space="0" w:color="auto"/>
              <w:left w:val="outset" w:sz="6" w:space="0" w:color="auto"/>
              <w:bottom w:val="outset" w:sz="6" w:space="0" w:color="auto"/>
              <w:right w:val="outset" w:sz="6" w:space="0" w:color="auto"/>
            </w:tcBorders>
          </w:tcPr>
          <w:p w14:paraId="1B485D21" w14:textId="77777777" w:rsidR="00526EDD" w:rsidRPr="00D91AE9" w:rsidRDefault="00526EDD" w:rsidP="00526EDD">
            <w:r w:rsidRPr="00D91AE9">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782" w:type="dxa"/>
            <w:gridSpan w:val="3"/>
            <w:tcBorders>
              <w:top w:val="outset" w:sz="6" w:space="0" w:color="auto"/>
              <w:left w:val="outset" w:sz="6" w:space="0" w:color="auto"/>
              <w:bottom w:val="outset" w:sz="6" w:space="0" w:color="auto"/>
              <w:right w:val="outset" w:sz="6" w:space="0" w:color="auto"/>
            </w:tcBorders>
          </w:tcPr>
          <w:p w14:paraId="42298B16" w14:textId="77777777" w:rsidR="00526EDD" w:rsidRPr="00D91AE9" w:rsidRDefault="00526EDD" w:rsidP="00526EDD">
            <w:r w:rsidRPr="00D91AE9">
              <w:t>Informācija par to, vai starptautiskās saistības, kas minētas šīs tabulas A ailē, tiek izpildītas pilnībā vai daļēji.</w:t>
            </w:r>
          </w:p>
          <w:p w14:paraId="4EC9AB80" w14:textId="77777777" w:rsidR="00526EDD" w:rsidRPr="00D91AE9" w:rsidRDefault="00526EDD" w:rsidP="00526EDD">
            <w:r w:rsidRPr="00D91AE9">
              <w:t>Ja attiecīgās starptautiskās saistības tiek izpildītas daļēji, sniedz skaidrojumu, kā arī precīzi norāda, kad un kādā veidā starptautiskās saistības tiks izpildītas pilnībā.</w:t>
            </w:r>
          </w:p>
          <w:p w14:paraId="29C5258B" w14:textId="77777777" w:rsidR="00526EDD" w:rsidRPr="00D91AE9" w:rsidRDefault="00526EDD" w:rsidP="00526EDD">
            <w:r w:rsidRPr="00D91AE9">
              <w:t>Norāda institūciju, kas ir atbildīga par šo saistību izpildi pilnībā</w:t>
            </w:r>
          </w:p>
        </w:tc>
      </w:tr>
      <w:tr w:rsidR="00526EDD" w:rsidRPr="00D91AE9" w14:paraId="5C50FECB"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95" w:type="dxa"/>
            <w:gridSpan w:val="3"/>
            <w:tcBorders>
              <w:top w:val="outset" w:sz="6" w:space="0" w:color="auto"/>
              <w:left w:val="outset" w:sz="6" w:space="0" w:color="auto"/>
              <w:bottom w:val="outset" w:sz="6" w:space="0" w:color="auto"/>
              <w:right w:val="outset" w:sz="6" w:space="0" w:color="auto"/>
            </w:tcBorders>
          </w:tcPr>
          <w:p w14:paraId="65FABDCE" w14:textId="77777777" w:rsidR="00526EDD" w:rsidRPr="00D91AE9" w:rsidRDefault="00526EDD" w:rsidP="00526EDD">
            <w:r w:rsidRPr="00D91AE9">
              <w:t>Noteikumu projekts šo jomu neskar.</w:t>
            </w:r>
          </w:p>
        </w:tc>
        <w:tc>
          <w:tcPr>
            <w:tcW w:w="3537" w:type="dxa"/>
            <w:gridSpan w:val="3"/>
            <w:tcBorders>
              <w:top w:val="outset" w:sz="6" w:space="0" w:color="auto"/>
              <w:left w:val="outset" w:sz="6" w:space="0" w:color="auto"/>
              <w:bottom w:val="outset" w:sz="6" w:space="0" w:color="auto"/>
              <w:right w:val="outset" w:sz="6" w:space="0" w:color="auto"/>
            </w:tcBorders>
          </w:tcPr>
          <w:p w14:paraId="5F50736E" w14:textId="77777777" w:rsidR="00526EDD" w:rsidRPr="00D91AE9" w:rsidRDefault="00526EDD" w:rsidP="00526EDD">
            <w:r w:rsidRPr="00D91AE9">
              <w:t>Noteikumu projekts šo jomu neskar.</w:t>
            </w:r>
          </w:p>
        </w:tc>
        <w:tc>
          <w:tcPr>
            <w:tcW w:w="2782" w:type="dxa"/>
            <w:gridSpan w:val="3"/>
            <w:tcBorders>
              <w:top w:val="outset" w:sz="6" w:space="0" w:color="auto"/>
              <w:left w:val="outset" w:sz="6" w:space="0" w:color="auto"/>
              <w:bottom w:val="outset" w:sz="6" w:space="0" w:color="auto"/>
              <w:right w:val="outset" w:sz="6" w:space="0" w:color="auto"/>
            </w:tcBorders>
          </w:tcPr>
          <w:p w14:paraId="2C693CDF" w14:textId="77777777" w:rsidR="00526EDD" w:rsidRPr="00D91AE9" w:rsidRDefault="00526EDD" w:rsidP="00526EDD">
            <w:r w:rsidRPr="00D91AE9">
              <w:t>Noteikumu projekts šo jomu neskar.</w:t>
            </w:r>
          </w:p>
        </w:tc>
      </w:tr>
      <w:tr w:rsidR="00526EDD" w:rsidRPr="00D91AE9" w14:paraId="79C35EFD"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95" w:type="dxa"/>
            <w:gridSpan w:val="3"/>
            <w:tcBorders>
              <w:top w:val="outset" w:sz="6" w:space="0" w:color="auto"/>
              <w:left w:val="outset" w:sz="6" w:space="0" w:color="auto"/>
              <w:bottom w:val="outset" w:sz="6" w:space="0" w:color="auto"/>
              <w:right w:val="outset" w:sz="6" w:space="0" w:color="auto"/>
            </w:tcBorders>
          </w:tcPr>
          <w:p w14:paraId="2A4B8C09" w14:textId="77777777" w:rsidR="00526EDD" w:rsidRPr="00D91AE9" w:rsidRDefault="00526EDD" w:rsidP="00526EDD">
            <w:r w:rsidRPr="00D91AE9">
              <w:t>Vai starptautiskajā dokumentā paredzētās saistības nav pretrunā ar jau esošajām Latvijas Republikas starptautis</w:t>
            </w:r>
            <w:r w:rsidRPr="00D91AE9">
              <w:softHyphen/>
              <w:t>kajām saistībām</w:t>
            </w:r>
          </w:p>
        </w:tc>
        <w:tc>
          <w:tcPr>
            <w:tcW w:w="6319" w:type="dxa"/>
            <w:gridSpan w:val="6"/>
            <w:tcBorders>
              <w:top w:val="outset" w:sz="6" w:space="0" w:color="auto"/>
              <w:left w:val="outset" w:sz="6" w:space="0" w:color="auto"/>
              <w:bottom w:val="outset" w:sz="6" w:space="0" w:color="auto"/>
              <w:right w:val="outset" w:sz="6" w:space="0" w:color="auto"/>
            </w:tcBorders>
          </w:tcPr>
          <w:p w14:paraId="2F480A64" w14:textId="77777777" w:rsidR="00526EDD" w:rsidRPr="00D91AE9" w:rsidRDefault="00526EDD" w:rsidP="00526EDD">
            <w:r w:rsidRPr="00D91AE9">
              <w:t>Noteikumu projekts šo jomu neskar.</w:t>
            </w:r>
          </w:p>
        </w:tc>
      </w:tr>
      <w:tr w:rsidR="00526EDD" w:rsidRPr="00D91AE9" w14:paraId="282DA80E"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95" w:type="dxa"/>
            <w:gridSpan w:val="3"/>
            <w:tcBorders>
              <w:top w:val="outset" w:sz="6" w:space="0" w:color="auto"/>
              <w:left w:val="outset" w:sz="6" w:space="0" w:color="auto"/>
              <w:bottom w:val="outset" w:sz="6" w:space="0" w:color="auto"/>
              <w:right w:val="outset" w:sz="6" w:space="0" w:color="auto"/>
            </w:tcBorders>
          </w:tcPr>
          <w:p w14:paraId="572006BF" w14:textId="77777777" w:rsidR="00526EDD" w:rsidRPr="00D91AE9" w:rsidRDefault="00526EDD" w:rsidP="00526EDD">
            <w:r w:rsidRPr="00D91AE9">
              <w:t>Cita informācija</w:t>
            </w:r>
          </w:p>
        </w:tc>
        <w:tc>
          <w:tcPr>
            <w:tcW w:w="6319" w:type="dxa"/>
            <w:gridSpan w:val="6"/>
            <w:tcBorders>
              <w:top w:val="outset" w:sz="6" w:space="0" w:color="auto"/>
              <w:left w:val="outset" w:sz="6" w:space="0" w:color="auto"/>
              <w:bottom w:val="outset" w:sz="6" w:space="0" w:color="auto"/>
              <w:right w:val="outset" w:sz="6" w:space="0" w:color="auto"/>
            </w:tcBorders>
          </w:tcPr>
          <w:p w14:paraId="02AFAA87" w14:textId="77777777" w:rsidR="00526EDD" w:rsidRPr="00D91AE9" w:rsidRDefault="00526EDD" w:rsidP="00526EDD">
            <w:r w:rsidRPr="00D91AE9">
              <w:t>Nav.</w:t>
            </w:r>
          </w:p>
        </w:tc>
      </w:tr>
    </w:tbl>
    <w:p w14:paraId="7A94DE9A" w14:textId="77777777" w:rsidR="009A72C5" w:rsidRPr="00D91AE9" w:rsidRDefault="009A72C5" w:rsidP="009A72C5"/>
    <w:tbl>
      <w:tblPr>
        <w:tblW w:w="5338" w:type="pct"/>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662"/>
        <w:gridCol w:w="2769"/>
        <w:gridCol w:w="5783"/>
      </w:tblGrid>
      <w:tr w:rsidR="009A72C5" w:rsidRPr="00D91AE9" w14:paraId="195BA7A9" w14:textId="77777777" w:rsidTr="00A40F6D">
        <w:tc>
          <w:tcPr>
            <w:tcW w:w="9214" w:type="dxa"/>
            <w:gridSpan w:val="3"/>
            <w:tcBorders>
              <w:top w:val="outset" w:sz="6" w:space="0" w:color="000000"/>
              <w:left w:val="outset" w:sz="6" w:space="0" w:color="000000"/>
              <w:bottom w:val="outset" w:sz="6" w:space="0" w:color="000000"/>
              <w:right w:val="outset" w:sz="6" w:space="0" w:color="000000"/>
            </w:tcBorders>
          </w:tcPr>
          <w:p w14:paraId="3C2CAFA9" w14:textId="77777777" w:rsidR="009A72C5" w:rsidRPr="00D91AE9" w:rsidRDefault="009A72C5" w:rsidP="00DD2EFA">
            <w:pPr>
              <w:spacing w:before="100" w:beforeAutospacing="1" w:after="100" w:afterAutospacing="1"/>
              <w:jc w:val="center"/>
              <w:rPr>
                <w:b/>
                <w:bCs/>
              </w:rPr>
            </w:pPr>
            <w:r w:rsidRPr="00D91AE9">
              <w:rPr>
                <w:b/>
                <w:bCs/>
              </w:rPr>
              <w:t xml:space="preserve">VI. </w:t>
            </w:r>
            <w:r w:rsidRPr="00D91AE9">
              <w:rPr>
                <w:b/>
              </w:rPr>
              <w:t>Sabiedrības līdzdalība un komunikācijas aktivitātes</w:t>
            </w:r>
          </w:p>
        </w:tc>
      </w:tr>
      <w:tr w:rsidR="009A72C5" w:rsidRPr="00D91AE9" w14:paraId="4881AD21" w14:textId="77777777" w:rsidTr="00A40F6D">
        <w:tc>
          <w:tcPr>
            <w:tcW w:w="662" w:type="dxa"/>
            <w:tcBorders>
              <w:top w:val="outset" w:sz="6" w:space="0" w:color="000000"/>
              <w:left w:val="outset" w:sz="6" w:space="0" w:color="000000"/>
              <w:bottom w:val="outset" w:sz="6" w:space="0" w:color="000000"/>
              <w:right w:val="outset" w:sz="6" w:space="0" w:color="000000"/>
            </w:tcBorders>
          </w:tcPr>
          <w:p w14:paraId="6C3BB9E3" w14:textId="77777777" w:rsidR="009A72C5" w:rsidRPr="00D91AE9" w:rsidRDefault="009A72C5" w:rsidP="00DD2EFA">
            <w:pPr>
              <w:spacing w:before="100" w:beforeAutospacing="1" w:after="100" w:afterAutospacing="1"/>
              <w:jc w:val="center"/>
            </w:pPr>
            <w:r w:rsidRPr="00D91AE9">
              <w:t>1.</w:t>
            </w:r>
          </w:p>
        </w:tc>
        <w:tc>
          <w:tcPr>
            <w:tcW w:w="2769" w:type="dxa"/>
            <w:tcBorders>
              <w:top w:val="outset" w:sz="6" w:space="0" w:color="000000"/>
              <w:left w:val="outset" w:sz="6" w:space="0" w:color="000000"/>
              <w:bottom w:val="outset" w:sz="6" w:space="0" w:color="000000"/>
              <w:right w:val="outset" w:sz="6" w:space="0" w:color="000000"/>
            </w:tcBorders>
          </w:tcPr>
          <w:p w14:paraId="4A571BD8" w14:textId="77777777" w:rsidR="009A72C5" w:rsidRPr="00D91AE9" w:rsidRDefault="009A72C5" w:rsidP="00DD2EFA">
            <w:pPr>
              <w:spacing w:before="100" w:beforeAutospacing="1" w:after="100" w:afterAutospacing="1"/>
            </w:pPr>
            <w:r w:rsidRPr="00D91AE9">
              <w:t>Plānotās sabiedrības līdzdalības un komunikācijas aktivitātes saistībā ar projektu</w:t>
            </w:r>
          </w:p>
        </w:tc>
        <w:tc>
          <w:tcPr>
            <w:tcW w:w="5783" w:type="dxa"/>
            <w:tcBorders>
              <w:top w:val="outset" w:sz="6" w:space="0" w:color="000000"/>
              <w:left w:val="outset" w:sz="6" w:space="0" w:color="000000"/>
              <w:bottom w:val="outset" w:sz="6" w:space="0" w:color="000000"/>
              <w:right w:val="outset" w:sz="6" w:space="0" w:color="000000"/>
            </w:tcBorders>
          </w:tcPr>
          <w:p w14:paraId="0AD41A58" w14:textId="1C88D327" w:rsidR="009A72C5" w:rsidRPr="004B39F6" w:rsidRDefault="009A72C5" w:rsidP="001C04B7">
            <w:pPr>
              <w:shd w:val="clear" w:color="auto" w:fill="FFFFFF"/>
              <w:ind w:right="74"/>
              <w:jc w:val="both"/>
              <w:rPr>
                <w:bCs/>
              </w:rPr>
            </w:pPr>
            <w:r w:rsidRPr="00D91AE9">
              <w:rPr>
                <w:bCs/>
              </w:rPr>
              <w:t xml:space="preserve">Sabiedrības pārstāvji </w:t>
            </w:r>
            <w:r w:rsidR="00A40F6D">
              <w:rPr>
                <w:bCs/>
              </w:rPr>
              <w:t>varēs</w:t>
            </w:r>
            <w:r w:rsidRPr="00D91AE9">
              <w:rPr>
                <w:bCs/>
              </w:rPr>
              <w:t xml:space="preserve"> līdzdarboties sniedzot atzinumu un viedokli par </w:t>
            </w:r>
            <w:r w:rsidRPr="00D91AE9">
              <w:t>ES struktūrfondu un Kohēzijas fonda 2014.</w:t>
            </w:r>
            <w:r w:rsidR="004647F1">
              <w:t>–</w:t>
            </w:r>
            <w:r w:rsidRPr="00D91AE9">
              <w:t>2020.</w:t>
            </w:r>
            <w:r w:rsidR="00BA0E1E">
              <w:t xml:space="preserve"> </w:t>
            </w:r>
            <w:r w:rsidRPr="00D91AE9">
              <w:t>gada plānošanas perioda pētniecības, tehnoloģiju attīstības un inovāciju</w:t>
            </w:r>
            <w:r w:rsidRPr="00D91AE9">
              <w:rPr>
                <w:b/>
                <w:bCs/>
              </w:rPr>
              <w:t xml:space="preserve"> </w:t>
            </w:r>
            <w:r w:rsidRPr="00D91AE9">
              <w:t xml:space="preserve">prioritārā virziena </w:t>
            </w:r>
            <w:r w:rsidR="007B5016">
              <w:rPr>
                <w:bCs/>
              </w:rPr>
              <w:t>apakškomitejas 2016. gada 29. septembrī un 15. decembrī</w:t>
            </w:r>
            <w:proofErr w:type="gramStart"/>
            <w:r w:rsidR="007B5016">
              <w:rPr>
                <w:bCs/>
              </w:rPr>
              <w:t xml:space="preserve">  </w:t>
            </w:r>
            <w:proofErr w:type="gramEnd"/>
            <w:r w:rsidR="007B5016">
              <w:rPr>
                <w:bCs/>
              </w:rPr>
              <w:t>izskatītajiem</w:t>
            </w:r>
            <w:r w:rsidRPr="00D91AE9">
              <w:rPr>
                <w:bCs/>
              </w:rPr>
              <w:t xml:space="preserve"> projektu iesniegumu vērtēšanas kritērijiem, kritēriju piemērošanas metodiku un 1.1.1.</w:t>
            </w:r>
            <w:r w:rsidR="00A40F6D">
              <w:rPr>
                <w:bCs/>
              </w:rPr>
              <w:t>5</w:t>
            </w:r>
            <w:r w:rsidR="007B5016">
              <w:rPr>
                <w:bCs/>
              </w:rPr>
              <w:t xml:space="preserve">. pasākuma </w:t>
            </w:r>
            <w:r w:rsidR="00A40F6D">
              <w:rPr>
                <w:bCs/>
              </w:rPr>
              <w:t xml:space="preserve">sākotnējo </w:t>
            </w:r>
            <w:r w:rsidR="00A40F6D" w:rsidRPr="0014168F">
              <w:rPr>
                <w:bCs/>
              </w:rPr>
              <w:t xml:space="preserve">novērtējumu, kā arī par Valsts sekretāru sanāksmē izsludināto </w:t>
            </w:r>
            <w:r w:rsidR="00A40F6D" w:rsidRPr="004B39F6">
              <w:rPr>
                <w:bCs/>
              </w:rPr>
              <w:t>noteikumu projektu.</w:t>
            </w:r>
          </w:p>
          <w:p w14:paraId="5B1DCAFB" w14:textId="03E6B904" w:rsidR="00593077" w:rsidRPr="0014168F" w:rsidRDefault="00593077" w:rsidP="001C04B7">
            <w:pPr>
              <w:shd w:val="clear" w:color="auto" w:fill="FFFFFF"/>
              <w:ind w:right="74"/>
              <w:jc w:val="both"/>
              <w:rPr>
                <w:bCs/>
              </w:rPr>
            </w:pPr>
            <w:r w:rsidRPr="004B39F6">
              <w:rPr>
                <w:bCs/>
              </w:rPr>
              <w:t>2017. gada 24. martā I</w:t>
            </w:r>
            <w:r w:rsidR="002D2854" w:rsidRPr="004B39F6">
              <w:rPr>
                <w:bCs/>
              </w:rPr>
              <w:t>zglītības un zinātnes ministrija</w:t>
            </w:r>
            <w:r w:rsidRPr="004B39F6">
              <w:rPr>
                <w:bCs/>
              </w:rPr>
              <w:t xml:space="preserve"> organizēja</w:t>
            </w:r>
            <w:r w:rsidRPr="004B39F6">
              <w:t xml:space="preserve"> </w:t>
            </w:r>
            <w:r w:rsidRPr="004B39F6">
              <w:rPr>
                <w:bCs/>
              </w:rPr>
              <w:t>informatīvo semināru</w:t>
            </w:r>
            <w:r w:rsidRPr="0014168F">
              <w:rPr>
                <w:bCs/>
              </w:rPr>
              <w:t xml:space="preserve"> par 1.1.1.5. pasākuma īstenošanas nosacījumiem.</w:t>
            </w:r>
          </w:p>
          <w:p w14:paraId="06035287" w14:textId="2070F207" w:rsidR="009A72C5" w:rsidRPr="00D91AE9" w:rsidRDefault="007B5016" w:rsidP="00155679">
            <w:pPr>
              <w:tabs>
                <w:tab w:val="num" w:pos="0"/>
              </w:tabs>
              <w:ind w:right="74"/>
              <w:jc w:val="both"/>
            </w:pPr>
            <w:r w:rsidRPr="0014168F">
              <w:rPr>
                <w:bCs/>
              </w:rPr>
              <w:t>1.1.1.5. pasākuma</w:t>
            </w:r>
            <w:r w:rsidRPr="00D91AE9">
              <w:rPr>
                <w:bCs/>
              </w:rPr>
              <w:t xml:space="preserve"> ietvaros</w:t>
            </w:r>
            <w:r w:rsidRPr="00D91AE9">
              <w:t xml:space="preserve"> </w:t>
            </w:r>
            <w:r>
              <w:t>ī</w:t>
            </w:r>
            <w:r w:rsidR="009A72C5" w:rsidRPr="00D91AE9">
              <w:t>stenojot projektu</w:t>
            </w:r>
            <w:r w:rsidR="00A40F6D">
              <w:t>,</w:t>
            </w:r>
            <w:r>
              <w:t xml:space="preserve"> finansējuma saņēmēji</w:t>
            </w:r>
            <w:r w:rsidR="009A72C5" w:rsidRPr="00D91AE9">
              <w:t xml:space="preserve"> nodrošina informā</w:t>
            </w:r>
            <w:r w:rsidR="00A40F6D">
              <w:t>cijas un publicitātes pasākumus</w:t>
            </w:r>
            <w:r>
              <w:t>,</w:t>
            </w:r>
            <w:r w:rsidR="00061DB4">
              <w:t xml:space="preserve"> atbilstoši </w:t>
            </w:r>
            <w:r w:rsidR="009A72C5" w:rsidRPr="00D91AE9">
              <w:t xml:space="preserve">normatīvajiem aktiem par kārtību, kādā </w:t>
            </w:r>
            <w:r w:rsidR="00155679">
              <w:t>ES</w:t>
            </w:r>
            <w:r w:rsidR="009A72C5" w:rsidRPr="00D91AE9">
              <w:t xml:space="preserve"> struktūrfondu un Kohēzi</w:t>
            </w:r>
            <w:r w:rsidR="004647F1">
              <w:t>jas fonda ieviešanā 2014.–2020.</w:t>
            </w:r>
            <w:r w:rsidR="00BA0E1E">
              <w:t xml:space="preserve"> </w:t>
            </w:r>
            <w:r w:rsidR="009A72C5" w:rsidRPr="00D91AE9">
              <w:t>gada plānošanas periodā nodrošināma komunikācijas un vizuālās identitātes prasību ievērošana.</w:t>
            </w:r>
          </w:p>
        </w:tc>
      </w:tr>
      <w:tr w:rsidR="00A40F6D" w:rsidRPr="00D91AE9" w14:paraId="5F199631" w14:textId="77777777" w:rsidTr="00A40F6D">
        <w:tc>
          <w:tcPr>
            <w:tcW w:w="662" w:type="dxa"/>
            <w:tcBorders>
              <w:top w:val="outset" w:sz="6" w:space="0" w:color="000000"/>
              <w:left w:val="outset" w:sz="6" w:space="0" w:color="000000"/>
              <w:bottom w:val="outset" w:sz="6" w:space="0" w:color="000000"/>
              <w:right w:val="outset" w:sz="6" w:space="0" w:color="000000"/>
            </w:tcBorders>
          </w:tcPr>
          <w:p w14:paraId="31DBABA6" w14:textId="77777777" w:rsidR="00A40F6D" w:rsidRPr="00D91AE9" w:rsidRDefault="00A40F6D" w:rsidP="00A40F6D">
            <w:pPr>
              <w:spacing w:before="100" w:beforeAutospacing="1" w:after="100" w:afterAutospacing="1"/>
              <w:jc w:val="center"/>
            </w:pPr>
            <w:r w:rsidRPr="00D91AE9">
              <w:lastRenderedPageBreak/>
              <w:t>2.</w:t>
            </w:r>
          </w:p>
        </w:tc>
        <w:tc>
          <w:tcPr>
            <w:tcW w:w="2769" w:type="dxa"/>
            <w:tcBorders>
              <w:top w:val="outset" w:sz="6" w:space="0" w:color="000000"/>
              <w:left w:val="outset" w:sz="6" w:space="0" w:color="000000"/>
              <w:bottom w:val="outset" w:sz="6" w:space="0" w:color="000000"/>
              <w:right w:val="outset" w:sz="6" w:space="0" w:color="000000"/>
            </w:tcBorders>
          </w:tcPr>
          <w:p w14:paraId="5354BEEB" w14:textId="77777777" w:rsidR="00A40F6D" w:rsidRPr="00D91AE9" w:rsidRDefault="00A40F6D" w:rsidP="00A40F6D">
            <w:pPr>
              <w:spacing w:before="100" w:beforeAutospacing="1" w:after="100" w:afterAutospacing="1"/>
            </w:pPr>
            <w:r w:rsidRPr="00D91AE9">
              <w:t>Sabiedrības līdzdalība projekta izstrādē</w:t>
            </w:r>
          </w:p>
        </w:tc>
        <w:tc>
          <w:tcPr>
            <w:tcW w:w="5783" w:type="dxa"/>
            <w:tcBorders>
              <w:top w:val="outset" w:sz="6" w:space="0" w:color="000000"/>
              <w:left w:val="outset" w:sz="6" w:space="0" w:color="000000"/>
              <w:bottom w:val="outset" w:sz="6" w:space="0" w:color="000000"/>
              <w:right w:val="outset" w:sz="6" w:space="0" w:color="000000"/>
            </w:tcBorders>
          </w:tcPr>
          <w:p w14:paraId="752D1F60" w14:textId="21B37459" w:rsidR="00A40F6D" w:rsidRPr="00C858D8" w:rsidRDefault="00A40F6D" w:rsidP="00A40F6D">
            <w:pPr>
              <w:spacing w:before="75" w:after="75"/>
              <w:jc w:val="both"/>
            </w:pPr>
            <w:r w:rsidRPr="00B336A1">
              <w:rPr>
                <w:bCs/>
              </w:rPr>
              <w:t xml:space="preserve">Sabiedrības līdzdalība </w:t>
            </w:r>
            <w:r w:rsidR="00F10D97">
              <w:rPr>
                <w:bCs/>
              </w:rPr>
              <w:t>noteikumu projekta izstrādē tika</w:t>
            </w:r>
            <w:r w:rsidRPr="00B336A1">
              <w:rPr>
                <w:bCs/>
              </w:rPr>
              <w:t xml:space="preserve"> nodrošināta,</w:t>
            </w:r>
            <w:r w:rsidRPr="00B336A1">
              <w:t xml:space="preserve"> </w:t>
            </w:r>
            <w:r w:rsidRPr="00B336A1">
              <w:rPr>
                <w:bCs/>
              </w:rPr>
              <w:t xml:space="preserve">ievietojot noteikumu projektu tīmekļa vietnē </w:t>
            </w:r>
            <w:hyperlink r:id="rId26" w:history="1">
              <w:r w:rsidRPr="00B336A1">
                <w:rPr>
                  <w:rStyle w:val="Hyperlink"/>
                  <w:bCs/>
                </w:rPr>
                <w:t>www.izm.gov.lv</w:t>
              </w:r>
            </w:hyperlink>
            <w:r w:rsidRPr="00B336A1">
              <w:rPr>
                <w:bCs/>
              </w:rPr>
              <w:t xml:space="preserve"> un aicinot sabiedrības pārstāvjus rakstiski sniegt viedokli par noteikumu projektu tā izstrādes stadijā – nosūtot elektroniski uz e-pastu: </w:t>
            </w:r>
            <w:hyperlink r:id="rId27" w:history="1">
              <w:r w:rsidRPr="00B336A1">
                <w:rPr>
                  <w:rStyle w:val="Hyperlink"/>
                  <w:bCs/>
                </w:rPr>
                <w:t>pasts@izm.gov.lv</w:t>
              </w:r>
            </w:hyperlink>
            <w:r w:rsidRPr="00B336A1">
              <w:rPr>
                <w:bCs/>
              </w:rPr>
              <w:t xml:space="preserve"> vai sniedzot viedokli klātienē.</w:t>
            </w:r>
          </w:p>
        </w:tc>
      </w:tr>
      <w:tr w:rsidR="00A40F6D" w:rsidRPr="00D91AE9" w14:paraId="222A8861" w14:textId="77777777" w:rsidTr="00A40F6D">
        <w:tc>
          <w:tcPr>
            <w:tcW w:w="662" w:type="dxa"/>
            <w:tcBorders>
              <w:top w:val="outset" w:sz="6" w:space="0" w:color="000000"/>
              <w:left w:val="outset" w:sz="6" w:space="0" w:color="000000"/>
              <w:bottom w:val="outset" w:sz="6" w:space="0" w:color="000000"/>
              <w:right w:val="outset" w:sz="6" w:space="0" w:color="000000"/>
            </w:tcBorders>
          </w:tcPr>
          <w:p w14:paraId="73A3BA6D" w14:textId="77777777" w:rsidR="00A40F6D" w:rsidRPr="00D91AE9" w:rsidRDefault="00A40F6D" w:rsidP="00A40F6D">
            <w:pPr>
              <w:spacing w:before="100" w:beforeAutospacing="1" w:after="100" w:afterAutospacing="1"/>
              <w:jc w:val="center"/>
            </w:pPr>
            <w:r w:rsidRPr="00D91AE9">
              <w:t>3.</w:t>
            </w:r>
          </w:p>
        </w:tc>
        <w:tc>
          <w:tcPr>
            <w:tcW w:w="2769" w:type="dxa"/>
            <w:tcBorders>
              <w:top w:val="outset" w:sz="6" w:space="0" w:color="000000"/>
              <w:left w:val="outset" w:sz="6" w:space="0" w:color="000000"/>
              <w:bottom w:val="outset" w:sz="6" w:space="0" w:color="000000"/>
              <w:right w:val="outset" w:sz="6" w:space="0" w:color="000000"/>
            </w:tcBorders>
          </w:tcPr>
          <w:p w14:paraId="6B33E5A0" w14:textId="77777777" w:rsidR="00A40F6D" w:rsidRPr="00D91AE9" w:rsidRDefault="00A40F6D" w:rsidP="00A40F6D">
            <w:pPr>
              <w:spacing w:before="100" w:beforeAutospacing="1" w:after="100" w:afterAutospacing="1"/>
            </w:pPr>
            <w:r w:rsidRPr="00D91AE9">
              <w:t>Sabiedrības līdzdalības rezultāti</w:t>
            </w:r>
          </w:p>
        </w:tc>
        <w:tc>
          <w:tcPr>
            <w:tcW w:w="5783" w:type="dxa"/>
            <w:tcBorders>
              <w:top w:val="outset" w:sz="6" w:space="0" w:color="000000"/>
              <w:left w:val="outset" w:sz="6" w:space="0" w:color="000000"/>
              <w:bottom w:val="outset" w:sz="6" w:space="0" w:color="000000"/>
              <w:right w:val="outset" w:sz="6" w:space="0" w:color="000000"/>
            </w:tcBorders>
          </w:tcPr>
          <w:p w14:paraId="40FD190C" w14:textId="436ABACD" w:rsidR="00A40F6D" w:rsidRDefault="00A40F6D" w:rsidP="00A40F6D">
            <w:pPr>
              <w:ind w:right="73"/>
              <w:jc w:val="both"/>
              <w:rPr>
                <w:bCs/>
              </w:rPr>
            </w:pPr>
            <w:r w:rsidRPr="00D91AE9">
              <w:t xml:space="preserve">Noteikumu </w:t>
            </w:r>
            <w:r w:rsidR="00D00915">
              <w:t>projekts 2017</w:t>
            </w:r>
            <w:r w:rsidRPr="004271BE">
              <w:t>.</w:t>
            </w:r>
            <w:r w:rsidR="00BA0E1E">
              <w:t xml:space="preserve"> </w:t>
            </w:r>
            <w:r w:rsidR="00D00915">
              <w:t>gada 2</w:t>
            </w:r>
            <w:r w:rsidR="001C04B7">
              <w:t>3</w:t>
            </w:r>
            <w:r w:rsidRPr="00BA0E1E">
              <w:t>.</w:t>
            </w:r>
            <w:r w:rsidR="00BA0E1E">
              <w:t xml:space="preserve"> </w:t>
            </w:r>
            <w:r w:rsidR="00D00915">
              <w:t>februārī</w:t>
            </w:r>
            <w:r w:rsidRPr="00BA0E1E">
              <w:t xml:space="preserve"> izsludināts</w:t>
            </w:r>
            <w:r>
              <w:t xml:space="preserve"> </w:t>
            </w:r>
            <w:r w:rsidRPr="00D91AE9">
              <w:rPr>
                <w:bCs/>
              </w:rPr>
              <w:t xml:space="preserve">Valsts sekretāru </w:t>
            </w:r>
            <w:r w:rsidRPr="004B39F6">
              <w:rPr>
                <w:bCs/>
              </w:rPr>
              <w:t>sanāksmē</w:t>
            </w:r>
            <w:r w:rsidR="00E93FC1" w:rsidRPr="004B39F6">
              <w:rPr>
                <w:bCs/>
              </w:rPr>
              <w:t xml:space="preserve"> (VSS – 222)</w:t>
            </w:r>
            <w:r w:rsidRPr="004B39F6">
              <w:rPr>
                <w:bCs/>
              </w:rPr>
              <w:t>.</w:t>
            </w:r>
            <w:r w:rsidRPr="00D91AE9">
              <w:rPr>
                <w:bCs/>
              </w:rPr>
              <w:t xml:space="preserve"> </w:t>
            </w:r>
          </w:p>
          <w:p w14:paraId="48B6A6D1" w14:textId="7980BC69" w:rsidR="00A40F6D" w:rsidRPr="00D91AE9" w:rsidRDefault="00A40F6D" w:rsidP="00593077">
            <w:pPr>
              <w:ind w:right="73"/>
              <w:jc w:val="both"/>
              <w:rPr>
                <w:b/>
              </w:rPr>
            </w:pPr>
            <w:r w:rsidRPr="00965251">
              <w:t>Partneru un ieinteresēto organizāciju izte</w:t>
            </w:r>
            <w:r>
              <w:t>iktie iebildumi un priekšlikumi</w:t>
            </w:r>
            <w:r w:rsidRPr="00965251">
              <w:t xml:space="preserve"> analizēti un iestrādāti noteikumu projektā</w:t>
            </w:r>
            <w:r w:rsidR="00D00915">
              <w:t>.</w:t>
            </w:r>
          </w:p>
        </w:tc>
      </w:tr>
      <w:tr w:rsidR="00A40F6D" w:rsidRPr="00D91AE9" w14:paraId="2303A0AB" w14:textId="77777777" w:rsidTr="00A40F6D">
        <w:tc>
          <w:tcPr>
            <w:tcW w:w="662" w:type="dxa"/>
            <w:tcBorders>
              <w:top w:val="outset" w:sz="6" w:space="0" w:color="000000"/>
              <w:left w:val="outset" w:sz="6" w:space="0" w:color="000000"/>
              <w:bottom w:val="outset" w:sz="6" w:space="0" w:color="000000"/>
              <w:right w:val="outset" w:sz="6" w:space="0" w:color="000000"/>
            </w:tcBorders>
          </w:tcPr>
          <w:p w14:paraId="54BEACA8" w14:textId="77777777" w:rsidR="00A40F6D" w:rsidRPr="00D91AE9" w:rsidRDefault="00A40F6D" w:rsidP="00A40F6D">
            <w:pPr>
              <w:spacing w:before="100" w:beforeAutospacing="1" w:after="100" w:afterAutospacing="1"/>
              <w:jc w:val="center"/>
            </w:pPr>
            <w:r w:rsidRPr="00D91AE9">
              <w:t>4.</w:t>
            </w:r>
          </w:p>
        </w:tc>
        <w:tc>
          <w:tcPr>
            <w:tcW w:w="2769" w:type="dxa"/>
            <w:tcBorders>
              <w:top w:val="outset" w:sz="6" w:space="0" w:color="000000"/>
              <w:left w:val="outset" w:sz="6" w:space="0" w:color="000000"/>
              <w:bottom w:val="outset" w:sz="6" w:space="0" w:color="000000"/>
              <w:right w:val="outset" w:sz="6" w:space="0" w:color="000000"/>
            </w:tcBorders>
          </w:tcPr>
          <w:p w14:paraId="31F28472" w14:textId="77777777" w:rsidR="00A40F6D" w:rsidRPr="00D91AE9" w:rsidRDefault="00A40F6D" w:rsidP="00A40F6D">
            <w:pPr>
              <w:spacing w:before="100" w:beforeAutospacing="1" w:after="100" w:afterAutospacing="1"/>
            </w:pPr>
            <w:r w:rsidRPr="00D91AE9">
              <w:t>Cita informācija</w:t>
            </w:r>
          </w:p>
        </w:tc>
        <w:tc>
          <w:tcPr>
            <w:tcW w:w="5783" w:type="dxa"/>
            <w:tcBorders>
              <w:top w:val="outset" w:sz="6" w:space="0" w:color="000000"/>
              <w:left w:val="outset" w:sz="6" w:space="0" w:color="000000"/>
              <w:bottom w:val="outset" w:sz="6" w:space="0" w:color="000000"/>
              <w:right w:val="outset" w:sz="6" w:space="0" w:color="000000"/>
            </w:tcBorders>
          </w:tcPr>
          <w:p w14:paraId="3FCFD3F8" w14:textId="77777777" w:rsidR="00A40F6D" w:rsidRPr="00D91AE9" w:rsidRDefault="00A40F6D" w:rsidP="00A40F6D">
            <w:pPr>
              <w:spacing w:before="100" w:beforeAutospacing="1" w:after="100" w:afterAutospacing="1"/>
              <w:rPr>
                <w:iCs/>
              </w:rPr>
            </w:pPr>
            <w:r w:rsidRPr="00D91AE9">
              <w:rPr>
                <w:iCs/>
              </w:rPr>
              <w:t>Nav</w:t>
            </w:r>
            <w:r w:rsidR="00D00915">
              <w:rPr>
                <w:iCs/>
              </w:rPr>
              <w:t>.</w:t>
            </w:r>
          </w:p>
        </w:tc>
      </w:tr>
    </w:tbl>
    <w:p w14:paraId="5D379636" w14:textId="77777777" w:rsidR="009A72C5" w:rsidRPr="00D91AE9" w:rsidRDefault="009A72C5" w:rsidP="009A72C5"/>
    <w:tbl>
      <w:tblPr>
        <w:tblW w:w="5338"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41"/>
        <w:gridCol w:w="3485"/>
        <w:gridCol w:w="5088"/>
      </w:tblGrid>
      <w:tr w:rsidR="009A72C5" w:rsidRPr="00D91AE9" w14:paraId="35F05E7D" w14:textId="77777777" w:rsidTr="00DD2EFA">
        <w:tc>
          <w:tcPr>
            <w:tcW w:w="5000" w:type="pct"/>
            <w:gridSpan w:val="3"/>
            <w:tcBorders>
              <w:top w:val="outset" w:sz="6" w:space="0" w:color="000000"/>
              <w:left w:val="outset" w:sz="6" w:space="0" w:color="000000"/>
              <w:bottom w:val="outset" w:sz="6" w:space="0" w:color="000000"/>
              <w:right w:val="outset" w:sz="6" w:space="0" w:color="000000"/>
            </w:tcBorders>
          </w:tcPr>
          <w:p w14:paraId="388A8A82" w14:textId="77777777" w:rsidR="009A72C5" w:rsidRPr="00D91AE9" w:rsidRDefault="009A72C5" w:rsidP="00DD2EFA">
            <w:pPr>
              <w:pStyle w:val="NormalWeb"/>
              <w:jc w:val="both"/>
              <w:rPr>
                <w:b/>
                <w:bCs/>
              </w:rPr>
            </w:pPr>
            <w:r w:rsidRPr="00D91AE9">
              <w:rPr>
                <w:b/>
                <w:bCs/>
              </w:rPr>
              <w:t xml:space="preserve">VII. </w:t>
            </w:r>
            <w:r w:rsidRPr="00D91AE9">
              <w:rPr>
                <w:b/>
              </w:rPr>
              <w:t>Tiesību akta projekta izpildes nodrošināšana un tās ietekme uz institūcijām</w:t>
            </w:r>
          </w:p>
        </w:tc>
      </w:tr>
      <w:tr w:rsidR="009A72C5" w:rsidRPr="0014168F" w14:paraId="7CBBE639" w14:textId="77777777" w:rsidTr="00DD2EFA">
        <w:tc>
          <w:tcPr>
            <w:tcW w:w="348" w:type="pct"/>
            <w:tcBorders>
              <w:top w:val="outset" w:sz="6" w:space="0" w:color="000000"/>
              <w:left w:val="outset" w:sz="6" w:space="0" w:color="000000"/>
              <w:bottom w:val="outset" w:sz="6" w:space="0" w:color="000000"/>
              <w:right w:val="outset" w:sz="6" w:space="0" w:color="000000"/>
            </w:tcBorders>
          </w:tcPr>
          <w:p w14:paraId="6165C344" w14:textId="77777777" w:rsidR="009A72C5" w:rsidRPr="00D91AE9" w:rsidRDefault="009A72C5" w:rsidP="00DD2EFA">
            <w:pPr>
              <w:spacing w:before="100" w:beforeAutospacing="1" w:after="100" w:afterAutospacing="1"/>
              <w:jc w:val="center"/>
            </w:pPr>
            <w:r w:rsidRPr="00D91AE9">
              <w:t>1.</w:t>
            </w:r>
          </w:p>
        </w:tc>
        <w:tc>
          <w:tcPr>
            <w:tcW w:w="1891" w:type="pct"/>
            <w:tcBorders>
              <w:top w:val="outset" w:sz="6" w:space="0" w:color="000000"/>
              <w:left w:val="outset" w:sz="6" w:space="0" w:color="000000"/>
              <w:bottom w:val="outset" w:sz="6" w:space="0" w:color="000000"/>
              <w:right w:val="outset" w:sz="6" w:space="0" w:color="000000"/>
            </w:tcBorders>
          </w:tcPr>
          <w:p w14:paraId="1800EA16" w14:textId="77777777" w:rsidR="009A72C5" w:rsidRPr="00D91AE9" w:rsidRDefault="009A72C5" w:rsidP="00DD2EFA">
            <w:pPr>
              <w:spacing w:before="100" w:beforeAutospacing="1" w:after="100" w:afterAutospacing="1"/>
            </w:pPr>
            <w:r w:rsidRPr="00D91AE9">
              <w:t>Projekta izpildē iesaistītās institūcijas</w:t>
            </w:r>
          </w:p>
        </w:tc>
        <w:tc>
          <w:tcPr>
            <w:tcW w:w="2760" w:type="pct"/>
            <w:tcBorders>
              <w:top w:val="outset" w:sz="6" w:space="0" w:color="000000"/>
              <w:left w:val="outset" w:sz="6" w:space="0" w:color="000000"/>
              <w:bottom w:val="outset" w:sz="6" w:space="0" w:color="000000"/>
              <w:right w:val="outset" w:sz="6" w:space="0" w:color="000000"/>
            </w:tcBorders>
          </w:tcPr>
          <w:p w14:paraId="7621146C" w14:textId="6C2AC7E1" w:rsidR="009A72C5" w:rsidRPr="004B39F6" w:rsidRDefault="009A72C5" w:rsidP="004B39F6">
            <w:pPr>
              <w:spacing w:before="100" w:beforeAutospacing="1" w:after="100" w:afterAutospacing="1"/>
              <w:ind w:right="73"/>
              <w:jc w:val="both"/>
            </w:pPr>
            <w:r w:rsidRPr="0014168F">
              <w:t xml:space="preserve">Atbildīgās iestādes funkcijas pilda </w:t>
            </w:r>
            <w:r w:rsidR="00231F4E" w:rsidRPr="0014168F">
              <w:t>Izglītības un zinātnes ministrija</w:t>
            </w:r>
            <w:r w:rsidRPr="0014168F">
              <w:t xml:space="preserve">, sadarbības iestādes funkcijas – </w:t>
            </w:r>
            <w:r w:rsidRPr="004B39F6">
              <w:t xml:space="preserve">Centrālā finanšu un līgumu aģentūra. </w:t>
            </w:r>
          </w:p>
          <w:p w14:paraId="6E19698B" w14:textId="73C0B658" w:rsidR="00D00915" w:rsidRPr="004B39F6" w:rsidRDefault="009A72C5" w:rsidP="004B39F6">
            <w:pPr>
              <w:jc w:val="both"/>
            </w:pPr>
            <w:r w:rsidRPr="004B39F6">
              <w:t>Finansējuma saņēmējs</w:t>
            </w:r>
            <w:r w:rsidR="007B0CD0" w:rsidRPr="004B39F6">
              <w:t>:</w:t>
            </w:r>
          </w:p>
          <w:p w14:paraId="5FF2F281" w14:textId="13633998" w:rsidR="009A72C5" w:rsidRPr="004B39F6" w:rsidRDefault="00564C2C" w:rsidP="004B39F6">
            <w:pPr>
              <w:jc w:val="both"/>
              <w:rPr>
                <w:bCs/>
                <w:iCs/>
              </w:rPr>
            </w:pPr>
            <w:r w:rsidRPr="004B39F6">
              <w:t>I</w:t>
            </w:r>
            <w:r w:rsidR="001C04B7" w:rsidRPr="004B39F6">
              <w:t>.</w:t>
            </w:r>
            <w:r w:rsidRPr="004B39F6">
              <w:t xml:space="preserve"> </w:t>
            </w:r>
            <w:r w:rsidR="00D00915" w:rsidRPr="004B39F6">
              <w:t xml:space="preserve">pirmās </w:t>
            </w:r>
            <w:r w:rsidR="00FF2C2E" w:rsidRPr="004B39F6">
              <w:t xml:space="preserve">projektu iesniegumu </w:t>
            </w:r>
            <w:r w:rsidR="00D00915" w:rsidRPr="004B39F6">
              <w:t>atlases kārtas ietvaros</w:t>
            </w:r>
            <w:r w:rsidR="009A72C5" w:rsidRPr="004B39F6">
              <w:rPr>
                <w:bCs/>
                <w:iCs/>
              </w:rPr>
              <w:t xml:space="preserve"> </w:t>
            </w:r>
            <w:r w:rsidR="009A72C5" w:rsidRPr="004B39F6">
              <w:t>ir</w:t>
            </w:r>
            <w:r w:rsidR="009A72C5" w:rsidRPr="004B39F6">
              <w:rPr>
                <w:bCs/>
                <w:iCs/>
              </w:rPr>
              <w:t xml:space="preserve"> </w:t>
            </w:r>
            <w:r w:rsidR="00231F4E" w:rsidRPr="004B39F6">
              <w:t>Izglītības un zinātnes ministrija</w:t>
            </w:r>
            <w:r w:rsidR="00D00915" w:rsidRPr="004B39F6">
              <w:rPr>
                <w:bCs/>
                <w:iCs/>
              </w:rPr>
              <w:t xml:space="preserve"> un VIAA;</w:t>
            </w:r>
          </w:p>
          <w:p w14:paraId="064E2631" w14:textId="60A5305E" w:rsidR="00D00915" w:rsidRPr="004B39F6" w:rsidRDefault="00564C2C" w:rsidP="004B39F6">
            <w:pPr>
              <w:ind w:right="145"/>
              <w:jc w:val="both"/>
            </w:pPr>
            <w:r w:rsidRPr="004B39F6">
              <w:t>II</w:t>
            </w:r>
            <w:r w:rsidR="001C04B7" w:rsidRPr="004B39F6">
              <w:t>.</w:t>
            </w:r>
            <w:r w:rsidRPr="004B39F6">
              <w:t xml:space="preserve"> </w:t>
            </w:r>
            <w:r w:rsidR="00D00915" w:rsidRPr="004B39F6">
              <w:t xml:space="preserve">otrās </w:t>
            </w:r>
            <w:r w:rsidR="00FF2C2E" w:rsidRPr="004B39F6">
              <w:t xml:space="preserve">projektu iesniegumu </w:t>
            </w:r>
            <w:r w:rsidR="00D00915" w:rsidRPr="004B39F6">
              <w:t xml:space="preserve">atlases kārtas ietvaros ir </w:t>
            </w:r>
            <w:r w:rsidR="00231F4E" w:rsidRPr="004B39F6">
              <w:t>18 zinātniskās institūcijas;</w:t>
            </w:r>
          </w:p>
          <w:p w14:paraId="529D6F19" w14:textId="3C3D702C" w:rsidR="00D00915" w:rsidRPr="0014168F" w:rsidRDefault="00564C2C" w:rsidP="004B39F6">
            <w:pPr>
              <w:ind w:right="145"/>
              <w:jc w:val="both"/>
            </w:pPr>
            <w:r w:rsidRPr="004B39F6">
              <w:t>III</w:t>
            </w:r>
            <w:r w:rsidR="001C04B7" w:rsidRPr="004B39F6">
              <w:t>.</w:t>
            </w:r>
            <w:r w:rsidRPr="004B39F6">
              <w:t xml:space="preserve"> </w:t>
            </w:r>
            <w:r w:rsidR="00D00915" w:rsidRPr="004B39F6">
              <w:t xml:space="preserve">trešās </w:t>
            </w:r>
            <w:r w:rsidR="00FF2C2E" w:rsidRPr="004B39F6">
              <w:t xml:space="preserve">projektu iesniegumu </w:t>
            </w:r>
            <w:r w:rsidR="00D00915" w:rsidRPr="004B39F6">
              <w:t>atlases kārtas ietvaros ir zinātniskā institūcija</w:t>
            </w:r>
            <w:r w:rsidR="003815A5" w:rsidRPr="004B39F6">
              <w:t xml:space="preserve"> un </w:t>
            </w:r>
            <w:r w:rsidR="00C34FB0" w:rsidRPr="004B39F6">
              <w:t>tiešā valsts pārvaldes iestāde</w:t>
            </w:r>
            <w:r w:rsidR="00D00915" w:rsidRPr="0014168F">
              <w:t>.</w:t>
            </w:r>
          </w:p>
        </w:tc>
      </w:tr>
      <w:tr w:rsidR="009A72C5" w:rsidRPr="00D91AE9" w14:paraId="273B7202" w14:textId="77777777" w:rsidTr="00DD2EFA">
        <w:tc>
          <w:tcPr>
            <w:tcW w:w="348" w:type="pct"/>
            <w:tcBorders>
              <w:top w:val="outset" w:sz="6" w:space="0" w:color="000000"/>
              <w:left w:val="outset" w:sz="6" w:space="0" w:color="000000"/>
              <w:bottom w:val="outset" w:sz="6" w:space="0" w:color="000000"/>
              <w:right w:val="outset" w:sz="6" w:space="0" w:color="000000"/>
            </w:tcBorders>
          </w:tcPr>
          <w:p w14:paraId="4F7C183C" w14:textId="77777777" w:rsidR="009A72C5" w:rsidRPr="00D91AE9" w:rsidRDefault="009A72C5" w:rsidP="00DD2EFA">
            <w:pPr>
              <w:spacing w:before="100" w:beforeAutospacing="1" w:after="100" w:afterAutospacing="1"/>
              <w:jc w:val="center"/>
            </w:pPr>
            <w:r w:rsidRPr="00D91AE9">
              <w:t>2.</w:t>
            </w:r>
          </w:p>
        </w:tc>
        <w:tc>
          <w:tcPr>
            <w:tcW w:w="1891" w:type="pct"/>
            <w:tcBorders>
              <w:top w:val="outset" w:sz="6" w:space="0" w:color="000000"/>
              <w:left w:val="outset" w:sz="6" w:space="0" w:color="000000"/>
              <w:bottom w:val="outset" w:sz="6" w:space="0" w:color="000000"/>
              <w:right w:val="outset" w:sz="6" w:space="0" w:color="000000"/>
            </w:tcBorders>
          </w:tcPr>
          <w:p w14:paraId="66BA95A1" w14:textId="77777777" w:rsidR="009A72C5" w:rsidRPr="00D91AE9" w:rsidRDefault="009A72C5" w:rsidP="00DD2EFA">
            <w:r w:rsidRPr="00D91AE9">
              <w:t xml:space="preserve">Projekta izpildes ietekme uz pārvaldes funkcijām un institucionālo struktūru. </w:t>
            </w:r>
          </w:p>
          <w:p w14:paraId="1F0B278B" w14:textId="77777777" w:rsidR="009A72C5" w:rsidRPr="00D91AE9" w:rsidRDefault="009A72C5" w:rsidP="00DD2EFA">
            <w:pPr>
              <w:spacing w:before="100" w:beforeAutospacing="1" w:after="100" w:afterAutospacing="1"/>
            </w:pPr>
            <w:r w:rsidRPr="00D91AE9">
              <w:t>Jaunu institūciju izveide, esošu institūciju likvidācija vai reorganizācija, to ietekme uz institūcijas cilvēkresursiem</w:t>
            </w:r>
          </w:p>
        </w:tc>
        <w:tc>
          <w:tcPr>
            <w:tcW w:w="2760" w:type="pct"/>
            <w:tcBorders>
              <w:top w:val="outset" w:sz="6" w:space="0" w:color="000000"/>
              <w:left w:val="outset" w:sz="6" w:space="0" w:color="000000"/>
              <w:bottom w:val="outset" w:sz="6" w:space="0" w:color="000000"/>
              <w:right w:val="outset" w:sz="6" w:space="0" w:color="000000"/>
            </w:tcBorders>
          </w:tcPr>
          <w:p w14:paraId="09F8C21C" w14:textId="77777777" w:rsidR="009A72C5" w:rsidRPr="00D91AE9" w:rsidRDefault="009A72C5" w:rsidP="00DD2EFA">
            <w:pPr>
              <w:spacing w:before="100" w:beforeAutospacing="1" w:after="100" w:afterAutospacing="1"/>
              <w:jc w:val="both"/>
              <w:rPr>
                <w:b/>
              </w:rPr>
            </w:pPr>
            <w:r w:rsidRPr="00D91AE9">
              <w:t>Noteikumu projekts tiks īstenots esošo institūciju un cilvēkresursu ietvaros.</w:t>
            </w:r>
          </w:p>
        </w:tc>
      </w:tr>
      <w:tr w:rsidR="009A72C5" w:rsidRPr="00D91AE9" w14:paraId="3AF74CA0" w14:textId="77777777" w:rsidTr="00DD2EFA">
        <w:tc>
          <w:tcPr>
            <w:tcW w:w="348" w:type="pct"/>
            <w:tcBorders>
              <w:top w:val="outset" w:sz="6" w:space="0" w:color="000000"/>
              <w:left w:val="outset" w:sz="6" w:space="0" w:color="000000"/>
              <w:bottom w:val="outset" w:sz="6" w:space="0" w:color="000000"/>
              <w:right w:val="outset" w:sz="6" w:space="0" w:color="000000"/>
            </w:tcBorders>
          </w:tcPr>
          <w:p w14:paraId="2E91754B" w14:textId="77777777" w:rsidR="009A72C5" w:rsidRPr="00D91AE9" w:rsidRDefault="009A72C5" w:rsidP="00DD2EFA">
            <w:pPr>
              <w:spacing w:before="100" w:beforeAutospacing="1" w:after="100" w:afterAutospacing="1"/>
              <w:jc w:val="center"/>
            </w:pPr>
            <w:r w:rsidRPr="00D91AE9">
              <w:t>3.</w:t>
            </w:r>
          </w:p>
        </w:tc>
        <w:tc>
          <w:tcPr>
            <w:tcW w:w="1891" w:type="pct"/>
            <w:tcBorders>
              <w:top w:val="outset" w:sz="6" w:space="0" w:color="000000"/>
              <w:left w:val="outset" w:sz="6" w:space="0" w:color="000000"/>
              <w:bottom w:val="outset" w:sz="6" w:space="0" w:color="000000"/>
              <w:right w:val="outset" w:sz="6" w:space="0" w:color="000000"/>
            </w:tcBorders>
          </w:tcPr>
          <w:p w14:paraId="1D4D8B6D" w14:textId="77777777" w:rsidR="009A72C5" w:rsidRPr="00D91AE9" w:rsidRDefault="009A72C5" w:rsidP="00DD2EFA">
            <w:pPr>
              <w:spacing w:before="100" w:beforeAutospacing="1" w:after="100" w:afterAutospacing="1"/>
            </w:pPr>
            <w:r w:rsidRPr="00D91AE9">
              <w:t>Cita informācija</w:t>
            </w:r>
          </w:p>
        </w:tc>
        <w:tc>
          <w:tcPr>
            <w:tcW w:w="2760" w:type="pct"/>
            <w:tcBorders>
              <w:top w:val="outset" w:sz="6" w:space="0" w:color="000000"/>
              <w:left w:val="outset" w:sz="6" w:space="0" w:color="000000"/>
              <w:bottom w:val="outset" w:sz="6" w:space="0" w:color="000000"/>
              <w:right w:val="outset" w:sz="6" w:space="0" w:color="000000"/>
            </w:tcBorders>
          </w:tcPr>
          <w:p w14:paraId="42EA8B85" w14:textId="77777777" w:rsidR="009A72C5" w:rsidRPr="00D91AE9" w:rsidRDefault="009A72C5" w:rsidP="00DD2EFA">
            <w:pPr>
              <w:spacing w:before="100" w:beforeAutospacing="1" w:after="100" w:afterAutospacing="1"/>
            </w:pPr>
            <w:r w:rsidRPr="00D91AE9">
              <w:t>Nav</w:t>
            </w:r>
          </w:p>
        </w:tc>
      </w:tr>
    </w:tbl>
    <w:p w14:paraId="3C4371C3" w14:textId="77777777" w:rsidR="009A72C5" w:rsidRPr="00D91AE9" w:rsidRDefault="009A72C5" w:rsidP="009A72C5"/>
    <w:p w14:paraId="0270254D" w14:textId="67A4D212" w:rsidR="009A72C5" w:rsidRPr="00D91AE9" w:rsidRDefault="009A72C5" w:rsidP="009A72C5">
      <w:pPr>
        <w:tabs>
          <w:tab w:val="left" w:pos="6710"/>
        </w:tabs>
      </w:pPr>
      <w:r w:rsidRPr="00D91AE9">
        <w:t xml:space="preserve">Anotācijas IV sadaļa </w:t>
      </w:r>
      <w:r w:rsidR="00C212F7">
        <w:t>–</w:t>
      </w:r>
      <w:r w:rsidRPr="00D91AE9">
        <w:t xml:space="preserve"> </w:t>
      </w:r>
      <w:r w:rsidR="00C212F7" w:rsidRPr="004B39F6">
        <w:t xml:space="preserve">noteikumu </w:t>
      </w:r>
      <w:r w:rsidRPr="004B39F6">
        <w:t>projekts</w:t>
      </w:r>
      <w:r w:rsidRPr="00D91AE9">
        <w:t xml:space="preserve"> šo jomu neskar.</w:t>
      </w:r>
    </w:p>
    <w:p w14:paraId="2353BE2F" w14:textId="77777777" w:rsidR="009A72C5" w:rsidRDefault="009A72C5" w:rsidP="009A72C5"/>
    <w:p w14:paraId="328C23CF" w14:textId="77777777" w:rsidR="00231F4E" w:rsidRPr="00D91AE9" w:rsidRDefault="00231F4E" w:rsidP="009A72C5"/>
    <w:p w14:paraId="5EB3E84B" w14:textId="4B83867D" w:rsidR="009A72C5" w:rsidRPr="00D91AE9" w:rsidRDefault="009A72C5" w:rsidP="009A72C5">
      <w:pPr>
        <w:jc w:val="both"/>
      </w:pPr>
      <w:r>
        <w:t>Izglītības un zinātnes ministrs</w:t>
      </w:r>
      <w:proofErr w:type="gramStart"/>
      <w:r w:rsidRPr="00D91AE9">
        <w:t xml:space="preserve">                       </w:t>
      </w:r>
      <w:r w:rsidR="00155679">
        <w:t xml:space="preserve">                               </w:t>
      </w:r>
      <w:proofErr w:type="gramEnd"/>
      <w:r w:rsidRPr="00D91AE9">
        <w:tab/>
      </w:r>
      <w:r w:rsidR="00155679">
        <w:t xml:space="preserve">Kārlis </w:t>
      </w:r>
      <w:r w:rsidRPr="003E6E13">
        <w:t>Šadurskis</w:t>
      </w:r>
    </w:p>
    <w:p w14:paraId="36E36036" w14:textId="77777777" w:rsidR="009A72C5" w:rsidRPr="00D91AE9" w:rsidRDefault="009A72C5" w:rsidP="009A72C5">
      <w:pPr>
        <w:pStyle w:val="naiskr"/>
        <w:tabs>
          <w:tab w:val="left" w:pos="6870"/>
        </w:tabs>
        <w:spacing w:before="0" w:after="0"/>
      </w:pPr>
    </w:p>
    <w:p w14:paraId="4BEEBEB9" w14:textId="77777777" w:rsidR="009A72C5" w:rsidRPr="00D91AE9" w:rsidRDefault="009A72C5" w:rsidP="009A72C5">
      <w:pPr>
        <w:pStyle w:val="naiskr"/>
        <w:tabs>
          <w:tab w:val="left" w:pos="6870"/>
        </w:tabs>
        <w:spacing w:before="0" w:after="0"/>
      </w:pPr>
    </w:p>
    <w:p w14:paraId="4C636831" w14:textId="04934DFA" w:rsidR="009A72C5" w:rsidRDefault="003D68B4" w:rsidP="00497ED0">
      <w:pPr>
        <w:contextualSpacing/>
        <w:jc w:val="both"/>
        <w:rPr>
          <w:sz w:val="20"/>
          <w:szCs w:val="20"/>
        </w:rPr>
      </w:pPr>
      <w:r w:rsidRPr="003D68B4">
        <w:rPr>
          <w:rFonts w:eastAsia="PMingLiU"/>
        </w:rPr>
        <w:t xml:space="preserve">Vizē: </w:t>
      </w:r>
      <w:r w:rsidR="00497ED0">
        <w:rPr>
          <w:rFonts w:eastAsia="PMingLiU"/>
        </w:rPr>
        <w:t>Valsts sekretāre</w:t>
      </w:r>
      <w:r w:rsidR="00497ED0">
        <w:rPr>
          <w:rFonts w:eastAsia="PMingLiU"/>
        </w:rPr>
        <w:tab/>
      </w:r>
      <w:r w:rsidR="00497ED0">
        <w:rPr>
          <w:rFonts w:eastAsia="PMingLiU"/>
        </w:rPr>
        <w:tab/>
      </w:r>
      <w:r w:rsidR="00497ED0">
        <w:rPr>
          <w:rFonts w:eastAsia="PMingLiU"/>
        </w:rPr>
        <w:tab/>
      </w:r>
      <w:proofErr w:type="gramStart"/>
      <w:r w:rsidRPr="003D68B4">
        <w:rPr>
          <w:rFonts w:eastAsia="PMingLiU"/>
        </w:rPr>
        <w:t xml:space="preserve">                                </w:t>
      </w:r>
      <w:proofErr w:type="gramEnd"/>
      <w:r>
        <w:rPr>
          <w:rFonts w:eastAsia="PMingLiU"/>
        </w:rPr>
        <w:tab/>
      </w:r>
      <w:r>
        <w:rPr>
          <w:rFonts w:eastAsia="PMingLiU"/>
        </w:rPr>
        <w:tab/>
      </w:r>
      <w:r w:rsidR="00497ED0">
        <w:rPr>
          <w:rFonts w:eastAsia="PMingLiU"/>
        </w:rPr>
        <w:t>Līga Lejiņa</w:t>
      </w:r>
    </w:p>
    <w:p w14:paraId="1CA10FF9" w14:textId="77777777" w:rsidR="009A72C5" w:rsidRDefault="009A72C5" w:rsidP="009A72C5">
      <w:pPr>
        <w:contextualSpacing/>
        <w:jc w:val="both"/>
        <w:rPr>
          <w:sz w:val="20"/>
          <w:szCs w:val="20"/>
        </w:rPr>
      </w:pPr>
    </w:p>
    <w:p w14:paraId="3E0A56A2" w14:textId="77777777" w:rsidR="00900EC1" w:rsidRDefault="00900EC1" w:rsidP="009A72C5">
      <w:pPr>
        <w:contextualSpacing/>
        <w:jc w:val="both"/>
        <w:rPr>
          <w:sz w:val="20"/>
          <w:szCs w:val="20"/>
        </w:rPr>
      </w:pPr>
    </w:p>
    <w:p w14:paraId="2DAA4D62" w14:textId="77777777" w:rsidR="00900EC1" w:rsidRDefault="00900EC1" w:rsidP="009A72C5">
      <w:pPr>
        <w:contextualSpacing/>
        <w:jc w:val="both"/>
        <w:rPr>
          <w:sz w:val="20"/>
          <w:szCs w:val="20"/>
        </w:rPr>
      </w:pPr>
    </w:p>
    <w:p w14:paraId="410AC2E4" w14:textId="77777777" w:rsidR="00231F4E" w:rsidRDefault="00231F4E" w:rsidP="009A72C5">
      <w:pPr>
        <w:contextualSpacing/>
        <w:jc w:val="both"/>
        <w:rPr>
          <w:sz w:val="20"/>
          <w:szCs w:val="20"/>
        </w:rPr>
      </w:pPr>
    </w:p>
    <w:p w14:paraId="5C99DE0C" w14:textId="77777777" w:rsidR="00231F4E" w:rsidRDefault="00231F4E" w:rsidP="009A72C5">
      <w:pPr>
        <w:contextualSpacing/>
        <w:jc w:val="both"/>
        <w:rPr>
          <w:sz w:val="20"/>
          <w:szCs w:val="20"/>
        </w:rPr>
      </w:pPr>
    </w:p>
    <w:p w14:paraId="1057C8C6" w14:textId="77777777" w:rsidR="00231F4E" w:rsidRPr="00D91AE9" w:rsidRDefault="00231F4E" w:rsidP="009A72C5">
      <w:pPr>
        <w:contextualSpacing/>
        <w:jc w:val="both"/>
        <w:rPr>
          <w:sz w:val="20"/>
          <w:szCs w:val="20"/>
        </w:rPr>
      </w:pPr>
    </w:p>
    <w:p w14:paraId="69EE73B5" w14:textId="7515EC8A" w:rsidR="009A72C5" w:rsidRPr="00D91AE9" w:rsidRDefault="009A72C5" w:rsidP="009A72C5">
      <w:pPr>
        <w:pStyle w:val="Header"/>
        <w:tabs>
          <w:tab w:val="left" w:pos="2340"/>
        </w:tabs>
        <w:rPr>
          <w:sz w:val="20"/>
          <w:szCs w:val="20"/>
        </w:rPr>
      </w:pPr>
      <w:r w:rsidRPr="00D91AE9">
        <w:rPr>
          <w:sz w:val="20"/>
          <w:szCs w:val="20"/>
        </w:rPr>
        <w:fldChar w:fldCharType="begin"/>
      </w:r>
      <w:r w:rsidRPr="00D91AE9">
        <w:rPr>
          <w:sz w:val="20"/>
          <w:szCs w:val="20"/>
        </w:rPr>
        <w:instrText xml:space="preserve"> DATE  \@ "dd.MM.yyyy H:mm"  \* MERGEFORMAT </w:instrText>
      </w:r>
      <w:r w:rsidRPr="00D91AE9">
        <w:rPr>
          <w:sz w:val="20"/>
          <w:szCs w:val="20"/>
        </w:rPr>
        <w:fldChar w:fldCharType="separate"/>
      </w:r>
      <w:r w:rsidR="00AA777E">
        <w:rPr>
          <w:noProof/>
          <w:sz w:val="20"/>
          <w:szCs w:val="20"/>
        </w:rPr>
        <w:t>02.06.2017 8:25</w:t>
      </w:r>
      <w:r w:rsidRPr="00D91AE9">
        <w:rPr>
          <w:sz w:val="20"/>
          <w:szCs w:val="20"/>
        </w:rPr>
        <w:fldChar w:fldCharType="end"/>
      </w:r>
    </w:p>
    <w:p w14:paraId="743BC20E" w14:textId="2E565D08" w:rsidR="00593077" w:rsidRPr="0019419C" w:rsidRDefault="00F17273" w:rsidP="00593077">
      <w:pPr>
        <w:spacing w:line="252" w:lineRule="auto"/>
        <w:rPr>
          <w:sz w:val="20"/>
          <w:szCs w:val="20"/>
        </w:rPr>
      </w:pPr>
      <w:r>
        <w:fldChar w:fldCharType="begin"/>
      </w:r>
      <w:r>
        <w:instrText xml:space="preserve"> NUMWORDS   \* MERGEFORMAT </w:instrText>
      </w:r>
      <w:r>
        <w:fldChar w:fldCharType="separate"/>
      </w:r>
      <w:r w:rsidR="00CD333E" w:rsidRPr="00CD333E">
        <w:rPr>
          <w:noProof/>
          <w:sz w:val="20"/>
          <w:szCs w:val="20"/>
        </w:rPr>
        <w:t>8994</w:t>
      </w:r>
      <w:r>
        <w:rPr>
          <w:noProof/>
          <w:sz w:val="20"/>
          <w:szCs w:val="20"/>
        </w:rPr>
        <w:fldChar w:fldCharType="end"/>
      </w:r>
    </w:p>
    <w:p w14:paraId="715B983A" w14:textId="77777777" w:rsidR="009A72C5" w:rsidRPr="00BD7B17" w:rsidRDefault="009A72C5" w:rsidP="009A72C5">
      <w:pPr>
        <w:pStyle w:val="Header"/>
        <w:tabs>
          <w:tab w:val="left" w:pos="2340"/>
        </w:tabs>
        <w:rPr>
          <w:sz w:val="20"/>
          <w:szCs w:val="20"/>
        </w:rPr>
      </w:pPr>
      <w:r>
        <w:rPr>
          <w:sz w:val="20"/>
          <w:szCs w:val="20"/>
        </w:rPr>
        <w:t>E.Usāre</w:t>
      </w:r>
      <w:r w:rsidRPr="00BD7B17">
        <w:rPr>
          <w:sz w:val="20"/>
          <w:szCs w:val="20"/>
        </w:rPr>
        <w:t xml:space="preserve">, </w:t>
      </w:r>
    </w:p>
    <w:p w14:paraId="61EBCDB3" w14:textId="77777777" w:rsidR="009A72C5" w:rsidRPr="00BD7B17" w:rsidRDefault="009A72C5" w:rsidP="009A72C5">
      <w:pPr>
        <w:jc w:val="both"/>
        <w:rPr>
          <w:sz w:val="20"/>
          <w:szCs w:val="20"/>
        </w:rPr>
      </w:pPr>
      <w:r w:rsidRPr="00BD7B17">
        <w:rPr>
          <w:sz w:val="20"/>
          <w:szCs w:val="20"/>
        </w:rPr>
        <w:t>Izglītības un zinātnes ministrijas</w:t>
      </w:r>
    </w:p>
    <w:p w14:paraId="2E3F23C5" w14:textId="77777777" w:rsidR="009A72C5" w:rsidRDefault="009A72C5" w:rsidP="009A72C5">
      <w:pPr>
        <w:jc w:val="both"/>
        <w:rPr>
          <w:sz w:val="20"/>
          <w:szCs w:val="20"/>
        </w:rPr>
      </w:pPr>
      <w:r w:rsidRPr="00BD7B17">
        <w:rPr>
          <w:sz w:val="20"/>
          <w:szCs w:val="20"/>
        </w:rPr>
        <w:t>Struktūrfondu departamenta</w:t>
      </w:r>
    </w:p>
    <w:p w14:paraId="474C0AF1" w14:textId="77777777" w:rsidR="009A72C5" w:rsidRDefault="009A72C5" w:rsidP="009A72C5">
      <w:pPr>
        <w:jc w:val="both"/>
        <w:rPr>
          <w:sz w:val="20"/>
          <w:szCs w:val="20"/>
        </w:rPr>
      </w:pPr>
      <w:r>
        <w:rPr>
          <w:sz w:val="20"/>
          <w:szCs w:val="20"/>
        </w:rPr>
        <w:t xml:space="preserve">vecākā referente </w:t>
      </w:r>
    </w:p>
    <w:p w14:paraId="4B4C993D" w14:textId="77777777" w:rsidR="009A72C5" w:rsidRDefault="009A72C5" w:rsidP="009A72C5">
      <w:pPr>
        <w:jc w:val="both"/>
        <w:rPr>
          <w:sz w:val="20"/>
          <w:szCs w:val="20"/>
        </w:rPr>
      </w:pPr>
      <w:r>
        <w:rPr>
          <w:sz w:val="20"/>
          <w:szCs w:val="20"/>
        </w:rPr>
        <w:t>tālr.: 67047818</w:t>
      </w:r>
    </w:p>
    <w:p w14:paraId="549FA342" w14:textId="77777777" w:rsidR="009A72C5" w:rsidRDefault="009A72C5" w:rsidP="009A72C5">
      <w:pPr>
        <w:tabs>
          <w:tab w:val="left" w:pos="927"/>
        </w:tabs>
        <w:rPr>
          <w:sz w:val="20"/>
          <w:szCs w:val="20"/>
        </w:rPr>
      </w:pPr>
      <w:r>
        <w:rPr>
          <w:sz w:val="20"/>
          <w:szCs w:val="20"/>
        </w:rPr>
        <w:t xml:space="preserve">e-pasts: </w:t>
      </w:r>
      <w:hyperlink r:id="rId28" w:history="1">
        <w:r w:rsidRPr="00497A57">
          <w:rPr>
            <w:rStyle w:val="Hyperlink"/>
            <w:sz w:val="20"/>
            <w:szCs w:val="20"/>
          </w:rPr>
          <w:t>elina.usare@izm.gov.lv</w:t>
        </w:r>
      </w:hyperlink>
    </w:p>
    <w:p w14:paraId="0B46FC9D" w14:textId="77777777" w:rsidR="009A72C5" w:rsidRDefault="009A72C5" w:rsidP="009A72C5">
      <w:pPr>
        <w:tabs>
          <w:tab w:val="left" w:pos="927"/>
        </w:tabs>
        <w:rPr>
          <w:sz w:val="20"/>
          <w:szCs w:val="20"/>
        </w:rPr>
      </w:pPr>
    </w:p>
    <w:p w14:paraId="3D55BA26" w14:textId="77777777" w:rsidR="009A72C5" w:rsidRPr="00BD7B17" w:rsidRDefault="009A72C5" w:rsidP="009A72C5">
      <w:pPr>
        <w:pStyle w:val="Header"/>
        <w:tabs>
          <w:tab w:val="left" w:pos="2340"/>
        </w:tabs>
        <w:rPr>
          <w:sz w:val="20"/>
          <w:szCs w:val="20"/>
        </w:rPr>
      </w:pPr>
      <w:r>
        <w:rPr>
          <w:sz w:val="20"/>
          <w:szCs w:val="20"/>
        </w:rPr>
        <w:t>I.Griķe</w:t>
      </w:r>
      <w:r w:rsidRPr="00BD7B17">
        <w:rPr>
          <w:sz w:val="20"/>
          <w:szCs w:val="20"/>
        </w:rPr>
        <w:t xml:space="preserve">, </w:t>
      </w:r>
    </w:p>
    <w:p w14:paraId="1CD3169A" w14:textId="77777777" w:rsidR="009A72C5" w:rsidRPr="00BD7B17" w:rsidRDefault="009A72C5" w:rsidP="009A72C5">
      <w:pPr>
        <w:jc w:val="both"/>
        <w:rPr>
          <w:sz w:val="20"/>
          <w:szCs w:val="20"/>
        </w:rPr>
      </w:pPr>
      <w:r w:rsidRPr="00BD7B17">
        <w:rPr>
          <w:sz w:val="20"/>
          <w:szCs w:val="20"/>
        </w:rPr>
        <w:t>Izglītības un zinātnes ministrijas</w:t>
      </w:r>
    </w:p>
    <w:p w14:paraId="6916E0C5" w14:textId="77777777" w:rsidR="009A72C5" w:rsidRDefault="009A72C5" w:rsidP="009A72C5">
      <w:pPr>
        <w:jc w:val="both"/>
        <w:rPr>
          <w:sz w:val="20"/>
          <w:szCs w:val="20"/>
        </w:rPr>
      </w:pPr>
      <w:r w:rsidRPr="00BD7B17">
        <w:rPr>
          <w:sz w:val="20"/>
          <w:szCs w:val="20"/>
        </w:rPr>
        <w:t>Struktūrfondu departamenta</w:t>
      </w:r>
    </w:p>
    <w:p w14:paraId="2DB9C2B4" w14:textId="6AD2F263" w:rsidR="009A72C5" w:rsidRDefault="009A72C5" w:rsidP="009A72C5">
      <w:pPr>
        <w:jc w:val="both"/>
        <w:rPr>
          <w:sz w:val="20"/>
          <w:szCs w:val="20"/>
        </w:rPr>
      </w:pPr>
      <w:r>
        <w:rPr>
          <w:sz w:val="20"/>
          <w:szCs w:val="20"/>
        </w:rPr>
        <w:t xml:space="preserve">vecākā </w:t>
      </w:r>
      <w:r w:rsidR="000C4951">
        <w:rPr>
          <w:sz w:val="20"/>
          <w:szCs w:val="20"/>
        </w:rPr>
        <w:t>eksperte</w:t>
      </w:r>
      <w:r>
        <w:rPr>
          <w:sz w:val="20"/>
          <w:szCs w:val="20"/>
        </w:rPr>
        <w:t xml:space="preserve"> </w:t>
      </w:r>
    </w:p>
    <w:p w14:paraId="4A6F44C3" w14:textId="77777777" w:rsidR="009A72C5" w:rsidRDefault="009A72C5" w:rsidP="009A72C5">
      <w:pPr>
        <w:jc w:val="both"/>
        <w:rPr>
          <w:sz w:val="20"/>
          <w:szCs w:val="20"/>
        </w:rPr>
      </w:pPr>
      <w:r>
        <w:rPr>
          <w:sz w:val="20"/>
          <w:szCs w:val="20"/>
        </w:rPr>
        <w:t>tālr.: 67047861</w:t>
      </w:r>
    </w:p>
    <w:p w14:paraId="0C2D018E" w14:textId="5EB117C2" w:rsidR="009A72C5" w:rsidRPr="00E638A8" w:rsidRDefault="009A72C5" w:rsidP="009A72C5">
      <w:pPr>
        <w:tabs>
          <w:tab w:val="left" w:pos="927"/>
        </w:tabs>
      </w:pPr>
      <w:r>
        <w:rPr>
          <w:sz w:val="20"/>
          <w:szCs w:val="20"/>
        </w:rPr>
        <w:t xml:space="preserve">e-pasts: </w:t>
      </w:r>
      <w:hyperlink r:id="rId29" w:history="1">
        <w:r w:rsidRPr="00497A57">
          <w:rPr>
            <w:rStyle w:val="Hyperlink"/>
            <w:sz w:val="20"/>
            <w:szCs w:val="20"/>
          </w:rPr>
          <w:t>ieva.grike@izm.gov.lv</w:t>
        </w:r>
      </w:hyperlink>
    </w:p>
    <w:p w14:paraId="35A16ED7" w14:textId="77777777" w:rsidR="00B075D9" w:rsidRDefault="00B075D9"/>
    <w:sectPr w:rsidR="00B075D9" w:rsidSect="00DD2EFA">
      <w:headerReference w:type="even" r:id="rId30"/>
      <w:headerReference w:type="default" r:id="rId31"/>
      <w:footerReference w:type="default" r:id="rId32"/>
      <w:footerReference w:type="first" r:id="rId33"/>
      <w:pgSz w:w="11906" w:h="16838"/>
      <w:pgMar w:top="1418" w:right="1416" w:bottom="851" w:left="1843" w:header="709" w:footer="9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9014E" w14:textId="77777777" w:rsidR="00A24FA7" w:rsidRDefault="00A24FA7" w:rsidP="009A72C5">
      <w:r>
        <w:separator/>
      </w:r>
    </w:p>
  </w:endnote>
  <w:endnote w:type="continuationSeparator" w:id="0">
    <w:p w14:paraId="11DBEC3A" w14:textId="77777777" w:rsidR="00A24FA7" w:rsidRDefault="00A24FA7" w:rsidP="009A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C18A" w14:textId="76C57900" w:rsidR="009609B3" w:rsidRPr="00510A0C" w:rsidRDefault="009609B3" w:rsidP="00DD2EFA">
    <w:pPr>
      <w:jc w:val="both"/>
      <w:rPr>
        <w:sz w:val="20"/>
        <w:szCs w:val="20"/>
      </w:rPr>
    </w:pPr>
    <w:r w:rsidRPr="00510A0C">
      <w:rPr>
        <w:sz w:val="20"/>
        <w:szCs w:val="20"/>
      </w:rPr>
      <w:t>IZMAnot_</w:t>
    </w:r>
    <w:r>
      <w:rPr>
        <w:sz w:val="20"/>
        <w:szCs w:val="20"/>
      </w:rPr>
      <w:t>1115_SAM_240517</w:t>
    </w:r>
    <w:r w:rsidRPr="00510A0C">
      <w:rPr>
        <w:sz w:val="20"/>
        <w:szCs w:val="20"/>
      </w:rPr>
      <w:t>; Ministru kabineta noteikumu projekta „</w:t>
    </w:r>
    <w:r w:rsidRPr="005651E9">
      <w:rPr>
        <w:sz w:val="20"/>
        <w:szCs w:val="20"/>
      </w:rPr>
      <w:t>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 sākotnējās</w:t>
    </w:r>
    <w:r w:rsidRPr="00510A0C">
      <w:rPr>
        <w:sz w:val="20"/>
        <w:szCs w:val="20"/>
      </w:rPr>
      <w:t xml:space="preserve"> ietekmes novērtējuma ziņojums (anotācija)</w:t>
    </w:r>
  </w:p>
  <w:p w14:paraId="3FFCB994" w14:textId="77777777" w:rsidR="009609B3" w:rsidRPr="00B554E7" w:rsidRDefault="009609B3" w:rsidP="00DD2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8A950" w14:textId="23491ECD" w:rsidR="009609B3" w:rsidRPr="00510A0C" w:rsidRDefault="009609B3" w:rsidP="00DD2EFA">
    <w:pPr>
      <w:jc w:val="both"/>
      <w:rPr>
        <w:sz w:val="20"/>
        <w:szCs w:val="20"/>
      </w:rPr>
    </w:pPr>
    <w:r w:rsidRPr="00510A0C">
      <w:rPr>
        <w:sz w:val="20"/>
        <w:szCs w:val="20"/>
      </w:rPr>
      <w:t>IZMAnot_</w:t>
    </w:r>
    <w:r>
      <w:rPr>
        <w:sz w:val="20"/>
        <w:szCs w:val="20"/>
      </w:rPr>
      <w:t>1115_SAM_24</w:t>
    </w:r>
    <w:r>
      <w:rPr>
        <w:vanish/>
        <w:sz w:val="20"/>
        <w:szCs w:val="20"/>
      </w:rPr>
      <w:t>7</w:t>
    </w:r>
    <w:r>
      <w:rPr>
        <w:sz w:val="20"/>
        <w:szCs w:val="20"/>
      </w:rPr>
      <w:t>0517</w:t>
    </w:r>
    <w:r w:rsidRPr="00510A0C">
      <w:rPr>
        <w:sz w:val="20"/>
        <w:szCs w:val="20"/>
      </w:rPr>
      <w:t>; Ministru kabineta noteikumu projekta „</w:t>
    </w:r>
    <w:r w:rsidRPr="005651E9">
      <w:rPr>
        <w:sz w:val="20"/>
        <w:szCs w:val="20"/>
      </w:rPr>
      <w:t>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 sākotnējās</w:t>
    </w:r>
    <w:r w:rsidRPr="00510A0C">
      <w:rPr>
        <w:sz w:val="20"/>
        <w:szCs w:val="20"/>
      </w:rPr>
      <w:t xml:space="preserve">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5D6A1" w14:textId="77777777" w:rsidR="00A24FA7" w:rsidRDefault="00A24FA7" w:rsidP="009A72C5">
      <w:r>
        <w:separator/>
      </w:r>
    </w:p>
  </w:footnote>
  <w:footnote w:type="continuationSeparator" w:id="0">
    <w:p w14:paraId="7F3CAD3B" w14:textId="77777777" w:rsidR="00A24FA7" w:rsidRDefault="00A24FA7" w:rsidP="009A72C5">
      <w:r>
        <w:continuationSeparator/>
      </w:r>
    </w:p>
  </w:footnote>
  <w:footnote w:id="1">
    <w:p w14:paraId="437F764C" w14:textId="77777777" w:rsidR="009609B3" w:rsidRDefault="009609B3" w:rsidP="009A72C5">
      <w:pPr>
        <w:pStyle w:val="FootnoteText"/>
      </w:pPr>
      <w:r w:rsidRPr="00EF7FF3">
        <w:rPr>
          <w:rStyle w:val="FootnoteReference"/>
        </w:rPr>
        <w:footnoteRef/>
      </w:r>
      <w:r w:rsidRPr="00EF7FF3">
        <w:t xml:space="preserve"> EU, 2015, Innovation Union Scoreboard 2015</w:t>
      </w:r>
      <w:r>
        <w:t xml:space="preserve">, pieejams: </w:t>
      </w:r>
    </w:p>
    <w:p w14:paraId="0BEA1B31" w14:textId="77777777" w:rsidR="009609B3" w:rsidRPr="007177A4" w:rsidRDefault="00A24FA7" w:rsidP="009A72C5">
      <w:pPr>
        <w:pStyle w:val="FootnoteText"/>
      </w:pPr>
      <w:hyperlink r:id="rId1" w:history="1">
        <w:r w:rsidR="009609B3" w:rsidRPr="00D6536A">
          <w:rPr>
            <w:rStyle w:val="Hyperlink"/>
          </w:rPr>
          <w:t>http://ec.europa.eu/growth/industry/innovation/facts-figures/scoreboards/index_en.htm</w:t>
        </w:r>
      </w:hyperlink>
    </w:p>
  </w:footnote>
  <w:footnote w:id="2">
    <w:p w14:paraId="163E3266" w14:textId="40E4A436" w:rsidR="009609B3" w:rsidRDefault="009609B3" w:rsidP="00355258">
      <w:pPr>
        <w:pStyle w:val="FootnoteText"/>
      </w:pPr>
      <w:r>
        <w:rPr>
          <w:rStyle w:val="FootnoteReference"/>
        </w:rPr>
        <w:footnoteRef/>
      </w:r>
      <w:r>
        <w:t xml:space="preserve"> Pieejams: </w:t>
      </w:r>
      <w:hyperlink r:id="rId2" w:history="1">
        <w:r w:rsidRPr="00116CC6">
          <w:rPr>
            <w:rStyle w:val="Hyperlink"/>
          </w:rPr>
          <w:t>http://polsis.mk.gov.lv/documents/4608</w:t>
        </w:r>
      </w:hyperlink>
      <w:r>
        <w:t xml:space="preserve"> </w:t>
      </w:r>
    </w:p>
  </w:footnote>
  <w:footnote w:id="3">
    <w:p w14:paraId="6B202195" w14:textId="77777777" w:rsidR="009609B3" w:rsidRDefault="009609B3" w:rsidP="00355258">
      <w:pPr>
        <w:pStyle w:val="FootnoteText"/>
      </w:pPr>
      <w:r>
        <w:rPr>
          <w:rStyle w:val="FootnoteReference"/>
        </w:rPr>
        <w:footnoteRef/>
      </w:r>
      <w:r>
        <w:t xml:space="preserve"> Pieejams: </w:t>
      </w:r>
      <w:hyperlink r:id="rId3" w:history="1">
        <w:r>
          <w:rPr>
            <w:rStyle w:val="Hyperlink"/>
          </w:rPr>
          <w:t>http://tap.mk.gov.lv/lv/mk/tap/?pid=40388975&amp;mode=mk&amp;date=2016-09-13</w:t>
        </w:r>
      </w:hyperlink>
    </w:p>
  </w:footnote>
  <w:footnote w:id="4">
    <w:p w14:paraId="3488805A" w14:textId="7F52F7CA" w:rsidR="009609B3" w:rsidRDefault="009609B3">
      <w:pPr>
        <w:pStyle w:val="FootnoteText"/>
      </w:pPr>
      <w:r>
        <w:rPr>
          <w:rStyle w:val="FootnoteReference"/>
        </w:rPr>
        <w:footnoteRef/>
      </w:r>
      <w:r>
        <w:t xml:space="preserve"> Pieejams: </w:t>
      </w:r>
      <w:hyperlink r:id="rId4" w:history="1">
        <w:r w:rsidRPr="00116CC6">
          <w:rPr>
            <w:rStyle w:val="Hyperlink"/>
          </w:rPr>
          <w:t>http://tap.mk.gov.lv/lv/mk/tap/?pid=40385056&amp;mode=mk&amp;date=2016-04-05</w:t>
        </w:r>
      </w:hyperlink>
      <w:r>
        <w:t xml:space="preserve"> </w:t>
      </w:r>
    </w:p>
  </w:footnote>
  <w:footnote w:id="5">
    <w:p w14:paraId="5D4AFCDA" w14:textId="77777777" w:rsidR="009609B3" w:rsidRPr="00BE4ABC" w:rsidRDefault="009609B3" w:rsidP="0006633B">
      <w:pPr>
        <w:pStyle w:val="FootnoteText"/>
      </w:pPr>
      <w:r>
        <w:rPr>
          <w:rStyle w:val="FootnoteReference"/>
        </w:rPr>
        <w:footnoteRef/>
      </w:r>
      <w:r>
        <w:t xml:space="preserve"> </w:t>
      </w:r>
      <w:r w:rsidRPr="0038729B">
        <w:t>Informatīvais ziņojums „Par Zinātnes, tehnoloģiju attīstības un inovācijas pamatnostādņu 2014.-</w:t>
      </w:r>
      <w:proofErr w:type="gramStart"/>
      <w:r w:rsidRPr="0038729B">
        <w:t>2020.gadam</w:t>
      </w:r>
      <w:proofErr w:type="gramEnd"/>
      <w:r w:rsidRPr="0038729B">
        <w:t xml:space="preserve"> ieviešanas rīcības plāna, kas ietver Viedās specializācijas stratēģijas pasākumu plānu un rezultātu rādītāju sistēmas aprakstu, izstrādes progresu” (MK 21.10.2014. sēdes prot. Nr.57 50§)</w:t>
      </w:r>
    </w:p>
    <w:p w14:paraId="20D31B87" w14:textId="77777777" w:rsidR="009609B3" w:rsidRPr="00BD554D" w:rsidRDefault="00A24FA7" w:rsidP="0006633B">
      <w:pPr>
        <w:pStyle w:val="FootnoteText"/>
        <w:rPr>
          <w:b/>
          <w:bCs/>
        </w:rPr>
      </w:pPr>
      <w:hyperlink r:id="rId5" w:history="1">
        <w:r w:rsidR="009609B3" w:rsidRPr="006F25EC">
          <w:rPr>
            <w:rStyle w:val="Hyperlink"/>
          </w:rPr>
          <w:t>http://tap.mk.gov.lv/lv/mk/tap/?pid=40334802&amp;mode=mk&amp;date=2014-10-21</w:t>
        </w:r>
      </w:hyperlink>
    </w:p>
  </w:footnote>
  <w:footnote w:id="6">
    <w:p w14:paraId="01011F1D" w14:textId="77777777" w:rsidR="009609B3" w:rsidRDefault="009609B3" w:rsidP="00D57761">
      <w:pPr>
        <w:pStyle w:val="FootnoteText"/>
      </w:pPr>
      <w:r>
        <w:rPr>
          <w:rStyle w:val="FootnoteReference"/>
        </w:rPr>
        <w:footnoteRef/>
      </w:r>
      <w:r>
        <w:t xml:space="preserve"> ES fondu plānošanas perioda </w:t>
      </w:r>
      <w:proofErr w:type="gramStart"/>
      <w:r>
        <w:t>2007. – 2013.</w:t>
      </w:r>
      <w:proofErr w:type="gramEnd"/>
      <w:r>
        <w:t xml:space="preserve"> gadam 2.1.1.3.2. apakšaktivitātes ietvaros – projekts “Vienota nacionālas nozīmes Latvijas Akadēmiskā pamattīkla zinātniskās darbības nodrošināšanai izveide”</w:t>
      </w:r>
    </w:p>
  </w:footnote>
  <w:footnote w:id="7">
    <w:p w14:paraId="26C4AF29" w14:textId="65DA5A8D" w:rsidR="009609B3" w:rsidRDefault="009609B3">
      <w:pPr>
        <w:pStyle w:val="FootnoteText"/>
      </w:pPr>
      <w:r>
        <w:rPr>
          <w:rStyle w:val="FootnoteReference"/>
        </w:rPr>
        <w:footnoteRef/>
      </w:r>
      <w:r>
        <w:t xml:space="preserve"> </w:t>
      </w:r>
      <w:hyperlink r:id="rId6" w:history="1">
        <w:r w:rsidRPr="00DB22AD">
          <w:rPr>
            <w:rStyle w:val="Hyperlink"/>
          </w:rPr>
          <w:t>https://likumi.lv/ta/id/253757-valsts-izglitibas-attistibas-agenturas-nolikums</w:t>
        </w:r>
      </w:hyperlink>
    </w:p>
    <w:p w14:paraId="3928635D" w14:textId="65791BDF" w:rsidR="009609B3" w:rsidRDefault="009609B3">
      <w:pPr>
        <w:pStyle w:val="FootnoteText"/>
      </w:pPr>
      <w:r>
        <w:t xml:space="preserve">Ministru kabineta </w:t>
      </w:r>
      <w:proofErr w:type="gramStart"/>
      <w:r>
        <w:t>2012.gada</w:t>
      </w:r>
      <w:proofErr w:type="gramEnd"/>
      <w:r>
        <w:t xml:space="preserve"> 18.decembra noteikumi Nr.934 “Valsts izglītības attīstības aģentūras nolikums” 3. un 4. punkts</w:t>
      </w:r>
    </w:p>
  </w:footnote>
  <w:footnote w:id="8">
    <w:p w14:paraId="070E0F7A" w14:textId="600AEE2A" w:rsidR="009609B3" w:rsidRDefault="009609B3">
      <w:pPr>
        <w:pStyle w:val="FootnoteText"/>
      </w:pPr>
      <w:r>
        <w:rPr>
          <w:rStyle w:val="FootnoteReference"/>
        </w:rPr>
        <w:footnoteRef/>
      </w:r>
      <w:r>
        <w:t xml:space="preserve"> </w:t>
      </w:r>
      <w:r w:rsidR="002F6136" w:rsidRPr="009609B3">
        <w:t>Frascati rokasgrāmata</w:t>
      </w:r>
      <w:r w:rsidR="002F6136">
        <w:t xml:space="preserve"> pieejama</w:t>
      </w:r>
      <w:bookmarkStart w:id="34" w:name="_GoBack"/>
      <w:bookmarkEnd w:id="34"/>
      <w:r w:rsidR="002F6136">
        <w:t xml:space="preserve">: </w:t>
      </w:r>
      <w:r w:rsidR="002F6136" w:rsidRPr="002F6136">
        <w:t>http://www.oecd.org/publications/frascati-manual-2015-9789264239012-en.htm</w:t>
      </w:r>
    </w:p>
  </w:footnote>
  <w:footnote w:id="9">
    <w:p w14:paraId="197FFACB" w14:textId="20B0B533" w:rsidR="007F1804" w:rsidRDefault="007F1804">
      <w:pPr>
        <w:pStyle w:val="FootnoteText"/>
      </w:pPr>
      <w:r>
        <w:rPr>
          <w:rStyle w:val="FootnoteReference"/>
        </w:rPr>
        <w:footnoteRef/>
      </w:r>
      <w:r>
        <w:t xml:space="preserve"> AK sēdes protokols pieejams: </w:t>
      </w:r>
      <w:r w:rsidRPr="007F1804">
        <w:t>https://komitejas.esfondi.lv/Protokoli/Protokols_1AK_gala_015122016.pdf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39442" w14:textId="77777777" w:rsidR="009609B3" w:rsidRDefault="009609B3" w:rsidP="00DD2E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7B75E7" w14:textId="77777777" w:rsidR="009609B3" w:rsidRDefault="00960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7AA8" w14:textId="7EE95D60" w:rsidR="009609B3" w:rsidRDefault="009609B3" w:rsidP="00DD2E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777E">
      <w:rPr>
        <w:rStyle w:val="PageNumber"/>
        <w:noProof/>
      </w:rPr>
      <w:t>22</w:t>
    </w:r>
    <w:r>
      <w:rPr>
        <w:rStyle w:val="PageNumber"/>
      </w:rPr>
      <w:fldChar w:fldCharType="end"/>
    </w:r>
  </w:p>
  <w:p w14:paraId="7C5038F3" w14:textId="77777777" w:rsidR="009609B3" w:rsidRDefault="00960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4103"/>
    <w:multiLevelType w:val="hybridMultilevel"/>
    <w:tmpl w:val="0AAEFFD2"/>
    <w:lvl w:ilvl="0" w:tplc="CFBAD348">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28248B9"/>
    <w:multiLevelType w:val="hybridMultilevel"/>
    <w:tmpl w:val="B54EE062"/>
    <w:lvl w:ilvl="0" w:tplc="CA04B3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2F320D9"/>
    <w:multiLevelType w:val="hybridMultilevel"/>
    <w:tmpl w:val="3C666FE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953FEA"/>
    <w:multiLevelType w:val="multilevel"/>
    <w:tmpl w:val="27426B8A"/>
    <w:lvl w:ilvl="0">
      <w:start w:val="1"/>
      <w:numFmt w:val="decimal"/>
      <w:pStyle w:val="1pakapesvirsraksts"/>
      <w:lvlText w:val="%1."/>
      <w:lvlJc w:val="left"/>
      <w:pPr>
        <w:ind w:left="720" w:hanging="360"/>
      </w:pPr>
      <w:rPr>
        <w:rFonts w:cs="Times New Roman"/>
      </w:rPr>
    </w:lvl>
    <w:lvl w:ilvl="1">
      <w:start w:val="1"/>
      <w:numFmt w:val="decimal"/>
      <w:pStyle w:val="2pakapesvirsraksts"/>
      <w:isLgl/>
      <w:lvlText w:val="%1.%2."/>
      <w:lvlJc w:val="left"/>
      <w:pPr>
        <w:ind w:left="547" w:hanging="405"/>
      </w:pPr>
      <w:rPr>
        <w:rFonts w:cs="Times New Roman"/>
      </w:rPr>
    </w:lvl>
    <w:lvl w:ilvl="2">
      <w:start w:val="1"/>
      <w:numFmt w:val="decimal"/>
      <w:pStyle w:val="3pakapesvirsraksts"/>
      <w:isLgl/>
      <w:lvlText w:val="%1.%2.%3."/>
      <w:lvlJc w:val="left"/>
      <w:pPr>
        <w:ind w:left="862" w:hanging="720"/>
      </w:pPr>
      <w:rPr>
        <w:rFonts w:cs="Times New Roman"/>
      </w:rPr>
    </w:lvl>
    <w:lvl w:ilvl="3">
      <w:start w:val="1"/>
      <w:numFmt w:val="decimal"/>
      <w:pStyle w:val="4pakapesvirsraksts"/>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15:restartNumberingAfterBreak="0">
    <w:nsid w:val="1B5D05F6"/>
    <w:multiLevelType w:val="hybridMultilevel"/>
    <w:tmpl w:val="DEE6B8F4"/>
    <w:lvl w:ilvl="0" w:tplc="FECEDA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22403488"/>
    <w:multiLevelType w:val="multilevel"/>
    <w:tmpl w:val="2ED053F2"/>
    <w:lvl w:ilvl="0">
      <w:start w:val="1"/>
      <w:numFmt w:val="decimal"/>
      <w:lvlText w:val="%1."/>
      <w:lvlJc w:val="left"/>
      <w:pPr>
        <w:ind w:left="2062" w:hanging="360"/>
      </w:pPr>
      <w:rPr>
        <w:rFonts w:hint="default"/>
      </w:rPr>
    </w:lvl>
    <w:lvl w:ilvl="1">
      <w:start w:val="1"/>
      <w:numFmt w:val="lowerLetter"/>
      <w:lvlText w:val="%2."/>
      <w:lvlJc w:val="left"/>
      <w:pPr>
        <w:ind w:left="6386" w:hanging="432"/>
      </w:pPr>
      <w:rPr>
        <w:rFonts w:ascii="Times New Roman" w:eastAsia="Times New Roman" w:hAnsi="Times New Roman" w:cs="Times New Roman"/>
        <w:b w:val="0"/>
        <w:strike w:val="0"/>
      </w:rPr>
    </w:lvl>
    <w:lvl w:ilvl="2">
      <w:start w:val="1"/>
      <w:numFmt w:val="decimal"/>
      <w:lvlText w:val="%3)"/>
      <w:lvlJc w:val="left"/>
      <w:pPr>
        <w:ind w:left="4626" w:hanging="504"/>
      </w:pPr>
      <w:rPr>
        <w:rFonts w:ascii="Times New Roman" w:eastAsia="Times New Roman" w:hAnsi="Times New Roman" w:cs="Times New Roman"/>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6" w15:restartNumberingAfterBreak="0">
    <w:nsid w:val="325D5AE9"/>
    <w:multiLevelType w:val="hybridMultilevel"/>
    <w:tmpl w:val="C040CA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8945C4"/>
    <w:multiLevelType w:val="hybridMultilevel"/>
    <w:tmpl w:val="22F2FDCC"/>
    <w:lvl w:ilvl="0" w:tplc="F88CC5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39774B87"/>
    <w:multiLevelType w:val="hybridMultilevel"/>
    <w:tmpl w:val="46AA40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0" w15:restartNumberingAfterBreak="0">
    <w:nsid w:val="39FC3664"/>
    <w:multiLevelType w:val="hybridMultilevel"/>
    <w:tmpl w:val="92F43BA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D466F26"/>
    <w:multiLevelType w:val="hybridMultilevel"/>
    <w:tmpl w:val="562EAF06"/>
    <w:lvl w:ilvl="0" w:tplc="E1BA40AC">
      <w:numFmt w:val="bullet"/>
      <w:pStyle w:val="BulletsF"/>
      <w:lvlText w:val="•"/>
      <w:lvlJc w:val="left"/>
      <w:pPr>
        <w:ind w:left="1069" w:hanging="360"/>
      </w:pPr>
      <w:rPr>
        <w:rFonts w:ascii="Times New Roman" w:eastAsia="Times New Roman" w:hAnsi="Times New Roman" w:hint="default"/>
        <w:i/>
        <w:color w:val="4F81B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9508E"/>
    <w:multiLevelType w:val="hybridMultilevel"/>
    <w:tmpl w:val="8F52E6C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60478B7"/>
    <w:multiLevelType w:val="hybridMultilevel"/>
    <w:tmpl w:val="A38EE90E"/>
    <w:lvl w:ilvl="0" w:tplc="04260005">
      <w:start w:val="1"/>
      <w:numFmt w:val="bullet"/>
      <w:lvlText w:val=""/>
      <w:lvlJc w:val="left"/>
      <w:pPr>
        <w:ind w:left="1860" w:hanging="360"/>
      </w:pPr>
      <w:rPr>
        <w:rFonts w:ascii="Wingdings" w:hAnsi="Wingdings"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4" w15:restartNumberingAfterBreak="0">
    <w:nsid w:val="68F24D8A"/>
    <w:multiLevelType w:val="hybridMultilevel"/>
    <w:tmpl w:val="C5DAB34A"/>
    <w:lvl w:ilvl="0" w:tplc="9252EC9C">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690F39CA"/>
    <w:multiLevelType w:val="multilevel"/>
    <w:tmpl w:val="2ED053F2"/>
    <w:lvl w:ilvl="0">
      <w:start w:val="1"/>
      <w:numFmt w:val="decimal"/>
      <w:lvlText w:val="%1."/>
      <w:lvlJc w:val="left"/>
      <w:pPr>
        <w:ind w:left="2062" w:hanging="360"/>
      </w:pPr>
      <w:rPr>
        <w:rFonts w:hint="default"/>
      </w:rPr>
    </w:lvl>
    <w:lvl w:ilvl="1">
      <w:start w:val="1"/>
      <w:numFmt w:val="lowerLetter"/>
      <w:lvlText w:val="%2."/>
      <w:lvlJc w:val="left"/>
      <w:pPr>
        <w:ind w:left="6386" w:hanging="432"/>
      </w:pPr>
      <w:rPr>
        <w:rFonts w:ascii="Times New Roman" w:eastAsia="Times New Roman" w:hAnsi="Times New Roman" w:cs="Times New Roman"/>
        <w:b w:val="0"/>
        <w:strike w:val="0"/>
      </w:rPr>
    </w:lvl>
    <w:lvl w:ilvl="2">
      <w:start w:val="1"/>
      <w:numFmt w:val="decimal"/>
      <w:lvlText w:val="%3)"/>
      <w:lvlJc w:val="left"/>
      <w:pPr>
        <w:ind w:left="4626" w:hanging="504"/>
      </w:pPr>
      <w:rPr>
        <w:rFonts w:ascii="Times New Roman" w:eastAsia="Times New Roman" w:hAnsi="Times New Roman" w:cs="Times New Roman"/>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16" w15:restartNumberingAfterBreak="0">
    <w:nsid w:val="6F167356"/>
    <w:multiLevelType w:val="hybridMultilevel"/>
    <w:tmpl w:val="A89858F4"/>
    <w:lvl w:ilvl="0" w:tplc="B272764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8510B08"/>
    <w:multiLevelType w:val="hybridMultilevel"/>
    <w:tmpl w:val="A436138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9A206004">
      <w:start w:val="1"/>
      <w:numFmt w:val="lowerLetter"/>
      <w:lvlText w:val="%3)"/>
      <w:lvlJc w:val="right"/>
      <w:pPr>
        <w:ind w:left="2160" w:hanging="180"/>
      </w:pPr>
      <w:rPr>
        <w:rFonts w:ascii="Times New Roman" w:eastAsia="Times New Roman" w:hAnsi="Times New Roman" w:cs="Times New Roman"/>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9311CE3"/>
    <w:multiLevelType w:val="hybridMultilevel"/>
    <w:tmpl w:val="AB661908"/>
    <w:lvl w:ilvl="0" w:tplc="A998D97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68AACE2A">
      <w:start w:val="1"/>
      <w:numFmt w:val="decimal"/>
      <w:lvlText w:val="%3)"/>
      <w:lvlJc w:val="right"/>
      <w:pPr>
        <w:ind w:left="2160" w:hanging="180"/>
      </w:pPr>
      <w:rPr>
        <w:rFonts w:ascii="Times New Roman" w:eastAsia="Times New Roman" w:hAnsi="Times New Roman" w:cs="Times New Roman"/>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BFF30FE"/>
    <w:multiLevelType w:val="multilevel"/>
    <w:tmpl w:val="3626B4FA"/>
    <w:lvl w:ilvl="0">
      <w:start w:val="1"/>
      <w:numFmt w:val="decimal"/>
      <w:lvlText w:val="%1."/>
      <w:lvlJc w:val="left"/>
      <w:pPr>
        <w:ind w:left="1429"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10"/>
  </w:num>
  <w:num w:numId="2">
    <w:abstractNumId w:val="9"/>
  </w:num>
  <w:num w:numId="3">
    <w:abstractNumId w:val="11"/>
  </w:num>
  <w:num w:numId="4">
    <w:abstractNumId w:val="15"/>
  </w:num>
  <w:num w:numId="5">
    <w:abstractNumId w:val="12"/>
  </w:num>
  <w:num w:numId="6">
    <w:abstractNumId w:val="3"/>
  </w:num>
  <w:num w:numId="7">
    <w:abstractNumId w:val="18"/>
  </w:num>
  <w:num w:numId="8">
    <w:abstractNumId w:val="2"/>
  </w:num>
  <w:num w:numId="9">
    <w:abstractNumId w:val="17"/>
  </w:num>
  <w:num w:numId="10">
    <w:abstractNumId w:val="5"/>
  </w:num>
  <w:num w:numId="11">
    <w:abstractNumId w:val="0"/>
  </w:num>
  <w:num w:numId="12">
    <w:abstractNumId w:val="14"/>
  </w:num>
  <w:num w:numId="13">
    <w:abstractNumId w:val="4"/>
  </w:num>
  <w:num w:numId="14">
    <w:abstractNumId w:val="16"/>
  </w:num>
  <w:num w:numId="15">
    <w:abstractNumId w:val="7"/>
  </w:num>
  <w:num w:numId="16">
    <w:abstractNumId w:val="1"/>
  </w:num>
  <w:num w:numId="17">
    <w:abstractNumId w:val="6"/>
  </w:num>
  <w:num w:numId="18">
    <w:abstractNumId w:val="8"/>
  </w:num>
  <w:num w:numId="19">
    <w:abstractNumId w:val="19"/>
  </w:num>
  <w:num w:numId="2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C5"/>
    <w:rsid w:val="000113AC"/>
    <w:rsid w:val="00020014"/>
    <w:rsid w:val="00026512"/>
    <w:rsid w:val="000313BC"/>
    <w:rsid w:val="000376D6"/>
    <w:rsid w:val="00040238"/>
    <w:rsid w:val="000506CF"/>
    <w:rsid w:val="0006025E"/>
    <w:rsid w:val="00061DB4"/>
    <w:rsid w:val="00063864"/>
    <w:rsid w:val="00063D88"/>
    <w:rsid w:val="0006481E"/>
    <w:rsid w:val="0006633B"/>
    <w:rsid w:val="000708BD"/>
    <w:rsid w:val="00072477"/>
    <w:rsid w:val="00075581"/>
    <w:rsid w:val="0008501B"/>
    <w:rsid w:val="00087368"/>
    <w:rsid w:val="0009266F"/>
    <w:rsid w:val="0009556C"/>
    <w:rsid w:val="000966D7"/>
    <w:rsid w:val="00096D59"/>
    <w:rsid w:val="000A47E4"/>
    <w:rsid w:val="000B1528"/>
    <w:rsid w:val="000B4634"/>
    <w:rsid w:val="000B78D6"/>
    <w:rsid w:val="000C1578"/>
    <w:rsid w:val="000C4951"/>
    <w:rsid w:val="000D1858"/>
    <w:rsid w:val="000D3676"/>
    <w:rsid w:val="000D3CBD"/>
    <w:rsid w:val="000D42CE"/>
    <w:rsid w:val="000D5F17"/>
    <w:rsid w:val="000E08B6"/>
    <w:rsid w:val="000E1A1B"/>
    <w:rsid w:val="000F244D"/>
    <w:rsid w:val="000F480C"/>
    <w:rsid w:val="001005A5"/>
    <w:rsid w:val="00100AAA"/>
    <w:rsid w:val="00100DAA"/>
    <w:rsid w:val="00113ECC"/>
    <w:rsid w:val="001174E6"/>
    <w:rsid w:val="00127208"/>
    <w:rsid w:val="001278F2"/>
    <w:rsid w:val="001370E4"/>
    <w:rsid w:val="0014168F"/>
    <w:rsid w:val="00142751"/>
    <w:rsid w:val="001464E3"/>
    <w:rsid w:val="00155679"/>
    <w:rsid w:val="00157D74"/>
    <w:rsid w:val="00161C8B"/>
    <w:rsid w:val="0017162C"/>
    <w:rsid w:val="00176233"/>
    <w:rsid w:val="00177055"/>
    <w:rsid w:val="00182865"/>
    <w:rsid w:val="00190C19"/>
    <w:rsid w:val="00196637"/>
    <w:rsid w:val="001A4B3E"/>
    <w:rsid w:val="001B26E9"/>
    <w:rsid w:val="001B623C"/>
    <w:rsid w:val="001B72AA"/>
    <w:rsid w:val="001C04B7"/>
    <w:rsid w:val="001C39FB"/>
    <w:rsid w:val="001C62D2"/>
    <w:rsid w:val="001C66F7"/>
    <w:rsid w:val="001D5A17"/>
    <w:rsid w:val="001D6303"/>
    <w:rsid w:val="001D7512"/>
    <w:rsid w:val="001E4C26"/>
    <w:rsid w:val="001F4E26"/>
    <w:rsid w:val="0022688F"/>
    <w:rsid w:val="00226894"/>
    <w:rsid w:val="002306BD"/>
    <w:rsid w:val="00231F4E"/>
    <w:rsid w:val="00232313"/>
    <w:rsid w:val="00234CA7"/>
    <w:rsid w:val="00251494"/>
    <w:rsid w:val="00251DD6"/>
    <w:rsid w:val="002570BB"/>
    <w:rsid w:val="00257B2B"/>
    <w:rsid w:val="00263844"/>
    <w:rsid w:val="002760B7"/>
    <w:rsid w:val="0027669E"/>
    <w:rsid w:val="002808B1"/>
    <w:rsid w:val="00287098"/>
    <w:rsid w:val="00291866"/>
    <w:rsid w:val="00296DF5"/>
    <w:rsid w:val="00296FBB"/>
    <w:rsid w:val="00297F95"/>
    <w:rsid w:val="002A1146"/>
    <w:rsid w:val="002A2795"/>
    <w:rsid w:val="002A2C6C"/>
    <w:rsid w:val="002A4537"/>
    <w:rsid w:val="002A46FA"/>
    <w:rsid w:val="002A7F83"/>
    <w:rsid w:val="002B199E"/>
    <w:rsid w:val="002B4D66"/>
    <w:rsid w:val="002C0EE6"/>
    <w:rsid w:val="002C7316"/>
    <w:rsid w:val="002C7EB9"/>
    <w:rsid w:val="002D2854"/>
    <w:rsid w:val="002D5678"/>
    <w:rsid w:val="002E0AAA"/>
    <w:rsid w:val="002E2644"/>
    <w:rsid w:val="002E62FD"/>
    <w:rsid w:val="002F1574"/>
    <w:rsid w:val="002F159A"/>
    <w:rsid w:val="002F6136"/>
    <w:rsid w:val="002F7A71"/>
    <w:rsid w:val="002F7FBD"/>
    <w:rsid w:val="00303048"/>
    <w:rsid w:val="003268BB"/>
    <w:rsid w:val="00333DF0"/>
    <w:rsid w:val="00336B59"/>
    <w:rsid w:val="00342457"/>
    <w:rsid w:val="00342B5E"/>
    <w:rsid w:val="00342DD0"/>
    <w:rsid w:val="00347F57"/>
    <w:rsid w:val="00353055"/>
    <w:rsid w:val="00355258"/>
    <w:rsid w:val="00355DCC"/>
    <w:rsid w:val="00363751"/>
    <w:rsid w:val="00364BF9"/>
    <w:rsid w:val="00366EA9"/>
    <w:rsid w:val="00371DC1"/>
    <w:rsid w:val="00372C9B"/>
    <w:rsid w:val="003760C3"/>
    <w:rsid w:val="003774F4"/>
    <w:rsid w:val="0038114B"/>
    <w:rsid w:val="003815A5"/>
    <w:rsid w:val="00382D36"/>
    <w:rsid w:val="003855A4"/>
    <w:rsid w:val="00387DE2"/>
    <w:rsid w:val="0039245E"/>
    <w:rsid w:val="00397073"/>
    <w:rsid w:val="003A26F0"/>
    <w:rsid w:val="003A5E94"/>
    <w:rsid w:val="003B3A52"/>
    <w:rsid w:val="003B524E"/>
    <w:rsid w:val="003C0AF5"/>
    <w:rsid w:val="003C1833"/>
    <w:rsid w:val="003C5D6F"/>
    <w:rsid w:val="003D49AB"/>
    <w:rsid w:val="003D5E85"/>
    <w:rsid w:val="003D660B"/>
    <w:rsid w:val="003D68B4"/>
    <w:rsid w:val="003F109D"/>
    <w:rsid w:val="003F3244"/>
    <w:rsid w:val="003F5557"/>
    <w:rsid w:val="00402FF0"/>
    <w:rsid w:val="004078BF"/>
    <w:rsid w:val="00421DCA"/>
    <w:rsid w:val="0043430C"/>
    <w:rsid w:val="004426EB"/>
    <w:rsid w:val="004461CB"/>
    <w:rsid w:val="00456192"/>
    <w:rsid w:val="004567F6"/>
    <w:rsid w:val="00462FB9"/>
    <w:rsid w:val="004647F1"/>
    <w:rsid w:val="0047495B"/>
    <w:rsid w:val="00474DE3"/>
    <w:rsid w:val="004771AE"/>
    <w:rsid w:val="00482C9E"/>
    <w:rsid w:val="00494019"/>
    <w:rsid w:val="00494903"/>
    <w:rsid w:val="00495214"/>
    <w:rsid w:val="00496B0B"/>
    <w:rsid w:val="00497ED0"/>
    <w:rsid w:val="004A3E36"/>
    <w:rsid w:val="004B39F6"/>
    <w:rsid w:val="004B61FF"/>
    <w:rsid w:val="004B7F40"/>
    <w:rsid w:val="004C369A"/>
    <w:rsid w:val="004D131A"/>
    <w:rsid w:val="004D226E"/>
    <w:rsid w:val="004D6858"/>
    <w:rsid w:val="004E0F83"/>
    <w:rsid w:val="004E6278"/>
    <w:rsid w:val="004F187A"/>
    <w:rsid w:val="004F470A"/>
    <w:rsid w:val="004F72DE"/>
    <w:rsid w:val="005055C9"/>
    <w:rsid w:val="00512CE9"/>
    <w:rsid w:val="00514DE7"/>
    <w:rsid w:val="00524664"/>
    <w:rsid w:val="00526EDD"/>
    <w:rsid w:val="0053128D"/>
    <w:rsid w:val="00535985"/>
    <w:rsid w:val="00536007"/>
    <w:rsid w:val="00537697"/>
    <w:rsid w:val="00546345"/>
    <w:rsid w:val="00550A00"/>
    <w:rsid w:val="00555EF1"/>
    <w:rsid w:val="00557D4B"/>
    <w:rsid w:val="00564C2C"/>
    <w:rsid w:val="005651E9"/>
    <w:rsid w:val="00585567"/>
    <w:rsid w:val="0058721B"/>
    <w:rsid w:val="00593077"/>
    <w:rsid w:val="0059406A"/>
    <w:rsid w:val="005B0A0B"/>
    <w:rsid w:val="005B19B9"/>
    <w:rsid w:val="005B37D8"/>
    <w:rsid w:val="005B413B"/>
    <w:rsid w:val="005C2ECF"/>
    <w:rsid w:val="005C4E7D"/>
    <w:rsid w:val="005C7C46"/>
    <w:rsid w:val="005D359F"/>
    <w:rsid w:val="005D712B"/>
    <w:rsid w:val="005E0F38"/>
    <w:rsid w:val="005E57D7"/>
    <w:rsid w:val="005E6641"/>
    <w:rsid w:val="005E7379"/>
    <w:rsid w:val="005F03C1"/>
    <w:rsid w:val="006034D2"/>
    <w:rsid w:val="00613066"/>
    <w:rsid w:val="0061738F"/>
    <w:rsid w:val="00621531"/>
    <w:rsid w:val="00624576"/>
    <w:rsid w:val="006274AB"/>
    <w:rsid w:val="00627D43"/>
    <w:rsid w:val="00630EEF"/>
    <w:rsid w:val="006318D7"/>
    <w:rsid w:val="00635F23"/>
    <w:rsid w:val="00641898"/>
    <w:rsid w:val="00664A99"/>
    <w:rsid w:val="00667871"/>
    <w:rsid w:val="00671FE8"/>
    <w:rsid w:val="00680356"/>
    <w:rsid w:val="006835B8"/>
    <w:rsid w:val="00686155"/>
    <w:rsid w:val="00687F58"/>
    <w:rsid w:val="00691D43"/>
    <w:rsid w:val="006A2F64"/>
    <w:rsid w:val="006A6277"/>
    <w:rsid w:val="006A64B3"/>
    <w:rsid w:val="006C162C"/>
    <w:rsid w:val="006D01F6"/>
    <w:rsid w:val="006D77AB"/>
    <w:rsid w:val="006E4C7A"/>
    <w:rsid w:val="006F0401"/>
    <w:rsid w:val="006F363D"/>
    <w:rsid w:val="006F505F"/>
    <w:rsid w:val="00701EE6"/>
    <w:rsid w:val="0070203A"/>
    <w:rsid w:val="00703A02"/>
    <w:rsid w:val="007047C5"/>
    <w:rsid w:val="00712C5A"/>
    <w:rsid w:val="0071339C"/>
    <w:rsid w:val="00726668"/>
    <w:rsid w:val="00733EF7"/>
    <w:rsid w:val="00742290"/>
    <w:rsid w:val="0074472A"/>
    <w:rsid w:val="00746E4E"/>
    <w:rsid w:val="007660C5"/>
    <w:rsid w:val="007745EF"/>
    <w:rsid w:val="00776F4C"/>
    <w:rsid w:val="0077730B"/>
    <w:rsid w:val="00782418"/>
    <w:rsid w:val="00786C4B"/>
    <w:rsid w:val="007927D1"/>
    <w:rsid w:val="007B0CD0"/>
    <w:rsid w:val="007B4B7C"/>
    <w:rsid w:val="007B5016"/>
    <w:rsid w:val="007B678F"/>
    <w:rsid w:val="007B6B13"/>
    <w:rsid w:val="007B7EDC"/>
    <w:rsid w:val="007C072E"/>
    <w:rsid w:val="007C0EA2"/>
    <w:rsid w:val="007C1E94"/>
    <w:rsid w:val="007C5D2E"/>
    <w:rsid w:val="007D2323"/>
    <w:rsid w:val="007E05BB"/>
    <w:rsid w:val="007E73A6"/>
    <w:rsid w:val="007F13C1"/>
    <w:rsid w:val="007F1804"/>
    <w:rsid w:val="00801B6C"/>
    <w:rsid w:val="00804844"/>
    <w:rsid w:val="00810701"/>
    <w:rsid w:val="00810BBF"/>
    <w:rsid w:val="0081164C"/>
    <w:rsid w:val="00817ADD"/>
    <w:rsid w:val="00825F39"/>
    <w:rsid w:val="00831883"/>
    <w:rsid w:val="008342F2"/>
    <w:rsid w:val="00835A27"/>
    <w:rsid w:val="00835F70"/>
    <w:rsid w:val="00846244"/>
    <w:rsid w:val="0085552D"/>
    <w:rsid w:val="008569A9"/>
    <w:rsid w:val="00860B84"/>
    <w:rsid w:val="0088705A"/>
    <w:rsid w:val="00893C39"/>
    <w:rsid w:val="008A051C"/>
    <w:rsid w:val="008A4ED2"/>
    <w:rsid w:val="008B148D"/>
    <w:rsid w:val="008B14B0"/>
    <w:rsid w:val="008B249A"/>
    <w:rsid w:val="008B36C4"/>
    <w:rsid w:val="008B4A17"/>
    <w:rsid w:val="008C4B0A"/>
    <w:rsid w:val="008D27B9"/>
    <w:rsid w:val="008E350A"/>
    <w:rsid w:val="008E469A"/>
    <w:rsid w:val="008E5E46"/>
    <w:rsid w:val="008F2765"/>
    <w:rsid w:val="00900EC1"/>
    <w:rsid w:val="0090644A"/>
    <w:rsid w:val="00906889"/>
    <w:rsid w:val="00907D30"/>
    <w:rsid w:val="00912FA3"/>
    <w:rsid w:val="00915E5F"/>
    <w:rsid w:val="00917AF1"/>
    <w:rsid w:val="009214AA"/>
    <w:rsid w:val="009216DB"/>
    <w:rsid w:val="00925723"/>
    <w:rsid w:val="00934A42"/>
    <w:rsid w:val="00934F5B"/>
    <w:rsid w:val="00936A5D"/>
    <w:rsid w:val="009406CD"/>
    <w:rsid w:val="0094259F"/>
    <w:rsid w:val="00951D79"/>
    <w:rsid w:val="00952A54"/>
    <w:rsid w:val="009607AC"/>
    <w:rsid w:val="009609B3"/>
    <w:rsid w:val="00961207"/>
    <w:rsid w:val="00966AA9"/>
    <w:rsid w:val="00974188"/>
    <w:rsid w:val="0098394C"/>
    <w:rsid w:val="00990D54"/>
    <w:rsid w:val="00990E99"/>
    <w:rsid w:val="009922A4"/>
    <w:rsid w:val="009954FD"/>
    <w:rsid w:val="00996F16"/>
    <w:rsid w:val="009A2488"/>
    <w:rsid w:val="009A59FF"/>
    <w:rsid w:val="009A72C5"/>
    <w:rsid w:val="009B1426"/>
    <w:rsid w:val="009B2E90"/>
    <w:rsid w:val="009C62E4"/>
    <w:rsid w:val="009C6800"/>
    <w:rsid w:val="009D0B23"/>
    <w:rsid w:val="009D36E1"/>
    <w:rsid w:val="009D4994"/>
    <w:rsid w:val="009D7645"/>
    <w:rsid w:val="009E0FC5"/>
    <w:rsid w:val="009E143E"/>
    <w:rsid w:val="009E49B0"/>
    <w:rsid w:val="009E52AE"/>
    <w:rsid w:val="009E72E9"/>
    <w:rsid w:val="009F125C"/>
    <w:rsid w:val="009F18E1"/>
    <w:rsid w:val="009F511F"/>
    <w:rsid w:val="00A050BA"/>
    <w:rsid w:val="00A067D4"/>
    <w:rsid w:val="00A133DC"/>
    <w:rsid w:val="00A143B9"/>
    <w:rsid w:val="00A201BC"/>
    <w:rsid w:val="00A20C29"/>
    <w:rsid w:val="00A24FA7"/>
    <w:rsid w:val="00A31D1C"/>
    <w:rsid w:val="00A3505C"/>
    <w:rsid w:val="00A3681C"/>
    <w:rsid w:val="00A40F6D"/>
    <w:rsid w:val="00A45CC3"/>
    <w:rsid w:val="00A55415"/>
    <w:rsid w:val="00A64937"/>
    <w:rsid w:val="00A6536B"/>
    <w:rsid w:val="00A66EFE"/>
    <w:rsid w:val="00A67B99"/>
    <w:rsid w:val="00A91E43"/>
    <w:rsid w:val="00A96E94"/>
    <w:rsid w:val="00AA173D"/>
    <w:rsid w:val="00AA366D"/>
    <w:rsid w:val="00AA57B9"/>
    <w:rsid w:val="00AA6448"/>
    <w:rsid w:val="00AA777E"/>
    <w:rsid w:val="00AB086A"/>
    <w:rsid w:val="00AB16CD"/>
    <w:rsid w:val="00AB563E"/>
    <w:rsid w:val="00AC1E84"/>
    <w:rsid w:val="00AC226D"/>
    <w:rsid w:val="00AD05FE"/>
    <w:rsid w:val="00AD0E02"/>
    <w:rsid w:val="00AD2DA1"/>
    <w:rsid w:val="00AF1941"/>
    <w:rsid w:val="00AF49AD"/>
    <w:rsid w:val="00AF520F"/>
    <w:rsid w:val="00B00B68"/>
    <w:rsid w:val="00B075D9"/>
    <w:rsid w:val="00B105B5"/>
    <w:rsid w:val="00B11706"/>
    <w:rsid w:val="00B16945"/>
    <w:rsid w:val="00B179C8"/>
    <w:rsid w:val="00B17AEC"/>
    <w:rsid w:val="00B20F97"/>
    <w:rsid w:val="00B22F8E"/>
    <w:rsid w:val="00B2403B"/>
    <w:rsid w:val="00B4455D"/>
    <w:rsid w:val="00B45413"/>
    <w:rsid w:val="00B50D9D"/>
    <w:rsid w:val="00B53B9E"/>
    <w:rsid w:val="00B63BF0"/>
    <w:rsid w:val="00B6685D"/>
    <w:rsid w:val="00B758A8"/>
    <w:rsid w:val="00B83AE1"/>
    <w:rsid w:val="00B848E2"/>
    <w:rsid w:val="00B86CB0"/>
    <w:rsid w:val="00B86F4E"/>
    <w:rsid w:val="00BA0A3D"/>
    <w:rsid w:val="00BA0E1E"/>
    <w:rsid w:val="00BA2096"/>
    <w:rsid w:val="00BB1E8E"/>
    <w:rsid w:val="00BB7190"/>
    <w:rsid w:val="00BD0D58"/>
    <w:rsid w:val="00BE360D"/>
    <w:rsid w:val="00BF2C96"/>
    <w:rsid w:val="00C07733"/>
    <w:rsid w:val="00C12E26"/>
    <w:rsid w:val="00C16A21"/>
    <w:rsid w:val="00C212F7"/>
    <w:rsid w:val="00C2155A"/>
    <w:rsid w:val="00C23F6D"/>
    <w:rsid w:val="00C266B3"/>
    <w:rsid w:val="00C304A2"/>
    <w:rsid w:val="00C3429D"/>
    <w:rsid w:val="00C348BD"/>
    <w:rsid w:val="00C34FB0"/>
    <w:rsid w:val="00C44AF1"/>
    <w:rsid w:val="00C45C03"/>
    <w:rsid w:val="00C45DA6"/>
    <w:rsid w:val="00C52A7E"/>
    <w:rsid w:val="00C55F65"/>
    <w:rsid w:val="00C60678"/>
    <w:rsid w:val="00C61322"/>
    <w:rsid w:val="00C646E8"/>
    <w:rsid w:val="00C73F6E"/>
    <w:rsid w:val="00C7767B"/>
    <w:rsid w:val="00C80177"/>
    <w:rsid w:val="00C81201"/>
    <w:rsid w:val="00C83970"/>
    <w:rsid w:val="00C84AB3"/>
    <w:rsid w:val="00C876CC"/>
    <w:rsid w:val="00C92809"/>
    <w:rsid w:val="00C938A5"/>
    <w:rsid w:val="00C96099"/>
    <w:rsid w:val="00C9798D"/>
    <w:rsid w:val="00CA3B2C"/>
    <w:rsid w:val="00CA5C86"/>
    <w:rsid w:val="00CA7DBC"/>
    <w:rsid w:val="00CB7457"/>
    <w:rsid w:val="00CC0E59"/>
    <w:rsid w:val="00CC3C87"/>
    <w:rsid w:val="00CC71F7"/>
    <w:rsid w:val="00CC73AF"/>
    <w:rsid w:val="00CD333E"/>
    <w:rsid w:val="00CE27EA"/>
    <w:rsid w:val="00CE3C79"/>
    <w:rsid w:val="00D00915"/>
    <w:rsid w:val="00D03185"/>
    <w:rsid w:val="00D03F99"/>
    <w:rsid w:val="00D0699B"/>
    <w:rsid w:val="00D06EE5"/>
    <w:rsid w:val="00D07F10"/>
    <w:rsid w:val="00D12F64"/>
    <w:rsid w:val="00D236D6"/>
    <w:rsid w:val="00D23703"/>
    <w:rsid w:val="00D2408B"/>
    <w:rsid w:val="00D240D1"/>
    <w:rsid w:val="00D3764F"/>
    <w:rsid w:val="00D4089A"/>
    <w:rsid w:val="00D43211"/>
    <w:rsid w:val="00D505E9"/>
    <w:rsid w:val="00D57761"/>
    <w:rsid w:val="00D72762"/>
    <w:rsid w:val="00D77C8B"/>
    <w:rsid w:val="00D90D88"/>
    <w:rsid w:val="00D93228"/>
    <w:rsid w:val="00D95CB4"/>
    <w:rsid w:val="00D96B01"/>
    <w:rsid w:val="00D97FA5"/>
    <w:rsid w:val="00DA3BBE"/>
    <w:rsid w:val="00DA736C"/>
    <w:rsid w:val="00DB479F"/>
    <w:rsid w:val="00DB7418"/>
    <w:rsid w:val="00DD2EFA"/>
    <w:rsid w:val="00DD3F2C"/>
    <w:rsid w:val="00DD6ECF"/>
    <w:rsid w:val="00DF4345"/>
    <w:rsid w:val="00DF6528"/>
    <w:rsid w:val="00E00701"/>
    <w:rsid w:val="00E12D65"/>
    <w:rsid w:val="00E13EED"/>
    <w:rsid w:val="00E13FE4"/>
    <w:rsid w:val="00E22274"/>
    <w:rsid w:val="00E246E9"/>
    <w:rsid w:val="00E3758B"/>
    <w:rsid w:val="00E44654"/>
    <w:rsid w:val="00E45363"/>
    <w:rsid w:val="00E475DA"/>
    <w:rsid w:val="00E47E9D"/>
    <w:rsid w:val="00E51F9C"/>
    <w:rsid w:val="00E711C7"/>
    <w:rsid w:val="00E73ED0"/>
    <w:rsid w:val="00E81F50"/>
    <w:rsid w:val="00E859FE"/>
    <w:rsid w:val="00E8605F"/>
    <w:rsid w:val="00E93FC1"/>
    <w:rsid w:val="00E97F33"/>
    <w:rsid w:val="00EA3612"/>
    <w:rsid w:val="00EA7CFC"/>
    <w:rsid w:val="00EB10CE"/>
    <w:rsid w:val="00EB1F46"/>
    <w:rsid w:val="00EB3416"/>
    <w:rsid w:val="00EB55E0"/>
    <w:rsid w:val="00EB60D7"/>
    <w:rsid w:val="00ED7716"/>
    <w:rsid w:val="00F038CC"/>
    <w:rsid w:val="00F044C0"/>
    <w:rsid w:val="00F10D97"/>
    <w:rsid w:val="00F13C40"/>
    <w:rsid w:val="00F14744"/>
    <w:rsid w:val="00F14F01"/>
    <w:rsid w:val="00F17273"/>
    <w:rsid w:val="00F3049C"/>
    <w:rsid w:val="00F36BA9"/>
    <w:rsid w:val="00F44C77"/>
    <w:rsid w:val="00F4599C"/>
    <w:rsid w:val="00F46F24"/>
    <w:rsid w:val="00F504F9"/>
    <w:rsid w:val="00F566DE"/>
    <w:rsid w:val="00F61B5A"/>
    <w:rsid w:val="00F6363C"/>
    <w:rsid w:val="00F64AFE"/>
    <w:rsid w:val="00F703E1"/>
    <w:rsid w:val="00F71897"/>
    <w:rsid w:val="00F72516"/>
    <w:rsid w:val="00F75197"/>
    <w:rsid w:val="00F76D08"/>
    <w:rsid w:val="00F93856"/>
    <w:rsid w:val="00F93BA5"/>
    <w:rsid w:val="00F94084"/>
    <w:rsid w:val="00FA320C"/>
    <w:rsid w:val="00FB355E"/>
    <w:rsid w:val="00FB584C"/>
    <w:rsid w:val="00FB6FE1"/>
    <w:rsid w:val="00FC1357"/>
    <w:rsid w:val="00FC4398"/>
    <w:rsid w:val="00FD0F36"/>
    <w:rsid w:val="00FD156B"/>
    <w:rsid w:val="00FE0F4D"/>
    <w:rsid w:val="00FE28BD"/>
    <w:rsid w:val="00FE2C48"/>
    <w:rsid w:val="00FE6D67"/>
    <w:rsid w:val="00FF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5B26"/>
  <w15:chartTrackingRefBased/>
  <w15:docId w15:val="{15222CF0-9C8E-41EB-9BDE-F2D9382B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72C5"/>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uiPriority w:val="9"/>
    <w:semiHidden/>
    <w:unhideWhenUsed/>
    <w:qFormat/>
    <w:rsid w:val="009A72C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9A72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A72C5"/>
    <w:rPr>
      <w:rFonts w:asciiTheme="majorHAnsi" w:eastAsiaTheme="majorEastAsia" w:hAnsiTheme="majorHAnsi" w:cstheme="majorBidi"/>
      <w:b/>
      <w:bCs/>
      <w:color w:val="5B9BD5" w:themeColor="accent1"/>
      <w:sz w:val="26"/>
      <w:szCs w:val="26"/>
      <w:lang w:val="lv-LV" w:eastAsia="lv-LV"/>
    </w:rPr>
  </w:style>
  <w:style w:type="character" w:customStyle="1" w:styleId="Heading4Char">
    <w:name w:val="Heading 4 Char"/>
    <w:basedOn w:val="DefaultParagraphFont"/>
    <w:link w:val="Heading4"/>
    <w:rsid w:val="009A72C5"/>
    <w:rPr>
      <w:rFonts w:ascii="Times New Roman" w:eastAsia="Times New Roman" w:hAnsi="Times New Roman" w:cs="Times New Roman"/>
      <w:b/>
      <w:bCs/>
      <w:sz w:val="28"/>
      <w:szCs w:val="28"/>
      <w:lang w:val="lv-LV" w:eastAsia="lv-LV"/>
    </w:rPr>
  </w:style>
  <w:style w:type="paragraph" w:customStyle="1" w:styleId="naisf">
    <w:name w:val="naisf"/>
    <w:basedOn w:val="Normal"/>
    <w:rsid w:val="009A72C5"/>
    <w:pPr>
      <w:spacing w:before="75" w:after="75"/>
      <w:ind w:firstLine="375"/>
      <w:jc w:val="both"/>
    </w:pPr>
  </w:style>
  <w:style w:type="paragraph" w:customStyle="1" w:styleId="naisnod">
    <w:name w:val="naisnod"/>
    <w:basedOn w:val="Normal"/>
    <w:rsid w:val="009A72C5"/>
    <w:pPr>
      <w:spacing w:before="150" w:after="150"/>
      <w:jc w:val="center"/>
    </w:pPr>
    <w:rPr>
      <w:b/>
      <w:bCs/>
    </w:rPr>
  </w:style>
  <w:style w:type="paragraph" w:customStyle="1" w:styleId="naislab">
    <w:name w:val="naislab"/>
    <w:basedOn w:val="Normal"/>
    <w:rsid w:val="009A72C5"/>
    <w:pPr>
      <w:spacing w:before="75" w:after="75"/>
      <w:jc w:val="right"/>
    </w:pPr>
  </w:style>
  <w:style w:type="paragraph" w:customStyle="1" w:styleId="naiskr">
    <w:name w:val="naiskr"/>
    <w:basedOn w:val="Normal"/>
    <w:rsid w:val="009A72C5"/>
    <w:pPr>
      <w:spacing w:before="75" w:after="75"/>
    </w:pPr>
  </w:style>
  <w:style w:type="paragraph" w:customStyle="1" w:styleId="naisc">
    <w:name w:val="naisc"/>
    <w:basedOn w:val="Normal"/>
    <w:rsid w:val="009A72C5"/>
    <w:pPr>
      <w:spacing w:before="75" w:after="75"/>
      <w:jc w:val="center"/>
    </w:pPr>
  </w:style>
  <w:style w:type="paragraph" w:styleId="Header">
    <w:name w:val="header"/>
    <w:aliases w:val="18pt Bold"/>
    <w:basedOn w:val="Normal"/>
    <w:link w:val="HeaderChar"/>
    <w:uiPriority w:val="99"/>
    <w:rsid w:val="009A72C5"/>
    <w:pPr>
      <w:tabs>
        <w:tab w:val="center" w:pos="4153"/>
        <w:tab w:val="right" w:pos="8306"/>
      </w:tabs>
    </w:pPr>
  </w:style>
  <w:style w:type="character" w:customStyle="1" w:styleId="HeaderChar">
    <w:name w:val="Header Char"/>
    <w:aliases w:val="18pt Bold Char"/>
    <w:basedOn w:val="DefaultParagraphFont"/>
    <w:link w:val="Header"/>
    <w:uiPriority w:val="99"/>
    <w:rsid w:val="009A72C5"/>
    <w:rPr>
      <w:rFonts w:ascii="Times New Roman" w:eastAsia="Times New Roman" w:hAnsi="Times New Roman" w:cs="Times New Roman"/>
      <w:sz w:val="24"/>
      <w:szCs w:val="24"/>
      <w:lang w:val="lv-LV" w:eastAsia="lv-LV"/>
    </w:rPr>
  </w:style>
  <w:style w:type="character" w:styleId="PageNumber">
    <w:name w:val="page number"/>
    <w:basedOn w:val="DefaultParagraphFont"/>
    <w:rsid w:val="009A72C5"/>
  </w:style>
  <w:style w:type="paragraph" w:styleId="Footer">
    <w:name w:val="footer"/>
    <w:basedOn w:val="Normal"/>
    <w:link w:val="FooterChar"/>
    <w:uiPriority w:val="99"/>
    <w:rsid w:val="009A72C5"/>
    <w:pPr>
      <w:tabs>
        <w:tab w:val="center" w:pos="4153"/>
        <w:tab w:val="right" w:pos="8306"/>
      </w:tabs>
    </w:pPr>
  </w:style>
  <w:style w:type="character" w:customStyle="1" w:styleId="FooterChar">
    <w:name w:val="Footer Char"/>
    <w:basedOn w:val="DefaultParagraphFont"/>
    <w:link w:val="Footer"/>
    <w:uiPriority w:val="99"/>
    <w:rsid w:val="009A72C5"/>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A72C5"/>
    <w:pPr>
      <w:spacing w:before="75" w:after="75"/>
    </w:pPr>
    <w:rPr>
      <w:rFonts w:eastAsia="SimSun"/>
      <w:noProof/>
      <w:lang w:eastAsia="zh-CN"/>
    </w:rPr>
  </w:style>
  <w:style w:type="character" w:styleId="Hyperlink">
    <w:name w:val="Hyperlink"/>
    <w:uiPriority w:val="99"/>
    <w:rsid w:val="009A72C5"/>
    <w:rPr>
      <w:color w:val="0000FF"/>
      <w:u w:val="single"/>
    </w:rPr>
  </w:style>
  <w:style w:type="paragraph" w:styleId="PlainText">
    <w:name w:val="Plain Text"/>
    <w:basedOn w:val="Normal"/>
    <w:link w:val="PlainTextChar"/>
    <w:rsid w:val="009A72C5"/>
    <w:rPr>
      <w:rFonts w:ascii="Courier New" w:hAnsi="Courier New" w:cs="Courier New"/>
      <w:sz w:val="20"/>
      <w:szCs w:val="20"/>
    </w:rPr>
  </w:style>
  <w:style w:type="character" w:customStyle="1" w:styleId="PlainTextChar">
    <w:name w:val="Plain Text Char"/>
    <w:basedOn w:val="DefaultParagraphFont"/>
    <w:link w:val="PlainText"/>
    <w:rsid w:val="009A72C5"/>
    <w:rPr>
      <w:rFonts w:ascii="Courier New" w:eastAsia="Times New Roman" w:hAnsi="Courier New" w:cs="Courier New"/>
      <w:sz w:val="20"/>
      <w:szCs w:val="20"/>
      <w:lang w:val="lv-LV" w:eastAsia="lv-LV"/>
    </w:rPr>
  </w:style>
  <w:style w:type="paragraph" w:styleId="BalloonText">
    <w:name w:val="Balloon Text"/>
    <w:basedOn w:val="Normal"/>
    <w:link w:val="BalloonTextChar"/>
    <w:uiPriority w:val="99"/>
    <w:semiHidden/>
    <w:rsid w:val="009A72C5"/>
    <w:rPr>
      <w:rFonts w:ascii="Tahoma" w:hAnsi="Tahoma" w:cs="Tahoma"/>
      <w:sz w:val="16"/>
      <w:szCs w:val="16"/>
    </w:rPr>
  </w:style>
  <w:style w:type="character" w:customStyle="1" w:styleId="BalloonTextChar">
    <w:name w:val="Balloon Text Char"/>
    <w:basedOn w:val="DefaultParagraphFont"/>
    <w:link w:val="BalloonText"/>
    <w:uiPriority w:val="99"/>
    <w:semiHidden/>
    <w:rsid w:val="009A72C5"/>
    <w:rPr>
      <w:rFonts w:ascii="Tahoma" w:eastAsia="Times New Roman" w:hAnsi="Tahoma" w:cs="Tahoma"/>
      <w:sz w:val="16"/>
      <w:szCs w:val="16"/>
      <w:lang w:val="lv-LV" w:eastAsia="lv-LV"/>
    </w:rPr>
  </w:style>
  <w:style w:type="character" w:styleId="CommentReference">
    <w:name w:val="annotation reference"/>
    <w:uiPriority w:val="99"/>
    <w:rsid w:val="009A72C5"/>
    <w:rPr>
      <w:sz w:val="16"/>
      <w:szCs w:val="16"/>
    </w:rPr>
  </w:style>
  <w:style w:type="paragraph" w:styleId="CommentText">
    <w:name w:val="annotation text"/>
    <w:basedOn w:val="Normal"/>
    <w:link w:val="CommentTextChar"/>
    <w:uiPriority w:val="99"/>
    <w:rsid w:val="009A72C5"/>
    <w:rPr>
      <w:sz w:val="20"/>
      <w:szCs w:val="20"/>
    </w:rPr>
  </w:style>
  <w:style w:type="character" w:customStyle="1" w:styleId="CommentTextChar">
    <w:name w:val="Comment Text Char"/>
    <w:basedOn w:val="DefaultParagraphFont"/>
    <w:link w:val="CommentText"/>
    <w:uiPriority w:val="99"/>
    <w:rsid w:val="009A72C5"/>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rsid w:val="009A72C5"/>
    <w:rPr>
      <w:b/>
      <w:bCs/>
    </w:rPr>
  </w:style>
  <w:style w:type="character" w:customStyle="1" w:styleId="CommentSubjectChar">
    <w:name w:val="Comment Subject Char"/>
    <w:basedOn w:val="CommentTextChar"/>
    <w:link w:val="CommentSubject"/>
    <w:uiPriority w:val="99"/>
    <w:semiHidden/>
    <w:rsid w:val="009A72C5"/>
    <w:rPr>
      <w:rFonts w:ascii="Times New Roman" w:eastAsia="Times New Roman" w:hAnsi="Times New Roman" w:cs="Times New Roman"/>
      <w:b/>
      <w:bCs/>
      <w:sz w:val="20"/>
      <w:szCs w:val="20"/>
      <w:lang w:val="lv-LV" w:eastAsia="lv-LV"/>
    </w:rPr>
  </w:style>
  <w:style w:type="character" w:styleId="Strong">
    <w:name w:val="Strong"/>
    <w:uiPriority w:val="22"/>
    <w:qFormat/>
    <w:rsid w:val="009A72C5"/>
    <w:rPr>
      <w:b/>
      <w:bCs/>
    </w:rPr>
  </w:style>
  <w:style w:type="character" w:styleId="Emphasis">
    <w:name w:val="Emphasis"/>
    <w:uiPriority w:val="20"/>
    <w:qFormat/>
    <w:rsid w:val="009A72C5"/>
    <w:rPr>
      <w:i/>
      <w:iCs/>
    </w:rPr>
  </w:style>
  <w:style w:type="character" w:customStyle="1" w:styleId="ParagraphChar">
    <w:name w:val="Paragraph Char"/>
    <w:link w:val="Paragraph"/>
    <w:locked/>
    <w:rsid w:val="009A72C5"/>
    <w:rPr>
      <w:rFonts w:ascii="Arial" w:hAnsi="Arial" w:cs="Arial"/>
      <w:lang w:val="en-GB" w:eastAsia="fr-FR"/>
    </w:rPr>
  </w:style>
  <w:style w:type="paragraph" w:customStyle="1" w:styleId="Paragraph">
    <w:name w:val="Paragraph"/>
    <w:basedOn w:val="Normal"/>
    <w:link w:val="ParagraphChar"/>
    <w:rsid w:val="009A72C5"/>
    <w:pPr>
      <w:spacing w:before="120" w:after="120"/>
      <w:ind w:left="1418" w:hanging="1418"/>
      <w:jc w:val="both"/>
    </w:pPr>
    <w:rPr>
      <w:rFonts w:ascii="Arial" w:eastAsiaTheme="minorHAnsi" w:hAnsi="Arial" w:cs="Arial"/>
      <w:sz w:val="22"/>
      <w:szCs w:val="22"/>
      <w:lang w:val="en-GB" w:eastAsia="fr-FR"/>
    </w:rPr>
  </w:style>
  <w:style w:type="paragraph" w:customStyle="1" w:styleId="tvhtml">
    <w:name w:val="tv_html"/>
    <w:basedOn w:val="Normal"/>
    <w:rsid w:val="009A72C5"/>
    <w:pPr>
      <w:spacing w:before="100" w:beforeAutospacing="1" w:after="100" w:afterAutospacing="1"/>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9A72C5"/>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9A72C5"/>
    <w:rPr>
      <w:rFonts w:ascii="Times New Roman" w:eastAsia="Times New Roman" w:hAnsi="Times New Roman" w:cs="Times New Roman"/>
      <w:sz w:val="20"/>
      <w:szCs w:val="20"/>
      <w:lang w:val="lv-LV"/>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link w:val="CharCharCharChar"/>
    <w:uiPriority w:val="99"/>
    <w:rsid w:val="009A72C5"/>
    <w:rPr>
      <w:rFonts w:ascii="Times New Roman" w:hAnsi="Times New Roman"/>
      <w:vertAlign w:val="superscript"/>
    </w:rPr>
  </w:style>
  <w:style w:type="paragraph" w:styleId="ListParagraph">
    <w:name w:val="List Paragraph"/>
    <w:aliases w:val="2,Strip,H&amp;P List Paragraph,Colorful List - Accent 12"/>
    <w:basedOn w:val="Normal"/>
    <w:link w:val="ListParagraphChar"/>
    <w:uiPriority w:val="34"/>
    <w:qFormat/>
    <w:rsid w:val="009A72C5"/>
    <w:pPr>
      <w:ind w:left="720"/>
      <w:contextualSpacing/>
      <w:jc w:val="both"/>
    </w:pPr>
    <w:rPr>
      <w:szCs w:val="20"/>
      <w:lang w:eastAsia="en-US"/>
    </w:rPr>
  </w:style>
  <w:style w:type="character" w:customStyle="1" w:styleId="ListParagraphChar">
    <w:name w:val="List Paragraph Char"/>
    <w:aliases w:val="2 Char,Strip Char,H&amp;P List Paragraph Char,Colorful List - Accent 12 Char"/>
    <w:link w:val="ListParagraph"/>
    <w:uiPriority w:val="34"/>
    <w:locked/>
    <w:rsid w:val="009A72C5"/>
    <w:rPr>
      <w:rFonts w:ascii="Times New Roman" w:eastAsia="Times New Roman" w:hAnsi="Times New Roman" w:cs="Times New Roman"/>
      <w:sz w:val="24"/>
      <w:szCs w:val="20"/>
      <w:lang w:val="lv-LV"/>
    </w:rPr>
  </w:style>
  <w:style w:type="paragraph" w:customStyle="1" w:styleId="Default">
    <w:name w:val="Default"/>
    <w:rsid w:val="009A72C5"/>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paragraph" w:customStyle="1" w:styleId="CharCharCharChar">
    <w:name w:val="Char Char Char Char"/>
    <w:aliases w:val="Char2"/>
    <w:basedOn w:val="Normal"/>
    <w:next w:val="Normal"/>
    <w:link w:val="FootnoteReference"/>
    <w:uiPriority w:val="99"/>
    <w:rsid w:val="009A72C5"/>
    <w:pPr>
      <w:spacing w:after="160" w:line="240" w:lineRule="exact"/>
      <w:jc w:val="both"/>
      <w:textAlignment w:val="baseline"/>
    </w:pPr>
    <w:rPr>
      <w:rFonts w:eastAsiaTheme="minorHAnsi" w:cstheme="minorBidi"/>
      <w:sz w:val="22"/>
      <w:szCs w:val="22"/>
      <w:vertAlign w:val="superscript"/>
      <w:lang w:val="en-US" w:eastAsia="en-US"/>
    </w:rPr>
  </w:style>
  <w:style w:type="paragraph" w:customStyle="1" w:styleId="H2">
    <w:name w:val="H2"/>
    <w:basedOn w:val="Heading2"/>
    <w:qFormat/>
    <w:rsid w:val="009A72C5"/>
    <w:pPr>
      <w:keepLines w:val="0"/>
      <w:spacing w:before="480" w:after="240"/>
      <w:ind w:left="284" w:right="-29"/>
      <w:jc w:val="center"/>
    </w:pPr>
    <w:rPr>
      <w:rFonts w:ascii="Cambria" w:eastAsia="Times New Roman" w:hAnsi="Cambria" w:cs="Times New Roman"/>
      <w:iCs/>
      <w:color w:val="auto"/>
      <w:sz w:val="28"/>
      <w:szCs w:val="28"/>
    </w:rPr>
  </w:style>
  <w:style w:type="paragraph" w:customStyle="1" w:styleId="tv213">
    <w:name w:val="tv213"/>
    <w:basedOn w:val="Normal"/>
    <w:rsid w:val="009A72C5"/>
    <w:pPr>
      <w:spacing w:before="100" w:beforeAutospacing="1" w:after="100" w:afterAutospacing="1"/>
    </w:pPr>
  </w:style>
  <w:style w:type="character" w:customStyle="1" w:styleId="c5">
    <w:name w:val="c5"/>
    <w:basedOn w:val="DefaultParagraphFont"/>
    <w:rsid w:val="009A72C5"/>
  </w:style>
  <w:style w:type="paragraph" w:customStyle="1" w:styleId="Normal2">
    <w:name w:val="Normal2"/>
    <w:rsid w:val="009A72C5"/>
    <w:pPr>
      <w:spacing w:after="120" w:line="240" w:lineRule="auto"/>
      <w:ind w:firstLine="567"/>
      <w:jc w:val="both"/>
    </w:pPr>
    <w:rPr>
      <w:rFonts w:ascii="Times New Roman" w:eastAsia="Times New Roman" w:hAnsi="Times New Roman" w:cs="Times New Roman"/>
      <w:color w:val="000000"/>
      <w:sz w:val="24"/>
      <w:lang w:val="lv-LV" w:eastAsia="zh-CN" w:bidi="lo-LA"/>
    </w:rPr>
  </w:style>
  <w:style w:type="paragraph" w:styleId="Revision">
    <w:name w:val="Revision"/>
    <w:hidden/>
    <w:uiPriority w:val="99"/>
    <w:semiHidden/>
    <w:rsid w:val="009A72C5"/>
    <w:pPr>
      <w:spacing w:after="0" w:line="240" w:lineRule="auto"/>
    </w:pPr>
    <w:rPr>
      <w:rFonts w:ascii="Times New Roman" w:eastAsia="Times New Roman" w:hAnsi="Times New Roman" w:cs="Times New Roman"/>
      <w:sz w:val="24"/>
      <w:szCs w:val="24"/>
      <w:lang w:val="lv-LV" w:eastAsia="lv-LV"/>
    </w:rPr>
  </w:style>
  <w:style w:type="paragraph" w:styleId="BodyText2">
    <w:name w:val="Body Text 2"/>
    <w:basedOn w:val="Normal"/>
    <w:link w:val="BodyText2Char"/>
    <w:uiPriority w:val="99"/>
    <w:semiHidden/>
    <w:unhideWhenUsed/>
    <w:rsid w:val="009A72C5"/>
    <w:pPr>
      <w:spacing w:after="120" w:line="480" w:lineRule="auto"/>
    </w:pPr>
    <w:rPr>
      <w:rFonts w:ascii="Calibri" w:eastAsia="PMingLiU" w:hAnsi="Calibri"/>
      <w:sz w:val="22"/>
      <w:szCs w:val="22"/>
    </w:rPr>
  </w:style>
  <w:style w:type="character" w:customStyle="1" w:styleId="BodyText2Char">
    <w:name w:val="Body Text 2 Char"/>
    <w:basedOn w:val="DefaultParagraphFont"/>
    <w:link w:val="BodyText2"/>
    <w:uiPriority w:val="99"/>
    <w:semiHidden/>
    <w:rsid w:val="009A72C5"/>
    <w:rPr>
      <w:rFonts w:ascii="Calibri" w:eastAsia="PMingLiU" w:hAnsi="Calibri" w:cs="Times New Roman"/>
      <w:lang w:val="lv-LV" w:eastAsia="lv-LV"/>
    </w:rPr>
  </w:style>
  <w:style w:type="character" w:customStyle="1" w:styleId="apple-converted-space">
    <w:name w:val="apple-converted-space"/>
    <w:basedOn w:val="DefaultParagraphFont"/>
    <w:rsid w:val="009A72C5"/>
  </w:style>
  <w:style w:type="paragraph" w:styleId="TOC3">
    <w:name w:val="toc 3"/>
    <w:basedOn w:val="Normal"/>
    <w:next w:val="Normal"/>
    <w:autoRedefine/>
    <w:uiPriority w:val="39"/>
    <w:semiHidden/>
    <w:unhideWhenUsed/>
    <w:rsid w:val="009A72C5"/>
    <w:pPr>
      <w:tabs>
        <w:tab w:val="left" w:pos="1276"/>
        <w:tab w:val="right" w:leader="dot" w:pos="9395"/>
      </w:tabs>
      <w:spacing w:after="100" w:line="276" w:lineRule="auto"/>
      <w:ind w:left="440"/>
    </w:pPr>
    <w:rPr>
      <w:rFonts w:eastAsia="PMingLiU"/>
      <w:szCs w:val="22"/>
    </w:rPr>
  </w:style>
  <w:style w:type="paragraph" w:customStyle="1" w:styleId="BulletsF">
    <w:name w:val="Bullets F"/>
    <w:basedOn w:val="Normal"/>
    <w:link w:val="BulletsFChar"/>
    <w:qFormat/>
    <w:rsid w:val="009A72C5"/>
    <w:pPr>
      <w:numPr>
        <w:numId w:val="3"/>
      </w:numPr>
      <w:contextualSpacing/>
    </w:pPr>
    <w:rPr>
      <w:sz w:val="20"/>
      <w:lang w:eastAsia="en-US"/>
    </w:rPr>
  </w:style>
  <w:style w:type="character" w:customStyle="1" w:styleId="BulletsFChar">
    <w:name w:val="Bullets F Char"/>
    <w:link w:val="BulletsF"/>
    <w:locked/>
    <w:rsid w:val="009A72C5"/>
    <w:rPr>
      <w:rFonts w:ascii="Times New Roman" w:eastAsia="Times New Roman" w:hAnsi="Times New Roman" w:cs="Times New Roman"/>
      <w:sz w:val="20"/>
      <w:szCs w:val="24"/>
      <w:lang w:val="lv-LV"/>
    </w:rPr>
  </w:style>
  <w:style w:type="paragraph" w:customStyle="1" w:styleId="1pakapesvirsraksts">
    <w:name w:val="1. pakapes virsraksts"/>
    <w:uiPriority w:val="99"/>
    <w:rsid w:val="00726668"/>
    <w:pPr>
      <w:keepNext/>
      <w:keepLines/>
      <w:numPr>
        <w:numId w:val="6"/>
      </w:numPr>
      <w:spacing w:before="360" w:after="240" w:line="240" w:lineRule="auto"/>
      <w:ind w:left="426" w:hanging="426"/>
    </w:pPr>
    <w:rPr>
      <w:rFonts w:ascii="Times New Roman" w:eastAsia="Times New Roman" w:hAnsi="Times New Roman" w:cs="Times New Roman"/>
      <w:b/>
      <w:sz w:val="32"/>
      <w:szCs w:val="24"/>
      <w:lang w:val="lv-LV" w:eastAsia="lv-LV"/>
    </w:rPr>
  </w:style>
  <w:style w:type="paragraph" w:customStyle="1" w:styleId="2pakapesvirsraksts">
    <w:name w:val="2. pakapes virsraksts"/>
    <w:uiPriority w:val="99"/>
    <w:rsid w:val="00726668"/>
    <w:pPr>
      <w:keepNext/>
      <w:keepLines/>
      <w:numPr>
        <w:ilvl w:val="1"/>
        <w:numId w:val="6"/>
      </w:numPr>
      <w:spacing w:after="120" w:line="240" w:lineRule="auto"/>
      <w:ind w:left="426"/>
    </w:pPr>
    <w:rPr>
      <w:rFonts w:ascii="Times New Roman" w:eastAsia="Calibri" w:hAnsi="Times New Roman" w:cs="Times New Roman"/>
      <w:b/>
      <w:sz w:val="24"/>
      <w:lang w:val="lv-LV" w:eastAsia="lv-LV"/>
    </w:rPr>
  </w:style>
  <w:style w:type="paragraph" w:customStyle="1" w:styleId="3pakapesvirsraksts">
    <w:name w:val="3. pakapes virsraksts"/>
    <w:uiPriority w:val="99"/>
    <w:rsid w:val="00726668"/>
    <w:pPr>
      <w:keepNext/>
      <w:keepLines/>
      <w:numPr>
        <w:ilvl w:val="2"/>
        <w:numId w:val="6"/>
      </w:numPr>
      <w:spacing w:after="120" w:line="240" w:lineRule="auto"/>
      <w:ind w:left="709"/>
    </w:pPr>
    <w:rPr>
      <w:rFonts w:ascii="Times New Roman" w:eastAsia="Times New Roman" w:hAnsi="Times New Roman"/>
      <w:b/>
      <w:sz w:val="24"/>
      <w:szCs w:val="32"/>
      <w:lang w:val="lv-LV" w:eastAsia="lv-LV"/>
    </w:rPr>
  </w:style>
  <w:style w:type="paragraph" w:customStyle="1" w:styleId="4pakapesvirsraksts">
    <w:name w:val="4. pakapes virsraksts"/>
    <w:basedOn w:val="3pakapesvirsraksts"/>
    <w:uiPriority w:val="99"/>
    <w:rsid w:val="00726668"/>
    <w:pPr>
      <w:numPr>
        <w:ilvl w:val="3"/>
      </w:numPr>
      <w:tabs>
        <w:tab w:val="num" w:pos="360"/>
        <w:tab w:val="num" w:pos="2880"/>
      </w:tabs>
      <w:ind w:left="2880" w:hanging="360"/>
    </w:pPr>
  </w:style>
  <w:style w:type="paragraph" w:customStyle="1" w:styleId="tv2132">
    <w:name w:val="tv2132"/>
    <w:basedOn w:val="Normal"/>
    <w:rsid w:val="00363751"/>
    <w:pPr>
      <w:spacing w:line="360" w:lineRule="auto"/>
      <w:ind w:firstLine="300"/>
    </w:pPr>
    <w:rPr>
      <w:color w:val="414142"/>
      <w:sz w:val="20"/>
      <w:szCs w:val="20"/>
      <w:lang w:val="en-US" w:eastAsia="en-US"/>
    </w:rPr>
  </w:style>
  <w:style w:type="paragraph" w:styleId="BodyText">
    <w:name w:val="Body Text"/>
    <w:basedOn w:val="Normal"/>
    <w:link w:val="BodyTextChar"/>
    <w:uiPriority w:val="99"/>
    <w:semiHidden/>
    <w:unhideWhenUsed/>
    <w:rsid w:val="00061DB4"/>
    <w:pPr>
      <w:spacing w:after="120"/>
    </w:pPr>
  </w:style>
  <w:style w:type="character" w:customStyle="1" w:styleId="BodyTextChar">
    <w:name w:val="Body Text Char"/>
    <w:basedOn w:val="DefaultParagraphFont"/>
    <w:link w:val="BodyText"/>
    <w:uiPriority w:val="99"/>
    <w:semiHidden/>
    <w:rsid w:val="00061DB4"/>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284840">
      <w:bodyDiv w:val="1"/>
      <w:marLeft w:val="0"/>
      <w:marRight w:val="0"/>
      <w:marTop w:val="0"/>
      <w:marBottom w:val="0"/>
      <w:divBdr>
        <w:top w:val="none" w:sz="0" w:space="0" w:color="auto"/>
        <w:left w:val="none" w:sz="0" w:space="0" w:color="auto"/>
        <w:bottom w:val="none" w:sz="0" w:space="0" w:color="auto"/>
        <w:right w:val="none" w:sz="0" w:space="0" w:color="auto"/>
      </w:divBdr>
    </w:div>
    <w:div w:id="117480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itejas.esfondi.lv/_layouts/15/start.aspx" TargetMode="External"/><Relationship Id="rId13" Type="http://schemas.openxmlformats.org/officeDocument/2006/relationships/hyperlink" Target="http://eur-lex.europa.eu/eli/reg/2014/316?locale=LV" TargetMode="External"/><Relationship Id="rId18" Type="http://schemas.openxmlformats.org/officeDocument/2006/relationships/hyperlink" Target="http://eur-lex.europa.eu/eli/reg/2014/651/oj/?locale=LV" TargetMode="External"/><Relationship Id="rId26" Type="http://schemas.openxmlformats.org/officeDocument/2006/relationships/hyperlink" Target="http://www.izm.gov.lv" TargetMode="External"/><Relationship Id="rId3" Type="http://schemas.openxmlformats.org/officeDocument/2006/relationships/styles" Target="styles.xml"/><Relationship Id="rId21" Type="http://schemas.openxmlformats.org/officeDocument/2006/relationships/hyperlink" Target="http://eur-lex.europa.eu/eli/reg/2014/651/oj/?locale=L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eli/reg/2014/651?locale=LV" TargetMode="External"/><Relationship Id="rId17" Type="http://schemas.openxmlformats.org/officeDocument/2006/relationships/hyperlink" Target="http://eur-lex.europa.eu/eli/reg/2014/651/oj/?locale=LV" TargetMode="External"/><Relationship Id="rId25" Type="http://schemas.openxmlformats.org/officeDocument/2006/relationships/hyperlink" Target="http://eur-lex.europa.eu/eli/reg/2014/651/oj/?locale=LV"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eli/reg/2014/651/oj/?locale=LV" TargetMode="External"/><Relationship Id="rId20" Type="http://schemas.openxmlformats.org/officeDocument/2006/relationships/hyperlink" Target="http://eur-lex.europa.eu/eli/reg/2014/316?locale=LV" TargetMode="External"/><Relationship Id="rId29" Type="http://schemas.openxmlformats.org/officeDocument/2006/relationships/hyperlink" Target="mailto:ieva.grike@iz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gov.lv/statistikas-temas/darba-samaksa-galvenie-raditaji-30270.html" TargetMode="External"/><Relationship Id="rId24" Type="http://schemas.openxmlformats.org/officeDocument/2006/relationships/hyperlink" Target="http://eur-lex.europa.eu/eli/reg/2014/651/oj/?locale=LV"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eli/reg/2013/1407/oj/?locale=LV" TargetMode="External"/><Relationship Id="rId23" Type="http://schemas.openxmlformats.org/officeDocument/2006/relationships/hyperlink" Target="http://eur-lex.europa.eu/eli/reg/2014/316?locale=LV" TargetMode="External"/><Relationship Id="rId28" Type="http://schemas.openxmlformats.org/officeDocument/2006/relationships/hyperlink" Target="mailto:elina.usare@izm.gov.lv" TargetMode="External"/><Relationship Id="rId10" Type="http://schemas.openxmlformats.org/officeDocument/2006/relationships/hyperlink" Target="http://eur-lex.europa.eu/eli/reg/2014/651?locale=LV" TargetMode="External"/><Relationship Id="rId19" Type="http://schemas.openxmlformats.org/officeDocument/2006/relationships/hyperlink" Target="http://eur-lex.europa.eu/eli/reg/2014/651/oj/?locale=LV"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ur-lex.europa.eu/eli/reg/2014/651?locale=LV" TargetMode="External"/><Relationship Id="rId14" Type="http://schemas.openxmlformats.org/officeDocument/2006/relationships/hyperlink" Target="http://eur-lex.europa.eu/eli/reg/2014/316?locale=LV" TargetMode="External"/><Relationship Id="rId22" Type="http://schemas.openxmlformats.org/officeDocument/2006/relationships/hyperlink" Target="http://eur-lex.europa.eu/eli/reg/2014/651/oj/?locale=LV" TargetMode="External"/><Relationship Id="rId27" Type="http://schemas.openxmlformats.org/officeDocument/2006/relationships/hyperlink" Target="mailto:pasts@izm.gov.lv"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lv/mk/tap/?pid=40388975&amp;mode=mk&amp;date=2016-09-13" TargetMode="External"/><Relationship Id="rId2" Type="http://schemas.openxmlformats.org/officeDocument/2006/relationships/hyperlink" Target="http://polsis.mk.gov.lv/documents/4608" TargetMode="External"/><Relationship Id="rId1" Type="http://schemas.openxmlformats.org/officeDocument/2006/relationships/hyperlink" Target="http://ec.europa.eu/growth/industry/innovation/facts-figures/scoreboards/index_en.htm" TargetMode="External"/><Relationship Id="rId6" Type="http://schemas.openxmlformats.org/officeDocument/2006/relationships/hyperlink" Target="https://likumi.lv/ta/id/253757-valsts-izglitibas-attistibas-agenturas-nolikums" TargetMode="External"/><Relationship Id="rId5" Type="http://schemas.openxmlformats.org/officeDocument/2006/relationships/hyperlink" Target="http://tap.mk.gov.lv/lv/mk/tap/?pid=40334802&amp;mode=mk&amp;date=2014-10-21" TargetMode="External"/><Relationship Id="rId4" Type="http://schemas.openxmlformats.org/officeDocument/2006/relationships/hyperlink" Target="http://tap.mk.gov.lv/lv/mk/tap/?pid=40385056&amp;mode=mk&amp;date=2016-0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78213-DFF2-47C4-8002-D8449163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50091</Words>
  <Characters>28552</Characters>
  <Application>Microsoft Office Word</Application>
  <DocSecurity>0</DocSecurity>
  <Lines>237</Lines>
  <Paragraphs>156</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1.1.1. specifiskā atbalsta mērķa „Palielināt Latvijas zinātnisko institūciju pētniecisko un inovatīvo kapacitāti un spēju piesaistīt ārējo finansējumu, ieguldot cilvēkre</vt:lpstr>
    </vt:vector>
  </TitlesOfParts>
  <Company>Izgl'itibas un zinatnes ministrija</Company>
  <LinksUpToDate>false</LinksUpToDate>
  <CharactersWithSpaces>78487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 sākotnējās ietekmes novērtējuma ziņojums (anotācija)</dc:title>
  <dc:subject>Anotācija</dc:subject>
  <dc:creator>Elīna Usāre</dc:creator>
  <cp:keywords>tel.67047818, elina.usare@izm.gov.lv</cp:keywords>
  <dc:description>Elina.Usare@izm.gov.lv, 67047818</dc:description>
  <cp:lastModifiedBy>Aiga Abele</cp:lastModifiedBy>
  <cp:revision>4</cp:revision>
  <cp:lastPrinted>2017-05-12T09:23:00Z</cp:lastPrinted>
  <dcterms:created xsi:type="dcterms:W3CDTF">2017-06-02T05:25:00Z</dcterms:created>
  <dcterms:modified xsi:type="dcterms:W3CDTF">2017-06-02T05:26:00Z</dcterms:modified>
</cp:coreProperties>
</file>