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CDD5" w14:textId="77777777" w:rsidR="00C611AC" w:rsidRDefault="00C611AC" w:rsidP="00B352C3">
      <w:pPr>
        <w:pStyle w:val="Title"/>
        <w:outlineLvl w:val="0"/>
      </w:pPr>
      <w:bookmarkStart w:id="0" w:name="OLE_LINK1"/>
      <w:bookmarkStart w:id="1" w:name="OLE_LINK2"/>
    </w:p>
    <w:bookmarkEnd w:id="0"/>
    <w:bookmarkEnd w:id="1"/>
    <w:p w14:paraId="7D9F49E7" w14:textId="77777777" w:rsidR="00C611AC" w:rsidRPr="005736DB" w:rsidRDefault="006E7BBA" w:rsidP="00FE7ED6">
      <w:pPr>
        <w:jc w:val="center"/>
        <w:rPr>
          <w:b/>
        </w:rPr>
      </w:pPr>
      <w:r w:rsidRPr="005736DB">
        <w:rPr>
          <w:b/>
        </w:rPr>
        <w:t xml:space="preserve">Ministru kabineta noteikumu projekta </w:t>
      </w:r>
      <w:r w:rsidR="00FE7ED6">
        <w:rPr>
          <w:b/>
        </w:rPr>
        <w:t>“</w:t>
      </w:r>
      <w:r w:rsidR="005736DB" w:rsidRPr="005736DB">
        <w:rPr>
          <w:b/>
        </w:rPr>
        <w:t xml:space="preserve">Par </w:t>
      </w:r>
      <w:r w:rsidR="004361ED" w:rsidRPr="004361ED">
        <w:rPr>
          <w:b/>
        </w:rPr>
        <w:t xml:space="preserve">Latvijas Republikas </w:t>
      </w:r>
      <w:r w:rsidR="00035136">
        <w:rPr>
          <w:b/>
        </w:rPr>
        <w:t>valdības</w:t>
      </w:r>
      <w:r w:rsidR="004361ED" w:rsidRPr="004361ED">
        <w:rPr>
          <w:b/>
        </w:rPr>
        <w:t xml:space="preserve"> un Ķīnas Tautas Republikas </w:t>
      </w:r>
      <w:r w:rsidR="00035136">
        <w:rPr>
          <w:b/>
        </w:rPr>
        <w:t>valdības</w:t>
      </w:r>
      <w:r w:rsidR="00035136" w:rsidRPr="004361ED">
        <w:rPr>
          <w:b/>
        </w:rPr>
        <w:t xml:space="preserve"> </w:t>
      </w:r>
      <w:r w:rsidR="004361ED" w:rsidRPr="004361ED">
        <w:rPr>
          <w:b/>
        </w:rPr>
        <w:t>līgumu par sadarbību izglītības jomā</w:t>
      </w:r>
      <w:r w:rsidR="005736DB" w:rsidRPr="005736DB">
        <w:rPr>
          <w:b/>
          <w:color w:val="000000"/>
        </w:rPr>
        <w:t xml:space="preserve">” </w:t>
      </w:r>
      <w:r w:rsidR="00852042" w:rsidRPr="005736DB">
        <w:rPr>
          <w:b/>
        </w:rPr>
        <w:t>sākotnējā</w:t>
      </w:r>
      <w:r w:rsidR="002D3306" w:rsidRPr="005736DB">
        <w:rPr>
          <w:b/>
        </w:rPr>
        <w:t>s</w:t>
      </w:r>
      <w:r w:rsidR="00852042" w:rsidRPr="005736DB">
        <w:rPr>
          <w:b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5736DB">
          <w:rPr>
            <w:b/>
          </w:rPr>
          <w:t>ziņojums</w:t>
        </w:r>
      </w:smartTag>
      <w:r w:rsidR="00852042" w:rsidRPr="005736DB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195"/>
        <w:gridCol w:w="5602"/>
      </w:tblGrid>
      <w:tr w:rsidR="00852042" w:rsidRPr="007C0F2C" w14:paraId="3F7C45F0" w14:textId="77777777" w:rsidTr="008272B4">
        <w:trPr>
          <w:trHeight w:val="121"/>
        </w:trPr>
        <w:tc>
          <w:tcPr>
            <w:tcW w:w="9513" w:type="dxa"/>
            <w:gridSpan w:val="3"/>
            <w:vAlign w:val="center"/>
          </w:tcPr>
          <w:p w14:paraId="62E327D7" w14:textId="77777777" w:rsidR="00852042" w:rsidRPr="007C0F2C" w:rsidRDefault="00852042" w:rsidP="00BD06FC">
            <w:pPr>
              <w:pStyle w:val="naisnod"/>
              <w:spacing w:before="120" w:after="12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14:paraId="53EC628C" w14:textId="77777777" w:rsidTr="008272B4">
        <w:trPr>
          <w:trHeight w:val="382"/>
        </w:trPr>
        <w:tc>
          <w:tcPr>
            <w:tcW w:w="716" w:type="dxa"/>
          </w:tcPr>
          <w:p w14:paraId="1D93D212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1.</w:t>
            </w:r>
          </w:p>
        </w:tc>
        <w:tc>
          <w:tcPr>
            <w:tcW w:w="3195" w:type="dxa"/>
          </w:tcPr>
          <w:p w14:paraId="4AEEB3C3" w14:textId="77777777" w:rsidR="00262E2B" w:rsidRPr="002D6487" w:rsidRDefault="002D7F54" w:rsidP="00BD06FC">
            <w:pPr>
              <w:pStyle w:val="naiskr"/>
              <w:spacing w:before="120" w:after="120"/>
              <w:ind w:hanging="10"/>
            </w:pPr>
            <w:r w:rsidRPr="002D6487">
              <w:t>Pamatojums</w:t>
            </w:r>
          </w:p>
        </w:tc>
        <w:tc>
          <w:tcPr>
            <w:tcW w:w="5602" w:type="dxa"/>
          </w:tcPr>
          <w:p w14:paraId="427314A9" w14:textId="320F970C" w:rsidR="007F3149" w:rsidRPr="002D6487" w:rsidRDefault="005736DB" w:rsidP="00BE767C">
            <w:pPr>
              <w:widowControl w:val="0"/>
              <w:spacing w:after="120"/>
              <w:ind w:left="64" w:right="198"/>
              <w:jc w:val="both"/>
            </w:pPr>
            <w:r w:rsidRPr="005736DB">
              <w:t>M</w:t>
            </w:r>
            <w:r w:rsidR="00C34F91" w:rsidRPr="005736DB">
              <w:t xml:space="preserve">inistru kabineta noteikumu projekts </w:t>
            </w:r>
            <w:r w:rsidR="00FE7ED6">
              <w:t>“P</w:t>
            </w:r>
            <w:r w:rsidRPr="005736DB">
              <w:t xml:space="preserve">ar </w:t>
            </w:r>
            <w:r w:rsidR="004361ED">
              <w:t xml:space="preserve"> </w:t>
            </w:r>
            <w:r w:rsidR="004361ED" w:rsidRPr="004361ED">
              <w:t xml:space="preserve">Latvijas Republikas </w:t>
            </w:r>
            <w:r w:rsidR="00035136">
              <w:t xml:space="preserve"> </w:t>
            </w:r>
            <w:r w:rsidR="00035136" w:rsidRPr="00035136">
              <w:t>va</w:t>
            </w:r>
            <w:r w:rsidR="00035136">
              <w:t>l</w:t>
            </w:r>
            <w:r w:rsidR="00035136" w:rsidRPr="00035136">
              <w:t xml:space="preserve">dības </w:t>
            </w:r>
            <w:r w:rsidR="004361ED" w:rsidRPr="004361ED">
              <w:t xml:space="preserve">un Ķīnas Tautas Republikas </w:t>
            </w:r>
            <w:r w:rsidR="00035136" w:rsidRPr="00035136">
              <w:t xml:space="preserve"> va</w:t>
            </w:r>
            <w:r w:rsidR="00035136">
              <w:t>l</w:t>
            </w:r>
            <w:r w:rsidR="00035136" w:rsidRPr="00035136">
              <w:t>dības</w:t>
            </w:r>
            <w:r w:rsidR="00035136" w:rsidRPr="004361ED">
              <w:t xml:space="preserve"> </w:t>
            </w:r>
            <w:r w:rsidR="004361ED" w:rsidRPr="004361ED">
              <w:t>līgum</w:t>
            </w:r>
            <w:r w:rsidR="004361ED">
              <w:t>u par sadarbību izglītības jomā</w:t>
            </w:r>
            <w:r w:rsidR="00C34F91" w:rsidRPr="005736DB">
              <w:t>”</w:t>
            </w:r>
            <w:r w:rsidRPr="005736DB">
              <w:t xml:space="preserve"> ir </w:t>
            </w:r>
            <w:r w:rsidR="00C34F91" w:rsidRPr="005736DB">
              <w:t xml:space="preserve">izstrādāts, </w:t>
            </w:r>
            <w:r>
              <w:t xml:space="preserve">ievērojot </w:t>
            </w:r>
            <w:r w:rsidRPr="005F6D7B">
              <w:t>abu Pušu interesi</w:t>
            </w:r>
            <w:r w:rsidR="00FA6D6F">
              <w:t xml:space="preserve"> un ņemot vērā </w:t>
            </w:r>
            <w:proofErr w:type="spellStart"/>
            <w:r w:rsidR="00FA6D6F">
              <w:t>M.Kučinska</w:t>
            </w:r>
            <w:proofErr w:type="spellEnd"/>
            <w:r w:rsidR="00FA6D6F">
              <w:t xml:space="preserve"> valdības deklarācijas 120.1.</w:t>
            </w:r>
            <w:r w:rsidR="00036CC3">
              <w:t xml:space="preserve"> </w:t>
            </w:r>
            <w:r w:rsidR="00FA6D6F">
              <w:t xml:space="preserve">punktā noteikto uzdevumu </w:t>
            </w:r>
            <w:r w:rsidR="00BE767C">
              <w:t>par a</w:t>
            </w:r>
            <w:r w:rsidR="00FA6D6F" w:rsidRPr="00FA6D6F">
              <w:t>kadēmisk</w:t>
            </w:r>
            <w:r w:rsidR="00BE767C">
              <w:t>ās</w:t>
            </w:r>
            <w:r w:rsidR="00FA6D6F" w:rsidRPr="00FA6D6F">
              <w:t xml:space="preserve"> mobilitāt</w:t>
            </w:r>
            <w:r w:rsidR="00BE767C">
              <w:t>es veicināšanu</w:t>
            </w:r>
            <w:r w:rsidR="00FA6D6F">
              <w:t xml:space="preserve"> un </w:t>
            </w:r>
            <w:r w:rsidR="00BE767C">
              <w:t>ārvalstu studējošo īpatsvara palielināšanu</w:t>
            </w:r>
            <w:r w:rsidR="00FA6D6F">
              <w:t>.</w:t>
            </w:r>
          </w:p>
        </w:tc>
      </w:tr>
      <w:tr w:rsidR="00262E2B" w:rsidRPr="007C0F2C" w14:paraId="75469679" w14:textId="77777777" w:rsidTr="008272B4">
        <w:trPr>
          <w:trHeight w:val="274"/>
        </w:trPr>
        <w:tc>
          <w:tcPr>
            <w:tcW w:w="716" w:type="dxa"/>
          </w:tcPr>
          <w:p w14:paraId="2E8D75D1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2.</w:t>
            </w:r>
          </w:p>
        </w:tc>
        <w:tc>
          <w:tcPr>
            <w:tcW w:w="3195" w:type="dxa"/>
          </w:tcPr>
          <w:p w14:paraId="03EDAE6B" w14:textId="77777777" w:rsidR="00262E2B" w:rsidRPr="002D6487" w:rsidRDefault="00262E2B" w:rsidP="00BD06FC">
            <w:pPr>
              <w:pStyle w:val="naiskr"/>
              <w:tabs>
                <w:tab w:val="left" w:pos="170"/>
              </w:tabs>
              <w:spacing w:before="120" w:after="120"/>
            </w:pPr>
            <w:r w:rsidRPr="002D6487">
              <w:t>Pašreizējā situācija</w:t>
            </w:r>
            <w:r w:rsidR="001F5CD6" w:rsidRPr="002D6487">
              <w:t xml:space="preserve"> un problēmas</w:t>
            </w:r>
            <w:r w:rsidR="00554BE8">
              <w:t>, kuru risināšanai tiesību akta projekts izstrādāts, tiesiskā regulējuma mērķis un būtība</w:t>
            </w:r>
          </w:p>
        </w:tc>
        <w:tc>
          <w:tcPr>
            <w:tcW w:w="5602" w:type="dxa"/>
          </w:tcPr>
          <w:p w14:paraId="5048EA07" w14:textId="001D5AAA" w:rsidR="004361ED" w:rsidRPr="00035136" w:rsidRDefault="005736DB" w:rsidP="004361ED">
            <w:pPr>
              <w:pStyle w:val="Default"/>
              <w:ind w:left="64" w:right="152"/>
              <w:jc w:val="both"/>
              <w:rPr>
                <w:rFonts w:ascii="Times New Roman" w:hAnsi="Times New Roman" w:cs="Times New Roman"/>
              </w:rPr>
            </w:pPr>
            <w:r w:rsidRPr="006357D8">
              <w:rPr>
                <w:rFonts w:ascii="Times New Roman" w:hAnsi="Times New Roman" w:cs="Times New Roman"/>
              </w:rPr>
              <w:t>201</w:t>
            </w:r>
            <w:r w:rsidR="00064B90">
              <w:rPr>
                <w:rFonts w:ascii="Times New Roman" w:hAnsi="Times New Roman" w:cs="Times New Roman"/>
              </w:rPr>
              <w:t>6.</w:t>
            </w:r>
            <w:r w:rsidR="00036CC3">
              <w:rPr>
                <w:rFonts w:ascii="Times New Roman" w:hAnsi="Times New Roman" w:cs="Times New Roman"/>
              </w:rPr>
              <w:t xml:space="preserve"> </w:t>
            </w:r>
            <w:r w:rsidR="00064B90">
              <w:rPr>
                <w:rFonts w:ascii="Times New Roman" w:hAnsi="Times New Roman" w:cs="Times New Roman"/>
              </w:rPr>
              <w:t>gadā tika saņemts</w:t>
            </w:r>
            <w:r w:rsidRPr="006357D8">
              <w:rPr>
                <w:rFonts w:ascii="Times New Roman" w:hAnsi="Times New Roman" w:cs="Times New Roman"/>
              </w:rPr>
              <w:t xml:space="preserve"> </w:t>
            </w:r>
            <w:r w:rsidR="00064B90">
              <w:rPr>
                <w:rFonts w:ascii="Times New Roman" w:hAnsi="Times New Roman" w:cs="Times New Roman"/>
              </w:rPr>
              <w:t>Ķīnas</w:t>
            </w:r>
            <w:r w:rsidRPr="006357D8">
              <w:rPr>
                <w:rFonts w:ascii="Times New Roman" w:hAnsi="Times New Roman" w:cs="Times New Roman"/>
              </w:rPr>
              <w:t xml:space="preserve"> puses ierosinājum</w:t>
            </w:r>
            <w:r w:rsidR="00064B90">
              <w:rPr>
                <w:rFonts w:ascii="Times New Roman" w:hAnsi="Times New Roman" w:cs="Times New Roman"/>
              </w:rPr>
              <w:t xml:space="preserve">s atjaunot </w:t>
            </w:r>
            <w:r w:rsidR="00007828">
              <w:rPr>
                <w:rFonts w:ascii="Times New Roman" w:hAnsi="Times New Roman" w:cs="Times New Roman"/>
              </w:rPr>
              <w:t xml:space="preserve">šobrīd spēkā esošo </w:t>
            </w:r>
            <w:r w:rsidR="00064B90" w:rsidRPr="00064B90">
              <w:rPr>
                <w:rFonts w:ascii="Times New Roman" w:hAnsi="Times New Roman" w:cs="Times New Roman"/>
              </w:rPr>
              <w:t xml:space="preserve">Latvijas Republikas valdības un Ķīnas Tautas Republikas valdības kultūras un </w:t>
            </w:r>
            <w:r w:rsidR="00064B90" w:rsidRPr="00035136">
              <w:rPr>
                <w:rFonts w:ascii="Times New Roman" w:hAnsi="Times New Roman" w:cs="Times New Roman"/>
              </w:rPr>
              <w:t>izglītības sadarbības līgumu</w:t>
            </w:r>
            <w:r w:rsidRPr="00035136">
              <w:rPr>
                <w:rFonts w:ascii="Times New Roman" w:hAnsi="Times New Roman" w:cs="Times New Roman"/>
              </w:rPr>
              <w:t xml:space="preserve">, </w:t>
            </w:r>
            <w:r w:rsidR="00064B90" w:rsidRPr="00035136">
              <w:rPr>
                <w:rFonts w:ascii="Times New Roman" w:hAnsi="Times New Roman" w:cs="Times New Roman"/>
              </w:rPr>
              <w:t>sadalot to divos</w:t>
            </w:r>
            <w:r w:rsidR="00B4681D">
              <w:rPr>
                <w:rFonts w:ascii="Times New Roman" w:hAnsi="Times New Roman" w:cs="Times New Roman"/>
              </w:rPr>
              <w:t xml:space="preserve"> atsevišķos</w:t>
            </w:r>
            <w:r w:rsidR="00064B90" w:rsidRPr="00035136">
              <w:rPr>
                <w:rFonts w:ascii="Times New Roman" w:hAnsi="Times New Roman" w:cs="Times New Roman"/>
              </w:rPr>
              <w:t xml:space="preserve"> līgumos</w:t>
            </w:r>
            <w:r w:rsidR="00B4681D">
              <w:rPr>
                <w:rFonts w:ascii="Times New Roman" w:hAnsi="Times New Roman" w:cs="Times New Roman"/>
              </w:rPr>
              <w:t xml:space="preserve"> </w:t>
            </w:r>
            <w:r w:rsidR="00F33A4E">
              <w:rPr>
                <w:rFonts w:ascii="Times New Roman" w:hAnsi="Times New Roman" w:cs="Times New Roman"/>
              </w:rPr>
              <w:t>–</w:t>
            </w:r>
            <w:r w:rsidR="00064B90" w:rsidRPr="00035136">
              <w:rPr>
                <w:rFonts w:ascii="Times New Roman" w:hAnsi="Times New Roman" w:cs="Times New Roman"/>
              </w:rPr>
              <w:t xml:space="preserve"> attiecīgi par sadarbību izglītības un kultūras jomās. Līdz ar to, </w:t>
            </w:r>
            <w:r w:rsidR="00B4681D">
              <w:rPr>
                <w:rFonts w:ascii="Times New Roman" w:hAnsi="Times New Roman" w:cs="Times New Roman"/>
              </w:rPr>
              <w:t>Izglītības un zinātnes mi</w:t>
            </w:r>
            <w:r w:rsidR="007F4FD9">
              <w:rPr>
                <w:rFonts w:ascii="Times New Roman" w:hAnsi="Times New Roman" w:cs="Times New Roman"/>
              </w:rPr>
              <w:t>nistrijas kompetences jomā tika</w:t>
            </w:r>
            <w:r w:rsidR="00B4681D" w:rsidRPr="00035136">
              <w:rPr>
                <w:rFonts w:ascii="Times New Roman" w:hAnsi="Times New Roman" w:cs="Times New Roman"/>
              </w:rPr>
              <w:t xml:space="preserve"> </w:t>
            </w:r>
            <w:r w:rsidRPr="00035136">
              <w:rPr>
                <w:rFonts w:ascii="Times New Roman" w:hAnsi="Times New Roman" w:cs="Times New Roman"/>
              </w:rPr>
              <w:t>izstrādāts</w:t>
            </w:r>
            <w:r w:rsidR="004361ED" w:rsidRPr="00035136">
              <w:rPr>
                <w:rFonts w:ascii="Times New Roman" w:hAnsi="Times New Roman" w:cs="Times New Roman"/>
              </w:rPr>
              <w:t xml:space="preserve"> Latvijas Republikas </w:t>
            </w:r>
            <w:r w:rsidR="007F4FD9">
              <w:rPr>
                <w:rFonts w:ascii="Times New Roman" w:hAnsi="Times New Roman" w:cs="Times New Roman"/>
              </w:rPr>
              <w:t xml:space="preserve"> valdības</w:t>
            </w:r>
            <w:r w:rsidR="00035136">
              <w:rPr>
                <w:rFonts w:ascii="Times New Roman" w:hAnsi="Times New Roman" w:cs="Times New Roman"/>
              </w:rPr>
              <w:t xml:space="preserve"> un Ķīnas Tautas Republikas</w:t>
            </w:r>
            <w:r w:rsidR="00035136" w:rsidRPr="00035136">
              <w:rPr>
                <w:rFonts w:ascii="Times New Roman" w:hAnsi="Times New Roman" w:cs="Times New Roman"/>
              </w:rPr>
              <w:t xml:space="preserve"> valdības </w:t>
            </w:r>
            <w:r w:rsidR="004361ED" w:rsidRPr="00035136">
              <w:rPr>
                <w:rFonts w:ascii="Times New Roman" w:hAnsi="Times New Roman" w:cs="Times New Roman"/>
              </w:rPr>
              <w:t>līgum</w:t>
            </w:r>
            <w:r w:rsidR="00064B90" w:rsidRPr="00035136">
              <w:rPr>
                <w:rFonts w:ascii="Times New Roman" w:hAnsi="Times New Roman" w:cs="Times New Roman"/>
              </w:rPr>
              <w:t>s</w:t>
            </w:r>
            <w:r w:rsidR="004361ED" w:rsidRPr="00035136">
              <w:rPr>
                <w:rFonts w:ascii="Times New Roman" w:hAnsi="Times New Roman" w:cs="Times New Roman"/>
              </w:rPr>
              <w:t xml:space="preserve"> par sadarbību izglītības jomā </w:t>
            </w:r>
            <w:r w:rsidRPr="00035136">
              <w:rPr>
                <w:rFonts w:ascii="Times New Roman" w:hAnsi="Times New Roman" w:cs="Times New Roman"/>
              </w:rPr>
              <w:t xml:space="preserve"> (turpmāk – līgums).</w:t>
            </w:r>
            <w:r w:rsidR="006357D8" w:rsidRPr="00035136">
              <w:rPr>
                <w:rFonts w:ascii="Times New Roman" w:hAnsi="Times New Roman" w:cs="Times New Roman"/>
              </w:rPr>
              <w:t xml:space="preserve"> </w:t>
            </w:r>
          </w:p>
          <w:p w14:paraId="11B1CCD2" w14:textId="3FA625E4" w:rsidR="007F4FD9" w:rsidRDefault="005E2D36" w:rsidP="00035136">
            <w:pPr>
              <w:ind w:left="64" w:right="152"/>
              <w:jc w:val="both"/>
            </w:pPr>
            <w:r w:rsidRPr="005E2D36">
              <w:t xml:space="preserve">Līgums paredz, ka </w:t>
            </w:r>
            <w:r w:rsidR="00DA2C4D">
              <w:t>p</w:t>
            </w:r>
            <w:r w:rsidRPr="005E2D36">
              <w:t xml:space="preserve">uses veicinās pieredzes un informācijas apmaiņu izglītības jomā, atbalstīs un veicinās sadarbību starp </w:t>
            </w:r>
            <w:r w:rsidR="00170FD3">
              <w:t xml:space="preserve">augstākās un profesionālās </w:t>
            </w:r>
            <w:r w:rsidRPr="005E2D36">
              <w:t xml:space="preserve">izglītības iestādēm, kā arī studentu, izglītības amatpersonu, akadēmiskā personāla, ekspertu un speciālistu mobilitāti. </w:t>
            </w:r>
            <w:r w:rsidR="007F4FD9">
              <w:t>L</w:t>
            </w:r>
            <w:r w:rsidR="007F4FD9" w:rsidRPr="00DA4D2D">
              <w:t xml:space="preserve">īgums paredz </w:t>
            </w:r>
            <w:r w:rsidR="007F4FD9">
              <w:t xml:space="preserve">arī regulāra sadarbības mehānisma </w:t>
            </w:r>
            <w:r w:rsidR="007F4FD9" w:rsidRPr="00F33A4E">
              <w:t>izveidošanu ministriju departamentu</w:t>
            </w:r>
            <w:r w:rsidR="007F4FD9">
              <w:t xml:space="preserve"> direktoru līmenī sadarbības izglītības jomā veicināšanai.</w:t>
            </w:r>
          </w:p>
          <w:p w14:paraId="1687B9C6" w14:textId="6D0B49C9" w:rsidR="00F33A4E" w:rsidRDefault="005E2D36" w:rsidP="00035136">
            <w:pPr>
              <w:ind w:left="64" w:right="152"/>
              <w:jc w:val="both"/>
            </w:pPr>
            <w:r w:rsidRPr="005E2D36">
              <w:t xml:space="preserve">Puses </w:t>
            </w:r>
            <w:r w:rsidR="00170FD3">
              <w:t>piedāvās</w:t>
            </w:r>
            <w:r w:rsidRPr="005E2D36">
              <w:t xml:space="preserve"> viena otrai stipendijas studijām </w:t>
            </w:r>
            <w:r w:rsidR="00170FD3">
              <w:t xml:space="preserve">un pētniecībai </w:t>
            </w:r>
            <w:r w:rsidRPr="005E2D36">
              <w:t xml:space="preserve">augstākās izglītības iestādēs, </w:t>
            </w:r>
            <w:proofErr w:type="spellStart"/>
            <w:r w:rsidRPr="005E2D36">
              <w:t>pēcdiploma</w:t>
            </w:r>
            <w:proofErr w:type="spellEnd"/>
            <w:r w:rsidRPr="005E2D36">
              <w:t xml:space="preserve"> studijām (doktorantūrai) un </w:t>
            </w:r>
            <w:r w:rsidR="00170FD3">
              <w:t>dalībai vasaras skolās</w:t>
            </w:r>
            <w:r w:rsidRPr="00DA4D2D">
              <w:t>.</w:t>
            </w:r>
            <w:r w:rsidR="00170FD3">
              <w:t xml:space="preserve"> </w:t>
            </w:r>
            <w:r w:rsidR="007F4FD9">
              <w:t xml:space="preserve"> Lai Latvija Ķīnas studentiem varētu piešķirt Latvijas valsts stipendijas ārvalstniekiem, kas tiek piešķirtas no valsts budžeta līdzekļiem saskaņā ar Augstskolu likuma </w:t>
            </w:r>
            <w:r w:rsidR="007F4FD9" w:rsidRPr="00D523E4">
              <w:t>83.</w:t>
            </w:r>
            <w:r w:rsidR="007F4FD9" w:rsidRPr="00D523E4">
              <w:rPr>
                <w:vertAlign w:val="superscript"/>
              </w:rPr>
              <w:t>1</w:t>
            </w:r>
            <w:r w:rsidR="007F4FD9">
              <w:t xml:space="preserve"> pantu, ir jābūt noslēgtam atbilstošam starptautiskam līgumam. </w:t>
            </w:r>
            <w:r w:rsidR="00007828">
              <w:t xml:space="preserve">Jau vairākus gadus </w:t>
            </w:r>
            <w:r w:rsidR="00F33A4E">
              <w:t xml:space="preserve">abas puses piešķir otras valsts studentiem stipendijas studijām un pētniecībai. </w:t>
            </w:r>
            <w:r w:rsidR="00FB399A">
              <w:t xml:space="preserve">2016./2017. akadēmiskajam gadam 5 </w:t>
            </w:r>
            <w:r w:rsidR="00806A93" w:rsidRPr="00064B90">
              <w:t xml:space="preserve"> Ķīnas Tautas Republikas</w:t>
            </w:r>
            <w:r w:rsidR="00806A93">
              <w:t xml:space="preserve"> </w:t>
            </w:r>
            <w:r w:rsidR="00FB399A">
              <w:t xml:space="preserve"> studentiem tika piešķirtas Latvijas valsts stipendijas (2015./2016. akadēmiskajā gadā – 2, 2014./2015. akadēmiskajā gadā – 3). 2016.</w:t>
            </w:r>
            <w:r w:rsidR="00036CC3">
              <w:t xml:space="preserve"> </w:t>
            </w:r>
            <w:r w:rsidR="00FB399A">
              <w:t xml:space="preserve">gadā </w:t>
            </w:r>
            <w:r w:rsidR="00806A93" w:rsidRPr="00064B90">
              <w:t xml:space="preserve"> </w:t>
            </w:r>
            <w:r w:rsidR="00806A93">
              <w:t>Ķīnas Tautas Republika</w:t>
            </w:r>
            <w:r w:rsidR="00FB399A">
              <w:t xml:space="preserve"> Latvijas studentiem piedāvāja 12 stipendijas. </w:t>
            </w:r>
            <w:r w:rsidR="00806A93">
              <w:t xml:space="preserve">Kopumā </w:t>
            </w:r>
            <w:r w:rsidR="00806A93" w:rsidRPr="00806A93">
              <w:t>2015./2016.</w:t>
            </w:r>
            <w:r w:rsidR="00036CC3">
              <w:t xml:space="preserve"> </w:t>
            </w:r>
            <w:r w:rsidR="00806A93" w:rsidRPr="00806A93">
              <w:t>akadēmiskā gada sākumā Latvijas</w:t>
            </w:r>
            <w:r w:rsidR="00806A93">
              <w:t xml:space="preserve"> augstskolās studēja 27 </w:t>
            </w:r>
            <w:r w:rsidR="00806A93" w:rsidRPr="00064B90">
              <w:t>Ķīnas Tautas Republikas</w:t>
            </w:r>
            <w:r w:rsidR="00806A93" w:rsidRPr="00806A93">
              <w:t xml:space="preserve"> studenti</w:t>
            </w:r>
            <w:r w:rsidR="00806A93">
              <w:t>.</w:t>
            </w:r>
          </w:p>
          <w:p w14:paraId="41720A7D" w14:textId="3F2024DC" w:rsidR="00806A93" w:rsidRDefault="00806A93" w:rsidP="00035136">
            <w:pPr>
              <w:ind w:left="64" w:right="152"/>
              <w:jc w:val="both"/>
              <w:rPr>
                <w:color w:val="000000"/>
              </w:rPr>
            </w:pPr>
            <w:r>
              <w:t xml:space="preserve">Līgums paredz atbalstu </w:t>
            </w:r>
            <w:r w:rsidRPr="00BC200A">
              <w:t>latviešu valodas un kultūras studij</w:t>
            </w:r>
            <w:r>
              <w:t>ām</w:t>
            </w:r>
            <w:r w:rsidRPr="00BC200A">
              <w:t xml:space="preserve"> Ķīnā un ķīn</w:t>
            </w:r>
            <w:r>
              <w:t>iešu valodas un kultūras studijām</w:t>
            </w:r>
            <w:r w:rsidRPr="00BC200A">
              <w:t xml:space="preserve"> Latvijā.</w:t>
            </w:r>
            <w:r>
              <w:t xml:space="preserve"> Kopš 2005.gada Rīgas Stradiņa universitātē darbojas Konfūcija centrs</w:t>
            </w:r>
            <w:r w:rsidR="00007828">
              <w:t>,</w:t>
            </w:r>
            <w:r>
              <w:t xml:space="preserve"> un</w:t>
            </w:r>
            <w:r w:rsidRPr="00806A93">
              <w:t xml:space="preserve"> 2011.</w:t>
            </w:r>
            <w:r w:rsidR="00036CC3">
              <w:t xml:space="preserve"> </w:t>
            </w:r>
            <w:r w:rsidRPr="00806A93">
              <w:t>gad</w:t>
            </w:r>
            <w:r>
              <w:t xml:space="preserve">ā </w:t>
            </w:r>
            <w:r w:rsidRPr="00806A93">
              <w:t xml:space="preserve">Latvijas </w:t>
            </w:r>
            <w:r w:rsidRPr="00806A93">
              <w:lastRenderedPageBreak/>
              <w:t>Universitātē tika atklāts Konfūcija institūts</w:t>
            </w:r>
            <w:r>
              <w:t>. 2014.</w:t>
            </w:r>
            <w:r w:rsidR="00036CC3">
              <w:t xml:space="preserve"> </w:t>
            </w:r>
            <w:r>
              <w:t>gadā</w:t>
            </w:r>
            <w:r w:rsidRPr="00806A93">
              <w:t xml:space="preserve"> Rīgas Kultūru vidusskolā atklāja Baltijas valstīs pirmo Konfūcija klasi.</w:t>
            </w:r>
            <w:r>
              <w:t xml:space="preserve"> </w:t>
            </w:r>
            <w:r w:rsidRPr="00806A93">
              <w:t>L</w:t>
            </w:r>
            <w:r>
              <w:t>atvijas Universitātes</w:t>
            </w:r>
            <w:r w:rsidRPr="00806A93">
              <w:t xml:space="preserve"> Konfūcija institūta Konfūcija klases ir izveidotas arī Daugavpils universitātē. Ķīniešu valodas programma tiek pasniegta arī Rīgas 34. vidusskolā,</w:t>
            </w:r>
            <w:r>
              <w:t xml:space="preserve"> Transporta un </w:t>
            </w:r>
            <w:r w:rsidR="00007828">
              <w:t>sakaru institūtā</w:t>
            </w:r>
            <w:r w:rsidRPr="00806A93">
              <w:t>. Sadarbībā ar Latvijas Universitātes Konfūcija institūtu Rēzeknes Tehnoloģiju akadēmijā jau trešo gadu ir iespējams apgūt ķīniešu valodu</w:t>
            </w:r>
            <w:r>
              <w:t xml:space="preserve">. </w:t>
            </w:r>
            <w:r w:rsidRPr="00806A93">
              <w:rPr>
                <w:color w:val="000000"/>
              </w:rPr>
              <w:t>2015.</w:t>
            </w:r>
            <w:r w:rsidR="00036CC3">
              <w:rPr>
                <w:color w:val="000000"/>
              </w:rPr>
              <w:t xml:space="preserve"> </w:t>
            </w:r>
            <w:r w:rsidRPr="00806A93">
              <w:rPr>
                <w:color w:val="000000"/>
              </w:rPr>
              <w:t>gada septembrī Pekinas Starptautisko studiju universitātē</w:t>
            </w:r>
            <w:r w:rsidRPr="000206AF">
              <w:rPr>
                <w:color w:val="000000"/>
              </w:rPr>
              <w:t xml:space="preserve"> tika uzsākta latviešu valoda</w:t>
            </w:r>
            <w:r>
              <w:rPr>
                <w:color w:val="000000"/>
              </w:rPr>
              <w:t>s bakalaura programmas apmācība</w:t>
            </w:r>
            <w:r w:rsidR="0000782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un pirmajā gadā tika </w:t>
            </w:r>
            <w:r>
              <w:t xml:space="preserve"> </w:t>
            </w:r>
            <w:r w:rsidRPr="00806A93">
              <w:rPr>
                <w:color w:val="000000"/>
              </w:rPr>
              <w:t>uzņemti 20 studenti</w:t>
            </w:r>
            <w:r w:rsidR="0000782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un 2016./2017. akadēmiskajā gadā tika uzņemti 14 studenti. </w:t>
            </w:r>
            <w:r w:rsidRPr="00806A93">
              <w:rPr>
                <w:color w:val="000000"/>
              </w:rPr>
              <w:t>Latviešu valodu kā izvēles kursu piedāvā arī Pekinas Svešvalodu universitāte.</w:t>
            </w:r>
          </w:p>
          <w:p w14:paraId="62D92216" w14:textId="681E7BF1" w:rsidR="00806A93" w:rsidRDefault="00806A93" w:rsidP="00035136">
            <w:pPr>
              <w:ind w:left="64" w:right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Pieaugošo sadarbību augstākās izglītības jomā ir veicinājusi arī </w:t>
            </w:r>
            <w:r w:rsidRPr="00806A93">
              <w:rPr>
                <w:color w:val="000000"/>
              </w:rPr>
              <w:t>Ķīnas Tautas Republikas Izglītības ministrijas līguma par augstākās izglītības kvalifikāciju un studijās iegūto grādu savstarpēju atzīšanu</w:t>
            </w:r>
            <w:r>
              <w:rPr>
                <w:color w:val="000000"/>
              </w:rPr>
              <w:t xml:space="preserve"> noslēgšana 2010.</w:t>
            </w:r>
            <w:r w:rsidR="00036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gadā.</w:t>
            </w:r>
          </w:p>
          <w:p w14:paraId="3581EB51" w14:textId="5E825209" w:rsidR="00806A93" w:rsidRPr="00806A93" w:rsidRDefault="00806A93" w:rsidP="00035136">
            <w:pPr>
              <w:ind w:left="64" w:right="152"/>
              <w:jc w:val="both"/>
              <w:rPr>
                <w:b/>
              </w:rPr>
            </w:pPr>
            <w:r>
              <w:rPr>
                <w:color w:val="000000"/>
              </w:rPr>
              <w:t xml:space="preserve">Aktīva </w:t>
            </w:r>
            <w:r w:rsidRPr="00975413">
              <w:rPr>
                <w:color w:val="000000"/>
              </w:rPr>
              <w:t xml:space="preserve">sadarbība ar </w:t>
            </w:r>
            <w:r>
              <w:rPr>
                <w:color w:val="000000"/>
              </w:rPr>
              <w:t xml:space="preserve">Ķīnas Tautas Republiku ir arī </w:t>
            </w:r>
            <w:r w:rsidRPr="00975413">
              <w:rPr>
                <w:color w:val="000000"/>
              </w:rPr>
              <w:t>Āzijas un Eiropas sanāksmes</w:t>
            </w:r>
            <w:r>
              <w:rPr>
                <w:color w:val="000000"/>
              </w:rPr>
              <w:t xml:space="preserve"> (turpmāk – ASEM</w:t>
            </w:r>
            <w:r w:rsidRPr="00975413">
              <w:rPr>
                <w:color w:val="000000"/>
              </w:rPr>
              <w:t>) ietvaros.</w:t>
            </w:r>
            <w:r>
              <w:rPr>
                <w:color w:val="000000"/>
              </w:rPr>
              <w:t xml:space="preserve"> </w:t>
            </w:r>
            <w:r w:rsidRPr="00975413">
              <w:t xml:space="preserve">ASEM Izglītības procesa ietvaros </w:t>
            </w:r>
            <w:r>
              <w:rPr>
                <w:color w:val="000000"/>
              </w:rPr>
              <w:t>Ķīnas Tautas Republika</w:t>
            </w:r>
            <w:r w:rsidRPr="00975413">
              <w:t xml:space="preserve"> vada divas ekspertu darba grupas augstākās izglītības jomā – diplomatzīšanas un kredītpunktu atzīšanas jomā. Latviju tajās pārstāv Akadēmiskā informācijas centra direktore.</w:t>
            </w:r>
          </w:p>
          <w:p w14:paraId="6A1C94AE" w14:textId="6012AFCE" w:rsidR="005F6D7B" w:rsidRDefault="003628F9" w:rsidP="006037A4">
            <w:pPr>
              <w:ind w:left="64" w:right="152"/>
              <w:jc w:val="both"/>
              <w:rPr>
                <w:bCs/>
              </w:rPr>
            </w:pPr>
            <w:r>
              <w:rPr>
                <w:bCs/>
              </w:rPr>
              <w:t>Šobrīd spēkā ir 1996.</w:t>
            </w:r>
            <w:r w:rsidR="00036CC3">
              <w:rPr>
                <w:bCs/>
              </w:rPr>
              <w:t xml:space="preserve"> </w:t>
            </w:r>
            <w:r>
              <w:rPr>
                <w:bCs/>
              </w:rPr>
              <w:t>gada 2.</w:t>
            </w:r>
            <w:r w:rsidR="00036CC3">
              <w:rPr>
                <w:bCs/>
              </w:rPr>
              <w:t xml:space="preserve"> </w:t>
            </w:r>
            <w:r>
              <w:rPr>
                <w:bCs/>
              </w:rPr>
              <w:t xml:space="preserve">septembrī Rīgā noslēgtais </w:t>
            </w:r>
            <w:r w:rsidRPr="003628F9">
              <w:rPr>
                <w:bCs/>
              </w:rPr>
              <w:t xml:space="preserve">Latvijas Republikas valdības un Ķīnas Tautas </w:t>
            </w:r>
            <w:r w:rsidRPr="006037A4">
              <w:rPr>
                <w:bCs/>
              </w:rPr>
              <w:t>Republikas valdības Kultūras un izglītības sadarbības līgums</w:t>
            </w:r>
            <w:r w:rsidR="00B15AC0" w:rsidRPr="006037A4">
              <w:rPr>
                <w:bCs/>
              </w:rPr>
              <w:t xml:space="preserve"> (turpmāk – 1996.</w:t>
            </w:r>
            <w:r w:rsidR="00036CC3" w:rsidRPr="006037A4">
              <w:rPr>
                <w:bCs/>
              </w:rPr>
              <w:t xml:space="preserve"> </w:t>
            </w:r>
            <w:r w:rsidR="00B15AC0" w:rsidRPr="006037A4">
              <w:rPr>
                <w:bCs/>
              </w:rPr>
              <w:t>gadā noslēgtais līgums)</w:t>
            </w:r>
            <w:r w:rsidR="0077070E" w:rsidRPr="006037A4">
              <w:rPr>
                <w:bCs/>
              </w:rPr>
              <w:t xml:space="preserve">, kuru nepieciešams atjaunot, ņemot vērā </w:t>
            </w:r>
            <w:r w:rsidR="00B15AC0" w:rsidRPr="006037A4">
              <w:rPr>
                <w:bCs/>
              </w:rPr>
              <w:t>aktuālos sadarbības veidus un starptautiskos ietvarus</w:t>
            </w:r>
            <w:r w:rsidRPr="006037A4">
              <w:rPr>
                <w:bCs/>
              </w:rPr>
              <w:t>.</w:t>
            </w:r>
            <w:r w:rsidR="007F4FD9" w:rsidRPr="006037A4">
              <w:rPr>
                <w:bCs/>
              </w:rPr>
              <w:t xml:space="preserve"> Vienlaicīgi, tiek strādāts pie Latvijas Republikas valdības un Ķīnas Tautas Republikas valdības līguma par</w:t>
            </w:r>
            <w:r w:rsidRPr="006037A4">
              <w:t xml:space="preserve"> sadarbību kultūras jomā</w:t>
            </w:r>
            <w:r w:rsidR="007F4FD9" w:rsidRPr="006037A4">
              <w:t xml:space="preserve"> </w:t>
            </w:r>
            <w:r w:rsidR="006037A4" w:rsidRPr="006037A4">
              <w:t xml:space="preserve">(turpmāk – </w:t>
            </w:r>
            <w:r w:rsidR="006037A4" w:rsidRPr="006037A4">
              <w:rPr>
                <w:bCs/>
              </w:rPr>
              <w:t>līgums par</w:t>
            </w:r>
            <w:r w:rsidR="006037A4" w:rsidRPr="006037A4">
              <w:t xml:space="preserve"> sadarbību kultūras jomā) </w:t>
            </w:r>
            <w:r w:rsidR="007F4FD9" w:rsidRPr="006037A4">
              <w:t xml:space="preserve">projekta. </w:t>
            </w:r>
            <w:r w:rsidR="006037A4" w:rsidRPr="006037A4">
              <w:t xml:space="preserve">Ievērojot to, ka </w:t>
            </w:r>
            <w:r w:rsidR="00DA2C4D">
              <w:t>p</w:t>
            </w:r>
            <w:r w:rsidR="006037A4" w:rsidRPr="006037A4">
              <w:t xml:space="preserve">uses ir ieinteresētas līgumu parakstīt līdz 2017. gada maija vidum, paredzams, ka līgums tiks parakstīts pirms </w:t>
            </w:r>
            <w:r w:rsidR="006037A4" w:rsidRPr="006037A4">
              <w:rPr>
                <w:bCs/>
              </w:rPr>
              <w:t>līguma par</w:t>
            </w:r>
            <w:r w:rsidR="006037A4" w:rsidRPr="006037A4">
              <w:t xml:space="preserve"> sadarbību kultūras jomā. Tādēļ līdz </w:t>
            </w:r>
            <w:r w:rsidR="006037A4" w:rsidRPr="006037A4">
              <w:rPr>
                <w:bCs/>
              </w:rPr>
              <w:t>līguma par</w:t>
            </w:r>
            <w:r w:rsidR="006037A4" w:rsidRPr="006037A4">
              <w:t xml:space="preserve"> sadarbību kultūras jomā spēkā stāšanās savu darbību turpinās </w:t>
            </w:r>
            <w:r w:rsidR="006037A4" w:rsidRPr="006037A4">
              <w:rPr>
                <w:bCs/>
              </w:rPr>
              <w:t>1996. gadā noslēgtais līgums</w:t>
            </w:r>
            <w:r w:rsidR="006037A4">
              <w:rPr>
                <w:bCs/>
              </w:rPr>
              <w:t>. Attiecībā uz sadarbību izglītības jomā saskaņ</w:t>
            </w:r>
            <w:r w:rsidR="00B0506A">
              <w:rPr>
                <w:bCs/>
              </w:rPr>
              <w:t xml:space="preserve">ā ar </w:t>
            </w:r>
            <w:r w:rsidR="00B0506A" w:rsidRPr="00B0506A">
              <w:rPr>
                <w:bCs/>
              </w:rPr>
              <w:t>1969.</w:t>
            </w:r>
            <w:r w:rsidR="00B0506A">
              <w:rPr>
                <w:bCs/>
              </w:rPr>
              <w:t xml:space="preserve"> gada</w:t>
            </w:r>
            <w:r w:rsidR="00B0506A" w:rsidRPr="00B0506A">
              <w:rPr>
                <w:bCs/>
              </w:rPr>
              <w:t xml:space="preserve"> 23.</w:t>
            </w:r>
            <w:r w:rsidR="00B0506A">
              <w:rPr>
                <w:bCs/>
              </w:rPr>
              <w:t xml:space="preserve"> </w:t>
            </w:r>
            <w:r w:rsidR="00B0506A" w:rsidRPr="00B0506A">
              <w:rPr>
                <w:bCs/>
              </w:rPr>
              <w:t>maij</w:t>
            </w:r>
            <w:r w:rsidR="00B0506A">
              <w:rPr>
                <w:bCs/>
              </w:rPr>
              <w:t>a</w:t>
            </w:r>
            <w:r w:rsidR="00B0506A" w:rsidRPr="00B0506A">
              <w:rPr>
                <w:bCs/>
              </w:rPr>
              <w:t xml:space="preserve"> </w:t>
            </w:r>
            <w:r w:rsidR="006037A4" w:rsidRPr="006037A4">
              <w:rPr>
                <w:bCs/>
              </w:rPr>
              <w:t>Vīnes konvencija</w:t>
            </w:r>
            <w:r w:rsidR="006037A4">
              <w:rPr>
                <w:bCs/>
              </w:rPr>
              <w:t>s</w:t>
            </w:r>
            <w:r w:rsidR="006037A4" w:rsidRPr="006037A4">
              <w:rPr>
                <w:bCs/>
              </w:rPr>
              <w:t xml:space="preserve"> par starptautisko līgumu tiesībām</w:t>
            </w:r>
            <w:r w:rsidR="005342E3">
              <w:rPr>
                <w:bCs/>
              </w:rPr>
              <w:t xml:space="preserve"> (turpmāk – Vīnes konvencija)</w:t>
            </w:r>
            <w:r w:rsidR="006037A4">
              <w:rPr>
                <w:bCs/>
              </w:rPr>
              <w:t xml:space="preserve"> 64. pantu pēc līguma spēkā stāšanās tiks piemērotas līgumā ietvertās tiesību normas.</w:t>
            </w:r>
          </w:p>
          <w:p w14:paraId="6233B8D4" w14:textId="2E38F6C4" w:rsidR="00DA2C4D" w:rsidRPr="006037A4" w:rsidRDefault="00DA2C4D" w:rsidP="00B0506A">
            <w:pPr>
              <w:ind w:left="64" w:right="152"/>
              <w:jc w:val="both"/>
              <w:rPr>
                <w:b/>
                <w:bCs/>
              </w:rPr>
            </w:pPr>
            <w:r>
              <w:rPr>
                <w:bCs/>
              </w:rPr>
              <w:t>Līguma projekts saskaņots ar Ķīnas pusi</w:t>
            </w:r>
            <w:r w:rsidR="00B0506A">
              <w:rPr>
                <w:bCs/>
              </w:rPr>
              <w:t>.</w:t>
            </w:r>
          </w:p>
        </w:tc>
      </w:tr>
      <w:tr w:rsidR="00262E2B" w:rsidRPr="007C0F2C" w14:paraId="76B07A34" w14:textId="77777777" w:rsidTr="008272B4">
        <w:trPr>
          <w:trHeight w:val="453"/>
        </w:trPr>
        <w:tc>
          <w:tcPr>
            <w:tcW w:w="716" w:type="dxa"/>
          </w:tcPr>
          <w:p w14:paraId="30078AA8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lastRenderedPageBreak/>
              <w:t>3.</w:t>
            </w:r>
          </w:p>
        </w:tc>
        <w:tc>
          <w:tcPr>
            <w:tcW w:w="3195" w:type="dxa"/>
          </w:tcPr>
          <w:p w14:paraId="2C5F1BAF" w14:textId="77777777" w:rsidR="00262E2B" w:rsidRPr="002D6487" w:rsidRDefault="0062080D" w:rsidP="0062080D">
            <w:pPr>
              <w:pStyle w:val="naiskr"/>
              <w:spacing w:before="120" w:after="120"/>
            </w:pPr>
            <w:r>
              <w:t xml:space="preserve">Projekta izstrādē iesaistītas institūcijas </w:t>
            </w:r>
          </w:p>
        </w:tc>
        <w:tc>
          <w:tcPr>
            <w:tcW w:w="5602" w:type="dxa"/>
          </w:tcPr>
          <w:p w14:paraId="57B5DB72" w14:textId="77777777" w:rsidR="00B352C3" w:rsidRPr="002D6487" w:rsidRDefault="0062080D" w:rsidP="00637346">
            <w:pPr>
              <w:pStyle w:val="NormalWeb"/>
              <w:spacing w:before="120" w:beforeAutospacing="0" w:after="12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D648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Projektu izstrādāja Latvijas Republikas Izglītības un zinātnes ministrija.</w:t>
            </w:r>
          </w:p>
        </w:tc>
      </w:tr>
      <w:tr w:rsidR="00D205B2" w:rsidRPr="007C0F2C" w14:paraId="555AE046" w14:textId="77777777" w:rsidTr="008272B4">
        <w:trPr>
          <w:trHeight w:val="1266"/>
        </w:trPr>
        <w:tc>
          <w:tcPr>
            <w:tcW w:w="716" w:type="dxa"/>
            <w:tcBorders>
              <w:bottom w:val="single" w:sz="4" w:space="0" w:color="auto"/>
            </w:tcBorders>
          </w:tcPr>
          <w:p w14:paraId="6B4D1C44" w14:textId="77777777" w:rsidR="00D205B2" w:rsidRPr="002D6487" w:rsidRDefault="0062080D" w:rsidP="00BD06FC">
            <w:pPr>
              <w:pStyle w:val="naiskr"/>
              <w:spacing w:before="120" w:after="120"/>
            </w:pPr>
            <w:r>
              <w:lastRenderedPageBreak/>
              <w:t>4</w:t>
            </w:r>
            <w:r w:rsidR="00D205B2" w:rsidRPr="002D6487">
              <w:t>.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84254D1" w14:textId="77777777" w:rsidR="00D205B2" w:rsidRPr="002D6487" w:rsidRDefault="00D205B2" w:rsidP="00BD06FC">
            <w:pPr>
              <w:pStyle w:val="naiskr"/>
              <w:spacing w:before="120" w:after="120"/>
            </w:pPr>
            <w:r w:rsidRPr="002D6487">
              <w:t>Cita informācija</w:t>
            </w:r>
          </w:p>
        </w:tc>
        <w:tc>
          <w:tcPr>
            <w:tcW w:w="5602" w:type="dxa"/>
            <w:tcBorders>
              <w:bottom w:val="single" w:sz="4" w:space="0" w:color="auto"/>
            </w:tcBorders>
            <w:shd w:val="clear" w:color="auto" w:fill="auto"/>
          </w:tcPr>
          <w:p w14:paraId="73BC8FFE" w14:textId="77777777" w:rsidR="00637346" w:rsidRPr="002D6487" w:rsidRDefault="00637346" w:rsidP="005736DB">
            <w:pPr>
              <w:pStyle w:val="tvhtmlmktable"/>
              <w:spacing w:before="0" w:beforeAutospacing="0" w:after="0" w:afterAutospacing="0"/>
              <w:ind w:left="74" w:right="152"/>
              <w:jc w:val="both"/>
            </w:pPr>
            <w:r w:rsidRPr="002D6487">
              <w:t xml:space="preserve">Papildus saistības Latvijas Republikai šis projekts neuzliek. </w:t>
            </w:r>
          </w:p>
          <w:p w14:paraId="23F54DFF" w14:textId="77777777" w:rsidR="007570A0" w:rsidRDefault="00C34F91" w:rsidP="005E2D36">
            <w:pPr>
              <w:ind w:left="74" w:right="283"/>
              <w:jc w:val="both"/>
            </w:pPr>
            <w:r>
              <w:t xml:space="preserve">Līgums </w:t>
            </w:r>
            <w:r w:rsidR="005E2D36" w:rsidRPr="005E2D36">
              <w:t>tiks īstenots</w:t>
            </w:r>
            <w:r w:rsidR="00637346" w:rsidRPr="002D6487">
              <w:t xml:space="preserve"> no Izglītības un zinātnes ministrijai</w:t>
            </w:r>
            <w:r w:rsidR="005E2D36">
              <w:t xml:space="preserve"> un Valsts izglītības attīstības aģentūrai</w:t>
            </w:r>
            <w:r w:rsidR="00637346" w:rsidRPr="002D6487">
              <w:t xml:space="preserve"> piešķirtajiem budžeta līdzekļiem.</w:t>
            </w:r>
          </w:p>
          <w:p w14:paraId="23ECFAB6" w14:textId="0CB5D671" w:rsidR="007F4FD9" w:rsidRPr="002D6487" w:rsidRDefault="007F4FD9" w:rsidP="00DD34EC">
            <w:pPr>
              <w:ind w:left="74" w:right="283"/>
              <w:jc w:val="both"/>
            </w:pPr>
            <w:r>
              <w:t xml:space="preserve">Ķīnas puse ir paudusi interesi parakstīt līgumu </w:t>
            </w:r>
            <w:r w:rsidR="00DD34EC">
              <w:t>2017. gada pirmajā pusgadā</w:t>
            </w:r>
            <w:r w:rsidRPr="00684083">
              <w:t>.</w:t>
            </w:r>
          </w:p>
        </w:tc>
      </w:tr>
    </w:tbl>
    <w:p w14:paraId="24BFC90B" w14:textId="77777777" w:rsidR="002D6487" w:rsidRPr="00313B85" w:rsidRDefault="002D6487" w:rsidP="002D6487">
      <w:pPr>
        <w:pStyle w:val="naisf"/>
        <w:widowControl w:val="0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110"/>
        <w:gridCol w:w="4962"/>
      </w:tblGrid>
      <w:tr w:rsidR="002D6487" w:rsidRPr="00313B85" w14:paraId="7BC6DFA2" w14:textId="77777777" w:rsidTr="00F93FA0">
        <w:tc>
          <w:tcPr>
            <w:tcW w:w="9503" w:type="dxa"/>
            <w:gridSpan w:val="3"/>
            <w:vAlign w:val="center"/>
          </w:tcPr>
          <w:p w14:paraId="6C906D88" w14:textId="77777777" w:rsidR="002D6487" w:rsidRPr="00313B85" w:rsidRDefault="002D6487" w:rsidP="00E87B00">
            <w:pPr>
              <w:pStyle w:val="naisnod"/>
              <w:widowControl w:val="0"/>
              <w:spacing w:before="0" w:after="120"/>
            </w:pPr>
            <w:r w:rsidRPr="00313B85">
              <w:t>II. Tiesību akta projekta ietekme uz sabiedrību</w:t>
            </w:r>
            <w:r w:rsidR="0062080D">
              <w:t>, tautsaimniecības attīstību un administratīvo slogu</w:t>
            </w:r>
          </w:p>
        </w:tc>
      </w:tr>
      <w:tr w:rsidR="002D6487" w:rsidRPr="00313B85" w14:paraId="1D7F8951" w14:textId="77777777" w:rsidTr="00F93FA0">
        <w:trPr>
          <w:trHeight w:val="467"/>
        </w:trPr>
        <w:tc>
          <w:tcPr>
            <w:tcW w:w="431" w:type="dxa"/>
          </w:tcPr>
          <w:p w14:paraId="177E32FB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1.</w:t>
            </w:r>
          </w:p>
        </w:tc>
        <w:tc>
          <w:tcPr>
            <w:tcW w:w="4110" w:type="dxa"/>
          </w:tcPr>
          <w:p w14:paraId="5F7674AA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Sabiedrības mērķgrupa</w:t>
            </w:r>
            <w:r w:rsidR="0062080D">
              <w:t>s, kuras tiesiskais regulējums ietekmē vai varētu ietekmēt</w:t>
            </w:r>
          </w:p>
        </w:tc>
        <w:tc>
          <w:tcPr>
            <w:tcW w:w="4962" w:type="dxa"/>
          </w:tcPr>
          <w:p w14:paraId="5E668169" w14:textId="04A46B80" w:rsidR="002D6487" w:rsidRPr="002D6487" w:rsidRDefault="002D6487" w:rsidP="00DF36AF">
            <w:pPr>
              <w:pStyle w:val="naiskr"/>
              <w:widowControl w:val="0"/>
              <w:spacing w:before="0" w:after="120"/>
              <w:ind w:left="142" w:right="114"/>
              <w:jc w:val="both"/>
            </w:pPr>
            <w:r w:rsidRPr="002D6487">
              <w:rPr>
                <w:iCs/>
              </w:rPr>
              <w:t>Valsts pārvaldes institūcijas, kur</w:t>
            </w:r>
            <w:r w:rsidR="0020070F">
              <w:rPr>
                <w:iCs/>
              </w:rPr>
              <w:t xml:space="preserve">u darbību var skart </w:t>
            </w:r>
            <w:r w:rsidR="00EC2F11">
              <w:rPr>
                <w:bCs/>
              </w:rPr>
              <w:t xml:space="preserve">Latvijas un </w:t>
            </w:r>
            <w:r w:rsidR="004361ED">
              <w:rPr>
                <w:bCs/>
              </w:rPr>
              <w:t>Ķīnas</w:t>
            </w:r>
            <w:r w:rsidR="001A08B5">
              <w:rPr>
                <w:bCs/>
              </w:rPr>
              <w:t xml:space="preserve"> </w:t>
            </w:r>
            <w:r w:rsidRPr="002D6487">
              <w:rPr>
                <w:bCs/>
              </w:rPr>
              <w:t>sadarbīb</w:t>
            </w:r>
            <w:r w:rsidR="0020070F">
              <w:rPr>
                <w:bCs/>
              </w:rPr>
              <w:t>as</w:t>
            </w:r>
            <w:r w:rsidRPr="002D6487">
              <w:t xml:space="preserve"> izglītības</w:t>
            </w:r>
            <w:r w:rsidR="005736DB">
              <w:t xml:space="preserve"> </w:t>
            </w:r>
            <w:r w:rsidRPr="002D6487">
              <w:t>jomā</w:t>
            </w:r>
            <w:r w:rsidR="0020070F">
              <w:t xml:space="preserve"> jautājumi</w:t>
            </w:r>
            <w:r w:rsidR="00DF36AF">
              <w:t xml:space="preserve">, augstskolas un studentus, jo līgums paredz stipendiju apmaiņu, kā arī jebkuru iedzīvotāju, kuru interesē ķīniešu valodas apguve, jo līgums paredz atbalstu </w:t>
            </w:r>
            <w:r w:rsidR="00DF36AF" w:rsidRPr="00DF36AF">
              <w:t>ķīniešu valodas un kultūras studij</w:t>
            </w:r>
            <w:r w:rsidR="00DF36AF">
              <w:t>ām</w:t>
            </w:r>
            <w:r w:rsidR="00DF36AF" w:rsidRPr="00DF36AF">
              <w:t xml:space="preserve"> Latvijā</w:t>
            </w:r>
            <w:r w:rsidRPr="002D6487">
              <w:rPr>
                <w:bCs/>
              </w:rPr>
              <w:t>.</w:t>
            </w:r>
          </w:p>
        </w:tc>
      </w:tr>
      <w:tr w:rsidR="002D6487" w:rsidRPr="00313B85" w14:paraId="315F4665" w14:textId="77777777" w:rsidTr="00A057BB">
        <w:trPr>
          <w:trHeight w:val="625"/>
        </w:trPr>
        <w:tc>
          <w:tcPr>
            <w:tcW w:w="431" w:type="dxa"/>
          </w:tcPr>
          <w:p w14:paraId="40C398AE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2.</w:t>
            </w:r>
          </w:p>
        </w:tc>
        <w:tc>
          <w:tcPr>
            <w:tcW w:w="4110" w:type="dxa"/>
          </w:tcPr>
          <w:p w14:paraId="2AC52427" w14:textId="77777777" w:rsidR="002D6487" w:rsidRPr="00313B85" w:rsidRDefault="0062080D" w:rsidP="0062080D">
            <w:pPr>
              <w:pStyle w:val="naiskr"/>
              <w:widowControl w:val="0"/>
              <w:spacing w:before="0" w:after="120"/>
            </w:pPr>
            <w:r>
              <w:t>Tiesiskā regulējuma ietekme uz tautsaimniecības un administratīvo slogu</w:t>
            </w:r>
          </w:p>
        </w:tc>
        <w:tc>
          <w:tcPr>
            <w:tcW w:w="4962" w:type="dxa"/>
          </w:tcPr>
          <w:p w14:paraId="6808B6F2" w14:textId="77777777"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 xml:space="preserve">Nav. </w:t>
            </w:r>
          </w:p>
        </w:tc>
      </w:tr>
      <w:tr w:rsidR="002D6487" w:rsidRPr="00313B85" w14:paraId="5DF634CF" w14:textId="77777777" w:rsidTr="00F93FA0">
        <w:trPr>
          <w:trHeight w:val="673"/>
        </w:trPr>
        <w:tc>
          <w:tcPr>
            <w:tcW w:w="431" w:type="dxa"/>
          </w:tcPr>
          <w:p w14:paraId="2F1C5A6C" w14:textId="77777777" w:rsidR="002D6487" w:rsidRPr="00313B85" w:rsidRDefault="0062080D" w:rsidP="00E87B00">
            <w:pPr>
              <w:pStyle w:val="naiskr"/>
              <w:widowControl w:val="0"/>
              <w:spacing w:before="0" w:after="120"/>
            </w:pPr>
            <w:r>
              <w:t>3</w:t>
            </w:r>
            <w:r w:rsidR="002D6487" w:rsidRPr="00313B85">
              <w:t>.</w:t>
            </w:r>
          </w:p>
        </w:tc>
        <w:tc>
          <w:tcPr>
            <w:tcW w:w="4110" w:type="dxa"/>
          </w:tcPr>
          <w:p w14:paraId="6DC5B0E1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Administratīvo izmaksu monetārs novērtējums</w:t>
            </w:r>
          </w:p>
        </w:tc>
        <w:tc>
          <w:tcPr>
            <w:tcW w:w="4962" w:type="dxa"/>
          </w:tcPr>
          <w:p w14:paraId="541FAB29" w14:textId="77777777"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>Nav attiecināms.</w:t>
            </w:r>
          </w:p>
        </w:tc>
      </w:tr>
      <w:tr w:rsidR="002D6487" w:rsidRPr="00313B85" w14:paraId="0B3C56D6" w14:textId="77777777" w:rsidTr="00A057BB">
        <w:trPr>
          <w:trHeight w:val="247"/>
        </w:trPr>
        <w:tc>
          <w:tcPr>
            <w:tcW w:w="431" w:type="dxa"/>
          </w:tcPr>
          <w:p w14:paraId="4954DF23" w14:textId="77777777" w:rsidR="002D6487" w:rsidRPr="00313B85" w:rsidRDefault="0062080D" w:rsidP="00E87B00">
            <w:pPr>
              <w:pStyle w:val="naiskr"/>
              <w:widowControl w:val="0"/>
              <w:spacing w:before="0" w:after="120"/>
            </w:pPr>
            <w:r>
              <w:t>4</w:t>
            </w:r>
            <w:r w:rsidR="002D6487" w:rsidRPr="00313B85">
              <w:t>.</w:t>
            </w:r>
          </w:p>
        </w:tc>
        <w:tc>
          <w:tcPr>
            <w:tcW w:w="4110" w:type="dxa"/>
          </w:tcPr>
          <w:p w14:paraId="580117CE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Cita informācija</w:t>
            </w:r>
          </w:p>
        </w:tc>
        <w:tc>
          <w:tcPr>
            <w:tcW w:w="4962" w:type="dxa"/>
          </w:tcPr>
          <w:p w14:paraId="3CFB2EB9" w14:textId="77777777"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 xml:space="preserve">Nav. </w:t>
            </w:r>
          </w:p>
        </w:tc>
      </w:tr>
    </w:tbl>
    <w:p w14:paraId="24DC0B3D" w14:textId="77777777" w:rsidR="002D6487" w:rsidRPr="00313B85" w:rsidRDefault="002D6487" w:rsidP="002D648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078"/>
        <w:gridCol w:w="4961"/>
      </w:tblGrid>
      <w:tr w:rsidR="002D6487" w:rsidRPr="00313B85" w14:paraId="4B29AE25" w14:textId="77777777" w:rsidTr="002D6487">
        <w:trPr>
          <w:jc w:val="center"/>
        </w:trPr>
        <w:tc>
          <w:tcPr>
            <w:tcW w:w="9576" w:type="dxa"/>
            <w:gridSpan w:val="3"/>
          </w:tcPr>
          <w:p w14:paraId="28A7DF2E" w14:textId="77777777" w:rsidR="002D6487" w:rsidRPr="00313B85" w:rsidRDefault="002D6487" w:rsidP="00E87B00">
            <w:pPr>
              <w:pStyle w:val="naisnod"/>
              <w:widowControl w:val="0"/>
              <w:spacing w:before="0" w:after="120"/>
            </w:pPr>
            <w:r w:rsidRPr="00313B85">
              <w:t>IV. Tiesību akta projekta ietekme uz spēkā esošo tiesību normu sistēmu</w:t>
            </w:r>
          </w:p>
        </w:tc>
      </w:tr>
      <w:tr w:rsidR="002D6487" w:rsidRPr="00313B85" w14:paraId="45B1293E" w14:textId="77777777" w:rsidTr="002D6487">
        <w:trPr>
          <w:jc w:val="center"/>
        </w:trPr>
        <w:tc>
          <w:tcPr>
            <w:tcW w:w="537" w:type="dxa"/>
          </w:tcPr>
          <w:p w14:paraId="190A9165" w14:textId="77777777" w:rsidR="002D6487" w:rsidRPr="00313B85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313B85">
              <w:rPr>
                <w:iCs/>
              </w:rPr>
              <w:t>1.</w:t>
            </w:r>
          </w:p>
        </w:tc>
        <w:tc>
          <w:tcPr>
            <w:tcW w:w="4078" w:type="dxa"/>
          </w:tcPr>
          <w:p w14:paraId="45787BE6" w14:textId="77777777" w:rsidR="002D6487" w:rsidRPr="00313B85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313B85">
              <w:t>Nepieciešamie saistītie tiesību aktu projekti</w:t>
            </w:r>
          </w:p>
        </w:tc>
        <w:tc>
          <w:tcPr>
            <w:tcW w:w="4961" w:type="dxa"/>
          </w:tcPr>
          <w:p w14:paraId="3A3606D7" w14:textId="77777777" w:rsidR="002D6487" w:rsidRPr="00313B85" w:rsidRDefault="002D6487" w:rsidP="00E87B00">
            <w:pPr>
              <w:pStyle w:val="naislab"/>
              <w:widowControl w:val="0"/>
              <w:spacing w:before="0" w:after="120"/>
              <w:ind w:left="34" w:right="110"/>
              <w:jc w:val="both"/>
              <w:outlineLvl w:val="0"/>
              <w:rPr>
                <w:highlight w:val="yellow"/>
              </w:rPr>
            </w:pPr>
            <w:r w:rsidRPr="005D2DAC">
              <w:t>Nav.</w:t>
            </w:r>
          </w:p>
        </w:tc>
      </w:tr>
      <w:tr w:rsidR="002D6487" w:rsidRPr="00313B85" w14:paraId="25A4F877" w14:textId="77777777" w:rsidTr="00A057BB">
        <w:trPr>
          <w:trHeight w:val="343"/>
          <w:jc w:val="center"/>
        </w:trPr>
        <w:tc>
          <w:tcPr>
            <w:tcW w:w="537" w:type="dxa"/>
          </w:tcPr>
          <w:p w14:paraId="3887FFC6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2.</w:t>
            </w:r>
          </w:p>
        </w:tc>
        <w:tc>
          <w:tcPr>
            <w:tcW w:w="4078" w:type="dxa"/>
          </w:tcPr>
          <w:p w14:paraId="546C1703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Cita informācija</w:t>
            </w:r>
          </w:p>
        </w:tc>
        <w:tc>
          <w:tcPr>
            <w:tcW w:w="4961" w:type="dxa"/>
          </w:tcPr>
          <w:p w14:paraId="51BB9DE3" w14:textId="3045F1FD" w:rsidR="002D6487" w:rsidRPr="005D2DAC" w:rsidRDefault="006037A4" w:rsidP="005342E3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rPr>
                <w:bCs/>
              </w:rPr>
              <w:t xml:space="preserve">Tā kā šobrīd spēkā ir </w:t>
            </w:r>
            <w:r w:rsidRPr="006037A4">
              <w:rPr>
                <w:bCs/>
              </w:rPr>
              <w:t xml:space="preserve">1996. </w:t>
            </w:r>
            <w:r>
              <w:rPr>
                <w:bCs/>
              </w:rPr>
              <w:t xml:space="preserve">gadā noslēgtais līgums un </w:t>
            </w:r>
            <w:r w:rsidRPr="006037A4">
              <w:t xml:space="preserve">paredzams, ka līgums tiks parakstīts pirms </w:t>
            </w:r>
            <w:r w:rsidRPr="006037A4">
              <w:rPr>
                <w:bCs/>
              </w:rPr>
              <w:t>līguma par</w:t>
            </w:r>
            <w:r w:rsidRPr="006037A4">
              <w:t xml:space="preserve"> sadarbību kultūras jomā</w:t>
            </w:r>
            <w:r>
              <w:t xml:space="preserve">, tad </w:t>
            </w:r>
            <w:r w:rsidRPr="006037A4">
              <w:t xml:space="preserve">līdz </w:t>
            </w:r>
            <w:r w:rsidRPr="006037A4">
              <w:rPr>
                <w:bCs/>
              </w:rPr>
              <w:t>līguma par</w:t>
            </w:r>
            <w:r w:rsidRPr="006037A4">
              <w:t xml:space="preserve"> sadarbību kultūras jomā spēkā stāšanās savu darbību turpinās </w:t>
            </w:r>
            <w:r w:rsidRPr="006037A4">
              <w:rPr>
                <w:bCs/>
              </w:rPr>
              <w:t>1996. gadā noslēgtais līgums</w:t>
            </w:r>
            <w:r>
              <w:rPr>
                <w:bCs/>
              </w:rPr>
              <w:t xml:space="preserve">. Attiecībā uz sadarbību izglītības jomā saskaņā ar </w:t>
            </w:r>
            <w:r w:rsidRPr="006037A4">
              <w:rPr>
                <w:bCs/>
              </w:rPr>
              <w:t>Vīnes konvencija</w:t>
            </w:r>
            <w:r>
              <w:rPr>
                <w:bCs/>
              </w:rPr>
              <w:t>s</w:t>
            </w:r>
            <w:r w:rsidRPr="006037A4">
              <w:rPr>
                <w:bCs/>
              </w:rPr>
              <w:t xml:space="preserve"> </w:t>
            </w:r>
            <w:r>
              <w:rPr>
                <w:bCs/>
              </w:rPr>
              <w:t>64.</w:t>
            </w:r>
            <w:r w:rsidR="005342E3">
              <w:rPr>
                <w:bCs/>
              </w:rPr>
              <w:t> </w:t>
            </w:r>
            <w:r>
              <w:rPr>
                <w:bCs/>
              </w:rPr>
              <w:t>pantu pēc līguma spēkā stāšanās tiks piemērotas jaunajā līgumā ietvertās tiesību normas.</w:t>
            </w:r>
          </w:p>
        </w:tc>
      </w:tr>
    </w:tbl>
    <w:p w14:paraId="44DCAF64" w14:textId="77777777" w:rsidR="002D6487" w:rsidRDefault="002D6487" w:rsidP="002D648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157"/>
        <w:gridCol w:w="5026"/>
      </w:tblGrid>
      <w:tr w:rsidR="002D6487" w:rsidRPr="00313B85" w14:paraId="27A86E8F" w14:textId="77777777" w:rsidTr="00F33A4E">
        <w:trPr>
          <w:jc w:val="center"/>
        </w:trPr>
        <w:tc>
          <w:tcPr>
            <w:tcW w:w="9579" w:type="dxa"/>
            <w:gridSpan w:val="3"/>
          </w:tcPr>
          <w:p w14:paraId="61417813" w14:textId="77777777" w:rsidR="002D6487" w:rsidRPr="005D2DAC" w:rsidRDefault="002D6487" w:rsidP="002F582E">
            <w:pPr>
              <w:pStyle w:val="naisnod"/>
              <w:widowControl w:val="0"/>
              <w:spacing w:before="0" w:after="120"/>
            </w:pPr>
            <w:r w:rsidRPr="005D2DAC">
              <w:t>V. Tiesību akta projekta atbilstība Latvijas Republikas starptautiskajām saistībām</w:t>
            </w:r>
          </w:p>
        </w:tc>
      </w:tr>
      <w:tr w:rsidR="002D6487" w:rsidRPr="00313B85" w14:paraId="1DDDE833" w14:textId="77777777" w:rsidTr="00F33A4E">
        <w:trPr>
          <w:trHeight w:val="403"/>
          <w:jc w:val="center"/>
        </w:trPr>
        <w:tc>
          <w:tcPr>
            <w:tcW w:w="396" w:type="dxa"/>
          </w:tcPr>
          <w:p w14:paraId="03A62EE2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1.</w:t>
            </w:r>
          </w:p>
        </w:tc>
        <w:tc>
          <w:tcPr>
            <w:tcW w:w="4157" w:type="dxa"/>
          </w:tcPr>
          <w:p w14:paraId="196139CB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Saistības pret Eiropas Savienību</w:t>
            </w:r>
          </w:p>
        </w:tc>
        <w:tc>
          <w:tcPr>
            <w:tcW w:w="5026" w:type="dxa"/>
          </w:tcPr>
          <w:p w14:paraId="41F2E23C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 xml:space="preserve">Nav. </w:t>
            </w:r>
          </w:p>
        </w:tc>
      </w:tr>
      <w:tr w:rsidR="002D6487" w:rsidRPr="00313B85" w14:paraId="59752947" w14:textId="77777777" w:rsidTr="00F33A4E">
        <w:trPr>
          <w:trHeight w:val="325"/>
          <w:jc w:val="center"/>
        </w:trPr>
        <w:tc>
          <w:tcPr>
            <w:tcW w:w="396" w:type="dxa"/>
          </w:tcPr>
          <w:p w14:paraId="65219C2E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2.</w:t>
            </w:r>
          </w:p>
        </w:tc>
        <w:tc>
          <w:tcPr>
            <w:tcW w:w="4157" w:type="dxa"/>
          </w:tcPr>
          <w:p w14:paraId="55717EA1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Citas starptautiskās saistības</w:t>
            </w:r>
          </w:p>
        </w:tc>
        <w:tc>
          <w:tcPr>
            <w:tcW w:w="5026" w:type="dxa"/>
          </w:tcPr>
          <w:p w14:paraId="7E13D23B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  <w:tr w:rsidR="002D6487" w:rsidRPr="00313B85" w14:paraId="3EBF799D" w14:textId="77777777" w:rsidTr="00F33A4E">
        <w:trPr>
          <w:jc w:val="center"/>
        </w:trPr>
        <w:tc>
          <w:tcPr>
            <w:tcW w:w="396" w:type="dxa"/>
          </w:tcPr>
          <w:p w14:paraId="7EBD6EC4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3.</w:t>
            </w:r>
          </w:p>
        </w:tc>
        <w:tc>
          <w:tcPr>
            <w:tcW w:w="4157" w:type="dxa"/>
          </w:tcPr>
          <w:p w14:paraId="444F5D93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5D2DAC">
              <w:t>Cita informācija</w:t>
            </w:r>
          </w:p>
        </w:tc>
        <w:tc>
          <w:tcPr>
            <w:tcW w:w="5026" w:type="dxa"/>
          </w:tcPr>
          <w:p w14:paraId="33C59A5C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Nav.</w:t>
            </w:r>
          </w:p>
        </w:tc>
      </w:tr>
    </w:tbl>
    <w:p w14:paraId="52A94CBB" w14:textId="77777777" w:rsidR="002D6487" w:rsidRDefault="002D6487" w:rsidP="002D6487">
      <w:pPr>
        <w:widowControl w:val="0"/>
        <w:spacing w:after="120"/>
        <w:rPr>
          <w:highlight w:val="yellow"/>
        </w:rPr>
      </w:pPr>
    </w:p>
    <w:tbl>
      <w:tblPr>
        <w:tblW w:w="532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93"/>
        <w:gridCol w:w="6029"/>
      </w:tblGrid>
      <w:tr w:rsidR="00F33A4E" w14:paraId="56B7526F" w14:textId="77777777" w:rsidTr="005F3DBD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8468D" w14:textId="77777777" w:rsidR="00F33A4E" w:rsidRDefault="00F33A4E" w:rsidP="002F582E">
            <w:pPr>
              <w:pStyle w:val="naisnod"/>
              <w:widowControl w:val="0"/>
              <w:spacing w:before="0" w:after="120"/>
              <w:rPr>
                <w:color w:val="414142"/>
                <w:sz w:val="20"/>
                <w:szCs w:val="20"/>
              </w:rPr>
            </w:pPr>
            <w:r w:rsidRPr="00F33A4E">
              <w:t>VI. Sabiedrības līdzdalība un komunikācijas aktivitātes</w:t>
            </w:r>
          </w:p>
        </w:tc>
      </w:tr>
      <w:tr w:rsidR="00F33A4E" w14:paraId="0F98737A" w14:textId="77777777" w:rsidTr="00F33A4E">
        <w:trPr>
          <w:trHeight w:val="540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2438A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1.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5EF74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Plānotās sabiedrības līdzdalības un komunikācijas aktivitātes saistībā ar projektu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02BAD" w14:textId="1149F5EA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Nav.</w:t>
            </w:r>
          </w:p>
        </w:tc>
      </w:tr>
      <w:tr w:rsidR="00F33A4E" w14:paraId="7E43EF47" w14:textId="77777777" w:rsidTr="00F33A4E">
        <w:trPr>
          <w:trHeight w:val="330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2CAD0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2.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B6FF2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Sabiedrības līdzdalība projekta izstrādē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25D59" w14:textId="7648636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after="120"/>
              <w:jc w:val="both"/>
            </w:pPr>
            <w:r>
              <w:t xml:space="preserve">Par līguma projektu notika </w:t>
            </w:r>
            <w:r w:rsidRPr="002F582E">
              <w:t>konsultācijas ar Augstākās izglītības eksporta apvienību un Latvijas Rektoru padomi.</w:t>
            </w:r>
          </w:p>
        </w:tc>
      </w:tr>
      <w:tr w:rsidR="00F33A4E" w14:paraId="5C3136B1" w14:textId="77777777" w:rsidTr="00F33A4E">
        <w:trPr>
          <w:trHeight w:val="465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F6FBB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3.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E1302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Sabiedrības līdzdalības rezultāti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BDE70" w14:textId="11C3AC17" w:rsidR="00F33A4E" w:rsidRPr="00F33A4E" w:rsidRDefault="00F33A4E" w:rsidP="00DF36AF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Par līguma projekt</w:t>
            </w:r>
            <w:r w:rsidR="00DF36AF">
              <w:t>a</w:t>
            </w:r>
            <w:r w:rsidR="00954C94">
              <w:t xml:space="preserve"> tekstu priekšlikumi vai iebildumi </w:t>
            </w:r>
            <w:r>
              <w:t>netika saņemti.</w:t>
            </w:r>
          </w:p>
        </w:tc>
      </w:tr>
      <w:tr w:rsidR="00F33A4E" w14:paraId="2BEF0A41" w14:textId="77777777" w:rsidTr="00F33A4E">
        <w:trPr>
          <w:trHeight w:val="465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C137E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4.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4B7E4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Cita informācija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69C18" w14:textId="5FB968FE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Nav.</w:t>
            </w:r>
          </w:p>
        </w:tc>
      </w:tr>
    </w:tbl>
    <w:p w14:paraId="437603E0" w14:textId="77777777" w:rsidR="00F33A4E" w:rsidRDefault="00F33A4E" w:rsidP="002D6487">
      <w:pPr>
        <w:widowControl w:val="0"/>
        <w:spacing w:after="120"/>
        <w:rPr>
          <w:highlight w:val="yellow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3260"/>
        <w:gridCol w:w="5954"/>
      </w:tblGrid>
      <w:tr w:rsidR="00271778" w14:paraId="25C0E317" w14:textId="77777777" w:rsidTr="00F33A4E">
        <w:tc>
          <w:tcPr>
            <w:tcW w:w="9640" w:type="dxa"/>
            <w:gridSpan w:val="3"/>
          </w:tcPr>
          <w:p w14:paraId="43F193D3" w14:textId="77777777" w:rsidR="00271778" w:rsidRDefault="00271778" w:rsidP="00637346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271778" w14:paraId="49A1B826" w14:textId="77777777" w:rsidTr="00B15AC0">
        <w:tc>
          <w:tcPr>
            <w:tcW w:w="426" w:type="dxa"/>
          </w:tcPr>
          <w:p w14:paraId="73D4B03C" w14:textId="77777777" w:rsidR="00271778" w:rsidRDefault="00271778" w:rsidP="00271778">
            <w:pPr>
              <w:pStyle w:val="tvhtmlmktable"/>
            </w:pPr>
            <w:r>
              <w:t>1.</w:t>
            </w:r>
          </w:p>
        </w:tc>
        <w:tc>
          <w:tcPr>
            <w:tcW w:w="3260" w:type="dxa"/>
          </w:tcPr>
          <w:p w14:paraId="4179E78E" w14:textId="77777777" w:rsidR="00271778" w:rsidRDefault="00271778" w:rsidP="00271778">
            <w:pPr>
              <w:pStyle w:val="tvhtmlmktable"/>
            </w:pPr>
            <w:r>
              <w:t>Projekta izpildē iesaistītās institūcijas</w:t>
            </w:r>
          </w:p>
        </w:tc>
        <w:tc>
          <w:tcPr>
            <w:tcW w:w="5954" w:type="dxa"/>
          </w:tcPr>
          <w:p w14:paraId="7CB512DE" w14:textId="77777777" w:rsidR="00271778" w:rsidRDefault="00271778" w:rsidP="00C34F91">
            <w:pPr>
              <w:pStyle w:val="tvhtmlmktable"/>
              <w:jc w:val="both"/>
            </w:pPr>
            <w:r>
              <w:t>Projekta izpildi nodrošinās Izglītības un zinātnes ministrija</w:t>
            </w:r>
            <w:r w:rsidR="00FB4515">
              <w:t>.</w:t>
            </w:r>
          </w:p>
        </w:tc>
      </w:tr>
      <w:tr w:rsidR="00271778" w14:paraId="1D335C2D" w14:textId="77777777" w:rsidTr="00B15AC0">
        <w:tc>
          <w:tcPr>
            <w:tcW w:w="426" w:type="dxa"/>
          </w:tcPr>
          <w:p w14:paraId="5C225A0D" w14:textId="77777777" w:rsidR="00271778" w:rsidRDefault="00271778" w:rsidP="00271778">
            <w:pPr>
              <w:pStyle w:val="tvhtmlmktable"/>
            </w:pPr>
            <w:r>
              <w:t>2.</w:t>
            </w:r>
          </w:p>
        </w:tc>
        <w:tc>
          <w:tcPr>
            <w:tcW w:w="3260" w:type="dxa"/>
          </w:tcPr>
          <w:p w14:paraId="2CE5932B" w14:textId="77777777" w:rsidR="00271778" w:rsidRDefault="00271778" w:rsidP="0062080D">
            <w:pPr>
              <w:pStyle w:val="tvhtmlmktable"/>
              <w:spacing w:before="0" w:beforeAutospacing="0" w:after="0" w:afterAutospacing="0"/>
            </w:pPr>
            <w:r>
              <w:t>Projekta izpildes ietekme uz pārvaldes funkcijām</w:t>
            </w:r>
            <w:r w:rsidR="0062080D">
              <w:t xml:space="preserve"> un institucionālo struktūru.</w:t>
            </w:r>
          </w:p>
          <w:p w14:paraId="7E4BA86B" w14:textId="77777777" w:rsidR="0062080D" w:rsidRDefault="0062080D" w:rsidP="0062080D">
            <w:pPr>
              <w:pStyle w:val="tvhtmlmktable"/>
              <w:spacing w:before="0" w:beforeAutospacing="0" w:after="0" w:afterAutospacing="0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954" w:type="dxa"/>
          </w:tcPr>
          <w:p w14:paraId="3788FBDF" w14:textId="77777777" w:rsidR="00271778" w:rsidRDefault="0062080D" w:rsidP="00271778">
            <w:pPr>
              <w:pStyle w:val="tvhtmlmktable"/>
              <w:jc w:val="both"/>
            </w:pPr>
            <w:r>
              <w:t xml:space="preserve">Pārvaldes funkcijas un uzdevumi netiek grozīti, institucionālā struktūra netiek mainīta. Jaunas institūcijas netiek izveidotas. Esošās institūcijas netiks likvidētas vai reorganizētas. </w:t>
            </w:r>
            <w:r w:rsidR="00271778">
              <w:t>Projekts tiks izpildīts esošo pārvaldes funkciju ietvaros</w:t>
            </w:r>
            <w:r w:rsidR="002D6487">
              <w:t>.</w:t>
            </w:r>
            <w:r w:rsidR="00271778">
              <w:t xml:space="preserve"> </w:t>
            </w:r>
          </w:p>
        </w:tc>
      </w:tr>
      <w:tr w:rsidR="00271778" w14:paraId="54A8C112" w14:textId="77777777" w:rsidTr="00B15AC0">
        <w:tc>
          <w:tcPr>
            <w:tcW w:w="426" w:type="dxa"/>
          </w:tcPr>
          <w:p w14:paraId="5663ECBC" w14:textId="77777777" w:rsidR="00271778" w:rsidRDefault="0062080D" w:rsidP="00271778">
            <w:pPr>
              <w:pStyle w:val="tvhtmlmktable"/>
            </w:pPr>
            <w:r>
              <w:t>3</w:t>
            </w:r>
            <w:r w:rsidR="00271778">
              <w:t>.</w:t>
            </w:r>
          </w:p>
        </w:tc>
        <w:tc>
          <w:tcPr>
            <w:tcW w:w="3260" w:type="dxa"/>
          </w:tcPr>
          <w:p w14:paraId="527DBF96" w14:textId="77777777" w:rsidR="00271778" w:rsidRDefault="00271778" w:rsidP="00271778">
            <w:pPr>
              <w:pStyle w:val="tvhtmlmktable"/>
            </w:pPr>
            <w:r>
              <w:t>Cita informācija</w:t>
            </w:r>
          </w:p>
        </w:tc>
        <w:tc>
          <w:tcPr>
            <w:tcW w:w="5954" w:type="dxa"/>
          </w:tcPr>
          <w:p w14:paraId="3D2BCEC9" w14:textId="77777777" w:rsidR="00271778" w:rsidRDefault="00271778" w:rsidP="00271778">
            <w:pPr>
              <w:pStyle w:val="tvhtmlmktable"/>
            </w:pPr>
            <w:r>
              <w:t xml:space="preserve">Nav. </w:t>
            </w:r>
          </w:p>
        </w:tc>
      </w:tr>
    </w:tbl>
    <w:p w14:paraId="6903B763" w14:textId="77777777" w:rsidR="00637346" w:rsidRPr="009235D8" w:rsidRDefault="00637346" w:rsidP="009235D8">
      <w:pPr>
        <w:pStyle w:val="naisf"/>
        <w:spacing w:before="0" w:after="0"/>
      </w:pPr>
    </w:p>
    <w:p w14:paraId="4E9F47BA" w14:textId="0C6928AC" w:rsidR="002D6487" w:rsidRPr="009235D8" w:rsidRDefault="002D6487" w:rsidP="009235D8">
      <w:pPr>
        <w:pStyle w:val="naisf"/>
        <w:widowControl w:val="0"/>
        <w:spacing w:before="0" w:after="0"/>
        <w:ind w:firstLine="0"/>
        <w:jc w:val="center"/>
      </w:pPr>
      <w:r w:rsidRPr="009235D8">
        <w:t>Anotācijas III sadaļa</w:t>
      </w:r>
      <w:r w:rsidR="00F33A4E" w:rsidRPr="009235D8">
        <w:t xml:space="preserve"> un</w:t>
      </w:r>
      <w:r w:rsidRPr="009235D8">
        <w:t xml:space="preserve"> V sadaļas 1. un 2. tabula – nav attiecināms.</w:t>
      </w:r>
    </w:p>
    <w:p w14:paraId="4F8F8096" w14:textId="77777777" w:rsidR="00373B17" w:rsidRDefault="00373B17" w:rsidP="009235D8">
      <w:pPr>
        <w:pStyle w:val="naisf"/>
        <w:spacing w:before="0" w:after="0"/>
      </w:pPr>
    </w:p>
    <w:p w14:paraId="12B94D62" w14:textId="77777777" w:rsidR="009235D8" w:rsidRPr="009235D8" w:rsidRDefault="009235D8" w:rsidP="009235D8">
      <w:pPr>
        <w:pStyle w:val="naisf"/>
        <w:spacing w:before="0" w:after="0"/>
      </w:pPr>
    </w:p>
    <w:p w14:paraId="4F44E869" w14:textId="241963EA" w:rsidR="00E41B73" w:rsidRPr="009235D8" w:rsidRDefault="00B22DC8" w:rsidP="00F47118">
      <w:r w:rsidRPr="009235D8">
        <w:t>I</w:t>
      </w:r>
      <w:r w:rsidR="00E41B73" w:rsidRPr="009235D8">
        <w:t>zglītības un zinātnes ministr</w:t>
      </w:r>
      <w:r w:rsidR="005736DB" w:rsidRPr="009235D8">
        <w:t>s</w:t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9235D8" w:rsidRPr="009235D8">
        <w:tab/>
      </w:r>
      <w:proofErr w:type="spellStart"/>
      <w:r w:rsidR="005736DB" w:rsidRPr="009235D8">
        <w:t>K</w:t>
      </w:r>
      <w:r w:rsidR="00E41B73" w:rsidRPr="009235D8">
        <w:t>.</w:t>
      </w:r>
      <w:r w:rsidR="005736DB" w:rsidRPr="009235D8">
        <w:t>Šadurskis</w:t>
      </w:r>
      <w:proofErr w:type="spellEnd"/>
    </w:p>
    <w:p w14:paraId="2194EFE5" w14:textId="77777777" w:rsidR="00B51B37" w:rsidRPr="009235D8" w:rsidRDefault="00B51B37" w:rsidP="007F3149">
      <w:pPr>
        <w:pStyle w:val="Subtitle"/>
        <w:spacing w:before="0" w:after="0"/>
        <w:ind w:right="0"/>
        <w:rPr>
          <w:b w:val="0"/>
          <w:i/>
          <w:sz w:val="24"/>
          <w:szCs w:val="24"/>
          <w:lang w:val="lv-LV"/>
        </w:rPr>
      </w:pPr>
    </w:p>
    <w:p w14:paraId="66496A3A" w14:textId="77777777" w:rsidR="009235D8" w:rsidRPr="009235D8" w:rsidRDefault="009235D8" w:rsidP="005736DB">
      <w:pPr>
        <w:jc w:val="both"/>
      </w:pPr>
      <w:r w:rsidRPr="009235D8">
        <w:t xml:space="preserve">Vīza: valsts sekretāra vietniece – </w:t>
      </w:r>
    </w:p>
    <w:p w14:paraId="076FFA70" w14:textId="77777777" w:rsidR="009235D8" w:rsidRPr="009235D8" w:rsidRDefault="009235D8" w:rsidP="005736DB">
      <w:pPr>
        <w:jc w:val="both"/>
      </w:pPr>
      <w:r w:rsidRPr="009235D8">
        <w:t>Politikas iniciatīvu un attīstības departamenta direktore,</w:t>
      </w:r>
    </w:p>
    <w:p w14:paraId="69C3DF4F" w14:textId="64F442E2" w:rsidR="00F47118" w:rsidRPr="009235D8" w:rsidRDefault="009235D8" w:rsidP="005736DB">
      <w:pPr>
        <w:jc w:val="both"/>
      </w:pPr>
      <w:r w:rsidRPr="009235D8">
        <w:t xml:space="preserve">valsts sekretāra pienākumu izpildītāja </w:t>
      </w:r>
      <w:r w:rsidR="005736DB" w:rsidRPr="009235D8">
        <w:t xml:space="preserve"> </w:t>
      </w:r>
      <w:r w:rsidR="00F47118" w:rsidRPr="009235D8">
        <w:t xml:space="preserve"> </w:t>
      </w:r>
      <w:r w:rsidRPr="009235D8">
        <w:tab/>
      </w:r>
      <w:r w:rsidRPr="009235D8">
        <w:tab/>
      </w:r>
      <w:r w:rsidRPr="009235D8">
        <w:tab/>
      </w:r>
      <w:r w:rsidRPr="009235D8">
        <w:tab/>
      </w:r>
      <w:r w:rsidRPr="009235D8">
        <w:tab/>
      </w:r>
      <w:proofErr w:type="spellStart"/>
      <w:r w:rsidRPr="009235D8">
        <w:t>G.Arāja</w:t>
      </w:r>
      <w:proofErr w:type="spellEnd"/>
    </w:p>
    <w:p w14:paraId="1A5ABF9B" w14:textId="77777777" w:rsidR="00B51B37" w:rsidRPr="009235D8" w:rsidRDefault="00B51B37" w:rsidP="007F3149">
      <w:pPr>
        <w:pStyle w:val="Subtitle"/>
        <w:spacing w:before="0" w:after="0"/>
        <w:ind w:right="0"/>
        <w:rPr>
          <w:b w:val="0"/>
          <w:i/>
          <w:sz w:val="24"/>
          <w:szCs w:val="24"/>
          <w:lang w:val="lv-LV"/>
        </w:rPr>
      </w:pPr>
    </w:p>
    <w:p w14:paraId="267551FC" w14:textId="77777777" w:rsidR="00B51B37" w:rsidRPr="009235D8" w:rsidRDefault="00B51B37" w:rsidP="007F3149">
      <w:pPr>
        <w:pStyle w:val="Subtitle"/>
        <w:spacing w:before="0" w:after="0"/>
        <w:ind w:right="0"/>
        <w:rPr>
          <w:b w:val="0"/>
          <w:i/>
          <w:sz w:val="24"/>
          <w:szCs w:val="24"/>
          <w:lang w:val="lv-LV"/>
        </w:rPr>
      </w:pPr>
      <w:bookmarkStart w:id="2" w:name="_GoBack"/>
      <w:bookmarkEnd w:id="2"/>
    </w:p>
    <w:p w14:paraId="7DD6FE9E" w14:textId="77777777" w:rsidR="00307417" w:rsidRPr="009235D8" w:rsidRDefault="00307417" w:rsidP="00307417">
      <w:pPr>
        <w:rPr>
          <w:lang w:eastAsia="en-US"/>
        </w:rPr>
      </w:pPr>
    </w:p>
    <w:p w14:paraId="3BF2FDF1" w14:textId="153B5BAB" w:rsidR="004361ED" w:rsidRPr="004361ED" w:rsidRDefault="004361ED" w:rsidP="004361ED">
      <w:pPr>
        <w:rPr>
          <w:sz w:val="20"/>
          <w:szCs w:val="20"/>
        </w:rPr>
      </w:pPr>
      <w:r w:rsidRPr="004361ED">
        <w:rPr>
          <w:sz w:val="20"/>
          <w:szCs w:val="20"/>
        </w:rPr>
        <w:fldChar w:fldCharType="begin"/>
      </w:r>
      <w:r w:rsidRPr="004361ED">
        <w:rPr>
          <w:sz w:val="20"/>
          <w:szCs w:val="20"/>
        </w:rPr>
        <w:instrText xml:space="preserve"> TIME \@ "dd.MM.yyyy. H:mm" </w:instrText>
      </w:r>
      <w:r w:rsidRPr="004361ED">
        <w:rPr>
          <w:sz w:val="20"/>
          <w:szCs w:val="20"/>
        </w:rPr>
        <w:fldChar w:fldCharType="separate"/>
      </w:r>
      <w:r w:rsidR="0067489D">
        <w:rPr>
          <w:noProof/>
          <w:sz w:val="20"/>
          <w:szCs w:val="20"/>
        </w:rPr>
        <w:t>16.05.2017. 16:58</w:t>
      </w:r>
      <w:r w:rsidRPr="004361ED">
        <w:rPr>
          <w:sz w:val="20"/>
          <w:szCs w:val="20"/>
        </w:rPr>
        <w:fldChar w:fldCharType="end"/>
      </w:r>
    </w:p>
    <w:p w14:paraId="7404DAD8" w14:textId="77777777" w:rsidR="004361ED" w:rsidRPr="004361ED" w:rsidRDefault="004361ED" w:rsidP="004361ED">
      <w:pPr>
        <w:rPr>
          <w:sz w:val="20"/>
          <w:szCs w:val="20"/>
        </w:rPr>
      </w:pPr>
      <w:r w:rsidRPr="004361ED">
        <w:rPr>
          <w:sz w:val="20"/>
          <w:szCs w:val="20"/>
        </w:rPr>
        <w:fldChar w:fldCharType="begin"/>
      </w:r>
      <w:r w:rsidRPr="004361ED">
        <w:rPr>
          <w:sz w:val="20"/>
          <w:szCs w:val="20"/>
        </w:rPr>
        <w:instrText xml:space="preserve"> NUMWORDS   \* MERGEFORMAT </w:instrText>
      </w:r>
      <w:r w:rsidRPr="004361ED">
        <w:rPr>
          <w:sz w:val="20"/>
          <w:szCs w:val="20"/>
        </w:rPr>
        <w:fldChar w:fldCharType="separate"/>
      </w:r>
      <w:r w:rsidR="0067489D">
        <w:rPr>
          <w:noProof/>
          <w:sz w:val="20"/>
          <w:szCs w:val="20"/>
        </w:rPr>
        <w:t>1042</w:t>
      </w:r>
      <w:r w:rsidRPr="004361ED">
        <w:rPr>
          <w:sz w:val="20"/>
          <w:szCs w:val="20"/>
        </w:rPr>
        <w:fldChar w:fldCharType="end"/>
      </w:r>
    </w:p>
    <w:p w14:paraId="794C7791" w14:textId="77777777" w:rsidR="004361ED" w:rsidRPr="004361ED" w:rsidRDefault="004361ED" w:rsidP="004361ED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r w:rsidRPr="004361ED">
        <w:rPr>
          <w:sz w:val="18"/>
          <w:szCs w:val="18"/>
          <w:lang w:val="de-DE" w:eastAsia="en-US"/>
        </w:rPr>
        <w:t>M.Zvirbule, 67047896</w:t>
      </w:r>
    </w:p>
    <w:p w14:paraId="0593F37C" w14:textId="77777777" w:rsidR="004361ED" w:rsidRPr="004361ED" w:rsidRDefault="004361ED" w:rsidP="004361ED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r w:rsidRPr="004361ED">
        <w:rPr>
          <w:sz w:val="18"/>
          <w:szCs w:val="18"/>
          <w:lang w:val="de-DE" w:eastAsia="en-US"/>
        </w:rPr>
        <w:t>maija.zvirbule@izm.gov.lv</w:t>
      </w:r>
    </w:p>
    <w:p w14:paraId="17F08EA0" w14:textId="77777777" w:rsidR="00BF40ED" w:rsidRPr="004361ED" w:rsidRDefault="00BF40ED" w:rsidP="004361ED">
      <w:pPr>
        <w:pStyle w:val="Subtitle"/>
        <w:spacing w:before="0" w:after="0"/>
        <w:ind w:right="0"/>
        <w:rPr>
          <w:b w:val="0"/>
          <w:sz w:val="16"/>
          <w:szCs w:val="16"/>
          <w:lang w:val="de-DE"/>
        </w:rPr>
      </w:pPr>
    </w:p>
    <w:sectPr w:rsidR="00BF40ED" w:rsidRPr="004361ED" w:rsidSect="001A7F2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851" w:left="1701" w:header="70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571C5" w14:textId="77777777" w:rsidR="0001501B" w:rsidRDefault="0001501B">
      <w:r>
        <w:separator/>
      </w:r>
    </w:p>
  </w:endnote>
  <w:endnote w:type="continuationSeparator" w:id="0">
    <w:p w14:paraId="45F4621A" w14:textId="77777777" w:rsidR="0001501B" w:rsidRDefault="000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2083" w14:textId="77777777" w:rsidR="00C34F91" w:rsidRPr="00F47118" w:rsidRDefault="004361ED" w:rsidP="00C34F91">
    <w:pPr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67489D">
      <w:rPr>
        <w:noProof/>
        <w:sz w:val="20"/>
        <w:szCs w:val="20"/>
      </w:rPr>
      <w:t>IZMAnot_170516_Kina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>Par Latvijas Republikas Izglītības un zinātnes ministrijas un Ķīnas Tautas Republikas Izglītības ministrijas līgumu par sadarbību izglītības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7494" w14:textId="77777777" w:rsidR="001743AA" w:rsidRPr="00F47118" w:rsidRDefault="004361ED" w:rsidP="001743AA">
    <w:pPr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67489D">
      <w:rPr>
        <w:noProof/>
        <w:sz w:val="20"/>
        <w:szCs w:val="20"/>
      </w:rPr>
      <w:t>IZMAnot_170516_Kina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Latvijas Republikas </w:t>
    </w:r>
    <w:r w:rsidR="00035136" w:rsidRPr="00035136">
      <w:rPr>
        <w:sz w:val="20"/>
        <w:szCs w:val="20"/>
      </w:rPr>
      <w:t xml:space="preserve">valdības </w:t>
    </w:r>
    <w:r w:rsidRPr="004E1924">
      <w:rPr>
        <w:sz w:val="20"/>
        <w:szCs w:val="20"/>
      </w:rPr>
      <w:t xml:space="preserve">un Ķīnas Tautas Republikas </w:t>
    </w:r>
    <w:r w:rsidR="00035136" w:rsidRPr="00035136">
      <w:rPr>
        <w:sz w:val="20"/>
        <w:szCs w:val="20"/>
      </w:rPr>
      <w:t xml:space="preserve">valdības </w:t>
    </w:r>
    <w:r w:rsidRPr="004E1924">
      <w:rPr>
        <w:sz w:val="20"/>
        <w:szCs w:val="20"/>
      </w:rPr>
      <w:t>līgumu par sadarbību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1233" w14:textId="77777777" w:rsidR="0001501B" w:rsidRDefault="0001501B">
      <w:r>
        <w:separator/>
      </w:r>
    </w:p>
  </w:footnote>
  <w:footnote w:type="continuationSeparator" w:id="0">
    <w:p w14:paraId="72CDFC5D" w14:textId="77777777" w:rsidR="0001501B" w:rsidRDefault="0001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1D66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3BEC7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D11E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89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E8722B" w14:textId="77777777"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 w15:restartNumberingAfterBreak="0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D3450"/>
    <w:multiLevelType w:val="hybridMultilevel"/>
    <w:tmpl w:val="4D8A2620"/>
    <w:lvl w:ilvl="0" w:tplc="042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2C15"/>
    <w:rsid w:val="00007828"/>
    <w:rsid w:val="00011D24"/>
    <w:rsid w:val="00013FF4"/>
    <w:rsid w:val="0001501B"/>
    <w:rsid w:val="00020FE1"/>
    <w:rsid w:val="00022E13"/>
    <w:rsid w:val="00023733"/>
    <w:rsid w:val="00032388"/>
    <w:rsid w:val="000339DA"/>
    <w:rsid w:val="00035136"/>
    <w:rsid w:val="00035CE2"/>
    <w:rsid w:val="00036CC3"/>
    <w:rsid w:val="0005553B"/>
    <w:rsid w:val="000604D2"/>
    <w:rsid w:val="00064B90"/>
    <w:rsid w:val="000862EB"/>
    <w:rsid w:val="0009005E"/>
    <w:rsid w:val="000941C5"/>
    <w:rsid w:val="000A6451"/>
    <w:rsid w:val="000A6CD0"/>
    <w:rsid w:val="000B064E"/>
    <w:rsid w:val="000B3C3C"/>
    <w:rsid w:val="000B44AC"/>
    <w:rsid w:val="000B69CF"/>
    <w:rsid w:val="000C07B1"/>
    <w:rsid w:val="000C07BF"/>
    <w:rsid w:val="000C0C60"/>
    <w:rsid w:val="000C790C"/>
    <w:rsid w:val="000E0378"/>
    <w:rsid w:val="000E56CC"/>
    <w:rsid w:val="000F061D"/>
    <w:rsid w:val="000F064A"/>
    <w:rsid w:val="000F3463"/>
    <w:rsid w:val="000F3C98"/>
    <w:rsid w:val="000F4794"/>
    <w:rsid w:val="00124F12"/>
    <w:rsid w:val="00144E3A"/>
    <w:rsid w:val="0015060C"/>
    <w:rsid w:val="00151650"/>
    <w:rsid w:val="0016018A"/>
    <w:rsid w:val="00161F0E"/>
    <w:rsid w:val="00163751"/>
    <w:rsid w:val="00170E2A"/>
    <w:rsid w:val="00170FD3"/>
    <w:rsid w:val="001743AA"/>
    <w:rsid w:val="00177394"/>
    <w:rsid w:val="00182C18"/>
    <w:rsid w:val="00183CC2"/>
    <w:rsid w:val="001900E4"/>
    <w:rsid w:val="00190F88"/>
    <w:rsid w:val="001924F5"/>
    <w:rsid w:val="001932BB"/>
    <w:rsid w:val="001A08B5"/>
    <w:rsid w:val="001A4066"/>
    <w:rsid w:val="001A6AE4"/>
    <w:rsid w:val="001A7F25"/>
    <w:rsid w:val="001B01FD"/>
    <w:rsid w:val="001B4A71"/>
    <w:rsid w:val="001B5901"/>
    <w:rsid w:val="001D5B54"/>
    <w:rsid w:val="001E1DBF"/>
    <w:rsid w:val="001E4639"/>
    <w:rsid w:val="001E4A7D"/>
    <w:rsid w:val="001F43A8"/>
    <w:rsid w:val="001F5CD6"/>
    <w:rsid w:val="0020070F"/>
    <w:rsid w:val="0021263D"/>
    <w:rsid w:val="00213F0C"/>
    <w:rsid w:val="00214094"/>
    <w:rsid w:val="0021592D"/>
    <w:rsid w:val="00222D76"/>
    <w:rsid w:val="00223EB1"/>
    <w:rsid w:val="00231344"/>
    <w:rsid w:val="00231565"/>
    <w:rsid w:val="0023436E"/>
    <w:rsid w:val="002347C0"/>
    <w:rsid w:val="00241A6C"/>
    <w:rsid w:val="00242D2B"/>
    <w:rsid w:val="00262E2B"/>
    <w:rsid w:val="00263AEA"/>
    <w:rsid w:val="002703F9"/>
    <w:rsid w:val="00270429"/>
    <w:rsid w:val="00271778"/>
    <w:rsid w:val="002721C5"/>
    <w:rsid w:val="002723E9"/>
    <w:rsid w:val="00277929"/>
    <w:rsid w:val="00283B82"/>
    <w:rsid w:val="002846E9"/>
    <w:rsid w:val="00284C34"/>
    <w:rsid w:val="00287907"/>
    <w:rsid w:val="0029066C"/>
    <w:rsid w:val="002930A3"/>
    <w:rsid w:val="00296540"/>
    <w:rsid w:val="002A26A5"/>
    <w:rsid w:val="002B50DB"/>
    <w:rsid w:val="002C0EBD"/>
    <w:rsid w:val="002C12AB"/>
    <w:rsid w:val="002C5590"/>
    <w:rsid w:val="002C6999"/>
    <w:rsid w:val="002C7CAC"/>
    <w:rsid w:val="002D3306"/>
    <w:rsid w:val="002D48AA"/>
    <w:rsid w:val="002D6487"/>
    <w:rsid w:val="002D7BAA"/>
    <w:rsid w:val="002D7EFF"/>
    <w:rsid w:val="002D7F54"/>
    <w:rsid w:val="002E3FF4"/>
    <w:rsid w:val="002F582E"/>
    <w:rsid w:val="002F6361"/>
    <w:rsid w:val="002F64D1"/>
    <w:rsid w:val="002F78C8"/>
    <w:rsid w:val="00301CF3"/>
    <w:rsid w:val="0030670C"/>
    <w:rsid w:val="00307417"/>
    <w:rsid w:val="0032715C"/>
    <w:rsid w:val="00333262"/>
    <w:rsid w:val="00337CA5"/>
    <w:rsid w:val="00340ECC"/>
    <w:rsid w:val="003511A5"/>
    <w:rsid w:val="00360F47"/>
    <w:rsid w:val="00362478"/>
    <w:rsid w:val="003628F9"/>
    <w:rsid w:val="00373B17"/>
    <w:rsid w:val="00375B25"/>
    <w:rsid w:val="003850F5"/>
    <w:rsid w:val="00392914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E7F"/>
    <w:rsid w:val="003D21FF"/>
    <w:rsid w:val="003D78DF"/>
    <w:rsid w:val="003F0112"/>
    <w:rsid w:val="003F071A"/>
    <w:rsid w:val="003F160B"/>
    <w:rsid w:val="00400032"/>
    <w:rsid w:val="00400B5B"/>
    <w:rsid w:val="004029AD"/>
    <w:rsid w:val="00405A00"/>
    <w:rsid w:val="00410034"/>
    <w:rsid w:val="00420870"/>
    <w:rsid w:val="00423F76"/>
    <w:rsid w:val="00427088"/>
    <w:rsid w:val="004361ED"/>
    <w:rsid w:val="0043791B"/>
    <w:rsid w:val="00441483"/>
    <w:rsid w:val="00441BCB"/>
    <w:rsid w:val="004432BE"/>
    <w:rsid w:val="004473A7"/>
    <w:rsid w:val="0045176A"/>
    <w:rsid w:val="00456332"/>
    <w:rsid w:val="00461826"/>
    <w:rsid w:val="0046640B"/>
    <w:rsid w:val="004800F9"/>
    <w:rsid w:val="00481043"/>
    <w:rsid w:val="00482512"/>
    <w:rsid w:val="00485ADA"/>
    <w:rsid w:val="0049134A"/>
    <w:rsid w:val="004A58CB"/>
    <w:rsid w:val="004B1795"/>
    <w:rsid w:val="004B36D3"/>
    <w:rsid w:val="004B56DD"/>
    <w:rsid w:val="004C020F"/>
    <w:rsid w:val="004C1AFD"/>
    <w:rsid w:val="004C558B"/>
    <w:rsid w:val="004D20AC"/>
    <w:rsid w:val="004E263D"/>
    <w:rsid w:val="004F1F88"/>
    <w:rsid w:val="004F5F1B"/>
    <w:rsid w:val="004F6CBE"/>
    <w:rsid w:val="00502374"/>
    <w:rsid w:val="005060A1"/>
    <w:rsid w:val="0050624A"/>
    <w:rsid w:val="00516072"/>
    <w:rsid w:val="00520058"/>
    <w:rsid w:val="00523A07"/>
    <w:rsid w:val="00525812"/>
    <w:rsid w:val="005332EC"/>
    <w:rsid w:val="005342E3"/>
    <w:rsid w:val="00534418"/>
    <w:rsid w:val="005353AB"/>
    <w:rsid w:val="005440C2"/>
    <w:rsid w:val="00544F9C"/>
    <w:rsid w:val="00554BE8"/>
    <w:rsid w:val="005560BC"/>
    <w:rsid w:val="005573BE"/>
    <w:rsid w:val="00563E9D"/>
    <w:rsid w:val="00564EAB"/>
    <w:rsid w:val="0056573F"/>
    <w:rsid w:val="00567F36"/>
    <w:rsid w:val="00572700"/>
    <w:rsid w:val="005736DB"/>
    <w:rsid w:val="00580468"/>
    <w:rsid w:val="0058603B"/>
    <w:rsid w:val="0059431B"/>
    <w:rsid w:val="00594EE4"/>
    <w:rsid w:val="005A1776"/>
    <w:rsid w:val="005A39CC"/>
    <w:rsid w:val="005B4730"/>
    <w:rsid w:val="005C25AD"/>
    <w:rsid w:val="005C6FE9"/>
    <w:rsid w:val="005E05D7"/>
    <w:rsid w:val="005E2D36"/>
    <w:rsid w:val="005E41E7"/>
    <w:rsid w:val="005E450F"/>
    <w:rsid w:val="005F6D7B"/>
    <w:rsid w:val="006037A4"/>
    <w:rsid w:val="00615C71"/>
    <w:rsid w:val="00620443"/>
    <w:rsid w:val="0062080D"/>
    <w:rsid w:val="0062287F"/>
    <w:rsid w:val="0062298A"/>
    <w:rsid w:val="00626514"/>
    <w:rsid w:val="00626589"/>
    <w:rsid w:val="006339A0"/>
    <w:rsid w:val="006349BC"/>
    <w:rsid w:val="006357D8"/>
    <w:rsid w:val="00637346"/>
    <w:rsid w:val="006413A8"/>
    <w:rsid w:val="00642E56"/>
    <w:rsid w:val="00650D36"/>
    <w:rsid w:val="00651E00"/>
    <w:rsid w:val="00655335"/>
    <w:rsid w:val="0065545A"/>
    <w:rsid w:val="00662C59"/>
    <w:rsid w:val="00663F2C"/>
    <w:rsid w:val="00671969"/>
    <w:rsid w:val="0067371B"/>
    <w:rsid w:val="00674572"/>
    <w:rsid w:val="0067489D"/>
    <w:rsid w:val="006770E2"/>
    <w:rsid w:val="00687763"/>
    <w:rsid w:val="0069010E"/>
    <w:rsid w:val="0069200B"/>
    <w:rsid w:val="00692866"/>
    <w:rsid w:val="00692B0D"/>
    <w:rsid w:val="00692EB9"/>
    <w:rsid w:val="00693E0E"/>
    <w:rsid w:val="00694EA8"/>
    <w:rsid w:val="00695EA9"/>
    <w:rsid w:val="006A1AE3"/>
    <w:rsid w:val="006A34DB"/>
    <w:rsid w:val="006C0ECD"/>
    <w:rsid w:val="006C30E1"/>
    <w:rsid w:val="006C4607"/>
    <w:rsid w:val="006D48F1"/>
    <w:rsid w:val="006D56B6"/>
    <w:rsid w:val="006E25F9"/>
    <w:rsid w:val="006E7BBA"/>
    <w:rsid w:val="006F45BE"/>
    <w:rsid w:val="006F7953"/>
    <w:rsid w:val="007004FC"/>
    <w:rsid w:val="007020B0"/>
    <w:rsid w:val="00705412"/>
    <w:rsid w:val="007058FA"/>
    <w:rsid w:val="00706670"/>
    <w:rsid w:val="00720ABF"/>
    <w:rsid w:val="0072417C"/>
    <w:rsid w:val="00734450"/>
    <w:rsid w:val="00745F67"/>
    <w:rsid w:val="0075039E"/>
    <w:rsid w:val="00752D9D"/>
    <w:rsid w:val="007538FF"/>
    <w:rsid w:val="00754784"/>
    <w:rsid w:val="007558C4"/>
    <w:rsid w:val="007570A0"/>
    <w:rsid w:val="00757C6E"/>
    <w:rsid w:val="007626AF"/>
    <w:rsid w:val="00762BDA"/>
    <w:rsid w:val="00767169"/>
    <w:rsid w:val="0077070E"/>
    <w:rsid w:val="007805FD"/>
    <w:rsid w:val="00781D10"/>
    <w:rsid w:val="00784422"/>
    <w:rsid w:val="007913F8"/>
    <w:rsid w:val="00797255"/>
    <w:rsid w:val="007B3B54"/>
    <w:rsid w:val="007B3FA0"/>
    <w:rsid w:val="007B5C8A"/>
    <w:rsid w:val="007B7D88"/>
    <w:rsid w:val="007C0F2C"/>
    <w:rsid w:val="007C2BCC"/>
    <w:rsid w:val="007C4D29"/>
    <w:rsid w:val="007C4EF0"/>
    <w:rsid w:val="007C6711"/>
    <w:rsid w:val="007C7DD6"/>
    <w:rsid w:val="007D099D"/>
    <w:rsid w:val="007D35E2"/>
    <w:rsid w:val="007E2664"/>
    <w:rsid w:val="007E3ABF"/>
    <w:rsid w:val="007E5BFA"/>
    <w:rsid w:val="007E6689"/>
    <w:rsid w:val="007E731C"/>
    <w:rsid w:val="007F0A03"/>
    <w:rsid w:val="007F3149"/>
    <w:rsid w:val="007F4FD9"/>
    <w:rsid w:val="0080130D"/>
    <w:rsid w:val="008041E1"/>
    <w:rsid w:val="008063C6"/>
    <w:rsid w:val="00806A93"/>
    <w:rsid w:val="00810040"/>
    <w:rsid w:val="008104A8"/>
    <w:rsid w:val="00816F6A"/>
    <w:rsid w:val="0082023A"/>
    <w:rsid w:val="00821A7A"/>
    <w:rsid w:val="008253F8"/>
    <w:rsid w:val="008272B4"/>
    <w:rsid w:val="008325E4"/>
    <w:rsid w:val="00832A2B"/>
    <w:rsid w:val="00845811"/>
    <w:rsid w:val="00846994"/>
    <w:rsid w:val="00850451"/>
    <w:rsid w:val="00852042"/>
    <w:rsid w:val="008534C9"/>
    <w:rsid w:val="0085599D"/>
    <w:rsid w:val="0085703D"/>
    <w:rsid w:val="0086050D"/>
    <w:rsid w:val="00864B5A"/>
    <w:rsid w:val="0087510C"/>
    <w:rsid w:val="00882170"/>
    <w:rsid w:val="0089738E"/>
    <w:rsid w:val="00897585"/>
    <w:rsid w:val="008A6BA0"/>
    <w:rsid w:val="008B5FDB"/>
    <w:rsid w:val="008C50F4"/>
    <w:rsid w:val="008C5649"/>
    <w:rsid w:val="008D24A9"/>
    <w:rsid w:val="008E3EDE"/>
    <w:rsid w:val="008E44A2"/>
    <w:rsid w:val="008E697D"/>
    <w:rsid w:val="00903263"/>
    <w:rsid w:val="00906A21"/>
    <w:rsid w:val="009079C3"/>
    <w:rsid w:val="00910462"/>
    <w:rsid w:val="009111C8"/>
    <w:rsid w:val="00915AB1"/>
    <w:rsid w:val="00915B45"/>
    <w:rsid w:val="00917532"/>
    <w:rsid w:val="009235BA"/>
    <w:rsid w:val="009235D8"/>
    <w:rsid w:val="00924023"/>
    <w:rsid w:val="00924CE2"/>
    <w:rsid w:val="00925B9F"/>
    <w:rsid w:val="00931AED"/>
    <w:rsid w:val="009476A3"/>
    <w:rsid w:val="0095334F"/>
    <w:rsid w:val="00954C94"/>
    <w:rsid w:val="00957D65"/>
    <w:rsid w:val="0096399A"/>
    <w:rsid w:val="00965897"/>
    <w:rsid w:val="00965C20"/>
    <w:rsid w:val="0096765C"/>
    <w:rsid w:val="009727E4"/>
    <w:rsid w:val="009755DE"/>
    <w:rsid w:val="00975B5B"/>
    <w:rsid w:val="00985ADC"/>
    <w:rsid w:val="009934C5"/>
    <w:rsid w:val="00994C0F"/>
    <w:rsid w:val="00997343"/>
    <w:rsid w:val="009A46AD"/>
    <w:rsid w:val="009B22D7"/>
    <w:rsid w:val="009B72ED"/>
    <w:rsid w:val="009C06B1"/>
    <w:rsid w:val="009C6CE7"/>
    <w:rsid w:val="009C6DEB"/>
    <w:rsid w:val="009C72AC"/>
    <w:rsid w:val="009D3789"/>
    <w:rsid w:val="009D384B"/>
    <w:rsid w:val="009D472D"/>
    <w:rsid w:val="009D6504"/>
    <w:rsid w:val="009E12D7"/>
    <w:rsid w:val="009E30FD"/>
    <w:rsid w:val="009E661A"/>
    <w:rsid w:val="009E7807"/>
    <w:rsid w:val="009F1B56"/>
    <w:rsid w:val="009F43A4"/>
    <w:rsid w:val="009F48CD"/>
    <w:rsid w:val="009F6EF0"/>
    <w:rsid w:val="00A057BB"/>
    <w:rsid w:val="00A06781"/>
    <w:rsid w:val="00A068FD"/>
    <w:rsid w:val="00A074C3"/>
    <w:rsid w:val="00A07AC9"/>
    <w:rsid w:val="00A11364"/>
    <w:rsid w:val="00A12F5A"/>
    <w:rsid w:val="00A1509C"/>
    <w:rsid w:val="00A17020"/>
    <w:rsid w:val="00A209F9"/>
    <w:rsid w:val="00A23D3E"/>
    <w:rsid w:val="00A24E03"/>
    <w:rsid w:val="00A34260"/>
    <w:rsid w:val="00A53ED0"/>
    <w:rsid w:val="00A5595B"/>
    <w:rsid w:val="00A61F80"/>
    <w:rsid w:val="00A621DA"/>
    <w:rsid w:val="00A649C6"/>
    <w:rsid w:val="00A70CFD"/>
    <w:rsid w:val="00A72A0B"/>
    <w:rsid w:val="00A816CD"/>
    <w:rsid w:val="00A81E42"/>
    <w:rsid w:val="00A850DB"/>
    <w:rsid w:val="00A864FE"/>
    <w:rsid w:val="00A86F41"/>
    <w:rsid w:val="00A87D04"/>
    <w:rsid w:val="00A91CC9"/>
    <w:rsid w:val="00A950C5"/>
    <w:rsid w:val="00AA1D25"/>
    <w:rsid w:val="00AA5C67"/>
    <w:rsid w:val="00AB2B1A"/>
    <w:rsid w:val="00AB397F"/>
    <w:rsid w:val="00AB5832"/>
    <w:rsid w:val="00AB5EB9"/>
    <w:rsid w:val="00AC51F2"/>
    <w:rsid w:val="00AC590C"/>
    <w:rsid w:val="00AE5066"/>
    <w:rsid w:val="00AE5E24"/>
    <w:rsid w:val="00AE61B7"/>
    <w:rsid w:val="00AE6CBA"/>
    <w:rsid w:val="00AE79AD"/>
    <w:rsid w:val="00AF35E4"/>
    <w:rsid w:val="00AF5219"/>
    <w:rsid w:val="00AF5CDE"/>
    <w:rsid w:val="00B026A3"/>
    <w:rsid w:val="00B0506A"/>
    <w:rsid w:val="00B11A57"/>
    <w:rsid w:val="00B15AC0"/>
    <w:rsid w:val="00B17A19"/>
    <w:rsid w:val="00B211C3"/>
    <w:rsid w:val="00B22DC8"/>
    <w:rsid w:val="00B25597"/>
    <w:rsid w:val="00B267B9"/>
    <w:rsid w:val="00B3342C"/>
    <w:rsid w:val="00B33E09"/>
    <w:rsid w:val="00B352C3"/>
    <w:rsid w:val="00B416C2"/>
    <w:rsid w:val="00B45777"/>
    <w:rsid w:val="00B4681D"/>
    <w:rsid w:val="00B50708"/>
    <w:rsid w:val="00B50C68"/>
    <w:rsid w:val="00B51293"/>
    <w:rsid w:val="00B51B37"/>
    <w:rsid w:val="00B52B1E"/>
    <w:rsid w:val="00B53998"/>
    <w:rsid w:val="00B55481"/>
    <w:rsid w:val="00B56C32"/>
    <w:rsid w:val="00B57ACF"/>
    <w:rsid w:val="00B64BB1"/>
    <w:rsid w:val="00B651F3"/>
    <w:rsid w:val="00B700BE"/>
    <w:rsid w:val="00B73166"/>
    <w:rsid w:val="00B8426C"/>
    <w:rsid w:val="00B85A9F"/>
    <w:rsid w:val="00B87606"/>
    <w:rsid w:val="00B87A2B"/>
    <w:rsid w:val="00B91B8D"/>
    <w:rsid w:val="00B94E90"/>
    <w:rsid w:val="00B96A96"/>
    <w:rsid w:val="00BA34DA"/>
    <w:rsid w:val="00BA6984"/>
    <w:rsid w:val="00BB0A82"/>
    <w:rsid w:val="00BB53B6"/>
    <w:rsid w:val="00BB7C94"/>
    <w:rsid w:val="00BC0A9D"/>
    <w:rsid w:val="00BC1C03"/>
    <w:rsid w:val="00BC2D00"/>
    <w:rsid w:val="00BD06FC"/>
    <w:rsid w:val="00BD2BD8"/>
    <w:rsid w:val="00BD334F"/>
    <w:rsid w:val="00BE767C"/>
    <w:rsid w:val="00BF40ED"/>
    <w:rsid w:val="00BF5BC2"/>
    <w:rsid w:val="00C022CD"/>
    <w:rsid w:val="00C1133D"/>
    <w:rsid w:val="00C27A08"/>
    <w:rsid w:val="00C31312"/>
    <w:rsid w:val="00C316E4"/>
    <w:rsid w:val="00C326C6"/>
    <w:rsid w:val="00C34F91"/>
    <w:rsid w:val="00C35295"/>
    <w:rsid w:val="00C36ADD"/>
    <w:rsid w:val="00C36E74"/>
    <w:rsid w:val="00C40595"/>
    <w:rsid w:val="00C41621"/>
    <w:rsid w:val="00C449FA"/>
    <w:rsid w:val="00C47C25"/>
    <w:rsid w:val="00C50068"/>
    <w:rsid w:val="00C5384F"/>
    <w:rsid w:val="00C56964"/>
    <w:rsid w:val="00C611AC"/>
    <w:rsid w:val="00C61A06"/>
    <w:rsid w:val="00C62AD4"/>
    <w:rsid w:val="00C62D9F"/>
    <w:rsid w:val="00C656D5"/>
    <w:rsid w:val="00C669BB"/>
    <w:rsid w:val="00C67103"/>
    <w:rsid w:val="00C71BB9"/>
    <w:rsid w:val="00C74C90"/>
    <w:rsid w:val="00C7548C"/>
    <w:rsid w:val="00C8081A"/>
    <w:rsid w:val="00C85706"/>
    <w:rsid w:val="00C94C28"/>
    <w:rsid w:val="00C974F6"/>
    <w:rsid w:val="00CA3D85"/>
    <w:rsid w:val="00CA6AD7"/>
    <w:rsid w:val="00CB0247"/>
    <w:rsid w:val="00CB3440"/>
    <w:rsid w:val="00CC1692"/>
    <w:rsid w:val="00CC5D63"/>
    <w:rsid w:val="00CD049A"/>
    <w:rsid w:val="00CD138B"/>
    <w:rsid w:val="00CD28F3"/>
    <w:rsid w:val="00CD3E31"/>
    <w:rsid w:val="00CD74A3"/>
    <w:rsid w:val="00CD7BD6"/>
    <w:rsid w:val="00CE0527"/>
    <w:rsid w:val="00CE27D4"/>
    <w:rsid w:val="00CE5B23"/>
    <w:rsid w:val="00CF3699"/>
    <w:rsid w:val="00CF70AD"/>
    <w:rsid w:val="00CF7729"/>
    <w:rsid w:val="00D00059"/>
    <w:rsid w:val="00D107FA"/>
    <w:rsid w:val="00D108AF"/>
    <w:rsid w:val="00D12275"/>
    <w:rsid w:val="00D12766"/>
    <w:rsid w:val="00D175C6"/>
    <w:rsid w:val="00D205B2"/>
    <w:rsid w:val="00D20FF4"/>
    <w:rsid w:val="00D21DDE"/>
    <w:rsid w:val="00D24D2C"/>
    <w:rsid w:val="00D25BE4"/>
    <w:rsid w:val="00D30D8E"/>
    <w:rsid w:val="00D33541"/>
    <w:rsid w:val="00D34D6F"/>
    <w:rsid w:val="00D35881"/>
    <w:rsid w:val="00D55A65"/>
    <w:rsid w:val="00D710D8"/>
    <w:rsid w:val="00D80F94"/>
    <w:rsid w:val="00D94DAD"/>
    <w:rsid w:val="00DA2C4D"/>
    <w:rsid w:val="00DA4D2D"/>
    <w:rsid w:val="00DA7DA5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D34EC"/>
    <w:rsid w:val="00DE0B83"/>
    <w:rsid w:val="00DE1A81"/>
    <w:rsid w:val="00DE1C13"/>
    <w:rsid w:val="00DE4E10"/>
    <w:rsid w:val="00DF36AF"/>
    <w:rsid w:val="00E02ABF"/>
    <w:rsid w:val="00E02DD5"/>
    <w:rsid w:val="00E06617"/>
    <w:rsid w:val="00E14995"/>
    <w:rsid w:val="00E179CD"/>
    <w:rsid w:val="00E22835"/>
    <w:rsid w:val="00E23E8D"/>
    <w:rsid w:val="00E37F98"/>
    <w:rsid w:val="00E41B73"/>
    <w:rsid w:val="00E462ED"/>
    <w:rsid w:val="00E46559"/>
    <w:rsid w:val="00E51FE3"/>
    <w:rsid w:val="00E6670C"/>
    <w:rsid w:val="00E70682"/>
    <w:rsid w:val="00E776E8"/>
    <w:rsid w:val="00E92C1F"/>
    <w:rsid w:val="00E95D4B"/>
    <w:rsid w:val="00E969A9"/>
    <w:rsid w:val="00EA015D"/>
    <w:rsid w:val="00EA38C6"/>
    <w:rsid w:val="00EB15F2"/>
    <w:rsid w:val="00EB199F"/>
    <w:rsid w:val="00EB2A2F"/>
    <w:rsid w:val="00EC23F7"/>
    <w:rsid w:val="00EC2D05"/>
    <w:rsid w:val="00EC2F11"/>
    <w:rsid w:val="00EC4BD8"/>
    <w:rsid w:val="00EC63EB"/>
    <w:rsid w:val="00ED412F"/>
    <w:rsid w:val="00ED5D1A"/>
    <w:rsid w:val="00EE2614"/>
    <w:rsid w:val="00EE57BC"/>
    <w:rsid w:val="00EF2AE2"/>
    <w:rsid w:val="00EF36B2"/>
    <w:rsid w:val="00EF5F67"/>
    <w:rsid w:val="00F0006E"/>
    <w:rsid w:val="00F01099"/>
    <w:rsid w:val="00F201EC"/>
    <w:rsid w:val="00F208A9"/>
    <w:rsid w:val="00F33A4E"/>
    <w:rsid w:val="00F41A2A"/>
    <w:rsid w:val="00F41D75"/>
    <w:rsid w:val="00F449BD"/>
    <w:rsid w:val="00F47118"/>
    <w:rsid w:val="00F5139D"/>
    <w:rsid w:val="00F608D9"/>
    <w:rsid w:val="00F63DAC"/>
    <w:rsid w:val="00F7379A"/>
    <w:rsid w:val="00F7454F"/>
    <w:rsid w:val="00F77988"/>
    <w:rsid w:val="00F77F48"/>
    <w:rsid w:val="00F93FA0"/>
    <w:rsid w:val="00F9543F"/>
    <w:rsid w:val="00F95F85"/>
    <w:rsid w:val="00FA0D67"/>
    <w:rsid w:val="00FA6D6F"/>
    <w:rsid w:val="00FB30F1"/>
    <w:rsid w:val="00FB399A"/>
    <w:rsid w:val="00FB4515"/>
    <w:rsid w:val="00FB53E7"/>
    <w:rsid w:val="00FC7284"/>
    <w:rsid w:val="00FD4554"/>
    <w:rsid w:val="00FD4AA0"/>
    <w:rsid w:val="00FE7ED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6625"/>
    <o:shapelayout v:ext="edit">
      <o:idmap v:ext="edit" data="1"/>
    </o:shapelayout>
  </w:shapeDefaults>
  <w:decimalSymbol w:val=","/>
  <w:listSeparator w:val=";"/>
  <w14:docId w14:val="4B566976"/>
  <w15:docId w15:val="{2DF3D19D-3745-4241-B495-CDDE4E8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F33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9581-6AE4-47F9-899E-595AFEC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1042</Words>
  <Characters>7404</Characters>
  <Application>Microsoft Office Word</Application>
  <DocSecurity>0</DocSecurity>
  <Lines>238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valdības un Ķīnas Tautas Republikas valdības līgumu par sadarbību izglītības jomā</vt:lpstr>
      <vt:lpstr>Par līgumu par sadarbību izglītības, zinātnes un jaunatnes jomā</vt:lpstr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Ķīnas Tautas Republikas valdības līgumu par sadarbību izglītības jomā</dc:title>
  <dc:subject>IZMAnot_24042015_Japana</dc:subject>
  <dc:creator>Maija.Zvirbule@izm.gov.lv</dc:creator>
  <dc:description>67047896
Maija.Zvirbule@izm.gov.lv</dc:description>
  <cp:lastModifiedBy>Maija Zvirbule</cp:lastModifiedBy>
  <cp:revision>18</cp:revision>
  <cp:lastPrinted>2017-04-04T12:32:00Z</cp:lastPrinted>
  <dcterms:created xsi:type="dcterms:W3CDTF">2016-12-07T07:59:00Z</dcterms:created>
  <dcterms:modified xsi:type="dcterms:W3CDTF">2017-05-16T13:58:00Z</dcterms:modified>
</cp:coreProperties>
</file>