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7D12FC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7D12FC">
        <w:rPr>
          <w:i/>
          <w:iCs/>
          <w:sz w:val="28"/>
          <w:szCs w:val="28"/>
        </w:rPr>
        <w:t>Projekts</w:t>
      </w:r>
    </w:p>
    <w:p w:rsidR="001C2A69" w:rsidRPr="007D12FC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7D12FC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7D12FC">
        <w:rPr>
          <w:sz w:val="28"/>
          <w:szCs w:val="28"/>
        </w:rPr>
        <w:t>LATVIJAS REPUBLIKAS MINISTRU KABINETS</w:t>
      </w:r>
    </w:p>
    <w:p w:rsidR="00C233B4" w:rsidRPr="007D12FC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7D12FC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7D12FC" w:rsidRDefault="00C233B4" w:rsidP="00C233B4">
      <w:pPr>
        <w:tabs>
          <w:tab w:val="left" w:pos="6804"/>
        </w:tabs>
        <w:rPr>
          <w:sz w:val="28"/>
          <w:szCs w:val="28"/>
        </w:rPr>
      </w:pPr>
      <w:r w:rsidRPr="007D12FC">
        <w:rPr>
          <w:sz w:val="28"/>
          <w:szCs w:val="28"/>
        </w:rPr>
        <w:t>2017. gada</w:t>
      </w:r>
      <w:r w:rsidRPr="007D12FC">
        <w:rPr>
          <w:sz w:val="28"/>
          <w:szCs w:val="28"/>
        </w:rPr>
        <w:tab/>
        <w:t>Noteikumi Nr. </w:t>
      </w:r>
    </w:p>
    <w:p w:rsidR="00C233B4" w:rsidRPr="007D12FC" w:rsidRDefault="00C233B4" w:rsidP="00C233B4">
      <w:pPr>
        <w:tabs>
          <w:tab w:val="left" w:pos="6804"/>
        </w:tabs>
        <w:rPr>
          <w:sz w:val="28"/>
          <w:szCs w:val="28"/>
        </w:rPr>
      </w:pPr>
      <w:r w:rsidRPr="007D12FC">
        <w:rPr>
          <w:sz w:val="28"/>
          <w:szCs w:val="28"/>
        </w:rPr>
        <w:t>Rīgā</w:t>
      </w:r>
      <w:r w:rsidRPr="007D12FC">
        <w:rPr>
          <w:sz w:val="28"/>
          <w:szCs w:val="28"/>
        </w:rPr>
        <w:tab/>
        <w:t>(prot. Nr.           .§)</w:t>
      </w:r>
    </w:p>
    <w:p w:rsidR="00C233B4" w:rsidRPr="007D12FC" w:rsidRDefault="00C233B4" w:rsidP="005A7E05">
      <w:pPr>
        <w:ind w:right="-1"/>
        <w:jc w:val="center"/>
        <w:rPr>
          <w:bCs/>
          <w:sz w:val="28"/>
          <w:szCs w:val="28"/>
        </w:rPr>
      </w:pPr>
    </w:p>
    <w:p w:rsidR="00FA3DF6" w:rsidRPr="007D12FC" w:rsidRDefault="00C233B4" w:rsidP="00FA3DF6">
      <w:pPr>
        <w:jc w:val="center"/>
        <w:rPr>
          <w:b/>
          <w:bCs/>
          <w:sz w:val="28"/>
          <w:szCs w:val="28"/>
        </w:rPr>
      </w:pPr>
      <w:r w:rsidRPr="007D12FC">
        <w:rPr>
          <w:b/>
          <w:sz w:val="28"/>
          <w:szCs w:val="28"/>
        </w:rPr>
        <w:t>Grozījum</w:t>
      </w:r>
      <w:r w:rsidR="00923661" w:rsidRPr="007D12FC">
        <w:rPr>
          <w:b/>
          <w:sz w:val="28"/>
          <w:szCs w:val="28"/>
        </w:rPr>
        <w:t>i</w:t>
      </w:r>
      <w:r w:rsidR="005A7E05" w:rsidRPr="007D12FC">
        <w:rPr>
          <w:b/>
          <w:sz w:val="28"/>
          <w:szCs w:val="28"/>
        </w:rPr>
        <w:t xml:space="preserve"> Ministru kabineta </w:t>
      </w:r>
      <w:r w:rsidR="00FA3DF6" w:rsidRPr="007D12FC">
        <w:rPr>
          <w:b/>
          <w:sz w:val="28"/>
          <w:szCs w:val="28"/>
        </w:rPr>
        <w:t>2015. gada 26. maija noteikumos Nr. 258 “</w:t>
      </w:r>
      <w:r w:rsidR="00FA3DF6" w:rsidRPr="007D12FC">
        <w:rPr>
          <w:b/>
          <w:bCs/>
          <w:sz w:val="28"/>
          <w:szCs w:val="28"/>
        </w:rPr>
        <w:t xml:space="preserve">Valsts atbalsta piešķiršanas kārtība projektu īstenošanai </w:t>
      </w:r>
    </w:p>
    <w:p w:rsidR="00FA3DF6" w:rsidRPr="007D12FC" w:rsidRDefault="00FA3DF6" w:rsidP="00FA3DF6">
      <w:pPr>
        <w:jc w:val="center"/>
        <w:rPr>
          <w:b/>
          <w:sz w:val="28"/>
          <w:szCs w:val="28"/>
        </w:rPr>
      </w:pPr>
      <w:r w:rsidRPr="007D12FC">
        <w:rPr>
          <w:b/>
          <w:bCs/>
          <w:sz w:val="28"/>
          <w:szCs w:val="28"/>
        </w:rPr>
        <w:t>EUREKA programmas ietvaros”</w:t>
      </w:r>
    </w:p>
    <w:p w:rsidR="006914C2" w:rsidRPr="007D12FC" w:rsidRDefault="005A7E05" w:rsidP="005A7E05">
      <w:pPr>
        <w:jc w:val="center"/>
        <w:rPr>
          <w:b/>
          <w:sz w:val="28"/>
          <w:szCs w:val="28"/>
        </w:rPr>
      </w:pPr>
      <w:r w:rsidRPr="007D12FC">
        <w:rPr>
          <w:b/>
          <w:vanish/>
          <w:sz w:val="28"/>
          <w:szCs w:val="28"/>
        </w:rPr>
        <w:t>{"value":"30.07.2015","iso_value":"2015/07/30","content":"&lt;font class='s-1'&gt;30.07.2015.-31.01.2017.&lt;/font&gt; &lt;font class='s-2'&gt;Pamata&lt;/font&gt;"}</w:t>
      </w:r>
    </w:p>
    <w:p w:rsidR="00FA3DF6" w:rsidRPr="007D12FC" w:rsidRDefault="00C233B4" w:rsidP="00FA3DF6">
      <w:pPr>
        <w:ind w:firstLine="720"/>
        <w:jc w:val="right"/>
        <w:rPr>
          <w:bCs/>
          <w:sz w:val="28"/>
          <w:szCs w:val="28"/>
        </w:rPr>
      </w:pPr>
      <w:r w:rsidRPr="007D12FC">
        <w:rPr>
          <w:bCs/>
          <w:sz w:val="28"/>
          <w:szCs w:val="28"/>
        </w:rPr>
        <w:t>Izdoti saskaņā ar</w:t>
      </w:r>
      <w:r w:rsidR="00FA3DF6" w:rsidRPr="007D12FC">
        <w:rPr>
          <w:bCs/>
          <w:sz w:val="28"/>
          <w:szCs w:val="28"/>
        </w:rPr>
        <w:t xml:space="preserve"> </w:t>
      </w:r>
    </w:p>
    <w:p w:rsidR="00FA3DF6" w:rsidRPr="007D12FC" w:rsidRDefault="00FA3DF6" w:rsidP="00FA3DF6">
      <w:pPr>
        <w:ind w:firstLine="720"/>
        <w:jc w:val="right"/>
        <w:rPr>
          <w:bCs/>
          <w:sz w:val="28"/>
          <w:szCs w:val="28"/>
        </w:rPr>
      </w:pPr>
      <w:r w:rsidRPr="007D12FC">
        <w:rPr>
          <w:bCs/>
          <w:sz w:val="28"/>
          <w:szCs w:val="28"/>
        </w:rPr>
        <w:t xml:space="preserve">Zinātniskās darbības likuma </w:t>
      </w:r>
    </w:p>
    <w:p w:rsidR="00FA3DF6" w:rsidRPr="007D12FC" w:rsidRDefault="00FA3DF6" w:rsidP="00FA3DF6">
      <w:pPr>
        <w:ind w:firstLine="720"/>
        <w:jc w:val="right"/>
        <w:rPr>
          <w:bCs/>
          <w:sz w:val="28"/>
          <w:szCs w:val="28"/>
        </w:rPr>
      </w:pPr>
      <w:r w:rsidRPr="007D12FC">
        <w:rPr>
          <w:bCs/>
          <w:sz w:val="28"/>
          <w:szCs w:val="28"/>
        </w:rPr>
        <w:t>33. panta trešo daļu</w:t>
      </w:r>
    </w:p>
    <w:p w:rsidR="00167521" w:rsidRPr="007D12FC" w:rsidRDefault="00167521" w:rsidP="00C233B4">
      <w:pPr>
        <w:ind w:firstLine="720"/>
        <w:jc w:val="right"/>
        <w:rPr>
          <w:bCs/>
          <w:sz w:val="28"/>
          <w:szCs w:val="28"/>
        </w:rPr>
      </w:pPr>
    </w:p>
    <w:p w:rsidR="00BD692E" w:rsidRPr="007D12FC" w:rsidRDefault="00C233B4" w:rsidP="00FA3DF6">
      <w:pPr>
        <w:ind w:firstLine="720"/>
        <w:jc w:val="both"/>
        <w:rPr>
          <w:bCs/>
          <w:sz w:val="28"/>
          <w:szCs w:val="28"/>
        </w:rPr>
      </w:pPr>
      <w:r w:rsidRPr="007D12FC">
        <w:rPr>
          <w:bCs/>
          <w:sz w:val="28"/>
          <w:szCs w:val="28"/>
        </w:rPr>
        <w:t xml:space="preserve">Izdarīt </w:t>
      </w:r>
      <w:r w:rsidR="00963969" w:rsidRPr="007D12FC">
        <w:rPr>
          <w:bCs/>
          <w:sz w:val="28"/>
          <w:szCs w:val="28"/>
        </w:rPr>
        <w:t xml:space="preserve">Ministru kabineta </w:t>
      </w:r>
      <w:r w:rsidR="00FA3DF6" w:rsidRPr="007D12FC">
        <w:rPr>
          <w:bCs/>
          <w:sz w:val="28"/>
          <w:szCs w:val="28"/>
        </w:rPr>
        <w:t>2015. gada 26. maija noteikumos Nr. 258 “Valsts atbalsta piešķiršanas kārtība projektu īstenošanai EUREKA programmas ietvaros”</w:t>
      </w:r>
      <w:r w:rsidR="00046D50" w:rsidRPr="007D12FC">
        <w:rPr>
          <w:bCs/>
          <w:sz w:val="28"/>
          <w:szCs w:val="28"/>
        </w:rPr>
        <w:t xml:space="preserve"> </w:t>
      </w:r>
      <w:r w:rsidR="00FA3DF6" w:rsidRPr="007D12FC">
        <w:rPr>
          <w:bCs/>
          <w:sz w:val="28"/>
          <w:szCs w:val="28"/>
        </w:rPr>
        <w:t>(Latvijas Vēstnesis, 2015, 108</w:t>
      </w:r>
      <w:r w:rsidR="00863D4C" w:rsidRPr="007D12FC">
        <w:rPr>
          <w:bCs/>
          <w:sz w:val="28"/>
          <w:szCs w:val="28"/>
        </w:rPr>
        <w:t>. nr.</w:t>
      </w:r>
      <w:r w:rsidRPr="007D12FC">
        <w:rPr>
          <w:bCs/>
          <w:sz w:val="28"/>
          <w:szCs w:val="28"/>
        </w:rPr>
        <w:t xml:space="preserve">) </w:t>
      </w:r>
      <w:r w:rsidR="00BD692E" w:rsidRPr="007D12FC">
        <w:rPr>
          <w:bCs/>
          <w:sz w:val="28"/>
          <w:szCs w:val="28"/>
        </w:rPr>
        <w:t xml:space="preserve">šādus </w:t>
      </w:r>
      <w:r w:rsidRPr="007D12FC">
        <w:rPr>
          <w:bCs/>
          <w:sz w:val="28"/>
          <w:szCs w:val="28"/>
        </w:rPr>
        <w:t>grozījumu</w:t>
      </w:r>
      <w:r w:rsidR="002F32F8" w:rsidRPr="007D12FC">
        <w:rPr>
          <w:bCs/>
          <w:sz w:val="28"/>
          <w:szCs w:val="28"/>
        </w:rPr>
        <w:t>s</w:t>
      </w:r>
      <w:r w:rsidR="00EE151A" w:rsidRPr="007D12FC">
        <w:rPr>
          <w:bCs/>
          <w:sz w:val="28"/>
          <w:szCs w:val="28"/>
        </w:rPr>
        <w:t>:</w:t>
      </w:r>
    </w:p>
    <w:p w:rsidR="00676363" w:rsidRPr="007D12FC" w:rsidRDefault="00676363" w:rsidP="00863D4C">
      <w:pPr>
        <w:ind w:firstLine="720"/>
        <w:jc w:val="both"/>
        <w:rPr>
          <w:bCs/>
          <w:sz w:val="28"/>
          <w:szCs w:val="28"/>
        </w:rPr>
      </w:pPr>
    </w:p>
    <w:p w:rsidR="00676363" w:rsidRPr="007D12FC" w:rsidRDefault="00BD692E" w:rsidP="00491CEE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 xml:space="preserve">1. </w:t>
      </w:r>
      <w:r w:rsidR="00B97BB1" w:rsidRPr="007D12FC">
        <w:rPr>
          <w:sz w:val="28"/>
          <w:szCs w:val="28"/>
        </w:rPr>
        <w:t>Aizstāt</w:t>
      </w:r>
      <w:r w:rsidR="00046D50" w:rsidRPr="007D12FC">
        <w:rPr>
          <w:sz w:val="28"/>
          <w:szCs w:val="28"/>
        </w:rPr>
        <w:t xml:space="preserve"> </w:t>
      </w:r>
      <w:r w:rsidR="00B97BB1" w:rsidRPr="007D12FC">
        <w:rPr>
          <w:sz w:val="28"/>
          <w:szCs w:val="28"/>
        </w:rPr>
        <w:t>27. punktā vārdus</w:t>
      </w:r>
      <w:r w:rsidR="00491CEE" w:rsidRPr="007D12FC">
        <w:rPr>
          <w:sz w:val="28"/>
          <w:szCs w:val="28"/>
        </w:rPr>
        <w:t xml:space="preserve"> “papīra</w:t>
      </w:r>
      <w:r w:rsidR="00B97BB1" w:rsidRPr="007D12FC">
        <w:rPr>
          <w:sz w:val="28"/>
          <w:szCs w:val="28"/>
        </w:rPr>
        <w:t xml:space="preserve"> formā</w:t>
      </w:r>
      <w:r w:rsidR="00491CEE" w:rsidRPr="007D12FC">
        <w:rPr>
          <w:sz w:val="28"/>
          <w:szCs w:val="28"/>
        </w:rPr>
        <w:t>” ar vārdiem “</w:t>
      </w:r>
      <w:r w:rsidR="00B97BB1" w:rsidRPr="007D12FC">
        <w:rPr>
          <w:sz w:val="28"/>
          <w:szCs w:val="28"/>
        </w:rPr>
        <w:t xml:space="preserve">papīra </w:t>
      </w:r>
      <w:r w:rsidR="00491CEE" w:rsidRPr="007D12FC">
        <w:rPr>
          <w:sz w:val="28"/>
          <w:szCs w:val="28"/>
        </w:rPr>
        <w:t>vai elektroniska dokumenta formā atbilstoši normatīvajiem aktiem par elektronisko dokumentu noformēšanu”.</w:t>
      </w:r>
    </w:p>
    <w:p w:rsidR="00491CEE" w:rsidRPr="007D12FC" w:rsidRDefault="00491CEE" w:rsidP="00491CEE">
      <w:pPr>
        <w:ind w:firstLine="720"/>
        <w:jc w:val="both"/>
        <w:rPr>
          <w:sz w:val="28"/>
          <w:szCs w:val="28"/>
        </w:rPr>
      </w:pPr>
    </w:p>
    <w:p w:rsidR="00665228" w:rsidRPr="007D12FC" w:rsidRDefault="00491CEE" w:rsidP="004E315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 xml:space="preserve">2. </w:t>
      </w:r>
      <w:r w:rsidR="00665228" w:rsidRPr="007D12FC">
        <w:rPr>
          <w:sz w:val="28"/>
          <w:szCs w:val="28"/>
        </w:rPr>
        <w:t>Izteikt 47.2. apakšpunktu šādā redakcijā:</w:t>
      </w:r>
    </w:p>
    <w:p w:rsidR="00E64067" w:rsidRPr="007D12FC" w:rsidRDefault="00665228" w:rsidP="004E315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“47.2.</w:t>
      </w:r>
      <w:r w:rsidR="00E64067" w:rsidRPr="007D12FC">
        <w:rPr>
          <w:sz w:val="28"/>
          <w:szCs w:val="28"/>
        </w:rPr>
        <w:t xml:space="preserve"> </w:t>
      </w:r>
      <w:r w:rsidRPr="007D12FC">
        <w:rPr>
          <w:sz w:val="28"/>
          <w:szCs w:val="28"/>
        </w:rPr>
        <w:t xml:space="preserve">vadošais atbalsta pretendents ir iesniedzis aģentūrā </w:t>
      </w:r>
      <w:r w:rsidR="004E315D" w:rsidRPr="007D12FC">
        <w:rPr>
          <w:sz w:val="28"/>
          <w:szCs w:val="28"/>
        </w:rPr>
        <w:t xml:space="preserve">parakstīta sadarbības līguma kopiju </w:t>
      </w:r>
      <w:r w:rsidR="00E64067" w:rsidRPr="007D12FC">
        <w:rPr>
          <w:sz w:val="28"/>
          <w:szCs w:val="28"/>
        </w:rPr>
        <w:t>papīra vai elektroniska dokumenta formā atbilstoši normatīvajiem aktiem par elektronisko dokumentu noformēšanu</w:t>
      </w:r>
      <w:r w:rsidRPr="007D12FC">
        <w:rPr>
          <w:sz w:val="28"/>
          <w:szCs w:val="28"/>
        </w:rPr>
        <w:t>.”</w:t>
      </w:r>
    </w:p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</w:p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3. Papildināt 1. pielikuma 3.2. apakšpunktu aiz rindas</w:t>
      </w:r>
    </w:p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6"/>
      </w:tblGrid>
      <w:tr w:rsidR="00B33DEB" w:rsidRPr="007D12FC" w:rsidTr="00626BCB">
        <w:tc>
          <w:tcPr>
            <w:tcW w:w="4111" w:type="dxa"/>
          </w:tcPr>
          <w:p w:rsidR="00626BCB" w:rsidRPr="007D12FC" w:rsidRDefault="00626BCB" w:rsidP="00E64067">
            <w:pPr>
              <w:jc w:val="both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“Fakss</w:t>
            </w:r>
          </w:p>
        </w:tc>
        <w:tc>
          <w:tcPr>
            <w:tcW w:w="4246" w:type="dxa"/>
          </w:tcPr>
          <w:p w:rsidR="00626BCB" w:rsidRPr="007D12FC" w:rsidRDefault="00626BCB" w:rsidP="00626BCB">
            <w:pPr>
              <w:jc w:val="right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”</w:t>
            </w:r>
          </w:p>
        </w:tc>
      </w:tr>
    </w:tbl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</w:p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ar rindu šādā redakcijā:</w:t>
      </w:r>
    </w:p>
    <w:p w:rsidR="007E2825" w:rsidRPr="007D12FC" w:rsidRDefault="007E2825" w:rsidP="00E64067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6"/>
      </w:tblGrid>
      <w:tr w:rsidR="00B33DEB" w:rsidRPr="007D12FC" w:rsidTr="00626BCB">
        <w:tc>
          <w:tcPr>
            <w:tcW w:w="4111" w:type="dxa"/>
          </w:tcPr>
          <w:p w:rsidR="00FF6464" w:rsidRPr="007D12FC" w:rsidRDefault="00626BCB" w:rsidP="004F3905">
            <w:pPr>
              <w:jc w:val="both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“</w:t>
            </w:r>
            <w:r w:rsidR="004F3905" w:rsidRPr="007D12FC">
              <w:rPr>
                <w:sz w:val="28"/>
                <w:szCs w:val="28"/>
              </w:rPr>
              <w:t>Oficiālā elektroniskā adrese</w:t>
            </w:r>
          </w:p>
        </w:tc>
        <w:tc>
          <w:tcPr>
            <w:tcW w:w="4246" w:type="dxa"/>
          </w:tcPr>
          <w:p w:rsidR="00626BCB" w:rsidRPr="007D12FC" w:rsidRDefault="00626BCB" w:rsidP="004F3905">
            <w:pPr>
              <w:jc w:val="right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”</w:t>
            </w:r>
          </w:p>
        </w:tc>
      </w:tr>
    </w:tbl>
    <w:p w:rsidR="00626BCB" w:rsidRPr="007D12FC" w:rsidRDefault="00626BCB" w:rsidP="00E64067">
      <w:pPr>
        <w:ind w:firstLine="720"/>
        <w:jc w:val="both"/>
        <w:rPr>
          <w:sz w:val="28"/>
          <w:szCs w:val="28"/>
        </w:rPr>
      </w:pPr>
    </w:p>
    <w:p w:rsidR="00820460" w:rsidRPr="007D12FC" w:rsidRDefault="00576CF9" w:rsidP="00820460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4</w:t>
      </w:r>
      <w:r w:rsidR="00820460" w:rsidRPr="007D12FC">
        <w:rPr>
          <w:sz w:val="28"/>
          <w:szCs w:val="28"/>
        </w:rPr>
        <w:t>. Papildināt 1. pielikuma 4.2. apakšpunktu aiz rindas</w:t>
      </w:r>
    </w:p>
    <w:p w:rsidR="00820460" w:rsidRPr="007D12FC" w:rsidRDefault="00820460" w:rsidP="00820460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6"/>
      </w:tblGrid>
      <w:tr w:rsidR="00B33DEB" w:rsidRPr="007D12FC" w:rsidTr="005D6626">
        <w:tc>
          <w:tcPr>
            <w:tcW w:w="4111" w:type="dxa"/>
          </w:tcPr>
          <w:p w:rsidR="00820460" w:rsidRPr="007D12FC" w:rsidRDefault="00820460" w:rsidP="005D6626">
            <w:pPr>
              <w:jc w:val="both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“Fakss</w:t>
            </w:r>
          </w:p>
        </w:tc>
        <w:tc>
          <w:tcPr>
            <w:tcW w:w="4246" w:type="dxa"/>
          </w:tcPr>
          <w:p w:rsidR="00820460" w:rsidRPr="007D12FC" w:rsidRDefault="00820460" w:rsidP="005D6626">
            <w:pPr>
              <w:jc w:val="right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”</w:t>
            </w:r>
          </w:p>
        </w:tc>
      </w:tr>
    </w:tbl>
    <w:p w:rsidR="00820460" w:rsidRPr="007D12FC" w:rsidRDefault="00820460" w:rsidP="00820460">
      <w:pPr>
        <w:ind w:firstLine="720"/>
        <w:jc w:val="both"/>
        <w:rPr>
          <w:sz w:val="28"/>
          <w:szCs w:val="28"/>
        </w:rPr>
      </w:pPr>
    </w:p>
    <w:p w:rsidR="00820460" w:rsidRPr="007D12FC" w:rsidRDefault="00820460" w:rsidP="00820460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ar rindu šādā redakcijā:</w:t>
      </w:r>
    </w:p>
    <w:p w:rsidR="00820460" w:rsidRPr="007D12FC" w:rsidRDefault="00820460" w:rsidP="00820460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46"/>
      </w:tblGrid>
      <w:tr w:rsidR="00B33DEB" w:rsidRPr="007D12FC" w:rsidTr="005D6626">
        <w:tc>
          <w:tcPr>
            <w:tcW w:w="4111" w:type="dxa"/>
          </w:tcPr>
          <w:p w:rsidR="00820460" w:rsidRPr="007D12FC" w:rsidRDefault="00820460" w:rsidP="005D6626">
            <w:pPr>
              <w:jc w:val="both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lastRenderedPageBreak/>
              <w:t>“Ofic</w:t>
            </w:r>
            <w:r w:rsidR="004F3905" w:rsidRPr="007D12FC">
              <w:rPr>
                <w:sz w:val="28"/>
                <w:szCs w:val="28"/>
              </w:rPr>
              <w:t>iālā elektroniskā adrese</w:t>
            </w:r>
          </w:p>
        </w:tc>
        <w:tc>
          <w:tcPr>
            <w:tcW w:w="4246" w:type="dxa"/>
          </w:tcPr>
          <w:p w:rsidR="00820460" w:rsidRPr="007D12FC" w:rsidRDefault="00820460" w:rsidP="004F3905">
            <w:pPr>
              <w:jc w:val="right"/>
              <w:rPr>
                <w:sz w:val="28"/>
                <w:szCs w:val="28"/>
              </w:rPr>
            </w:pPr>
            <w:r w:rsidRPr="007D12FC">
              <w:rPr>
                <w:sz w:val="28"/>
                <w:szCs w:val="28"/>
              </w:rPr>
              <w:t>”</w:t>
            </w:r>
          </w:p>
        </w:tc>
      </w:tr>
    </w:tbl>
    <w:p w:rsidR="00820460" w:rsidRPr="007D12FC" w:rsidRDefault="00820460" w:rsidP="00820460">
      <w:pPr>
        <w:ind w:firstLine="720"/>
        <w:jc w:val="both"/>
        <w:rPr>
          <w:sz w:val="28"/>
          <w:szCs w:val="28"/>
        </w:rPr>
      </w:pPr>
    </w:p>
    <w:p w:rsidR="00C01DFE" w:rsidRPr="007D12FC" w:rsidRDefault="00576CF9" w:rsidP="00A104E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5</w:t>
      </w:r>
      <w:r w:rsidR="00A104ED" w:rsidRPr="007D12FC">
        <w:rPr>
          <w:sz w:val="28"/>
          <w:szCs w:val="28"/>
        </w:rPr>
        <w:t>. Papildināt</w:t>
      </w:r>
      <w:r w:rsidR="008F1793" w:rsidRPr="007D12FC">
        <w:rPr>
          <w:sz w:val="28"/>
          <w:szCs w:val="28"/>
        </w:rPr>
        <w:t xml:space="preserve"> </w:t>
      </w:r>
      <w:r w:rsidR="00A104ED" w:rsidRPr="007D12FC">
        <w:rPr>
          <w:sz w:val="28"/>
          <w:szCs w:val="28"/>
        </w:rPr>
        <w:t>4. pielikum</w:t>
      </w:r>
      <w:r w:rsidR="00930B3C" w:rsidRPr="007D12FC">
        <w:rPr>
          <w:sz w:val="28"/>
          <w:szCs w:val="28"/>
        </w:rPr>
        <w:t>u aiz rindas</w:t>
      </w:r>
    </w:p>
    <w:p w:rsidR="00C01DFE" w:rsidRPr="007D12FC" w:rsidRDefault="00C01DFE" w:rsidP="00A104ED">
      <w:pPr>
        <w:ind w:firstLine="720"/>
        <w:jc w:val="both"/>
        <w:rPr>
          <w:sz w:val="28"/>
          <w:szCs w:val="28"/>
        </w:rPr>
      </w:pPr>
    </w:p>
    <w:p w:rsidR="00C01DFE" w:rsidRPr="007D12FC" w:rsidRDefault="00A104ED" w:rsidP="00A104E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“institūcijas adrese</w:t>
      </w:r>
      <w:r w:rsidR="00C01DFE" w:rsidRPr="007D12FC">
        <w:rPr>
          <w:sz w:val="28"/>
          <w:szCs w:val="28"/>
        </w:rPr>
        <w:t xml:space="preserve"> ________________</w:t>
      </w:r>
      <w:r w:rsidRPr="007D12FC">
        <w:rPr>
          <w:sz w:val="28"/>
          <w:szCs w:val="28"/>
        </w:rPr>
        <w:t>”</w:t>
      </w:r>
    </w:p>
    <w:p w:rsidR="00C01DFE" w:rsidRPr="007D12FC" w:rsidRDefault="00C01DFE" w:rsidP="00A104ED">
      <w:pPr>
        <w:ind w:firstLine="720"/>
        <w:jc w:val="both"/>
        <w:rPr>
          <w:sz w:val="28"/>
          <w:szCs w:val="28"/>
        </w:rPr>
      </w:pPr>
    </w:p>
    <w:p w:rsidR="00C01DFE" w:rsidRPr="007D12FC" w:rsidRDefault="00930B3C" w:rsidP="00A104E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ar rindu</w:t>
      </w:r>
    </w:p>
    <w:p w:rsidR="00C01DFE" w:rsidRPr="007D12FC" w:rsidRDefault="00C01DFE" w:rsidP="00A104ED">
      <w:pPr>
        <w:ind w:firstLine="720"/>
        <w:jc w:val="both"/>
        <w:rPr>
          <w:sz w:val="28"/>
          <w:szCs w:val="28"/>
        </w:rPr>
      </w:pPr>
    </w:p>
    <w:p w:rsidR="00820460" w:rsidRPr="007D12FC" w:rsidRDefault="007E7437" w:rsidP="00A104E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“</w:t>
      </w:r>
      <w:r w:rsidR="00A104ED" w:rsidRPr="007D12FC">
        <w:rPr>
          <w:sz w:val="28"/>
          <w:szCs w:val="28"/>
        </w:rPr>
        <w:t>oficiālā elekt</w:t>
      </w:r>
      <w:r w:rsidR="004F56DC" w:rsidRPr="007D12FC">
        <w:rPr>
          <w:sz w:val="28"/>
          <w:szCs w:val="28"/>
        </w:rPr>
        <w:t>roniskā adrese</w:t>
      </w:r>
      <w:r w:rsidR="00C01DFE" w:rsidRPr="007D12FC">
        <w:rPr>
          <w:sz w:val="28"/>
          <w:szCs w:val="28"/>
        </w:rPr>
        <w:t xml:space="preserve"> ________________</w:t>
      </w:r>
      <w:r w:rsidR="00557BBC" w:rsidRPr="007D12FC">
        <w:rPr>
          <w:sz w:val="28"/>
          <w:szCs w:val="28"/>
        </w:rPr>
        <w:t>”</w:t>
      </w:r>
      <w:r w:rsidR="00A104ED" w:rsidRPr="007D12FC">
        <w:rPr>
          <w:sz w:val="28"/>
          <w:szCs w:val="28"/>
        </w:rPr>
        <w:t>.</w:t>
      </w:r>
    </w:p>
    <w:p w:rsidR="00820460" w:rsidRPr="007D12FC" w:rsidRDefault="00820460" w:rsidP="00046D50">
      <w:pPr>
        <w:ind w:firstLine="720"/>
        <w:jc w:val="both"/>
        <w:rPr>
          <w:sz w:val="28"/>
          <w:szCs w:val="28"/>
        </w:rPr>
      </w:pPr>
    </w:p>
    <w:p w:rsidR="0090540D" w:rsidRPr="007D12FC" w:rsidRDefault="00576CF9" w:rsidP="0090540D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6</w:t>
      </w:r>
      <w:r w:rsidR="0090540D" w:rsidRPr="007D12FC">
        <w:rPr>
          <w:sz w:val="28"/>
          <w:szCs w:val="28"/>
        </w:rPr>
        <w:t>. Papildināt noteikumus ar</w:t>
      </w:r>
      <w:hyperlink r:id="rId7" w:anchor="n10" w:tgtFrame="_blank" w:history="1">
        <w:r w:rsidR="0090540D" w:rsidRPr="007D12FC">
          <w:rPr>
            <w:sz w:val="28"/>
            <w:szCs w:val="28"/>
          </w:rPr>
          <w:t xml:space="preserve"> VI</w:t>
        </w:r>
        <w:r w:rsidR="00D97487" w:rsidRPr="007D12FC">
          <w:rPr>
            <w:sz w:val="28"/>
            <w:szCs w:val="28"/>
          </w:rPr>
          <w:t>I</w:t>
        </w:r>
        <w:r w:rsidR="0090540D" w:rsidRPr="007D12FC">
          <w:rPr>
            <w:sz w:val="28"/>
            <w:szCs w:val="28"/>
          </w:rPr>
          <w:t xml:space="preserve"> </w:t>
        </w:r>
      </w:hyperlink>
      <w:r w:rsidR="0090540D" w:rsidRPr="007D12FC">
        <w:rPr>
          <w:sz w:val="28"/>
          <w:szCs w:val="28"/>
        </w:rPr>
        <w:t>nodaļu šādā redakcijā:</w:t>
      </w:r>
    </w:p>
    <w:p w:rsidR="0090540D" w:rsidRPr="007D12FC" w:rsidRDefault="0090540D" w:rsidP="0090540D">
      <w:pPr>
        <w:ind w:firstLine="300"/>
        <w:jc w:val="center"/>
        <w:rPr>
          <w:bCs/>
          <w:sz w:val="28"/>
          <w:szCs w:val="28"/>
        </w:rPr>
      </w:pPr>
    </w:p>
    <w:p w:rsidR="0090540D" w:rsidRPr="007D12FC" w:rsidRDefault="0090540D" w:rsidP="0090540D">
      <w:pPr>
        <w:ind w:firstLine="300"/>
        <w:jc w:val="center"/>
        <w:rPr>
          <w:b/>
          <w:bCs/>
          <w:sz w:val="28"/>
          <w:szCs w:val="28"/>
        </w:rPr>
      </w:pPr>
      <w:r w:rsidRPr="007D12FC">
        <w:rPr>
          <w:bCs/>
          <w:sz w:val="28"/>
          <w:szCs w:val="28"/>
        </w:rPr>
        <w:t>“</w:t>
      </w:r>
      <w:r w:rsidRPr="007D12FC">
        <w:rPr>
          <w:b/>
          <w:bCs/>
          <w:sz w:val="28"/>
          <w:szCs w:val="28"/>
        </w:rPr>
        <w:t>VII. Noslēguma jautājums</w:t>
      </w:r>
    </w:p>
    <w:p w:rsidR="005C2D87" w:rsidRPr="007D12FC" w:rsidRDefault="005C2D87" w:rsidP="005C2D87">
      <w:pPr>
        <w:ind w:firstLine="720"/>
        <w:jc w:val="both"/>
        <w:rPr>
          <w:sz w:val="28"/>
          <w:szCs w:val="28"/>
        </w:rPr>
      </w:pPr>
    </w:p>
    <w:p w:rsidR="00001ABF" w:rsidRPr="007D12FC" w:rsidRDefault="005C2D87" w:rsidP="003E32B9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51</w:t>
      </w:r>
      <w:r w:rsidR="004F3905" w:rsidRPr="007D12FC">
        <w:rPr>
          <w:sz w:val="28"/>
          <w:szCs w:val="28"/>
        </w:rPr>
        <w:t>. Grozījumi</w:t>
      </w:r>
      <w:r w:rsidRPr="007D12FC">
        <w:rPr>
          <w:sz w:val="28"/>
          <w:szCs w:val="28"/>
        </w:rPr>
        <w:t xml:space="preserve"> šo noteikumu 1. pielikuma </w:t>
      </w:r>
      <w:r w:rsidR="00576CF9" w:rsidRPr="007D12FC">
        <w:rPr>
          <w:sz w:val="28"/>
          <w:szCs w:val="28"/>
        </w:rPr>
        <w:t>3.2., 4.2.</w:t>
      </w:r>
      <w:r w:rsidR="00B81B10" w:rsidRPr="007D12FC">
        <w:rPr>
          <w:sz w:val="28"/>
          <w:szCs w:val="28"/>
        </w:rPr>
        <w:t xml:space="preserve"> </w:t>
      </w:r>
      <w:r w:rsidRPr="007D12FC">
        <w:rPr>
          <w:sz w:val="28"/>
          <w:szCs w:val="28"/>
        </w:rPr>
        <w:t>apakšpunktā</w:t>
      </w:r>
      <w:r w:rsidR="004F3905" w:rsidRPr="007D12FC">
        <w:rPr>
          <w:sz w:val="28"/>
          <w:szCs w:val="28"/>
        </w:rPr>
        <w:t xml:space="preserve"> un 4. pielikumā</w:t>
      </w:r>
      <w:r w:rsidR="003E32B9" w:rsidRPr="007D12FC">
        <w:rPr>
          <w:sz w:val="28"/>
          <w:szCs w:val="28"/>
        </w:rPr>
        <w:t>, kas paredz, k</w:t>
      </w:r>
      <w:r w:rsidR="00C21128">
        <w:rPr>
          <w:sz w:val="28"/>
          <w:szCs w:val="28"/>
        </w:rPr>
        <w:t xml:space="preserve">a pieteikumā un </w:t>
      </w:r>
      <w:r w:rsidR="003E32B9" w:rsidRPr="007D12FC">
        <w:rPr>
          <w:sz w:val="28"/>
          <w:szCs w:val="28"/>
        </w:rPr>
        <w:t xml:space="preserve">atbalsta pretendenta apliecinājumā norāda </w:t>
      </w:r>
      <w:r w:rsidR="00C21128">
        <w:rPr>
          <w:sz w:val="28"/>
          <w:szCs w:val="28"/>
        </w:rPr>
        <w:t xml:space="preserve">vadošā atbalsta pretendenta un atbalsta pretendenta </w:t>
      </w:r>
      <w:r w:rsidR="003E32B9" w:rsidRPr="007D12FC">
        <w:rPr>
          <w:sz w:val="28"/>
          <w:szCs w:val="28"/>
        </w:rPr>
        <w:t xml:space="preserve">oficiālo elektronisko adresi, </w:t>
      </w:r>
      <w:r w:rsidR="00001ABF" w:rsidRPr="007D12FC">
        <w:rPr>
          <w:sz w:val="28"/>
          <w:szCs w:val="28"/>
        </w:rPr>
        <w:t>stājas spēkā:</w:t>
      </w:r>
    </w:p>
    <w:p w:rsidR="00B272F3" w:rsidRPr="007D12FC" w:rsidRDefault="00B272F3" w:rsidP="00B272F3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>51.1. attiecībā uz vadošā atbalsta pretendentiem un atbalsta pretendentiem, kuri ir komercreģistrā reģistrētas komercsabiedrības vai zinātnisko institūciju reģistrā reģistrētas zinātniskās institūcijas, kuras vienlaikus ir reģistrētas arī komercreģistrā</w:t>
      </w:r>
      <w:r w:rsidR="00472542">
        <w:rPr>
          <w:sz w:val="28"/>
          <w:szCs w:val="28"/>
        </w:rPr>
        <w:t xml:space="preserve"> vai biedrību un nodibinājumu reģistrā</w:t>
      </w:r>
      <w:r w:rsidR="00232759" w:rsidRPr="007D12FC">
        <w:rPr>
          <w:sz w:val="28"/>
          <w:szCs w:val="28"/>
        </w:rPr>
        <w:t>,</w:t>
      </w:r>
      <w:r w:rsidRPr="007D12FC">
        <w:rPr>
          <w:sz w:val="28"/>
          <w:szCs w:val="28"/>
        </w:rPr>
        <w:t xml:space="preserve"> – 2020. gada 1. janvārī;</w:t>
      </w:r>
    </w:p>
    <w:p w:rsidR="008C75EF" w:rsidRPr="007D12FC" w:rsidRDefault="00B272F3" w:rsidP="00B272F3">
      <w:pPr>
        <w:ind w:firstLine="720"/>
        <w:jc w:val="both"/>
        <w:rPr>
          <w:sz w:val="28"/>
          <w:szCs w:val="28"/>
        </w:rPr>
      </w:pPr>
      <w:r w:rsidRPr="007D12FC">
        <w:rPr>
          <w:sz w:val="28"/>
          <w:szCs w:val="28"/>
        </w:rPr>
        <w:t xml:space="preserve">51.2. </w:t>
      </w:r>
      <w:r w:rsidR="008C75EF" w:rsidRPr="007D12FC">
        <w:rPr>
          <w:sz w:val="28"/>
          <w:szCs w:val="28"/>
        </w:rPr>
        <w:t>attiecībā uz vadošā atbalsta pretendentiem</w:t>
      </w:r>
      <w:r w:rsidR="002B7F81" w:rsidRPr="007D12FC">
        <w:rPr>
          <w:sz w:val="28"/>
          <w:szCs w:val="28"/>
        </w:rPr>
        <w:t xml:space="preserve"> un atbalsta pretendentiem</w:t>
      </w:r>
      <w:r w:rsidR="008C75EF" w:rsidRPr="007D12FC">
        <w:rPr>
          <w:sz w:val="28"/>
          <w:szCs w:val="28"/>
        </w:rPr>
        <w:t xml:space="preserve">, kuri ir zinātnisko institūciju reģistrā reģistrētas zinātniskās institūcijas </w:t>
      </w:r>
      <w:r w:rsidRPr="007D12FC">
        <w:rPr>
          <w:sz w:val="28"/>
          <w:szCs w:val="28"/>
        </w:rPr>
        <w:t>(izņemot šo noteikumu 51.1. apakšpunktā minētās institūcijas)</w:t>
      </w:r>
      <w:r w:rsidR="00A53A17" w:rsidRPr="007D12FC">
        <w:rPr>
          <w:sz w:val="28"/>
          <w:szCs w:val="28"/>
        </w:rPr>
        <w:t>,</w:t>
      </w:r>
      <w:r w:rsidRPr="007D12FC">
        <w:rPr>
          <w:sz w:val="28"/>
          <w:szCs w:val="28"/>
        </w:rPr>
        <w:t xml:space="preserve"> </w:t>
      </w:r>
      <w:r w:rsidR="008C75EF" w:rsidRPr="007D12FC">
        <w:rPr>
          <w:sz w:val="28"/>
          <w:szCs w:val="28"/>
        </w:rPr>
        <w:t>– 2018. gada 1. jūnij</w:t>
      </w:r>
      <w:r w:rsidRPr="007D12FC">
        <w:rPr>
          <w:sz w:val="28"/>
          <w:szCs w:val="28"/>
        </w:rPr>
        <w:t>ā.”</w:t>
      </w:r>
    </w:p>
    <w:p w:rsidR="008C75EF" w:rsidRPr="007D12FC" w:rsidRDefault="008C75EF" w:rsidP="008C75EF">
      <w:pPr>
        <w:jc w:val="both"/>
      </w:pPr>
    </w:p>
    <w:p w:rsidR="002A5E9A" w:rsidRPr="007D12FC" w:rsidRDefault="002A5E9A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7D12FC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D12FC">
        <w:rPr>
          <w:sz w:val="28"/>
          <w:szCs w:val="28"/>
        </w:rPr>
        <w:t>Ministru prezidents</w:t>
      </w:r>
      <w:r w:rsidRPr="007D12FC">
        <w:rPr>
          <w:sz w:val="28"/>
          <w:szCs w:val="28"/>
        </w:rPr>
        <w:tab/>
        <w:t>Māris Kučinskis</w:t>
      </w:r>
    </w:p>
    <w:p w:rsidR="00C518A8" w:rsidRPr="007D12FC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7D12FC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D12FC">
        <w:rPr>
          <w:sz w:val="28"/>
          <w:szCs w:val="28"/>
        </w:rPr>
        <w:t>Izglītības un zinātnes</w:t>
      </w:r>
      <w:r w:rsidR="00C518A8" w:rsidRPr="007D12FC">
        <w:rPr>
          <w:sz w:val="28"/>
          <w:szCs w:val="28"/>
        </w:rPr>
        <w:t xml:space="preserve"> ministrs</w:t>
      </w:r>
      <w:r w:rsidR="00C518A8" w:rsidRPr="007D12FC">
        <w:rPr>
          <w:sz w:val="28"/>
          <w:szCs w:val="28"/>
        </w:rPr>
        <w:tab/>
      </w:r>
      <w:r w:rsidRPr="007D12FC">
        <w:rPr>
          <w:sz w:val="28"/>
          <w:szCs w:val="28"/>
        </w:rPr>
        <w:t>Kārlis Šadurskis</w:t>
      </w:r>
    </w:p>
    <w:p w:rsidR="00C518A8" w:rsidRPr="007D12FC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7D12FC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7D12FC">
        <w:rPr>
          <w:sz w:val="28"/>
          <w:szCs w:val="28"/>
        </w:rPr>
        <w:t>Iesniedzējs:</w:t>
      </w:r>
    </w:p>
    <w:p w:rsidR="00746114" w:rsidRPr="007D12FC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D12FC">
        <w:rPr>
          <w:sz w:val="28"/>
          <w:szCs w:val="28"/>
        </w:rPr>
        <w:t>Izglītības un zinātnes ministrs</w:t>
      </w:r>
      <w:r w:rsidR="00C518A8" w:rsidRPr="007D12FC">
        <w:rPr>
          <w:sz w:val="28"/>
          <w:szCs w:val="28"/>
        </w:rPr>
        <w:tab/>
      </w:r>
      <w:r w:rsidRPr="007D12FC">
        <w:rPr>
          <w:sz w:val="28"/>
          <w:szCs w:val="28"/>
        </w:rPr>
        <w:t>Kārlis Šadurskis</w:t>
      </w:r>
    </w:p>
    <w:p w:rsidR="00986723" w:rsidRPr="007D12FC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7D12FC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D12FC">
        <w:rPr>
          <w:sz w:val="28"/>
          <w:szCs w:val="28"/>
        </w:rPr>
        <w:t>Vīza:</w:t>
      </w:r>
    </w:p>
    <w:p w:rsidR="00986723" w:rsidRPr="007D12FC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D12FC">
        <w:rPr>
          <w:sz w:val="28"/>
          <w:szCs w:val="28"/>
        </w:rPr>
        <w:t>Valsts sekretāre</w:t>
      </w:r>
      <w:r w:rsidRPr="007D12FC">
        <w:rPr>
          <w:sz w:val="28"/>
          <w:szCs w:val="28"/>
        </w:rPr>
        <w:tab/>
        <w:t>Līga Lejiņa</w:t>
      </w:r>
    </w:p>
    <w:p w:rsidR="0071302D" w:rsidRPr="007D12FC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7D12FC" w:rsidRDefault="0071302D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7D12FC" w:rsidRDefault="00C353B2" w:rsidP="0071302D">
      <w:pPr>
        <w:tabs>
          <w:tab w:val="center" w:pos="0"/>
        </w:tabs>
        <w:jc w:val="both"/>
      </w:pPr>
      <w:r w:rsidRPr="007D12FC">
        <w:t>09</w:t>
      </w:r>
      <w:r w:rsidR="00676363" w:rsidRPr="007D12FC">
        <w:t>.06</w:t>
      </w:r>
      <w:r w:rsidR="001E6E25">
        <w:t>.2017. 15</w:t>
      </w:r>
      <w:r w:rsidR="0071302D" w:rsidRPr="007D12FC">
        <w:t>:</w:t>
      </w:r>
      <w:r w:rsidR="00DA102E">
        <w:t>25</w:t>
      </w:r>
      <w:bookmarkStart w:id="0" w:name="_GoBack"/>
      <w:bookmarkEnd w:id="0"/>
    </w:p>
    <w:p w:rsidR="0071302D" w:rsidRPr="007D12FC" w:rsidRDefault="001E6E25" w:rsidP="0071302D">
      <w:pPr>
        <w:tabs>
          <w:tab w:val="center" w:pos="0"/>
        </w:tabs>
        <w:jc w:val="both"/>
      </w:pPr>
      <w:r>
        <w:t>304</w:t>
      </w:r>
    </w:p>
    <w:p w:rsidR="0071302D" w:rsidRPr="007D12FC" w:rsidRDefault="00676363" w:rsidP="0071302D">
      <w:pPr>
        <w:tabs>
          <w:tab w:val="center" w:pos="0"/>
        </w:tabs>
        <w:ind w:right="-108"/>
        <w:jc w:val="both"/>
      </w:pPr>
      <w:r w:rsidRPr="007D12FC">
        <w:t>I.</w:t>
      </w:r>
      <w:r w:rsidR="0071302D" w:rsidRPr="007D12FC">
        <w:t>Krastiņa</w:t>
      </w:r>
    </w:p>
    <w:p w:rsidR="000642F7" w:rsidRPr="007D12FC" w:rsidRDefault="0071302D" w:rsidP="0071302D">
      <w:pPr>
        <w:tabs>
          <w:tab w:val="center" w:pos="0"/>
        </w:tabs>
        <w:ind w:right="-108"/>
        <w:jc w:val="both"/>
        <w:rPr>
          <w:rFonts w:eastAsiaTheme="minorHAnsi"/>
          <w:lang w:eastAsia="en-US"/>
        </w:rPr>
      </w:pPr>
      <w:r w:rsidRPr="007D12FC">
        <w:t>67047768, Ilze.Krastina@izm.gov.lv</w:t>
      </w:r>
    </w:p>
    <w:sectPr w:rsidR="000642F7" w:rsidRPr="007D12FC" w:rsidSect="003B7AA6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EA" w:rsidRDefault="005C30EA" w:rsidP="006D6A32">
      <w:r>
        <w:separator/>
      </w:r>
    </w:p>
  </w:endnote>
  <w:endnote w:type="continuationSeparator" w:id="0">
    <w:p w:rsidR="005C30EA" w:rsidRDefault="005C30E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774A56" w:rsidRDefault="00C353B2" w:rsidP="00774A56">
    <w:pPr>
      <w:pStyle w:val="Footer"/>
      <w:jc w:val="both"/>
    </w:pPr>
    <w:r>
      <w:t>IZMNot_09</w:t>
    </w:r>
    <w:r w:rsidR="00774A56" w:rsidRPr="00774A56">
      <w:t>0617_groz258; Ministru kabineta noteikumu projekts “Grozījumi Ministru kabineta 2015. gada 26. maija noteikumos Nr. 258 “Valsts atbalsta piešķiršanas kārtība projektu īstenošanai EUREKA programmas ietvaros”</w:t>
    </w:r>
    <w:r w:rsidR="00774A56"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56" w:rsidRPr="00774A56" w:rsidRDefault="00D71933" w:rsidP="00774A56">
    <w:pPr>
      <w:pStyle w:val="Footer"/>
      <w:jc w:val="both"/>
    </w:pPr>
    <w:r w:rsidRPr="00774A56">
      <w:t>IZM</w:t>
    </w:r>
    <w:r w:rsidR="00370839" w:rsidRPr="00774A56">
      <w:t>N</w:t>
    </w:r>
    <w:r w:rsidR="00C518A8" w:rsidRPr="00774A56">
      <w:t>ot_</w:t>
    </w:r>
    <w:r w:rsidR="00C353B2">
      <w:t>09</w:t>
    </w:r>
    <w:r w:rsidR="00676363" w:rsidRPr="00774A56">
      <w:t>06</w:t>
    </w:r>
    <w:r w:rsidR="00774A56" w:rsidRPr="00774A56">
      <w:t>17_groz258</w:t>
    </w:r>
    <w:r w:rsidRPr="00774A56">
      <w:t>; Ministru kabineta noteikumu</w:t>
    </w:r>
    <w:r w:rsidR="00D3483F" w:rsidRPr="00774A56">
      <w:t xml:space="preserve"> </w:t>
    </w:r>
    <w:r w:rsidR="000642F7" w:rsidRPr="00774A56">
      <w:t xml:space="preserve">projekts </w:t>
    </w:r>
    <w:r w:rsidR="00D3483F" w:rsidRPr="00774A56">
      <w:t>“</w:t>
    </w:r>
    <w:r w:rsidR="0031240A" w:rsidRPr="00774A56">
      <w:t xml:space="preserve">Grozījumi </w:t>
    </w:r>
    <w:r w:rsidR="00774A56" w:rsidRPr="00774A56">
      <w:t>Ministru kabineta 2015. gada 26. maija noteikumos Nr. 258 “Valsts atbalsta piešķiršanas kārtība projektu īstenošanai EUREKA programmas ietvaros”</w:t>
    </w:r>
    <w:r w:rsidR="00774A56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EA" w:rsidRDefault="005C30EA" w:rsidP="006D6A32">
      <w:r>
        <w:separator/>
      </w:r>
    </w:p>
  </w:footnote>
  <w:footnote w:type="continuationSeparator" w:id="0">
    <w:p w:rsidR="005C30EA" w:rsidRDefault="005C30EA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5C30EA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43710"/>
    <w:multiLevelType w:val="multilevel"/>
    <w:tmpl w:val="2A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01ABF"/>
    <w:rsid w:val="00004697"/>
    <w:rsid w:val="00033A01"/>
    <w:rsid w:val="00033D24"/>
    <w:rsid w:val="00046D50"/>
    <w:rsid w:val="000642F7"/>
    <w:rsid w:val="000B1D75"/>
    <w:rsid w:val="000E009A"/>
    <w:rsid w:val="0011374B"/>
    <w:rsid w:val="00167521"/>
    <w:rsid w:val="00170D47"/>
    <w:rsid w:val="00175B31"/>
    <w:rsid w:val="001C2A69"/>
    <w:rsid w:val="001E2901"/>
    <w:rsid w:val="001E5F0F"/>
    <w:rsid w:val="001E6E25"/>
    <w:rsid w:val="00215B11"/>
    <w:rsid w:val="00232759"/>
    <w:rsid w:val="00235DC0"/>
    <w:rsid w:val="00240367"/>
    <w:rsid w:val="00253D82"/>
    <w:rsid w:val="00276342"/>
    <w:rsid w:val="002807B2"/>
    <w:rsid w:val="00291A03"/>
    <w:rsid w:val="002A4BB0"/>
    <w:rsid w:val="002A5E9A"/>
    <w:rsid w:val="002B7F81"/>
    <w:rsid w:val="002D62DF"/>
    <w:rsid w:val="002F32F8"/>
    <w:rsid w:val="0031240A"/>
    <w:rsid w:val="00313C84"/>
    <w:rsid w:val="00370839"/>
    <w:rsid w:val="003B7AA6"/>
    <w:rsid w:val="003C4C95"/>
    <w:rsid w:val="003D5DB2"/>
    <w:rsid w:val="003E32B9"/>
    <w:rsid w:val="00401532"/>
    <w:rsid w:val="00405747"/>
    <w:rsid w:val="0046726F"/>
    <w:rsid w:val="00472542"/>
    <w:rsid w:val="00485846"/>
    <w:rsid w:val="00491CEE"/>
    <w:rsid w:val="00493EF5"/>
    <w:rsid w:val="004C6BC3"/>
    <w:rsid w:val="004C779E"/>
    <w:rsid w:val="004D5539"/>
    <w:rsid w:val="004D7622"/>
    <w:rsid w:val="004E315D"/>
    <w:rsid w:val="004F3905"/>
    <w:rsid w:val="004F46A6"/>
    <w:rsid w:val="004F56DC"/>
    <w:rsid w:val="00533E14"/>
    <w:rsid w:val="00557BBC"/>
    <w:rsid w:val="0056206A"/>
    <w:rsid w:val="00576CF9"/>
    <w:rsid w:val="005A7148"/>
    <w:rsid w:val="005A7E05"/>
    <w:rsid w:val="005C2D87"/>
    <w:rsid w:val="005C30EA"/>
    <w:rsid w:val="005E0123"/>
    <w:rsid w:val="005F3C06"/>
    <w:rsid w:val="006112F1"/>
    <w:rsid w:val="00626BCB"/>
    <w:rsid w:val="00640B26"/>
    <w:rsid w:val="00665228"/>
    <w:rsid w:val="00676363"/>
    <w:rsid w:val="00687022"/>
    <w:rsid w:val="006914C2"/>
    <w:rsid w:val="006A5FFE"/>
    <w:rsid w:val="006D6A32"/>
    <w:rsid w:val="006E320E"/>
    <w:rsid w:val="00702731"/>
    <w:rsid w:val="00704C02"/>
    <w:rsid w:val="0071302D"/>
    <w:rsid w:val="007247C7"/>
    <w:rsid w:val="00746114"/>
    <w:rsid w:val="00754993"/>
    <w:rsid w:val="00774A56"/>
    <w:rsid w:val="007C322F"/>
    <w:rsid w:val="007C74D9"/>
    <w:rsid w:val="007D12FC"/>
    <w:rsid w:val="007E0A49"/>
    <w:rsid w:val="007E2825"/>
    <w:rsid w:val="007E7437"/>
    <w:rsid w:val="007F49AB"/>
    <w:rsid w:val="00804D7A"/>
    <w:rsid w:val="0081623B"/>
    <w:rsid w:val="00820460"/>
    <w:rsid w:val="00832699"/>
    <w:rsid w:val="008573E9"/>
    <w:rsid w:val="00863D4C"/>
    <w:rsid w:val="00873070"/>
    <w:rsid w:val="00882A31"/>
    <w:rsid w:val="0089314A"/>
    <w:rsid w:val="0089511D"/>
    <w:rsid w:val="008C75EF"/>
    <w:rsid w:val="008F1793"/>
    <w:rsid w:val="008F6180"/>
    <w:rsid w:val="008F736C"/>
    <w:rsid w:val="0090540D"/>
    <w:rsid w:val="00923661"/>
    <w:rsid w:val="00930B3C"/>
    <w:rsid w:val="00953BAC"/>
    <w:rsid w:val="00963969"/>
    <w:rsid w:val="00986723"/>
    <w:rsid w:val="009A21B3"/>
    <w:rsid w:val="009E55B7"/>
    <w:rsid w:val="00A1040D"/>
    <w:rsid w:val="00A104ED"/>
    <w:rsid w:val="00A36DCB"/>
    <w:rsid w:val="00A43DF6"/>
    <w:rsid w:val="00A53A17"/>
    <w:rsid w:val="00A76193"/>
    <w:rsid w:val="00AE13F7"/>
    <w:rsid w:val="00B272F3"/>
    <w:rsid w:val="00B31D5C"/>
    <w:rsid w:val="00B32031"/>
    <w:rsid w:val="00B33DEB"/>
    <w:rsid w:val="00B50758"/>
    <w:rsid w:val="00B81B10"/>
    <w:rsid w:val="00B97BB1"/>
    <w:rsid w:val="00BD692E"/>
    <w:rsid w:val="00BE0E1D"/>
    <w:rsid w:val="00C01DFE"/>
    <w:rsid w:val="00C10E1A"/>
    <w:rsid w:val="00C16BCA"/>
    <w:rsid w:val="00C21128"/>
    <w:rsid w:val="00C233B4"/>
    <w:rsid w:val="00C353B2"/>
    <w:rsid w:val="00C518A8"/>
    <w:rsid w:val="00C77094"/>
    <w:rsid w:val="00C90668"/>
    <w:rsid w:val="00CB6E03"/>
    <w:rsid w:val="00D3483F"/>
    <w:rsid w:val="00D41ED3"/>
    <w:rsid w:val="00D71933"/>
    <w:rsid w:val="00D815E8"/>
    <w:rsid w:val="00D8433B"/>
    <w:rsid w:val="00D97487"/>
    <w:rsid w:val="00DA102E"/>
    <w:rsid w:val="00DC06C8"/>
    <w:rsid w:val="00DE0BBA"/>
    <w:rsid w:val="00DF01C3"/>
    <w:rsid w:val="00E64067"/>
    <w:rsid w:val="00E6718A"/>
    <w:rsid w:val="00EA5810"/>
    <w:rsid w:val="00EE151A"/>
    <w:rsid w:val="00EE35B8"/>
    <w:rsid w:val="00F22509"/>
    <w:rsid w:val="00F359EC"/>
    <w:rsid w:val="00F35C64"/>
    <w:rsid w:val="00F52117"/>
    <w:rsid w:val="00FA3DF6"/>
    <w:rsid w:val="00FB28A9"/>
    <w:rsid w:val="00FB485B"/>
    <w:rsid w:val="00FB7B7F"/>
    <w:rsid w:val="00FC22E5"/>
    <w:rsid w:val="00FC7C52"/>
    <w:rsid w:val="00FE07CD"/>
    <w:rsid w:val="00FE2B33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  <w:style w:type="table" w:styleId="TableGrid">
    <w:name w:val="Table Grid"/>
    <w:basedOn w:val="TableNormal"/>
    <w:uiPriority w:val="59"/>
    <w:rsid w:val="0062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8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3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14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3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403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7580-pedagogu-profesionalas-darbibas-kvalitates-novertesanas-karti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116</cp:revision>
  <cp:lastPrinted>2017-06-09T10:38:00Z</cp:lastPrinted>
  <dcterms:created xsi:type="dcterms:W3CDTF">2017-03-22T08:28:00Z</dcterms:created>
  <dcterms:modified xsi:type="dcterms:W3CDTF">2017-06-09T12:25:00Z</dcterms:modified>
</cp:coreProperties>
</file>