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99B9D" w14:textId="7E2019A3" w:rsidR="007333BC" w:rsidRPr="009505C5" w:rsidRDefault="007333BC" w:rsidP="008F54E9">
      <w:pPr>
        <w:pStyle w:val="BodyText"/>
        <w:spacing w:after="0"/>
        <w:ind w:right="-1"/>
        <w:rPr>
          <w:noProof w:val="0"/>
          <w:lang w:val="lv-LV"/>
        </w:rPr>
      </w:pPr>
      <w:r w:rsidRPr="009505C5">
        <w:rPr>
          <w:noProof w:val="0"/>
          <w:lang w:val="lv-LV"/>
        </w:rPr>
        <w:t xml:space="preserve">Ministru kabineta noteikumu projekta “Grozījumi Ministru kabineta 2015.gada 26.maija noteikumos Nr.259 “Atbalsta piešķiršanas kārtība dalībai starptautiskās sadarbības programmās pētniecības un tehnoloģiju jomā”” </w:t>
      </w:r>
      <w:r w:rsidRPr="009505C5">
        <w:rPr>
          <w:lang w:eastAsia="lv-LV"/>
        </w:rPr>
        <w:t>sākotnējās ietekmes novērtējuma ziņojums (anotācija)</w:t>
      </w:r>
    </w:p>
    <w:p w14:paraId="74E3C0CE" w14:textId="77777777" w:rsidR="003E18EB" w:rsidRPr="009505C5" w:rsidRDefault="003E18EB" w:rsidP="007333BC">
      <w:pPr>
        <w:spacing w:after="0" w:line="240" w:lineRule="auto"/>
        <w:jc w:val="center"/>
        <w:rPr>
          <w:rFonts w:ascii="Times New Roman" w:eastAsia="Times New Roman" w:hAnsi="Times New Roman" w:cs="Times New Roman"/>
          <w:bCs/>
          <w:sz w:val="28"/>
          <w:szCs w:val="28"/>
          <w:lang w:eastAsia="lv-LV"/>
        </w:rPr>
      </w:pPr>
    </w:p>
    <w:tbl>
      <w:tblPr>
        <w:tblW w:w="5404"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28"/>
        <w:gridCol w:w="232"/>
        <w:gridCol w:w="155"/>
        <w:gridCol w:w="159"/>
        <w:gridCol w:w="1112"/>
        <w:gridCol w:w="89"/>
        <w:gridCol w:w="140"/>
        <w:gridCol w:w="307"/>
        <w:gridCol w:w="215"/>
        <w:gridCol w:w="273"/>
        <w:gridCol w:w="119"/>
        <w:gridCol w:w="128"/>
        <w:gridCol w:w="183"/>
        <w:gridCol w:w="728"/>
        <w:gridCol w:w="579"/>
        <w:gridCol w:w="802"/>
        <w:gridCol w:w="611"/>
        <w:gridCol w:w="618"/>
        <w:gridCol w:w="795"/>
        <w:gridCol w:w="2068"/>
        <w:gridCol w:w="146"/>
      </w:tblGrid>
      <w:tr w:rsidR="004C6F99" w:rsidRPr="009505C5" w14:paraId="27BE5EFC" w14:textId="77777777" w:rsidTr="009474E4">
        <w:trPr>
          <w:trHeight w:val="405"/>
          <w:tblCellSpacing w:w="15" w:type="dxa"/>
        </w:trPr>
        <w:tc>
          <w:tcPr>
            <w:tcW w:w="9727" w:type="dxa"/>
            <w:gridSpan w:val="21"/>
            <w:tcBorders>
              <w:top w:val="outset" w:sz="6" w:space="0" w:color="auto"/>
              <w:left w:val="outset" w:sz="6" w:space="0" w:color="auto"/>
              <w:bottom w:val="outset" w:sz="6" w:space="0" w:color="auto"/>
              <w:right w:val="outset" w:sz="6" w:space="0" w:color="auto"/>
            </w:tcBorders>
            <w:vAlign w:val="center"/>
            <w:hideMark/>
          </w:tcPr>
          <w:p w14:paraId="606898E4"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I. Tiesību akta projekta izstrādes nepieciešamība</w:t>
            </w:r>
          </w:p>
        </w:tc>
      </w:tr>
      <w:tr w:rsidR="004C6F99" w:rsidRPr="009505C5" w14:paraId="0B356677" w14:textId="77777777" w:rsidTr="009474E4">
        <w:trPr>
          <w:trHeight w:val="405"/>
          <w:tblCellSpacing w:w="15" w:type="dxa"/>
        </w:trPr>
        <w:tc>
          <w:tcPr>
            <w:tcW w:w="829" w:type="dxa"/>
            <w:gridSpan w:val="4"/>
            <w:tcBorders>
              <w:top w:val="outset" w:sz="6" w:space="0" w:color="auto"/>
              <w:left w:val="outset" w:sz="6" w:space="0" w:color="auto"/>
              <w:bottom w:val="outset" w:sz="6" w:space="0" w:color="auto"/>
              <w:right w:val="outset" w:sz="6" w:space="0" w:color="auto"/>
            </w:tcBorders>
            <w:hideMark/>
          </w:tcPr>
          <w:p w14:paraId="4D4EC29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2353" w:type="dxa"/>
            <w:gridSpan w:val="8"/>
            <w:tcBorders>
              <w:top w:val="outset" w:sz="6" w:space="0" w:color="auto"/>
              <w:left w:val="outset" w:sz="6" w:space="0" w:color="auto"/>
              <w:bottom w:val="outset" w:sz="6" w:space="0" w:color="auto"/>
              <w:right w:val="outset" w:sz="6" w:space="0" w:color="auto"/>
            </w:tcBorders>
            <w:hideMark/>
          </w:tcPr>
          <w:p w14:paraId="618AE00F"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Pamatojums</w:t>
            </w:r>
          </w:p>
        </w:tc>
        <w:tc>
          <w:tcPr>
            <w:tcW w:w="6485" w:type="dxa"/>
            <w:gridSpan w:val="9"/>
            <w:tcBorders>
              <w:top w:val="outset" w:sz="6" w:space="0" w:color="auto"/>
              <w:left w:val="outset" w:sz="6" w:space="0" w:color="auto"/>
              <w:bottom w:val="outset" w:sz="6" w:space="0" w:color="auto"/>
              <w:right w:val="outset" w:sz="6" w:space="0" w:color="auto"/>
            </w:tcBorders>
            <w:hideMark/>
          </w:tcPr>
          <w:p w14:paraId="6BADF24D" w14:textId="6D4BFFC3" w:rsidR="007333BC" w:rsidRPr="009505C5" w:rsidRDefault="007333BC" w:rsidP="001519E4">
            <w:pPr>
              <w:pStyle w:val="BodyText"/>
              <w:spacing w:after="0"/>
              <w:jc w:val="both"/>
              <w:rPr>
                <w:b w:val="0"/>
                <w:noProof w:val="0"/>
                <w:lang w:val="lv-LV"/>
              </w:rPr>
            </w:pPr>
            <w:r w:rsidRPr="009505C5">
              <w:rPr>
                <w:b w:val="0"/>
                <w:bCs w:val="0"/>
                <w:noProof w:val="0"/>
                <w:lang w:val="lv-LV" w:eastAsia="lv-LV"/>
              </w:rPr>
              <w:t xml:space="preserve">Izglītības un </w:t>
            </w:r>
            <w:r w:rsidR="009248A7" w:rsidRPr="009505C5">
              <w:rPr>
                <w:b w:val="0"/>
                <w:bCs w:val="0"/>
                <w:noProof w:val="0"/>
                <w:lang w:val="lv-LV" w:eastAsia="lv-LV"/>
              </w:rPr>
              <w:t>zinātnes</w:t>
            </w:r>
            <w:r w:rsidRPr="009505C5">
              <w:rPr>
                <w:b w:val="0"/>
                <w:bCs w:val="0"/>
                <w:noProof w:val="0"/>
                <w:lang w:val="lv-LV" w:eastAsia="lv-LV"/>
              </w:rPr>
              <w:t xml:space="preserve"> ministrija ir sagatavojusi Ministru kabineta noteikumu projektu </w:t>
            </w:r>
            <w:r w:rsidRPr="009505C5">
              <w:rPr>
                <w:b w:val="0"/>
                <w:noProof w:val="0"/>
                <w:lang w:val="lv-LV"/>
              </w:rPr>
              <w:t>“Grozījumi Ministru kabineta 2015.</w:t>
            </w:r>
            <w:r w:rsidR="00B122B7">
              <w:rPr>
                <w:b w:val="0"/>
                <w:noProof w:val="0"/>
                <w:lang w:val="lv-LV"/>
              </w:rPr>
              <w:t xml:space="preserve"> </w:t>
            </w:r>
            <w:r w:rsidRPr="009505C5">
              <w:rPr>
                <w:b w:val="0"/>
                <w:noProof w:val="0"/>
                <w:lang w:val="lv-LV"/>
              </w:rPr>
              <w:t>gada 26.</w:t>
            </w:r>
            <w:r w:rsidR="00B122B7">
              <w:rPr>
                <w:b w:val="0"/>
                <w:noProof w:val="0"/>
                <w:lang w:val="lv-LV"/>
              </w:rPr>
              <w:t xml:space="preserve"> </w:t>
            </w:r>
            <w:r w:rsidRPr="009505C5">
              <w:rPr>
                <w:b w:val="0"/>
                <w:noProof w:val="0"/>
                <w:lang w:val="lv-LV"/>
              </w:rPr>
              <w:t>maija noteikumos Nr.</w:t>
            </w:r>
            <w:r w:rsidR="00B122B7">
              <w:rPr>
                <w:b w:val="0"/>
                <w:noProof w:val="0"/>
                <w:lang w:val="lv-LV"/>
              </w:rPr>
              <w:t xml:space="preserve"> </w:t>
            </w:r>
            <w:r w:rsidRPr="009505C5">
              <w:rPr>
                <w:b w:val="0"/>
                <w:noProof w:val="0"/>
                <w:lang w:val="lv-LV"/>
              </w:rPr>
              <w:t>259 “Atbalsta piešķiršanas kārtība dalībai starptautiskās sadarbības programmās pētniecības un tehnoloģiju jomā”” (turpmāk –</w:t>
            </w:r>
            <w:r w:rsidR="00D13491" w:rsidRPr="009505C5">
              <w:rPr>
                <w:b w:val="0"/>
                <w:noProof w:val="0"/>
                <w:lang w:val="lv-LV"/>
              </w:rPr>
              <w:t xml:space="preserve"> </w:t>
            </w:r>
            <w:r w:rsidRPr="009505C5">
              <w:rPr>
                <w:b w:val="0"/>
                <w:noProof w:val="0"/>
                <w:lang w:val="lv-LV"/>
              </w:rPr>
              <w:t>noteikumu projekts) saskaņā ar Zinātniskās darbības likuma 13.</w:t>
            </w:r>
            <w:r w:rsidR="00B122B7">
              <w:rPr>
                <w:b w:val="0"/>
                <w:noProof w:val="0"/>
                <w:lang w:val="lv-LV"/>
              </w:rPr>
              <w:t xml:space="preserve"> </w:t>
            </w:r>
            <w:r w:rsidRPr="009505C5">
              <w:rPr>
                <w:b w:val="0"/>
                <w:noProof w:val="0"/>
                <w:lang w:val="lv-LV"/>
              </w:rPr>
              <w:t>panta trešās daļas 4.</w:t>
            </w:r>
            <w:r w:rsidR="00B122B7">
              <w:rPr>
                <w:b w:val="0"/>
                <w:noProof w:val="0"/>
                <w:lang w:val="lv-LV"/>
              </w:rPr>
              <w:t xml:space="preserve"> </w:t>
            </w:r>
            <w:r w:rsidRPr="009505C5">
              <w:rPr>
                <w:b w:val="0"/>
                <w:noProof w:val="0"/>
                <w:lang w:val="lv-LV"/>
              </w:rPr>
              <w:t>punktu.</w:t>
            </w:r>
          </w:p>
        </w:tc>
      </w:tr>
      <w:tr w:rsidR="004C6F99" w:rsidRPr="009505C5" w14:paraId="5C45AA73" w14:textId="77777777" w:rsidTr="009474E4">
        <w:trPr>
          <w:trHeight w:val="465"/>
          <w:tblCellSpacing w:w="15" w:type="dxa"/>
        </w:trPr>
        <w:tc>
          <w:tcPr>
            <w:tcW w:w="829" w:type="dxa"/>
            <w:gridSpan w:val="4"/>
            <w:tcBorders>
              <w:top w:val="outset" w:sz="6" w:space="0" w:color="auto"/>
              <w:left w:val="outset" w:sz="6" w:space="0" w:color="auto"/>
              <w:bottom w:val="outset" w:sz="6" w:space="0" w:color="auto"/>
              <w:right w:val="outset" w:sz="6" w:space="0" w:color="auto"/>
            </w:tcBorders>
            <w:hideMark/>
          </w:tcPr>
          <w:p w14:paraId="1AA8ABB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2353" w:type="dxa"/>
            <w:gridSpan w:val="8"/>
            <w:tcBorders>
              <w:top w:val="outset" w:sz="6" w:space="0" w:color="auto"/>
              <w:left w:val="outset" w:sz="6" w:space="0" w:color="auto"/>
              <w:bottom w:val="outset" w:sz="6" w:space="0" w:color="auto"/>
              <w:right w:val="outset" w:sz="6" w:space="0" w:color="auto"/>
            </w:tcBorders>
            <w:hideMark/>
          </w:tcPr>
          <w:p w14:paraId="53CF4B37"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485" w:type="dxa"/>
            <w:gridSpan w:val="9"/>
            <w:tcBorders>
              <w:top w:val="outset" w:sz="6" w:space="0" w:color="auto"/>
              <w:left w:val="outset" w:sz="6" w:space="0" w:color="auto"/>
              <w:bottom w:val="outset" w:sz="6" w:space="0" w:color="auto"/>
              <w:right w:val="outset" w:sz="6" w:space="0" w:color="auto"/>
            </w:tcBorders>
            <w:hideMark/>
          </w:tcPr>
          <w:p w14:paraId="4EC4F746" w14:textId="179FBC6D" w:rsidR="005564A3" w:rsidRDefault="000469A3" w:rsidP="005564A3">
            <w:pPr>
              <w:spacing w:after="0" w:line="240" w:lineRule="auto"/>
              <w:jc w:val="both"/>
              <w:rPr>
                <w:rFonts w:ascii="Times New Roman" w:hAnsi="Times New Roman" w:cs="Times New Roman"/>
                <w:sz w:val="28"/>
                <w:szCs w:val="28"/>
              </w:rPr>
            </w:pPr>
            <w:r w:rsidRPr="009505C5">
              <w:rPr>
                <w:rFonts w:ascii="Times New Roman" w:hAnsi="Times New Roman" w:cs="Times New Roman"/>
                <w:sz w:val="28"/>
                <w:szCs w:val="28"/>
              </w:rPr>
              <w:t xml:space="preserve">     </w:t>
            </w:r>
            <w:r w:rsidR="0067566B" w:rsidRPr="009505C5">
              <w:rPr>
                <w:rFonts w:ascii="Times New Roman" w:hAnsi="Times New Roman" w:cs="Times New Roman"/>
                <w:sz w:val="28"/>
                <w:szCs w:val="28"/>
              </w:rPr>
              <w:t>Ministru kabineta 2015.</w:t>
            </w:r>
            <w:r w:rsidR="00B122B7">
              <w:rPr>
                <w:rFonts w:ascii="Times New Roman" w:hAnsi="Times New Roman" w:cs="Times New Roman"/>
                <w:sz w:val="28"/>
                <w:szCs w:val="28"/>
              </w:rPr>
              <w:t xml:space="preserve"> </w:t>
            </w:r>
            <w:r w:rsidR="0067566B" w:rsidRPr="009505C5">
              <w:rPr>
                <w:rFonts w:ascii="Times New Roman" w:hAnsi="Times New Roman" w:cs="Times New Roman"/>
                <w:sz w:val="28"/>
                <w:szCs w:val="28"/>
              </w:rPr>
              <w:t>gada 26.</w:t>
            </w:r>
            <w:r w:rsidR="00B122B7">
              <w:rPr>
                <w:rFonts w:ascii="Times New Roman" w:hAnsi="Times New Roman" w:cs="Times New Roman"/>
                <w:sz w:val="28"/>
                <w:szCs w:val="28"/>
              </w:rPr>
              <w:t xml:space="preserve"> </w:t>
            </w:r>
            <w:r w:rsidR="0067566B" w:rsidRPr="009505C5">
              <w:rPr>
                <w:rFonts w:ascii="Times New Roman" w:hAnsi="Times New Roman" w:cs="Times New Roman"/>
                <w:sz w:val="28"/>
                <w:szCs w:val="28"/>
              </w:rPr>
              <w:t>maija noteikum</w:t>
            </w:r>
            <w:r w:rsidR="009248A7" w:rsidRPr="009505C5">
              <w:rPr>
                <w:rFonts w:ascii="Times New Roman" w:hAnsi="Times New Roman" w:cs="Times New Roman"/>
                <w:sz w:val="28"/>
                <w:szCs w:val="28"/>
              </w:rPr>
              <w:t>i</w:t>
            </w:r>
            <w:r w:rsidR="0067566B" w:rsidRPr="009505C5">
              <w:rPr>
                <w:rFonts w:ascii="Times New Roman" w:hAnsi="Times New Roman" w:cs="Times New Roman"/>
                <w:sz w:val="28"/>
                <w:szCs w:val="28"/>
              </w:rPr>
              <w:t xml:space="preserve"> Nr.</w:t>
            </w:r>
            <w:r w:rsidR="00B122B7">
              <w:rPr>
                <w:rFonts w:ascii="Times New Roman" w:hAnsi="Times New Roman" w:cs="Times New Roman"/>
                <w:sz w:val="28"/>
                <w:szCs w:val="28"/>
              </w:rPr>
              <w:t xml:space="preserve"> </w:t>
            </w:r>
            <w:r w:rsidR="0067566B" w:rsidRPr="009505C5">
              <w:rPr>
                <w:rFonts w:ascii="Times New Roman" w:hAnsi="Times New Roman" w:cs="Times New Roman"/>
                <w:sz w:val="28"/>
                <w:szCs w:val="28"/>
              </w:rPr>
              <w:t>259 “Atbalsta piešķiršanas kārtība dalībai starptautiskās sadarbības programmās pētniecības un tehnoloģiju jomā””</w:t>
            </w:r>
            <w:r w:rsidR="00B05D28" w:rsidRPr="009505C5">
              <w:rPr>
                <w:rFonts w:ascii="Times New Roman" w:hAnsi="Times New Roman" w:cs="Times New Roman"/>
                <w:sz w:val="28"/>
                <w:szCs w:val="28"/>
              </w:rPr>
              <w:t xml:space="preserve"> (turpmāk - MK noteikumi</w:t>
            </w:r>
            <w:r w:rsidR="0036406A" w:rsidRPr="009505C5">
              <w:rPr>
                <w:rFonts w:ascii="Times New Roman" w:hAnsi="Times New Roman" w:cs="Times New Roman"/>
                <w:sz w:val="28"/>
                <w:szCs w:val="28"/>
              </w:rPr>
              <w:t>)</w:t>
            </w:r>
            <w:r w:rsidR="0067566B" w:rsidRPr="009505C5">
              <w:rPr>
                <w:rFonts w:ascii="Times New Roman" w:hAnsi="Times New Roman" w:cs="Times New Roman"/>
                <w:sz w:val="28"/>
                <w:szCs w:val="28"/>
              </w:rPr>
              <w:t xml:space="preserve"> paredz </w:t>
            </w:r>
            <w:r w:rsidR="005626A9" w:rsidRPr="009505C5">
              <w:rPr>
                <w:rFonts w:ascii="Times New Roman" w:hAnsi="Times New Roman" w:cs="Times New Roman"/>
                <w:sz w:val="28"/>
                <w:szCs w:val="28"/>
              </w:rPr>
              <w:t>pi</w:t>
            </w:r>
            <w:r w:rsidR="009248A7" w:rsidRPr="009505C5">
              <w:rPr>
                <w:rFonts w:ascii="Times New Roman" w:hAnsi="Times New Roman" w:cs="Times New Roman"/>
                <w:sz w:val="28"/>
                <w:szCs w:val="28"/>
              </w:rPr>
              <w:t>ešķirt valsts atbalstu</w:t>
            </w:r>
            <w:r w:rsidR="00A56A5F" w:rsidRPr="009505C5">
              <w:rPr>
                <w:rFonts w:ascii="Times New Roman" w:hAnsi="Times New Roman" w:cs="Times New Roman"/>
                <w:sz w:val="28"/>
                <w:szCs w:val="28"/>
              </w:rPr>
              <w:t xml:space="preserve"> un/vai</w:t>
            </w:r>
            <w:r w:rsidR="009248A7" w:rsidRPr="009505C5">
              <w:rPr>
                <w:rFonts w:ascii="Times New Roman" w:hAnsi="Times New Roman" w:cs="Times New Roman"/>
                <w:sz w:val="28"/>
                <w:szCs w:val="28"/>
              </w:rPr>
              <w:t xml:space="preserve"> </w:t>
            </w:r>
            <w:r w:rsidR="0079566D" w:rsidRPr="009505C5">
              <w:rPr>
                <w:rFonts w:ascii="Times New Roman" w:hAnsi="Times New Roman" w:cs="Times New Roman"/>
                <w:sz w:val="28"/>
                <w:szCs w:val="28"/>
              </w:rPr>
              <w:t xml:space="preserve">valsts </w:t>
            </w:r>
            <w:r w:rsidR="005626A9" w:rsidRPr="009505C5">
              <w:rPr>
                <w:rFonts w:ascii="Times New Roman" w:hAnsi="Times New Roman" w:cs="Times New Roman"/>
                <w:sz w:val="28"/>
                <w:szCs w:val="28"/>
              </w:rPr>
              <w:t>līdzfinansējumu</w:t>
            </w:r>
            <w:r w:rsidR="008261A5" w:rsidRPr="009505C5">
              <w:rPr>
                <w:rFonts w:ascii="Times New Roman" w:hAnsi="Times New Roman" w:cs="Times New Roman"/>
                <w:sz w:val="28"/>
                <w:szCs w:val="28"/>
              </w:rPr>
              <w:t xml:space="preserve"> (turpmāk – atbalsts)</w:t>
            </w:r>
            <w:r w:rsidR="0079566D" w:rsidRPr="009505C5">
              <w:rPr>
                <w:rFonts w:ascii="Times New Roman" w:hAnsi="Times New Roman" w:cs="Times New Roman"/>
                <w:sz w:val="28"/>
                <w:szCs w:val="28"/>
              </w:rPr>
              <w:t>, lai nodrošinātu</w:t>
            </w:r>
            <w:r w:rsidR="0067566B" w:rsidRPr="009505C5">
              <w:rPr>
                <w:rFonts w:ascii="Times New Roman" w:hAnsi="Times New Roman" w:cs="Times New Roman"/>
                <w:sz w:val="28"/>
                <w:szCs w:val="28"/>
              </w:rPr>
              <w:t xml:space="preserve"> </w:t>
            </w:r>
            <w:r w:rsidR="00EA6134" w:rsidRPr="009505C5">
              <w:rPr>
                <w:rFonts w:ascii="Times New Roman" w:hAnsi="Times New Roman" w:cs="Times New Roman"/>
                <w:sz w:val="28"/>
                <w:szCs w:val="28"/>
              </w:rPr>
              <w:t xml:space="preserve">Latvijas zinātniskajām institūcijām </w:t>
            </w:r>
            <w:r w:rsidR="0079566D" w:rsidRPr="009505C5">
              <w:rPr>
                <w:rFonts w:ascii="Times New Roman" w:hAnsi="Times New Roman" w:cs="Times New Roman"/>
                <w:sz w:val="28"/>
                <w:szCs w:val="28"/>
              </w:rPr>
              <w:t>dalību</w:t>
            </w:r>
            <w:r w:rsidR="009248A7" w:rsidRPr="009505C5">
              <w:rPr>
                <w:rFonts w:ascii="Times New Roman" w:hAnsi="Times New Roman" w:cs="Times New Roman"/>
                <w:sz w:val="28"/>
                <w:szCs w:val="28"/>
              </w:rPr>
              <w:t xml:space="preserve"> Eiropas Savienības </w:t>
            </w:r>
            <w:r w:rsidR="009505C5" w:rsidRPr="009505C5">
              <w:rPr>
                <w:rFonts w:ascii="Times New Roman" w:hAnsi="Times New Roman" w:cs="Times New Roman"/>
                <w:sz w:val="28"/>
                <w:szCs w:val="28"/>
              </w:rPr>
              <w:t>pētniecības</w:t>
            </w:r>
            <w:r w:rsidR="009505C5" w:rsidRPr="009505C5">
              <w:rPr>
                <w:rFonts w:ascii="Times New Roman" w:hAnsi="Times New Roman"/>
                <w:sz w:val="28"/>
                <w:szCs w:val="28"/>
              </w:rPr>
              <w:t>, inovāciju, tehnoloģiju attīstības un demonstrāciju</w:t>
            </w:r>
            <w:r w:rsidR="009505C5" w:rsidRPr="009505C5">
              <w:rPr>
                <w:rFonts w:ascii="Times New Roman" w:hAnsi="Times New Roman" w:cs="Times New Roman"/>
                <w:sz w:val="28"/>
                <w:szCs w:val="28"/>
              </w:rPr>
              <w:t xml:space="preserve"> </w:t>
            </w:r>
            <w:r w:rsidR="00EA6134" w:rsidRPr="009505C5">
              <w:rPr>
                <w:rFonts w:ascii="Times New Roman" w:hAnsi="Times New Roman" w:cs="Times New Roman"/>
                <w:sz w:val="28"/>
                <w:szCs w:val="28"/>
              </w:rPr>
              <w:t>programmās</w:t>
            </w:r>
            <w:r w:rsidR="008261A5" w:rsidRPr="009505C5">
              <w:rPr>
                <w:rFonts w:ascii="Times New Roman" w:hAnsi="Times New Roman" w:cs="Times New Roman"/>
                <w:sz w:val="28"/>
                <w:szCs w:val="28"/>
              </w:rPr>
              <w:t xml:space="preserve"> (turpmāk – programmas)</w:t>
            </w:r>
            <w:r w:rsidR="00096099" w:rsidRPr="009505C5">
              <w:rPr>
                <w:rFonts w:ascii="Times New Roman" w:hAnsi="Times New Roman" w:cs="Times New Roman"/>
                <w:sz w:val="28"/>
                <w:szCs w:val="28"/>
              </w:rPr>
              <w:t>.</w:t>
            </w:r>
          </w:p>
          <w:p w14:paraId="407F326A" w14:textId="660C5A51" w:rsidR="005564A3" w:rsidRDefault="005564A3" w:rsidP="005564A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 xml:space="preserve">     </w:t>
            </w:r>
            <w:r w:rsidR="0093175E" w:rsidRPr="009505C5">
              <w:rPr>
                <w:rFonts w:ascii="Times New Roman" w:eastAsia="Times New Roman" w:hAnsi="Times New Roman" w:cs="Times New Roman"/>
                <w:sz w:val="28"/>
                <w:szCs w:val="28"/>
                <w:lang w:eastAsia="lv-LV"/>
              </w:rPr>
              <w:t xml:space="preserve">Ievērojot, ka MK noteikumi paredz </w:t>
            </w:r>
            <w:r w:rsidR="00FC1CB4" w:rsidRPr="009505C5">
              <w:rPr>
                <w:rFonts w:ascii="Times New Roman" w:eastAsia="Times New Roman" w:hAnsi="Times New Roman" w:cs="Times New Roman"/>
                <w:sz w:val="28"/>
                <w:szCs w:val="28"/>
                <w:lang w:eastAsia="lv-LV"/>
              </w:rPr>
              <w:t xml:space="preserve">projekta īstenošanai atbalstu </w:t>
            </w:r>
            <w:r w:rsidR="0093175E" w:rsidRPr="009505C5">
              <w:rPr>
                <w:rFonts w:ascii="Times New Roman" w:eastAsia="Times New Roman" w:hAnsi="Times New Roman" w:cs="Times New Roman"/>
                <w:sz w:val="28"/>
                <w:szCs w:val="28"/>
                <w:lang w:eastAsia="lv-LV"/>
              </w:rPr>
              <w:t xml:space="preserve">piešķirt </w:t>
            </w:r>
            <w:r w:rsidR="0093175E" w:rsidRPr="009505C5">
              <w:rPr>
                <w:rFonts w:ascii="Times New Roman" w:hAnsi="Times New Roman" w:cs="Times New Roman"/>
                <w:sz w:val="28"/>
                <w:szCs w:val="28"/>
              </w:rPr>
              <w:t>valsts atbalst</w:t>
            </w:r>
            <w:r w:rsidR="00FC1CB4" w:rsidRPr="009505C5">
              <w:rPr>
                <w:rFonts w:ascii="Times New Roman" w:hAnsi="Times New Roman" w:cs="Times New Roman"/>
                <w:sz w:val="28"/>
                <w:szCs w:val="28"/>
              </w:rPr>
              <w:t xml:space="preserve">a vai </w:t>
            </w:r>
            <w:r w:rsidR="0093175E" w:rsidRPr="009505C5">
              <w:rPr>
                <w:rFonts w:ascii="Times New Roman" w:hAnsi="Times New Roman" w:cs="Times New Roman"/>
                <w:sz w:val="28"/>
                <w:szCs w:val="28"/>
              </w:rPr>
              <w:t>valsts līdzfinansējum</w:t>
            </w:r>
            <w:r w:rsidR="00FC1CB4" w:rsidRPr="009505C5">
              <w:rPr>
                <w:rFonts w:ascii="Times New Roman" w:hAnsi="Times New Roman" w:cs="Times New Roman"/>
                <w:sz w:val="28"/>
                <w:szCs w:val="28"/>
              </w:rPr>
              <w:t>a veidā</w:t>
            </w:r>
            <w:r w:rsidR="0093175E" w:rsidRPr="009505C5">
              <w:rPr>
                <w:rFonts w:ascii="Times New Roman" w:hAnsi="Times New Roman" w:cs="Times New Roman"/>
                <w:sz w:val="28"/>
                <w:szCs w:val="28"/>
              </w:rPr>
              <w:t>, nepieciešams</w:t>
            </w:r>
            <w:r w:rsidR="0093175E" w:rsidRPr="009505C5">
              <w:rPr>
                <w:rFonts w:ascii="Times New Roman" w:eastAsia="Times New Roman" w:hAnsi="Times New Roman" w:cs="Times New Roman"/>
                <w:sz w:val="28"/>
                <w:szCs w:val="28"/>
                <w:lang w:eastAsia="lv-LV"/>
              </w:rPr>
              <w:t xml:space="preserve"> ar noteikumu projektu precizēt projekta attiecināmās izmaksas</w:t>
            </w:r>
            <w:r w:rsidR="00B00871" w:rsidRPr="009505C5">
              <w:rPr>
                <w:rFonts w:ascii="Times New Roman" w:eastAsia="Times New Roman" w:hAnsi="Times New Roman" w:cs="Times New Roman"/>
                <w:sz w:val="28"/>
                <w:szCs w:val="28"/>
                <w:lang w:eastAsia="lv-LV"/>
              </w:rPr>
              <w:t xml:space="preserve"> (gan tiešās, gan netiešās)</w:t>
            </w:r>
            <w:r w:rsidR="008C1936" w:rsidRPr="009505C5">
              <w:rPr>
                <w:rFonts w:ascii="Times New Roman" w:eastAsia="Times New Roman" w:hAnsi="Times New Roman" w:cs="Times New Roman"/>
                <w:sz w:val="28"/>
                <w:szCs w:val="28"/>
                <w:lang w:eastAsia="lv-LV"/>
              </w:rPr>
              <w:t xml:space="preserve">, </w:t>
            </w:r>
            <w:r w:rsidR="0093175E" w:rsidRPr="009505C5">
              <w:rPr>
                <w:rFonts w:ascii="Times New Roman" w:eastAsia="Times New Roman" w:hAnsi="Times New Roman" w:cs="Times New Roman"/>
                <w:sz w:val="28"/>
                <w:szCs w:val="28"/>
                <w:lang w:eastAsia="lv-LV"/>
              </w:rPr>
              <w:t xml:space="preserve">lai </w:t>
            </w:r>
            <w:r w:rsidR="008D390D" w:rsidRPr="009505C5">
              <w:rPr>
                <w:rFonts w:ascii="Times New Roman" w:eastAsia="Times New Roman" w:hAnsi="Times New Roman" w:cs="Times New Roman"/>
                <w:sz w:val="28"/>
                <w:szCs w:val="28"/>
                <w:lang w:eastAsia="lv-LV"/>
              </w:rPr>
              <w:t xml:space="preserve">to ietvaros </w:t>
            </w:r>
            <w:r w:rsidR="0093175E" w:rsidRPr="009505C5">
              <w:rPr>
                <w:rFonts w:ascii="Times New Roman" w:eastAsia="Times New Roman" w:hAnsi="Times New Roman" w:cs="Times New Roman"/>
                <w:sz w:val="28"/>
                <w:szCs w:val="28"/>
                <w:lang w:eastAsia="lv-LV"/>
              </w:rPr>
              <w:t xml:space="preserve">varētu </w:t>
            </w:r>
            <w:r w:rsidR="007360FA">
              <w:rPr>
                <w:rFonts w:ascii="Times New Roman" w:eastAsia="Times New Roman" w:hAnsi="Times New Roman" w:cs="Times New Roman"/>
                <w:sz w:val="28"/>
                <w:szCs w:val="28"/>
                <w:lang w:eastAsia="lv-LV"/>
              </w:rPr>
              <w:t xml:space="preserve">noteikt un </w:t>
            </w:r>
            <w:r w:rsidR="0093175E" w:rsidRPr="009505C5">
              <w:rPr>
                <w:rFonts w:ascii="Times New Roman" w:hAnsi="Times New Roman" w:cs="Times New Roman"/>
                <w:sz w:val="28"/>
                <w:szCs w:val="28"/>
              </w:rPr>
              <w:t>aprēķināt projekta netiešās izmaksas kā noteiktu daļu (izteiktu procentos) no projekta tiešajām</w:t>
            </w:r>
            <w:r w:rsidR="007360FA">
              <w:rPr>
                <w:rFonts w:ascii="Times New Roman" w:hAnsi="Times New Roman" w:cs="Times New Roman"/>
                <w:sz w:val="28"/>
                <w:szCs w:val="28"/>
              </w:rPr>
              <w:t xml:space="preserve"> attiecināmajam </w:t>
            </w:r>
            <w:r w:rsidR="0093175E" w:rsidRPr="009505C5">
              <w:rPr>
                <w:rFonts w:ascii="Times New Roman" w:hAnsi="Times New Roman" w:cs="Times New Roman"/>
                <w:sz w:val="28"/>
                <w:szCs w:val="28"/>
              </w:rPr>
              <w:t xml:space="preserve"> izmaksām,</w:t>
            </w:r>
            <w:r w:rsidR="0093175E" w:rsidRPr="009505C5">
              <w:rPr>
                <w:rFonts w:ascii="Times New Roman" w:eastAsia="Times New Roman" w:hAnsi="Times New Roman" w:cs="Times New Roman"/>
                <w:sz w:val="28"/>
                <w:szCs w:val="28"/>
                <w:lang w:eastAsia="lv-LV"/>
              </w:rPr>
              <w:t xml:space="preserve"> piemērojot</w:t>
            </w:r>
            <w:r w:rsidR="008C1936" w:rsidRPr="009505C5">
              <w:rPr>
                <w:rFonts w:ascii="Times New Roman" w:eastAsia="Times New Roman" w:hAnsi="Times New Roman" w:cs="Times New Roman"/>
                <w:sz w:val="28"/>
                <w:szCs w:val="28"/>
                <w:lang w:eastAsia="lv-LV"/>
              </w:rPr>
              <w:t xml:space="preserve"> </w:t>
            </w:r>
            <w:r w:rsidR="008C1936" w:rsidRPr="009505C5">
              <w:rPr>
                <w:rFonts w:ascii="Times New Roman" w:eastAsia="Calibri" w:hAnsi="Times New Roman" w:cs="Times New Roman"/>
                <w:bCs/>
                <w:sz w:val="28"/>
                <w:szCs w:val="28"/>
              </w:rPr>
              <w:t>Eiropas Parlamenta un Padomes 2013. gada</w:t>
            </w:r>
            <w:r w:rsidR="0093175E" w:rsidRPr="009505C5">
              <w:rPr>
                <w:rFonts w:ascii="Times New Roman" w:eastAsia="Calibri" w:hAnsi="Times New Roman" w:cs="Times New Roman"/>
                <w:bCs/>
                <w:sz w:val="28"/>
                <w:szCs w:val="28"/>
              </w:rPr>
              <w:t xml:space="preserve"> 11. decembra Regulas (ES) Nr.</w:t>
            </w:r>
            <w:r w:rsidR="00B122B7">
              <w:rPr>
                <w:rFonts w:ascii="Times New Roman" w:eastAsia="Calibri" w:hAnsi="Times New Roman" w:cs="Times New Roman"/>
                <w:bCs/>
                <w:sz w:val="28"/>
                <w:szCs w:val="28"/>
              </w:rPr>
              <w:t xml:space="preserve"> </w:t>
            </w:r>
            <w:r w:rsidR="008C1936" w:rsidRPr="009505C5">
              <w:rPr>
                <w:rFonts w:ascii="Times New Roman" w:eastAsia="Calibri" w:hAnsi="Times New Roman" w:cs="Times New Roman"/>
                <w:bCs/>
                <w:sz w:val="28"/>
                <w:szCs w:val="28"/>
              </w:rPr>
              <w:t xml:space="preserve">1290/2013 </w:t>
            </w:r>
            <w:r w:rsidR="008C1936" w:rsidRPr="009505C5">
              <w:rPr>
                <w:rFonts w:ascii="Times New Roman" w:eastAsia="Calibri" w:hAnsi="Times New Roman" w:cs="Times New Roman"/>
                <w:bCs/>
                <w:i/>
                <w:sz w:val="28"/>
                <w:szCs w:val="28"/>
              </w:rPr>
              <w:t xml:space="preserve">ar ko nosaka pētniecības un inovācijas pamatprogrammas </w:t>
            </w:r>
            <w:r w:rsidR="008C1936" w:rsidRPr="009505C5">
              <w:rPr>
                <w:rFonts w:ascii="Times New Roman" w:eastAsia="Calibri" w:hAnsi="Times New Roman" w:cs="Times New Roman"/>
                <w:i/>
                <w:sz w:val="28"/>
                <w:szCs w:val="28"/>
              </w:rPr>
              <w:t>"</w:t>
            </w:r>
            <w:r w:rsidR="008C1936" w:rsidRPr="009505C5">
              <w:rPr>
                <w:rFonts w:ascii="Times New Roman" w:eastAsia="Calibri" w:hAnsi="Times New Roman" w:cs="Times New Roman"/>
                <w:bCs/>
                <w:i/>
                <w:sz w:val="28"/>
                <w:szCs w:val="28"/>
              </w:rPr>
              <w:t>Apvārsnis 2020</w:t>
            </w:r>
            <w:r w:rsidR="008C1936" w:rsidRPr="009505C5">
              <w:rPr>
                <w:rFonts w:ascii="Times New Roman" w:eastAsia="Calibri" w:hAnsi="Times New Roman" w:cs="Times New Roman"/>
                <w:i/>
                <w:sz w:val="28"/>
                <w:szCs w:val="28"/>
              </w:rPr>
              <w:t xml:space="preserve">" </w:t>
            </w:r>
            <w:r w:rsidR="008C1936" w:rsidRPr="009505C5">
              <w:rPr>
                <w:rFonts w:ascii="Times New Roman" w:eastAsia="Calibri" w:hAnsi="Times New Roman" w:cs="Times New Roman"/>
                <w:bCs/>
                <w:i/>
                <w:sz w:val="28"/>
                <w:szCs w:val="28"/>
              </w:rPr>
              <w:t xml:space="preserve">(2014.–2020. gads) dalības un rezultātu izplatīšanas noteikumus un atceļ Regulu (EK) Nr. 1906/2006 </w:t>
            </w:r>
            <w:r w:rsidR="008C1936" w:rsidRPr="009505C5">
              <w:rPr>
                <w:rFonts w:ascii="Times New Roman" w:eastAsia="Calibri" w:hAnsi="Times New Roman" w:cs="Times New Roman"/>
                <w:bCs/>
                <w:sz w:val="28"/>
                <w:szCs w:val="28"/>
              </w:rPr>
              <w:t>(Dokuments attiecas uz EEZ)</w:t>
            </w:r>
            <w:r w:rsidR="008C1936" w:rsidRPr="009505C5">
              <w:rPr>
                <w:rFonts w:ascii="Times New Roman" w:eastAsia="Calibri" w:hAnsi="Times New Roman" w:cs="Times New Roman"/>
                <w:bCs/>
                <w:sz w:val="28"/>
                <w:szCs w:val="28"/>
                <w:vertAlign w:val="superscript"/>
              </w:rPr>
              <w:footnoteReference w:id="1"/>
            </w:r>
            <w:r w:rsidR="008C1936" w:rsidRPr="009505C5">
              <w:rPr>
                <w:rFonts w:ascii="Times New Roman" w:eastAsia="Calibri" w:hAnsi="Times New Roman" w:cs="Times New Roman"/>
                <w:bCs/>
                <w:sz w:val="28"/>
                <w:szCs w:val="28"/>
              </w:rPr>
              <w:t xml:space="preserve"> (turpmāk – regula Nr.</w:t>
            </w:r>
            <w:r w:rsidR="00B122B7">
              <w:rPr>
                <w:rFonts w:ascii="Times New Roman" w:eastAsia="Calibri" w:hAnsi="Times New Roman" w:cs="Times New Roman"/>
                <w:bCs/>
                <w:sz w:val="28"/>
                <w:szCs w:val="28"/>
              </w:rPr>
              <w:t xml:space="preserve"> </w:t>
            </w:r>
            <w:r w:rsidR="008C1936" w:rsidRPr="009505C5">
              <w:rPr>
                <w:rFonts w:ascii="Times New Roman" w:eastAsia="Calibri" w:hAnsi="Times New Roman" w:cs="Times New Roman"/>
                <w:bCs/>
                <w:sz w:val="28"/>
                <w:szCs w:val="28"/>
              </w:rPr>
              <w:t>1290/2013) 29.</w:t>
            </w:r>
            <w:r w:rsidR="00B122B7">
              <w:rPr>
                <w:rFonts w:ascii="Times New Roman" w:eastAsia="Calibri" w:hAnsi="Times New Roman" w:cs="Times New Roman"/>
                <w:bCs/>
                <w:sz w:val="28"/>
                <w:szCs w:val="28"/>
              </w:rPr>
              <w:t xml:space="preserve"> </w:t>
            </w:r>
            <w:r w:rsidR="008C1936" w:rsidRPr="009505C5">
              <w:rPr>
                <w:rFonts w:ascii="Times New Roman" w:eastAsia="Calibri" w:hAnsi="Times New Roman" w:cs="Times New Roman"/>
                <w:bCs/>
                <w:sz w:val="28"/>
                <w:szCs w:val="28"/>
              </w:rPr>
              <w:t>panta  1.</w:t>
            </w:r>
            <w:r w:rsidR="00B122B7">
              <w:rPr>
                <w:rFonts w:ascii="Times New Roman" w:eastAsia="Calibri" w:hAnsi="Times New Roman" w:cs="Times New Roman"/>
                <w:bCs/>
                <w:sz w:val="28"/>
                <w:szCs w:val="28"/>
              </w:rPr>
              <w:t xml:space="preserve"> </w:t>
            </w:r>
            <w:r w:rsidR="008C1936" w:rsidRPr="009505C5">
              <w:rPr>
                <w:rFonts w:ascii="Times New Roman" w:eastAsia="Calibri" w:hAnsi="Times New Roman" w:cs="Times New Roman"/>
                <w:bCs/>
                <w:sz w:val="28"/>
                <w:szCs w:val="28"/>
              </w:rPr>
              <w:t>punktu</w:t>
            </w:r>
            <w:r w:rsidR="0093175E" w:rsidRPr="009505C5">
              <w:rPr>
                <w:rFonts w:ascii="Times New Roman" w:eastAsia="Calibri" w:hAnsi="Times New Roman" w:cs="Times New Roman"/>
                <w:bCs/>
                <w:sz w:val="28"/>
                <w:szCs w:val="28"/>
              </w:rPr>
              <w:t>, ka “N</w:t>
            </w:r>
            <w:r w:rsidR="0093175E" w:rsidRPr="009505C5">
              <w:rPr>
                <w:rFonts w:ascii="Times New Roman" w:hAnsi="Times New Roman" w:cs="Times New Roman"/>
                <w:sz w:val="28"/>
                <w:szCs w:val="28"/>
              </w:rPr>
              <w:t xml:space="preserve">etiešās atbilstīgās izmaksas nosaka pēc vienotas likmes, kas ir 25 % no kopējām tiešajām atbilstīgajām izmaksām, izņemot tiešās atbilstīgās izmaksas saistībā ar </w:t>
            </w:r>
            <w:r w:rsidR="0093175E" w:rsidRPr="009505C5">
              <w:rPr>
                <w:rFonts w:ascii="Times New Roman" w:hAnsi="Times New Roman" w:cs="Times New Roman"/>
                <w:sz w:val="28"/>
                <w:szCs w:val="28"/>
              </w:rPr>
              <w:lastRenderedPageBreak/>
              <w:t>apakšuzņēmuma līgumu slēgšanu un izmaksas saistībā ar resursiem, ko nodrošinājušas trešās personas un kas netiek izmantoti atbalsta saņēmēja telpās, kā arī finansiālu atbalstu treš</w:t>
            </w:r>
            <w:r w:rsidR="008D390D" w:rsidRPr="009505C5">
              <w:rPr>
                <w:rFonts w:ascii="Times New Roman" w:hAnsi="Times New Roman" w:cs="Times New Roman"/>
                <w:sz w:val="28"/>
                <w:szCs w:val="28"/>
              </w:rPr>
              <w:t>aj</w:t>
            </w:r>
            <w:r w:rsidR="0093175E" w:rsidRPr="009505C5">
              <w:rPr>
                <w:rFonts w:ascii="Times New Roman" w:hAnsi="Times New Roman" w:cs="Times New Roman"/>
                <w:sz w:val="28"/>
                <w:szCs w:val="28"/>
              </w:rPr>
              <w:t>ām personām” un Eiropas Komisijas 2014.</w:t>
            </w:r>
            <w:r w:rsidR="00B122B7">
              <w:rPr>
                <w:rFonts w:ascii="Times New Roman" w:hAnsi="Times New Roman" w:cs="Times New Roman"/>
                <w:sz w:val="28"/>
                <w:szCs w:val="28"/>
              </w:rPr>
              <w:t xml:space="preserve"> </w:t>
            </w:r>
            <w:r w:rsidR="0093175E" w:rsidRPr="009505C5">
              <w:rPr>
                <w:rFonts w:ascii="Times New Roman" w:hAnsi="Times New Roman" w:cs="Times New Roman"/>
                <w:sz w:val="28"/>
                <w:szCs w:val="28"/>
              </w:rPr>
              <w:t>gada 17.</w:t>
            </w:r>
            <w:r w:rsidR="00B122B7">
              <w:rPr>
                <w:rFonts w:ascii="Times New Roman" w:hAnsi="Times New Roman" w:cs="Times New Roman"/>
                <w:sz w:val="28"/>
                <w:szCs w:val="28"/>
              </w:rPr>
              <w:t xml:space="preserve"> </w:t>
            </w:r>
            <w:r w:rsidR="0093175E" w:rsidRPr="009505C5">
              <w:rPr>
                <w:rFonts w:ascii="Times New Roman" w:hAnsi="Times New Roman" w:cs="Times New Roman"/>
                <w:sz w:val="28"/>
                <w:szCs w:val="28"/>
              </w:rPr>
              <w:t>jūnija Regulas (EK) Nr.</w:t>
            </w:r>
            <w:r w:rsidR="00B122B7">
              <w:rPr>
                <w:rFonts w:ascii="Times New Roman" w:hAnsi="Times New Roman" w:cs="Times New Roman"/>
                <w:sz w:val="28"/>
                <w:szCs w:val="28"/>
              </w:rPr>
              <w:t xml:space="preserve"> </w:t>
            </w:r>
            <w:r w:rsidR="0093175E" w:rsidRPr="009505C5">
              <w:rPr>
                <w:rFonts w:ascii="Times New Roman" w:hAnsi="Times New Roman" w:cs="Times New Roman"/>
                <w:sz w:val="28"/>
                <w:szCs w:val="28"/>
              </w:rPr>
              <w:t xml:space="preserve">651/2014, </w:t>
            </w:r>
            <w:r w:rsidR="0093175E" w:rsidRPr="009505C5">
              <w:rPr>
                <w:rFonts w:ascii="Times New Roman" w:hAnsi="Times New Roman" w:cs="Times New Roman"/>
                <w:i/>
                <w:sz w:val="28"/>
                <w:szCs w:val="28"/>
              </w:rPr>
              <w:t>ar ko noteiktas atbalsta kategorijas atzīst par saderīgām ar iekšējo tirgu, piemērojot Līguma 107 un 108.pantu</w:t>
            </w:r>
            <w:r w:rsidR="008F13B8" w:rsidRPr="009505C5">
              <w:rPr>
                <w:rFonts w:ascii="Times New Roman" w:hAnsi="Times New Roman" w:cs="Times New Roman"/>
                <w:sz w:val="28"/>
                <w:szCs w:val="28"/>
              </w:rPr>
              <w:t xml:space="preserve"> (turpmāk – regula Nr.</w:t>
            </w:r>
            <w:r w:rsidR="00B122B7">
              <w:rPr>
                <w:rFonts w:ascii="Times New Roman" w:hAnsi="Times New Roman" w:cs="Times New Roman"/>
                <w:sz w:val="28"/>
                <w:szCs w:val="28"/>
              </w:rPr>
              <w:t xml:space="preserve"> </w:t>
            </w:r>
            <w:r w:rsidR="008F13B8" w:rsidRPr="009505C5">
              <w:rPr>
                <w:rFonts w:ascii="Times New Roman" w:hAnsi="Times New Roman" w:cs="Times New Roman"/>
                <w:sz w:val="28"/>
                <w:szCs w:val="28"/>
              </w:rPr>
              <w:t>651/2014)</w:t>
            </w:r>
            <w:r w:rsidR="0093175E" w:rsidRPr="009505C5">
              <w:rPr>
                <w:rStyle w:val="FootnoteReference"/>
                <w:rFonts w:ascii="Times New Roman" w:hAnsi="Times New Roman" w:cs="Times New Roman"/>
                <w:sz w:val="28"/>
                <w:szCs w:val="28"/>
                <w:lang w:eastAsia="lv-LV"/>
              </w:rPr>
              <w:footnoteReference w:id="2"/>
            </w:r>
            <w:r w:rsidR="0093175E" w:rsidRPr="009505C5">
              <w:rPr>
                <w:rFonts w:ascii="Times New Roman" w:hAnsi="Times New Roman" w:cs="Times New Roman"/>
                <w:sz w:val="28"/>
                <w:szCs w:val="28"/>
                <w:lang w:eastAsia="lv-LV"/>
              </w:rPr>
              <w:t xml:space="preserve"> 25.pan</w:t>
            </w:r>
            <w:r w:rsidR="007360FA">
              <w:rPr>
                <w:rFonts w:ascii="Times New Roman" w:hAnsi="Times New Roman" w:cs="Times New Roman"/>
                <w:sz w:val="28"/>
                <w:szCs w:val="28"/>
                <w:lang w:eastAsia="lv-LV"/>
              </w:rPr>
              <w:t>ta 3.</w:t>
            </w:r>
            <w:r w:rsidR="00B122B7">
              <w:rPr>
                <w:rFonts w:ascii="Times New Roman" w:hAnsi="Times New Roman" w:cs="Times New Roman"/>
                <w:sz w:val="28"/>
                <w:szCs w:val="28"/>
                <w:lang w:eastAsia="lv-LV"/>
              </w:rPr>
              <w:t xml:space="preserve"> </w:t>
            </w:r>
            <w:r w:rsidR="007360FA">
              <w:rPr>
                <w:rFonts w:ascii="Times New Roman" w:hAnsi="Times New Roman" w:cs="Times New Roman"/>
                <w:sz w:val="28"/>
                <w:szCs w:val="28"/>
                <w:lang w:eastAsia="lv-LV"/>
              </w:rPr>
              <w:t>punkta “e” apakšpunktu, ka</w:t>
            </w:r>
            <w:r w:rsidR="008D390D" w:rsidRPr="009505C5">
              <w:rPr>
                <w:rFonts w:ascii="Times New Roman" w:hAnsi="Times New Roman" w:cs="Times New Roman"/>
                <w:i/>
                <w:sz w:val="28"/>
                <w:szCs w:val="28"/>
              </w:rPr>
              <w:t xml:space="preserve"> </w:t>
            </w:r>
            <w:r w:rsidR="003F48D7" w:rsidRPr="009505C5">
              <w:rPr>
                <w:rFonts w:ascii="Times New Roman" w:hAnsi="Times New Roman" w:cs="Times New Roman"/>
                <w:sz w:val="28"/>
                <w:szCs w:val="28"/>
              </w:rPr>
              <w:t>pētniecības un attīstības projektos attiecināmas ir arī netiešās izmaksas un citi darbības izdevumi, tostarp materiālu, piederumu un līdzīgu produktu izmaksas, kas radušās tieši projekta rezultātā</w:t>
            </w:r>
            <w:r w:rsidR="007360FA">
              <w:rPr>
                <w:rFonts w:ascii="Times New Roman" w:hAnsi="Times New Roman" w:cs="Times New Roman"/>
                <w:sz w:val="28"/>
                <w:szCs w:val="28"/>
              </w:rPr>
              <w:t xml:space="preserve"> un 28.</w:t>
            </w:r>
            <w:r w:rsidR="00B122B7">
              <w:rPr>
                <w:rFonts w:ascii="Times New Roman" w:hAnsi="Times New Roman" w:cs="Times New Roman"/>
                <w:sz w:val="28"/>
                <w:szCs w:val="28"/>
              </w:rPr>
              <w:t xml:space="preserve"> </w:t>
            </w:r>
            <w:r w:rsidR="007360FA">
              <w:rPr>
                <w:rFonts w:ascii="Times New Roman" w:hAnsi="Times New Roman" w:cs="Times New Roman"/>
                <w:sz w:val="28"/>
                <w:szCs w:val="28"/>
              </w:rPr>
              <w:t>panta 2.</w:t>
            </w:r>
            <w:r w:rsidR="00B122B7">
              <w:rPr>
                <w:rFonts w:ascii="Times New Roman" w:hAnsi="Times New Roman" w:cs="Times New Roman"/>
                <w:sz w:val="28"/>
                <w:szCs w:val="28"/>
              </w:rPr>
              <w:t xml:space="preserve"> </w:t>
            </w:r>
            <w:r w:rsidR="007360FA">
              <w:rPr>
                <w:rFonts w:ascii="Times New Roman" w:hAnsi="Times New Roman" w:cs="Times New Roman"/>
                <w:sz w:val="28"/>
                <w:szCs w:val="28"/>
              </w:rPr>
              <w:t>punkta “a” apakšpunktā noteikto attiecībā uz inovācijas projektu veidu.</w:t>
            </w:r>
          </w:p>
          <w:p w14:paraId="737AB591" w14:textId="1D29CF69" w:rsidR="005564A3" w:rsidRDefault="005564A3" w:rsidP="005564A3">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3F48D7" w:rsidRPr="009505C5">
              <w:rPr>
                <w:rFonts w:ascii="Times New Roman" w:hAnsi="Times New Roman" w:cs="Times New Roman"/>
                <w:sz w:val="28"/>
                <w:szCs w:val="28"/>
              </w:rPr>
              <w:t xml:space="preserve">Papildinot minēto, MK noteikumu ietvaros īstenojamo </w:t>
            </w:r>
            <w:r w:rsidR="003F48D7" w:rsidRPr="005564A3">
              <w:rPr>
                <w:rFonts w:ascii="Times New Roman" w:hAnsi="Times New Roman" w:cs="Times New Roman"/>
                <w:sz w:val="28"/>
                <w:szCs w:val="28"/>
              </w:rPr>
              <w:t>projektu netiešo izmaksu noteikšana ir nepieciešama arī</w:t>
            </w:r>
            <w:r w:rsidR="008D390D" w:rsidRPr="005564A3">
              <w:rPr>
                <w:rFonts w:ascii="Times New Roman" w:hAnsi="Times New Roman" w:cs="Times New Roman"/>
                <w:sz w:val="28"/>
                <w:szCs w:val="28"/>
              </w:rPr>
              <w:t xml:space="preserve"> Eiropas Savienības Septītās pamatprogrammas ietvaros atbalstītajiem projektiem, kuru īstenošana turpinās,</w:t>
            </w:r>
            <w:r w:rsidR="003F48D7" w:rsidRPr="005564A3">
              <w:rPr>
                <w:rFonts w:ascii="Times New Roman" w:hAnsi="Times New Roman" w:cs="Times New Roman"/>
                <w:sz w:val="28"/>
                <w:szCs w:val="28"/>
              </w:rPr>
              <w:t xml:space="preserve"> </w:t>
            </w:r>
            <w:r w:rsidR="003F48D7" w:rsidRPr="009505C5">
              <w:rPr>
                <w:rFonts w:ascii="Times New Roman" w:hAnsi="Times New Roman" w:cs="Times New Roman"/>
                <w:sz w:val="28"/>
                <w:szCs w:val="28"/>
              </w:rPr>
              <w:t>piemērojot</w:t>
            </w:r>
            <w:r w:rsidR="008D390D" w:rsidRPr="009505C5">
              <w:rPr>
                <w:rFonts w:ascii="Times New Roman" w:hAnsi="Times New Roman" w:cs="Times New Roman"/>
                <w:sz w:val="28"/>
                <w:szCs w:val="28"/>
              </w:rPr>
              <w:t xml:space="preserve"> </w:t>
            </w:r>
            <w:r w:rsidR="008D390D" w:rsidRPr="009505C5">
              <w:rPr>
                <w:rFonts w:ascii="Times New Roman" w:eastAsia="Calibri" w:hAnsi="Times New Roman" w:cs="Times New Roman"/>
                <w:bCs/>
                <w:sz w:val="28"/>
                <w:szCs w:val="28"/>
              </w:rPr>
              <w:t>regulas Nr.</w:t>
            </w:r>
            <w:r w:rsidR="00B122B7">
              <w:rPr>
                <w:rFonts w:ascii="Times New Roman" w:eastAsia="Calibri" w:hAnsi="Times New Roman" w:cs="Times New Roman"/>
                <w:bCs/>
                <w:sz w:val="28"/>
                <w:szCs w:val="28"/>
              </w:rPr>
              <w:t xml:space="preserve"> </w:t>
            </w:r>
            <w:r w:rsidR="008D390D" w:rsidRPr="009505C5">
              <w:rPr>
                <w:rFonts w:ascii="Times New Roman" w:eastAsia="Calibri" w:hAnsi="Times New Roman" w:cs="Times New Roman"/>
                <w:bCs/>
                <w:sz w:val="28"/>
                <w:szCs w:val="28"/>
              </w:rPr>
              <w:t>1290/2013</w:t>
            </w:r>
            <w:r w:rsidR="003F48D7" w:rsidRPr="009505C5">
              <w:rPr>
                <w:rFonts w:ascii="Times New Roman" w:hAnsi="Times New Roman" w:cs="Times New Roman"/>
                <w:sz w:val="28"/>
                <w:szCs w:val="28"/>
              </w:rPr>
              <w:t xml:space="preserve"> 57.</w:t>
            </w:r>
            <w:r w:rsidR="00B122B7">
              <w:rPr>
                <w:rFonts w:ascii="Times New Roman" w:hAnsi="Times New Roman" w:cs="Times New Roman"/>
                <w:sz w:val="28"/>
                <w:szCs w:val="28"/>
              </w:rPr>
              <w:t xml:space="preserve"> </w:t>
            </w:r>
            <w:r w:rsidR="003F48D7" w:rsidRPr="009505C5">
              <w:rPr>
                <w:rFonts w:ascii="Times New Roman" w:hAnsi="Times New Roman" w:cs="Times New Roman"/>
                <w:sz w:val="28"/>
                <w:szCs w:val="28"/>
              </w:rPr>
              <w:t>pantu</w:t>
            </w:r>
            <w:r w:rsidR="008D390D" w:rsidRPr="009505C5">
              <w:rPr>
                <w:rFonts w:ascii="Times New Roman" w:hAnsi="Times New Roman" w:cs="Times New Roman"/>
                <w:sz w:val="28"/>
                <w:szCs w:val="28"/>
              </w:rPr>
              <w:t xml:space="preserve">, kas nosaka, ka </w:t>
            </w:r>
            <w:r w:rsidR="004F10EE">
              <w:rPr>
                <w:rFonts w:ascii="Times New Roman" w:hAnsi="Times New Roman" w:cs="Times New Roman"/>
                <w:sz w:val="28"/>
                <w:szCs w:val="28"/>
              </w:rPr>
              <w:t xml:space="preserve">“šī </w:t>
            </w:r>
            <w:r w:rsidR="008D390D" w:rsidRPr="009505C5">
              <w:rPr>
                <w:rFonts w:ascii="Times New Roman" w:hAnsi="Times New Roman" w:cs="Times New Roman"/>
                <w:color w:val="000000"/>
                <w:sz w:val="28"/>
                <w:szCs w:val="28"/>
              </w:rPr>
              <w:t xml:space="preserve">regula neietekmē attiecīgo darbību turpināšanu vai pārveidošanu, tostarp to pilnīgu vai daļēju izbeigšanu, līdz to slēgšanai vai finansiālā atbalsta piešķiršanai, ko veic Komisija vai finansēšanas struktūras saskaņā ar Lēmumu Nr. 1982/2006/EK vai jebkuriem citiem tiesību aktiem, kas piemērojami šādam atbalstam 2013. gada 31. decembrī, – tos turpina piemērot attiecīgajām darbībām līdz to slēgšanai.”. </w:t>
            </w:r>
          </w:p>
          <w:p w14:paraId="0E86A5EB" w14:textId="45C43225" w:rsidR="002427C9" w:rsidRDefault="005564A3" w:rsidP="002427C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390D" w:rsidRPr="009505C5">
              <w:rPr>
                <w:rFonts w:ascii="Times New Roman" w:hAnsi="Times New Roman" w:cs="Times New Roman"/>
                <w:color w:val="000000"/>
                <w:sz w:val="28"/>
                <w:szCs w:val="28"/>
              </w:rPr>
              <w:t>Tā</w:t>
            </w:r>
            <w:r w:rsidR="003F48D7" w:rsidRPr="009505C5">
              <w:rPr>
                <w:rFonts w:ascii="Times New Roman" w:hAnsi="Times New Roman" w:cs="Times New Roman"/>
                <w:color w:val="000000"/>
                <w:sz w:val="28"/>
                <w:szCs w:val="28"/>
              </w:rPr>
              <w:t>, piemēram,</w:t>
            </w:r>
            <w:r w:rsidR="008D390D" w:rsidRPr="009505C5">
              <w:rPr>
                <w:rFonts w:ascii="Times New Roman" w:hAnsi="Times New Roman" w:cs="Times New Roman"/>
                <w:color w:val="000000"/>
                <w:sz w:val="28"/>
                <w:szCs w:val="28"/>
              </w:rPr>
              <w:t xml:space="preserve"> </w:t>
            </w:r>
            <w:r w:rsidR="003F48D7" w:rsidRPr="009505C5">
              <w:rPr>
                <w:rFonts w:ascii="Times New Roman" w:hAnsi="Times New Roman" w:cs="Times New Roman"/>
                <w:color w:val="000000"/>
                <w:sz w:val="28"/>
                <w:szCs w:val="28"/>
              </w:rPr>
              <w:t xml:space="preserve">Pētniecības un inovācijas pamatprogrammas “Apvārsnis 2020” </w:t>
            </w:r>
            <w:r w:rsidR="008D390D" w:rsidRPr="009505C5">
              <w:rPr>
                <w:rFonts w:ascii="Times New Roman" w:hAnsi="Times New Roman" w:cs="Times New Roman"/>
                <w:color w:val="000000"/>
                <w:sz w:val="28"/>
                <w:szCs w:val="28"/>
              </w:rPr>
              <w:t>ietvaros atbalstītā inovācijas projekta “</w:t>
            </w:r>
            <w:proofErr w:type="spellStart"/>
            <w:r w:rsidR="008D390D" w:rsidRPr="009505C5">
              <w:rPr>
                <w:rFonts w:ascii="Times New Roman" w:hAnsi="Times New Roman" w:cs="Times New Roman"/>
                <w:i/>
                <w:color w:val="000000"/>
                <w:sz w:val="28"/>
                <w:szCs w:val="28"/>
              </w:rPr>
              <w:t>Open</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Framework</w:t>
            </w:r>
            <w:proofErr w:type="spellEnd"/>
            <w:r w:rsidR="008D390D" w:rsidRPr="009505C5">
              <w:rPr>
                <w:rFonts w:ascii="Times New Roman" w:hAnsi="Times New Roman" w:cs="Times New Roman"/>
                <w:i/>
                <w:color w:val="000000"/>
                <w:sz w:val="28"/>
                <w:szCs w:val="28"/>
              </w:rPr>
              <w:t xml:space="preserve"> of E-Services</w:t>
            </w:r>
            <w:r w:rsidR="008D390D" w:rsidRPr="009505C5">
              <w:rPr>
                <w:rFonts w:ascii="Times New Roman" w:hAnsi="Times New Roman" w:cs="Times New Roman"/>
                <w:color w:val="000000"/>
                <w:sz w:val="28"/>
                <w:szCs w:val="28"/>
              </w:rPr>
              <w:t xml:space="preserve">” FREME Latvijas dalībniekam SIA </w:t>
            </w:r>
            <w:r w:rsidR="003F48D7" w:rsidRPr="009505C5">
              <w:rPr>
                <w:rFonts w:ascii="Times New Roman" w:hAnsi="Times New Roman" w:cs="Times New Roman"/>
                <w:color w:val="000000"/>
                <w:sz w:val="28"/>
                <w:szCs w:val="28"/>
              </w:rPr>
              <w:t>“</w:t>
            </w:r>
            <w:r w:rsidR="008D390D" w:rsidRPr="009505C5">
              <w:rPr>
                <w:rFonts w:ascii="Times New Roman" w:hAnsi="Times New Roman" w:cs="Times New Roman"/>
                <w:color w:val="000000"/>
                <w:sz w:val="28"/>
                <w:szCs w:val="28"/>
              </w:rPr>
              <w:t>Tilde</w:t>
            </w:r>
            <w:r w:rsidR="003F48D7" w:rsidRPr="009505C5">
              <w:rPr>
                <w:rFonts w:ascii="Times New Roman" w:hAnsi="Times New Roman" w:cs="Times New Roman"/>
                <w:color w:val="000000"/>
                <w:sz w:val="28"/>
                <w:szCs w:val="28"/>
              </w:rPr>
              <w:t>”</w:t>
            </w:r>
            <w:r w:rsidR="008D390D" w:rsidRPr="009505C5">
              <w:rPr>
                <w:rFonts w:ascii="Times New Roman" w:hAnsi="Times New Roman" w:cs="Times New Roman"/>
                <w:color w:val="000000"/>
                <w:sz w:val="28"/>
                <w:szCs w:val="28"/>
              </w:rPr>
              <w:t xml:space="preserve"> projekta izpildes kopējās izmaksas ir EUR 463 250 apmērā, tai skaitā Eiropas Komisijas piešķirtais finansējums ir EUR 324 275 (kas sastāda 70% no projekta attiecināmajām izmaksām), </w:t>
            </w:r>
            <w:r w:rsidR="00413ECE">
              <w:rPr>
                <w:rFonts w:ascii="Times New Roman" w:hAnsi="Times New Roman" w:cs="Times New Roman"/>
                <w:color w:val="000000"/>
                <w:sz w:val="28"/>
                <w:szCs w:val="28"/>
              </w:rPr>
              <w:t xml:space="preserve">valsts </w:t>
            </w:r>
            <w:r w:rsidR="008D390D" w:rsidRPr="009505C5">
              <w:rPr>
                <w:rFonts w:ascii="Times New Roman" w:hAnsi="Times New Roman" w:cs="Times New Roman"/>
                <w:color w:val="000000"/>
                <w:sz w:val="28"/>
                <w:szCs w:val="28"/>
              </w:rPr>
              <w:t xml:space="preserve">atbalsts no valsts budžeta ir EUR 111 180 apmērā (saskaņā ar </w:t>
            </w:r>
            <w:r w:rsidR="008D390D" w:rsidRPr="009505C5">
              <w:rPr>
                <w:rFonts w:ascii="Times New Roman" w:hAnsi="Times New Roman" w:cs="Times New Roman"/>
                <w:sz w:val="28"/>
                <w:szCs w:val="28"/>
              </w:rPr>
              <w:t>regulas Nr.651/2014</w:t>
            </w:r>
            <w:r w:rsidR="008D390D" w:rsidRPr="009505C5">
              <w:rPr>
                <w:rFonts w:ascii="Times New Roman" w:hAnsi="Times New Roman" w:cs="Times New Roman"/>
                <w:color w:val="000000"/>
                <w:sz w:val="28"/>
                <w:szCs w:val="28"/>
              </w:rPr>
              <w:t xml:space="preserve"> nosacījumiem par valsts atbalstu pētniecības un attīstības projektiem) un pašu līdzekļi EUR 27 795 apmērā. Šo attiecināmo izmaksu ietvaros projekta netiešās izmaksas ir EUR 92 650 apmērā (25% no projekta tiešajām izmaksām). Savukārt Septītās pamatprogrammas projekta “</w:t>
            </w:r>
            <w:proofErr w:type="spellStart"/>
            <w:r w:rsidR="008D390D" w:rsidRPr="009505C5">
              <w:rPr>
                <w:rFonts w:ascii="Times New Roman" w:hAnsi="Times New Roman" w:cs="Times New Roman"/>
                <w:i/>
                <w:color w:val="000000"/>
                <w:sz w:val="28"/>
                <w:szCs w:val="28"/>
              </w:rPr>
              <w:t>Development</w:t>
            </w:r>
            <w:proofErr w:type="spellEnd"/>
            <w:r w:rsidR="008D390D" w:rsidRPr="009505C5">
              <w:rPr>
                <w:rFonts w:ascii="Times New Roman" w:hAnsi="Times New Roman" w:cs="Times New Roman"/>
                <w:i/>
                <w:color w:val="000000"/>
                <w:sz w:val="28"/>
                <w:szCs w:val="28"/>
              </w:rPr>
              <w:t xml:space="preserve"> of a </w:t>
            </w:r>
            <w:proofErr w:type="spellStart"/>
            <w:r w:rsidR="008D390D" w:rsidRPr="009505C5">
              <w:rPr>
                <w:rFonts w:ascii="Times New Roman" w:hAnsi="Times New Roman" w:cs="Times New Roman"/>
                <w:i/>
                <w:color w:val="000000"/>
                <w:sz w:val="28"/>
                <w:szCs w:val="28"/>
              </w:rPr>
              <w:t>universal</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influenza</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vaccine</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based</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on</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lastRenderedPageBreak/>
              <w:t>tandem</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core</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technology</w:t>
            </w:r>
            <w:proofErr w:type="spellEnd"/>
            <w:r w:rsidR="008D390D" w:rsidRPr="009505C5">
              <w:rPr>
                <w:rFonts w:ascii="Times New Roman" w:hAnsi="Times New Roman" w:cs="Times New Roman"/>
                <w:color w:val="000000"/>
                <w:sz w:val="28"/>
                <w:szCs w:val="28"/>
              </w:rPr>
              <w:t>” FUTCORE, kura īstenošana ir no 2013.</w:t>
            </w:r>
            <w:r w:rsidR="00B122B7">
              <w:rPr>
                <w:rFonts w:ascii="Times New Roman" w:hAnsi="Times New Roman" w:cs="Times New Roman"/>
                <w:color w:val="000000"/>
                <w:sz w:val="28"/>
                <w:szCs w:val="28"/>
              </w:rPr>
              <w:t xml:space="preserve"> </w:t>
            </w:r>
            <w:r w:rsidR="008D390D" w:rsidRPr="009505C5">
              <w:rPr>
                <w:rFonts w:ascii="Times New Roman" w:hAnsi="Times New Roman" w:cs="Times New Roman"/>
                <w:color w:val="000000"/>
                <w:sz w:val="28"/>
                <w:szCs w:val="28"/>
              </w:rPr>
              <w:t>gada 1.</w:t>
            </w:r>
            <w:r w:rsidR="00B122B7">
              <w:rPr>
                <w:rFonts w:ascii="Times New Roman" w:hAnsi="Times New Roman" w:cs="Times New Roman"/>
                <w:color w:val="000000"/>
                <w:sz w:val="28"/>
                <w:szCs w:val="28"/>
              </w:rPr>
              <w:t xml:space="preserve"> </w:t>
            </w:r>
            <w:r w:rsidR="008D390D" w:rsidRPr="009505C5">
              <w:rPr>
                <w:rFonts w:ascii="Times New Roman" w:hAnsi="Times New Roman" w:cs="Times New Roman"/>
                <w:color w:val="000000"/>
                <w:sz w:val="28"/>
                <w:szCs w:val="28"/>
              </w:rPr>
              <w:t>septembra līdz 2017.</w:t>
            </w:r>
            <w:r w:rsidR="00B122B7">
              <w:rPr>
                <w:rFonts w:ascii="Times New Roman" w:hAnsi="Times New Roman" w:cs="Times New Roman"/>
                <w:color w:val="000000"/>
                <w:sz w:val="28"/>
                <w:szCs w:val="28"/>
              </w:rPr>
              <w:t xml:space="preserve"> </w:t>
            </w:r>
            <w:r w:rsidR="008D390D" w:rsidRPr="009505C5">
              <w:rPr>
                <w:rFonts w:ascii="Times New Roman" w:hAnsi="Times New Roman" w:cs="Times New Roman"/>
                <w:color w:val="000000"/>
                <w:sz w:val="28"/>
                <w:szCs w:val="28"/>
              </w:rPr>
              <w:t>gada 31.</w:t>
            </w:r>
            <w:r w:rsidR="00B122B7">
              <w:rPr>
                <w:rFonts w:ascii="Times New Roman" w:hAnsi="Times New Roman" w:cs="Times New Roman"/>
                <w:color w:val="000000"/>
                <w:sz w:val="28"/>
                <w:szCs w:val="28"/>
              </w:rPr>
              <w:t xml:space="preserve"> </w:t>
            </w:r>
            <w:r w:rsidR="008D390D" w:rsidRPr="009505C5">
              <w:rPr>
                <w:rFonts w:ascii="Times New Roman" w:hAnsi="Times New Roman" w:cs="Times New Roman"/>
                <w:color w:val="000000"/>
                <w:sz w:val="28"/>
                <w:szCs w:val="28"/>
              </w:rPr>
              <w:t xml:space="preserve">martam Latvijas dalībnieka Latvijas </w:t>
            </w:r>
            <w:proofErr w:type="spellStart"/>
            <w:r w:rsidR="008D390D" w:rsidRPr="009505C5">
              <w:rPr>
                <w:rFonts w:ascii="Times New Roman" w:hAnsi="Times New Roman" w:cs="Times New Roman"/>
                <w:color w:val="000000"/>
                <w:sz w:val="28"/>
                <w:szCs w:val="28"/>
              </w:rPr>
              <w:t>Biomedicīnas</w:t>
            </w:r>
            <w:proofErr w:type="spellEnd"/>
            <w:r w:rsidR="008D390D" w:rsidRPr="009505C5">
              <w:rPr>
                <w:rFonts w:ascii="Times New Roman" w:hAnsi="Times New Roman" w:cs="Times New Roman"/>
                <w:color w:val="000000"/>
                <w:sz w:val="28"/>
                <w:szCs w:val="28"/>
              </w:rPr>
              <w:t xml:space="preserve"> pētījumu un studiju centra projekta izpildes kopējās izmaksas ir EUR 400 040 apmērā, tai skaitā Eiropas Komisijas piešķirtais finansējums ir EUR 300 030 un Latvijas valsts budžeta dotācija ir piešķirta EUR 100 010 apmērā. Šo attiecināmo izmaksu ietvar</w:t>
            </w:r>
            <w:r w:rsidR="003F48D7" w:rsidRPr="009505C5">
              <w:rPr>
                <w:rFonts w:ascii="Times New Roman" w:hAnsi="Times New Roman" w:cs="Times New Roman"/>
                <w:color w:val="000000"/>
                <w:sz w:val="28"/>
                <w:szCs w:val="28"/>
              </w:rPr>
              <w:t>os projekta netiešās izmaksas</w:t>
            </w:r>
            <w:r w:rsidR="008D390D" w:rsidRPr="009505C5">
              <w:rPr>
                <w:rFonts w:ascii="Times New Roman" w:hAnsi="Times New Roman" w:cs="Times New Roman"/>
                <w:color w:val="000000"/>
                <w:sz w:val="28"/>
                <w:szCs w:val="28"/>
              </w:rPr>
              <w:t xml:space="preserve"> ir  EUR 66 673 (20% no projekta tiešajām izmaksām atbilstoši projektā pieteiktajai netiešo izmaksu vienotajai likmei (</w:t>
            </w:r>
            <w:proofErr w:type="spellStart"/>
            <w:r w:rsidR="008D390D" w:rsidRPr="009505C5">
              <w:rPr>
                <w:rFonts w:ascii="Times New Roman" w:hAnsi="Times New Roman" w:cs="Times New Roman"/>
                <w:i/>
                <w:color w:val="000000"/>
                <w:sz w:val="28"/>
                <w:szCs w:val="28"/>
              </w:rPr>
              <w:t>flat</w:t>
            </w:r>
            <w:proofErr w:type="spellEnd"/>
            <w:r w:rsidR="008D390D" w:rsidRPr="009505C5">
              <w:rPr>
                <w:rFonts w:ascii="Times New Roman" w:hAnsi="Times New Roman" w:cs="Times New Roman"/>
                <w:i/>
                <w:color w:val="000000"/>
                <w:sz w:val="28"/>
                <w:szCs w:val="28"/>
              </w:rPr>
              <w:t xml:space="preserve"> </w:t>
            </w:r>
            <w:proofErr w:type="spellStart"/>
            <w:r w:rsidR="008D390D" w:rsidRPr="009505C5">
              <w:rPr>
                <w:rFonts w:ascii="Times New Roman" w:hAnsi="Times New Roman" w:cs="Times New Roman"/>
                <w:i/>
                <w:color w:val="000000"/>
                <w:sz w:val="28"/>
                <w:szCs w:val="28"/>
              </w:rPr>
              <w:t>rate</w:t>
            </w:r>
            <w:proofErr w:type="spellEnd"/>
            <w:r w:rsidR="008D390D" w:rsidRPr="009505C5">
              <w:rPr>
                <w:rFonts w:ascii="Times New Roman" w:hAnsi="Times New Roman" w:cs="Times New Roman"/>
                <w:color w:val="000000"/>
                <w:sz w:val="28"/>
                <w:szCs w:val="28"/>
              </w:rPr>
              <w:t>)).</w:t>
            </w:r>
          </w:p>
          <w:p w14:paraId="5A2BAE01" w14:textId="152AF15C" w:rsidR="008F13B8" w:rsidRPr="00F35899" w:rsidRDefault="002427C9" w:rsidP="002427C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13B8" w:rsidRPr="00F35899">
              <w:rPr>
                <w:rFonts w:ascii="Times New Roman" w:hAnsi="Times New Roman" w:cs="Times New Roman"/>
                <w:sz w:val="28"/>
                <w:szCs w:val="28"/>
              </w:rPr>
              <w:t>Ievērojot minēto</w:t>
            </w:r>
            <w:r w:rsidR="002D3B3D" w:rsidRPr="00F35899">
              <w:rPr>
                <w:rFonts w:ascii="Times New Roman" w:hAnsi="Times New Roman" w:cs="Times New Roman"/>
                <w:sz w:val="28"/>
                <w:szCs w:val="28"/>
              </w:rPr>
              <w:t xml:space="preserve"> par nepieciešamību precizēt MK noteikumu reakciju saistībā ar </w:t>
            </w:r>
            <w:r w:rsidR="002D3B3D" w:rsidRPr="00F35899">
              <w:rPr>
                <w:rFonts w:ascii="Times New Roman" w:hAnsi="Times New Roman" w:cs="Times New Roman"/>
                <w:color w:val="000000"/>
                <w:sz w:val="28"/>
                <w:szCs w:val="28"/>
              </w:rPr>
              <w:t>regulas Nr.</w:t>
            </w:r>
            <w:r w:rsidR="00B122B7" w:rsidRPr="00F35899">
              <w:rPr>
                <w:rFonts w:ascii="Times New Roman" w:hAnsi="Times New Roman" w:cs="Times New Roman"/>
                <w:color w:val="000000"/>
                <w:sz w:val="28"/>
                <w:szCs w:val="28"/>
              </w:rPr>
              <w:t xml:space="preserve"> </w:t>
            </w:r>
            <w:r w:rsidR="002D3B3D" w:rsidRPr="00F35899">
              <w:rPr>
                <w:rFonts w:ascii="Times New Roman" w:hAnsi="Times New Roman" w:cs="Times New Roman"/>
                <w:color w:val="000000"/>
                <w:sz w:val="28"/>
                <w:szCs w:val="28"/>
              </w:rPr>
              <w:t>651/2014 25.</w:t>
            </w:r>
            <w:r w:rsidR="00B122B7" w:rsidRPr="00F35899">
              <w:rPr>
                <w:rFonts w:ascii="Times New Roman" w:hAnsi="Times New Roman" w:cs="Times New Roman"/>
                <w:color w:val="000000"/>
                <w:sz w:val="28"/>
                <w:szCs w:val="28"/>
              </w:rPr>
              <w:t xml:space="preserve"> </w:t>
            </w:r>
            <w:r w:rsidR="002D3B3D" w:rsidRPr="00F35899">
              <w:rPr>
                <w:rFonts w:ascii="Times New Roman" w:hAnsi="Times New Roman" w:cs="Times New Roman"/>
                <w:color w:val="000000"/>
                <w:sz w:val="28"/>
                <w:szCs w:val="28"/>
              </w:rPr>
              <w:t>panta 3.</w:t>
            </w:r>
            <w:r w:rsidR="00B122B7" w:rsidRPr="00F35899">
              <w:rPr>
                <w:rFonts w:ascii="Times New Roman" w:hAnsi="Times New Roman" w:cs="Times New Roman"/>
                <w:color w:val="000000"/>
                <w:sz w:val="28"/>
                <w:szCs w:val="28"/>
              </w:rPr>
              <w:t xml:space="preserve"> </w:t>
            </w:r>
            <w:r w:rsidR="002D3B3D" w:rsidRPr="00F35899">
              <w:rPr>
                <w:rFonts w:ascii="Times New Roman" w:hAnsi="Times New Roman" w:cs="Times New Roman"/>
                <w:color w:val="000000"/>
                <w:sz w:val="28"/>
                <w:szCs w:val="28"/>
              </w:rPr>
              <w:t xml:space="preserve">punkta “d” apakšpunktu, ka attiecināmas ir izmaksas par </w:t>
            </w:r>
            <w:proofErr w:type="spellStart"/>
            <w:r w:rsidR="002D3B3D" w:rsidRPr="00F35899">
              <w:rPr>
                <w:rFonts w:ascii="Times New Roman" w:hAnsi="Times New Roman" w:cs="Times New Roman"/>
                <w:color w:val="000000"/>
                <w:sz w:val="28"/>
                <w:szCs w:val="28"/>
              </w:rPr>
              <w:t>līgumpētījumiem</w:t>
            </w:r>
            <w:proofErr w:type="spellEnd"/>
            <w:r w:rsidR="002D3B3D" w:rsidRPr="00F35899">
              <w:rPr>
                <w:rFonts w:ascii="Times New Roman" w:hAnsi="Times New Roman" w:cs="Times New Roman"/>
                <w:color w:val="000000"/>
                <w:sz w:val="28"/>
                <w:szCs w:val="28"/>
              </w:rPr>
              <w:t>, zināšanām un patentiem, kas iegādāti vai kuru licen</w:t>
            </w:r>
            <w:r w:rsidRPr="00F35899">
              <w:rPr>
                <w:rFonts w:ascii="Times New Roman" w:hAnsi="Times New Roman" w:cs="Times New Roman"/>
                <w:color w:val="000000"/>
                <w:sz w:val="28"/>
                <w:szCs w:val="28"/>
              </w:rPr>
              <w:t xml:space="preserve">ces saņemtas no ārējiem avotiem un </w:t>
            </w:r>
            <w:r w:rsidR="002D3B3D" w:rsidRPr="00F35899">
              <w:rPr>
                <w:rFonts w:ascii="Times New Roman" w:hAnsi="Times New Roman" w:cs="Times New Roman"/>
                <w:color w:val="000000"/>
                <w:sz w:val="28"/>
                <w:szCs w:val="28"/>
              </w:rPr>
              <w:t xml:space="preserve"> 28.</w:t>
            </w:r>
            <w:r w:rsidR="00B122B7" w:rsidRPr="00F35899">
              <w:rPr>
                <w:rFonts w:ascii="Times New Roman" w:hAnsi="Times New Roman" w:cs="Times New Roman"/>
                <w:color w:val="000000"/>
                <w:sz w:val="28"/>
                <w:szCs w:val="28"/>
              </w:rPr>
              <w:t xml:space="preserve"> </w:t>
            </w:r>
            <w:r w:rsidR="002D3B3D" w:rsidRPr="00F35899">
              <w:rPr>
                <w:rFonts w:ascii="Times New Roman" w:hAnsi="Times New Roman" w:cs="Times New Roman"/>
                <w:color w:val="000000"/>
                <w:sz w:val="28"/>
                <w:szCs w:val="28"/>
              </w:rPr>
              <w:t>panta 2.</w:t>
            </w:r>
            <w:r w:rsidR="00B122B7" w:rsidRPr="00F35899">
              <w:rPr>
                <w:rFonts w:ascii="Times New Roman" w:hAnsi="Times New Roman" w:cs="Times New Roman"/>
                <w:color w:val="000000"/>
                <w:sz w:val="28"/>
                <w:szCs w:val="28"/>
              </w:rPr>
              <w:t xml:space="preserve"> </w:t>
            </w:r>
            <w:r w:rsidRPr="00F35899">
              <w:rPr>
                <w:rFonts w:ascii="Times New Roman" w:hAnsi="Times New Roman" w:cs="Times New Roman"/>
                <w:color w:val="000000"/>
                <w:sz w:val="28"/>
                <w:szCs w:val="28"/>
              </w:rPr>
              <w:t>punkta “a” apakšpunktu</w:t>
            </w:r>
            <w:r w:rsidR="002D3B3D" w:rsidRPr="00F35899">
              <w:rPr>
                <w:rFonts w:ascii="Times New Roman" w:hAnsi="Times New Roman" w:cs="Times New Roman"/>
                <w:color w:val="000000"/>
                <w:sz w:val="28"/>
                <w:szCs w:val="28"/>
              </w:rPr>
              <w:t xml:space="preserve">, </w:t>
            </w:r>
            <w:r w:rsidRPr="00F35899">
              <w:rPr>
                <w:rFonts w:ascii="Times New Roman" w:hAnsi="Times New Roman" w:cs="Times New Roman"/>
                <w:color w:val="000000"/>
                <w:sz w:val="28"/>
                <w:szCs w:val="28"/>
              </w:rPr>
              <w:t xml:space="preserve">ka </w:t>
            </w:r>
            <w:r w:rsidR="002D3B3D" w:rsidRPr="00F35899">
              <w:rPr>
                <w:rFonts w:ascii="Times New Roman" w:hAnsi="Times New Roman" w:cs="Times New Roman"/>
                <w:color w:val="000000"/>
                <w:sz w:val="28"/>
                <w:szCs w:val="28"/>
              </w:rPr>
              <w:t xml:space="preserve">attiecināmas ir tikai MVU izmaksas par patentu un citu nemateriālo aktīvu iegūšanu </w:t>
            </w:r>
            <w:r w:rsidRPr="00F35899">
              <w:rPr>
                <w:rFonts w:ascii="Times New Roman" w:hAnsi="Times New Roman" w:cs="Times New Roman"/>
                <w:color w:val="000000"/>
                <w:sz w:val="28"/>
                <w:szCs w:val="28"/>
              </w:rPr>
              <w:t xml:space="preserve">apstiprināšanu un aizstāvēšanu, </w:t>
            </w:r>
            <w:r w:rsidR="008F13B8" w:rsidRPr="00F35899">
              <w:rPr>
                <w:rFonts w:ascii="Times New Roman" w:hAnsi="Times New Roman" w:cs="Times New Roman"/>
                <w:sz w:val="28"/>
                <w:szCs w:val="28"/>
              </w:rPr>
              <w:t>ar noteikumu projektu tiek:</w:t>
            </w:r>
          </w:p>
          <w:p w14:paraId="0EF3D691" w14:textId="1FA54979" w:rsidR="004F10EE" w:rsidRPr="00F35899" w:rsidRDefault="005564A3" w:rsidP="004F10EE">
            <w:pPr>
              <w:spacing w:after="0" w:line="240" w:lineRule="auto"/>
              <w:jc w:val="both"/>
              <w:rPr>
                <w:rFonts w:ascii="Times New Roman" w:hAnsi="Times New Roman" w:cs="Times New Roman"/>
                <w:sz w:val="28"/>
                <w:szCs w:val="28"/>
                <w:lang w:eastAsia="lv-LV"/>
              </w:rPr>
            </w:pPr>
            <w:r w:rsidRPr="00F35899">
              <w:rPr>
                <w:rFonts w:ascii="Times New Roman" w:hAnsi="Times New Roman" w:cs="Times New Roman"/>
                <w:sz w:val="28"/>
                <w:szCs w:val="28"/>
              </w:rPr>
              <w:t xml:space="preserve"> </w:t>
            </w:r>
            <w:r w:rsidR="00413ECE" w:rsidRPr="00F35899">
              <w:rPr>
                <w:rFonts w:ascii="Times New Roman" w:hAnsi="Times New Roman" w:cs="Times New Roman"/>
                <w:sz w:val="28"/>
                <w:szCs w:val="28"/>
              </w:rPr>
              <w:t xml:space="preserve">- </w:t>
            </w:r>
            <w:r w:rsidR="004F10EE" w:rsidRPr="00F35899">
              <w:rPr>
                <w:rFonts w:ascii="Times New Roman" w:hAnsi="Times New Roman" w:cs="Times New Roman"/>
                <w:sz w:val="28"/>
                <w:szCs w:val="28"/>
              </w:rPr>
              <w:t xml:space="preserve">jaunā redakcijā izteikts </w:t>
            </w:r>
            <w:r w:rsidR="008F13B8" w:rsidRPr="00F35899">
              <w:rPr>
                <w:rFonts w:ascii="Times New Roman" w:hAnsi="Times New Roman" w:cs="Times New Roman"/>
                <w:sz w:val="28"/>
                <w:szCs w:val="28"/>
              </w:rPr>
              <w:t>MK noteikumu</w:t>
            </w:r>
            <w:r w:rsidR="00413ECE" w:rsidRPr="00F35899">
              <w:rPr>
                <w:rFonts w:ascii="Times New Roman" w:hAnsi="Times New Roman" w:cs="Times New Roman"/>
                <w:sz w:val="28"/>
                <w:szCs w:val="28"/>
              </w:rPr>
              <w:t xml:space="preserve"> 13.</w:t>
            </w:r>
            <w:r w:rsidR="004F10EE" w:rsidRPr="00F35899">
              <w:rPr>
                <w:rFonts w:ascii="Times New Roman" w:hAnsi="Times New Roman" w:cs="Times New Roman"/>
                <w:sz w:val="28"/>
                <w:szCs w:val="28"/>
              </w:rPr>
              <w:t xml:space="preserve"> punkts, kur 13.1.</w:t>
            </w:r>
            <w:r w:rsidR="002F2C31" w:rsidRPr="00F35899">
              <w:rPr>
                <w:rFonts w:ascii="Times New Roman" w:hAnsi="Times New Roman" w:cs="Times New Roman"/>
                <w:sz w:val="28"/>
                <w:szCs w:val="28"/>
              </w:rPr>
              <w:t>apakšpunkts ar</w:t>
            </w:r>
            <w:r w:rsidR="004F10EE" w:rsidRPr="00F35899">
              <w:rPr>
                <w:rFonts w:ascii="Times New Roman" w:hAnsi="Times New Roman" w:cs="Times New Roman"/>
                <w:sz w:val="28"/>
                <w:szCs w:val="28"/>
              </w:rPr>
              <w:t xml:space="preserve"> tā apakšpunkti</w:t>
            </w:r>
            <w:r w:rsidR="002F2C31" w:rsidRPr="00F35899">
              <w:rPr>
                <w:rFonts w:ascii="Times New Roman" w:hAnsi="Times New Roman" w:cs="Times New Roman"/>
                <w:sz w:val="28"/>
                <w:szCs w:val="28"/>
              </w:rPr>
              <w:t>em</w:t>
            </w:r>
            <w:r w:rsidR="004F10EE" w:rsidRPr="00F35899">
              <w:rPr>
                <w:rFonts w:ascii="Times New Roman" w:hAnsi="Times New Roman" w:cs="Times New Roman"/>
                <w:sz w:val="28"/>
                <w:szCs w:val="28"/>
              </w:rPr>
              <w:t xml:space="preserve"> nosaka tiešās un netiešās izmaksas valsts līdzfinansējuma gadījumā, ievērojot </w:t>
            </w:r>
            <w:r w:rsidR="004F10EE" w:rsidRPr="00F35899">
              <w:rPr>
                <w:rFonts w:ascii="Times New Roman" w:eastAsia="Times New Roman" w:hAnsi="Times New Roman" w:cs="Times New Roman"/>
                <w:sz w:val="28"/>
                <w:szCs w:val="28"/>
                <w:lang w:eastAsia="lv-LV"/>
              </w:rPr>
              <w:t>r</w:t>
            </w:r>
            <w:r w:rsidR="002F2C31" w:rsidRPr="00F35899">
              <w:rPr>
                <w:rFonts w:ascii="Times New Roman" w:eastAsia="Times New Roman" w:hAnsi="Times New Roman" w:cs="Times New Roman"/>
                <w:sz w:val="28"/>
                <w:szCs w:val="28"/>
                <w:lang w:eastAsia="lv-LV"/>
              </w:rPr>
              <w:t>egulas 1290/2013 29.pantu</w:t>
            </w:r>
            <w:r w:rsidR="004F10EE" w:rsidRPr="00F35899">
              <w:rPr>
                <w:rFonts w:ascii="Times New Roman" w:eastAsia="Times New Roman" w:hAnsi="Times New Roman" w:cs="Times New Roman"/>
                <w:sz w:val="28"/>
                <w:szCs w:val="28"/>
                <w:lang w:eastAsia="lv-LV"/>
              </w:rPr>
              <w:t xml:space="preserve"> </w:t>
            </w:r>
            <w:r w:rsidR="002F2C31" w:rsidRPr="00F35899">
              <w:rPr>
                <w:rFonts w:ascii="Times New Roman" w:eastAsia="Times New Roman" w:hAnsi="Times New Roman" w:cs="Times New Roman"/>
                <w:sz w:val="28"/>
                <w:szCs w:val="28"/>
                <w:lang w:eastAsia="lv-LV"/>
              </w:rPr>
              <w:t xml:space="preserve">un 52.pantu, </w:t>
            </w:r>
            <w:r w:rsidR="004F10EE" w:rsidRPr="00F35899">
              <w:rPr>
                <w:rFonts w:ascii="Times New Roman" w:hAnsi="Times New Roman" w:cs="Times New Roman"/>
                <w:sz w:val="28"/>
                <w:szCs w:val="28"/>
              </w:rPr>
              <w:t>un 13.2.</w:t>
            </w:r>
            <w:r w:rsidR="002F2C31" w:rsidRPr="00F35899">
              <w:rPr>
                <w:rFonts w:ascii="Times New Roman" w:hAnsi="Times New Roman" w:cs="Times New Roman"/>
                <w:sz w:val="28"/>
                <w:szCs w:val="28"/>
              </w:rPr>
              <w:t>apakšpunkts ar</w:t>
            </w:r>
            <w:r w:rsidR="004F10EE" w:rsidRPr="00F35899">
              <w:rPr>
                <w:rFonts w:ascii="Times New Roman" w:hAnsi="Times New Roman" w:cs="Times New Roman"/>
                <w:sz w:val="28"/>
                <w:szCs w:val="28"/>
              </w:rPr>
              <w:t xml:space="preserve"> tā apakšpunkti</w:t>
            </w:r>
            <w:r w:rsidR="00D23B56" w:rsidRPr="00F35899">
              <w:rPr>
                <w:rFonts w:ascii="Times New Roman" w:hAnsi="Times New Roman" w:cs="Times New Roman"/>
                <w:sz w:val="28"/>
                <w:szCs w:val="28"/>
              </w:rPr>
              <w:t>em</w:t>
            </w:r>
            <w:r w:rsidR="004F10EE" w:rsidRPr="00F35899">
              <w:rPr>
                <w:rFonts w:ascii="Times New Roman" w:hAnsi="Times New Roman" w:cs="Times New Roman"/>
                <w:sz w:val="28"/>
                <w:szCs w:val="28"/>
              </w:rPr>
              <w:t xml:space="preserve"> nosaka attiecināmās izmaksas valsts atbalsta gadījumā atbilstoši</w:t>
            </w:r>
            <w:r w:rsidR="004F10EE" w:rsidRPr="00F35899">
              <w:rPr>
                <w:rFonts w:ascii="Times New Roman" w:hAnsi="Times New Roman" w:cs="Times New Roman"/>
                <w:color w:val="FF0000"/>
                <w:sz w:val="28"/>
                <w:szCs w:val="28"/>
              </w:rPr>
              <w:t xml:space="preserve"> </w:t>
            </w:r>
            <w:r w:rsidR="004F10EE" w:rsidRPr="00F35899">
              <w:rPr>
                <w:rFonts w:ascii="Times New Roman" w:eastAsia="Times New Roman" w:hAnsi="Times New Roman" w:cs="Times New Roman"/>
                <w:sz w:val="28"/>
                <w:szCs w:val="28"/>
                <w:lang w:eastAsia="lv-LV"/>
              </w:rPr>
              <w:t xml:space="preserve">regulas </w:t>
            </w:r>
            <w:r w:rsidR="002F2C31" w:rsidRPr="00F35899">
              <w:rPr>
                <w:rFonts w:ascii="Times New Roman" w:hAnsi="Times New Roman" w:cs="Times New Roman"/>
                <w:sz w:val="28"/>
                <w:szCs w:val="28"/>
                <w:lang w:eastAsia="lv-LV"/>
              </w:rPr>
              <w:t>Nr.651/2014 25.pantam</w:t>
            </w:r>
            <w:r w:rsidR="004F10EE" w:rsidRPr="00F35899">
              <w:rPr>
                <w:rFonts w:ascii="Times New Roman" w:hAnsi="Times New Roman" w:cs="Times New Roman"/>
                <w:sz w:val="28"/>
                <w:szCs w:val="28"/>
                <w:lang w:eastAsia="lv-LV"/>
              </w:rPr>
              <w:t xml:space="preserve"> un </w:t>
            </w:r>
            <w:r w:rsidR="004F10EE" w:rsidRPr="00F35899">
              <w:rPr>
                <w:rFonts w:ascii="Times New Roman" w:eastAsia="Times New Roman" w:hAnsi="Times New Roman" w:cs="Times New Roman"/>
                <w:sz w:val="28"/>
                <w:szCs w:val="28"/>
                <w:lang w:eastAsia="lv-LV"/>
              </w:rPr>
              <w:t>2</w:t>
            </w:r>
            <w:r w:rsidR="002F2C31" w:rsidRPr="00F35899">
              <w:rPr>
                <w:rFonts w:ascii="Times New Roman" w:eastAsia="Times New Roman" w:hAnsi="Times New Roman" w:cs="Times New Roman"/>
                <w:sz w:val="28"/>
                <w:szCs w:val="28"/>
                <w:lang w:eastAsia="lv-LV"/>
              </w:rPr>
              <w:t>8.pantam</w:t>
            </w:r>
            <w:r w:rsidR="007F22D4" w:rsidRPr="00F35899">
              <w:rPr>
                <w:rFonts w:ascii="Times New Roman" w:hAnsi="Times New Roman" w:cs="Times New Roman"/>
                <w:sz w:val="28"/>
                <w:szCs w:val="28"/>
              </w:rPr>
              <w:t xml:space="preserve"> ne tikai pētniecības un attīstības projektu veidam, bet ar</w:t>
            </w:r>
            <w:r w:rsidR="007F22D4">
              <w:rPr>
                <w:rFonts w:ascii="Times New Roman" w:hAnsi="Times New Roman" w:cs="Times New Roman"/>
                <w:sz w:val="28"/>
                <w:szCs w:val="28"/>
              </w:rPr>
              <w:t>ī</w:t>
            </w:r>
            <w:r w:rsidR="007F22D4" w:rsidRPr="00F35899">
              <w:rPr>
                <w:rFonts w:ascii="Times New Roman" w:hAnsi="Times New Roman" w:cs="Times New Roman"/>
                <w:sz w:val="28"/>
                <w:szCs w:val="28"/>
              </w:rPr>
              <w:t xml:space="preserve"> inovācijas projektu veidam</w:t>
            </w:r>
            <w:r w:rsidR="004F10EE" w:rsidRPr="00F35899">
              <w:rPr>
                <w:rFonts w:ascii="Times New Roman" w:eastAsia="Times New Roman" w:hAnsi="Times New Roman" w:cs="Times New Roman"/>
                <w:sz w:val="28"/>
                <w:szCs w:val="28"/>
                <w:lang w:eastAsia="lv-LV"/>
              </w:rPr>
              <w:t>;</w:t>
            </w:r>
          </w:p>
          <w:p w14:paraId="7FF8F673" w14:textId="633AECA2" w:rsidR="00282736" w:rsidRPr="00F35899" w:rsidRDefault="00413ECE" w:rsidP="0079566D">
            <w:pPr>
              <w:spacing w:after="0" w:line="240" w:lineRule="auto"/>
              <w:jc w:val="both"/>
              <w:rPr>
                <w:rFonts w:ascii="Times New Roman" w:eastAsia="Calibri" w:hAnsi="Times New Roman" w:cs="Times New Roman"/>
                <w:bCs/>
                <w:sz w:val="28"/>
                <w:szCs w:val="28"/>
              </w:rPr>
            </w:pPr>
            <w:r w:rsidRPr="00F35899">
              <w:rPr>
                <w:rFonts w:ascii="Times New Roman" w:hAnsi="Times New Roman" w:cs="Times New Roman"/>
                <w:sz w:val="28"/>
                <w:szCs w:val="28"/>
              </w:rPr>
              <w:t xml:space="preserve">- </w:t>
            </w:r>
            <w:r w:rsidR="002F2C31" w:rsidRPr="00F35899">
              <w:rPr>
                <w:rFonts w:ascii="Times New Roman" w:hAnsi="Times New Roman" w:cs="Times New Roman"/>
                <w:sz w:val="28"/>
                <w:szCs w:val="28"/>
              </w:rPr>
              <w:t xml:space="preserve">precizētas </w:t>
            </w:r>
            <w:r w:rsidR="00282736" w:rsidRPr="00F35899">
              <w:rPr>
                <w:rFonts w:ascii="Times New Roman" w:hAnsi="Times New Roman" w:cs="Times New Roman"/>
                <w:sz w:val="28"/>
                <w:szCs w:val="28"/>
              </w:rPr>
              <w:t>projektu</w:t>
            </w:r>
            <w:r w:rsidR="002F2C31" w:rsidRPr="00F35899">
              <w:rPr>
                <w:rFonts w:ascii="Times New Roman" w:hAnsi="Times New Roman" w:cs="Times New Roman"/>
                <w:sz w:val="28"/>
                <w:szCs w:val="28"/>
              </w:rPr>
              <w:t xml:space="preserve"> izmaksas par materiāliem, piederumiem un līdzīgiem produktiem, ievērojot </w:t>
            </w:r>
            <w:r w:rsidR="008F13B8" w:rsidRPr="00F35899">
              <w:rPr>
                <w:rFonts w:ascii="Times New Roman" w:eastAsia="Calibri" w:hAnsi="Times New Roman" w:cs="Times New Roman"/>
                <w:bCs/>
                <w:sz w:val="28"/>
                <w:szCs w:val="28"/>
              </w:rPr>
              <w:t>regulas Nr.</w:t>
            </w:r>
            <w:r w:rsidR="00B122B7" w:rsidRPr="00F35899">
              <w:rPr>
                <w:rFonts w:ascii="Times New Roman" w:eastAsia="Calibri" w:hAnsi="Times New Roman" w:cs="Times New Roman"/>
                <w:bCs/>
                <w:sz w:val="28"/>
                <w:szCs w:val="28"/>
              </w:rPr>
              <w:t xml:space="preserve"> </w:t>
            </w:r>
            <w:r w:rsidR="008F13B8" w:rsidRPr="00F35899">
              <w:rPr>
                <w:rFonts w:ascii="Times New Roman" w:eastAsia="Calibri" w:hAnsi="Times New Roman" w:cs="Times New Roman"/>
                <w:bCs/>
                <w:sz w:val="28"/>
                <w:szCs w:val="28"/>
              </w:rPr>
              <w:t>1290/2013 29.</w:t>
            </w:r>
            <w:r w:rsidR="00B122B7" w:rsidRPr="00F35899">
              <w:rPr>
                <w:rFonts w:ascii="Times New Roman" w:eastAsia="Calibri" w:hAnsi="Times New Roman" w:cs="Times New Roman"/>
                <w:bCs/>
                <w:sz w:val="28"/>
                <w:szCs w:val="28"/>
              </w:rPr>
              <w:t xml:space="preserve"> </w:t>
            </w:r>
            <w:r w:rsidR="008F13B8" w:rsidRPr="00F35899">
              <w:rPr>
                <w:rFonts w:ascii="Times New Roman" w:eastAsia="Calibri" w:hAnsi="Times New Roman" w:cs="Times New Roman"/>
                <w:bCs/>
                <w:sz w:val="28"/>
                <w:szCs w:val="28"/>
              </w:rPr>
              <w:t>panta 1.</w:t>
            </w:r>
            <w:r w:rsidR="00B122B7" w:rsidRPr="00F35899">
              <w:rPr>
                <w:rFonts w:ascii="Times New Roman" w:eastAsia="Calibri" w:hAnsi="Times New Roman" w:cs="Times New Roman"/>
                <w:bCs/>
                <w:sz w:val="28"/>
                <w:szCs w:val="28"/>
              </w:rPr>
              <w:t xml:space="preserve"> </w:t>
            </w:r>
            <w:r w:rsidR="002F2C31" w:rsidRPr="00F35899">
              <w:rPr>
                <w:rFonts w:ascii="Times New Roman" w:eastAsia="Calibri" w:hAnsi="Times New Roman" w:cs="Times New Roman"/>
                <w:bCs/>
                <w:sz w:val="28"/>
                <w:szCs w:val="28"/>
              </w:rPr>
              <w:t>punktu</w:t>
            </w:r>
            <w:r w:rsidR="008F13B8" w:rsidRPr="00F35899">
              <w:rPr>
                <w:rFonts w:ascii="Times New Roman" w:eastAsia="Calibri" w:hAnsi="Times New Roman" w:cs="Times New Roman"/>
                <w:bCs/>
                <w:sz w:val="28"/>
                <w:szCs w:val="28"/>
              </w:rPr>
              <w:t xml:space="preserve"> un </w:t>
            </w:r>
            <w:r w:rsidR="008F13B8" w:rsidRPr="00F35899">
              <w:rPr>
                <w:rFonts w:ascii="Times New Roman" w:hAnsi="Times New Roman" w:cs="Times New Roman"/>
                <w:sz w:val="28"/>
                <w:szCs w:val="28"/>
              </w:rPr>
              <w:t>regulas Nr.651/2014 25.</w:t>
            </w:r>
            <w:r w:rsidR="00B122B7" w:rsidRPr="00F35899">
              <w:rPr>
                <w:rFonts w:ascii="Times New Roman" w:hAnsi="Times New Roman" w:cs="Times New Roman"/>
                <w:sz w:val="28"/>
                <w:szCs w:val="28"/>
              </w:rPr>
              <w:t xml:space="preserve"> </w:t>
            </w:r>
            <w:r w:rsidR="008F13B8" w:rsidRPr="00F35899">
              <w:rPr>
                <w:rFonts w:ascii="Times New Roman" w:hAnsi="Times New Roman" w:cs="Times New Roman"/>
                <w:sz w:val="28"/>
                <w:szCs w:val="28"/>
              </w:rPr>
              <w:t>panta 3.</w:t>
            </w:r>
            <w:r w:rsidR="00B122B7" w:rsidRPr="00F35899">
              <w:rPr>
                <w:rFonts w:ascii="Times New Roman" w:hAnsi="Times New Roman" w:cs="Times New Roman"/>
                <w:sz w:val="28"/>
                <w:szCs w:val="28"/>
              </w:rPr>
              <w:t xml:space="preserve"> </w:t>
            </w:r>
            <w:r w:rsidR="002F2C31" w:rsidRPr="00F35899">
              <w:rPr>
                <w:rFonts w:ascii="Times New Roman" w:hAnsi="Times New Roman" w:cs="Times New Roman"/>
                <w:sz w:val="28"/>
                <w:szCs w:val="28"/>
              </w:rPr>
              <w:t>punkta “e” apakšpunktu</w:t>
            </w:r>
            <w:r w:rsidR="007F22D4">
              <w:rPr>
                <w:rFonts w:ascii="Times New Roman" w:eastAsia="Calibri" w:hAnsi="Times New Roman" w:cs="Times New Roman"/>
                <w:bCs/>
                <w:sz w:val="28"/>
                <w:szCs w:val="28"/>
              </w:rPr>
              <w:t>.</w:t>
            </w:r>
          </w:p>
          <w:p w14:paraId="11168247" w14:textId="113FEB59" w:rsidR="006A4EED" w:rsidRDefault="007F22D4" w:rsidP="0079566D">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lang w:eastAsia="lv-LV"/>
              </w:rPr>
              <w:t>I</w:t>
            </w:r>
            <w:r>
              <w:rPr>
                <w:rFonts w:ascii="Times New Roman" w:eastAsia="Calibri" w:hAnsi="Times New Roman" w:cs="Times New Roman"/>
                <w:bCs/>
                <w:sz w:val="28"/>
                <w:szCs w:val="28"/>
              </w:rPr>
              <w:t>zteikta</w:t>
            </w:r>
            <w:r w:rsidR="002D3B3D" w:rsidRPr="00F35899">
              <w:rPr>
                <w:rFonts w:ascii="Times New Roman" w:eastAsia="Calibri" w:hAnsi="Times New Roman" w:cs="Times New Roman"/>
                <w:bCs/>
                <w:sz w:val="28"/>
                <w:szCs w:val="28"/>
              </w:rPr>
              <w:t xml:space="preserve"> jaunā redakcijā MK noteikumu 14.</w:t>
            </w:r>
            <w:r w:rsidR="00B122B7" w:rsidRPr="00F3589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punkta ievaddaļa</w:t>
            </w:r>
            <w:r w:rsidR="002D3B3D" w:rsidRPr="00F35899">
              <w:rPr>
                <w:rFonts w:ascii="Times New Roman" w:eastAsia="Calibri" w:hAnsi="Times New Roman" w:cs="Times New Roman"/>
                <w:bCs/>
                <w:sz w:val="28"/>
                <w:szCs w:val="28"/>
              </w:rPr>
              <w:t xml:space="preserve"> tā, lai tas atti</w:t>
            </w:r>
            <w:r w:rsidR="002F2C31" w:rsidRPr="00F35899">
              <w:rPr>
                <w:rFonts w:ascii="Times New Roman" w:eastAsia="Calibri" w:hAnsi="Times New Roman" w:cs="Times New Roman"/>
                <w:bCs/>
                <w:sz w:val="28"/>
                <w:szCs w:val="28"/>
              </w:rPr>
              <w:t>e</w:t>
            </w:r>
            <w:r w:rsidR="002D3B3D" w:rsidRPr="00F35899">
              <w:rPr>
                <w:rFonts w:ascii="Times New Roman" w:eastAsia="Calibri" w:hAnsi="Times New Roman" w:cs="Times New Roman"/>
                <w:bCs/>
                <w:sz w:val="28"/>
                <w:szCs w:val="28"/>
              </w:rPr>
              <w:t>ktos gan uz pētniecības un attīstības projektiem atbilstoši regulas Nr.</w:t>
            </w:r>
            <w:r w:rsidR="00B122B7" w:rsidRPr="00F35899">
              <w:rPr>
                <w:rFonts w:ascii="Times New Roman" w:eastAsia="Calibri" w:hAnsi="Times New Roman" w:cs="Times New Roman"/>
                <w:bCs/>
                <w:sz w:val="28"/>
                <w:szCs w:val="28"/>
              </w:rPr>
              <w:t xml:space="preserve"> </w:t>
            </w:r>
            <w:r w:rsidR="002D3B3D" w:rsidRPr="00F35899">
              <w:rPr>
                <w:rFonts w:ascii="Times New Roman" w:eastAsia="Calibri" w:hAnsi="Times New Roman" w:cs="Times New Roman"/>
                <w:bCs/>
                <w:sz w:val="28"/>
                <w:szCs w:val="28"/>
              </w:rPr>
              <w:t xml:space="preserve">651/204 25.panta </w:t>
            </w:r>
            <w:r w:rsidR="002D3B3D" w:rsidRPr="00F35899">
              <w:rPr>
                <w:rFonts w:ascii="Times New Roman" w:hAnsi="Times New Roman" w:cs="Times New Roman"/>
                <w:sz w:val="28"/>
                <w:szCs w:val="28"/>
              </w:rPr>
              <w:t>3.</w:t>
            </w:r>
            <w:r w:rsidR="00B122B7" w:rsidRPr="00F35899">
              <w:rPr>
                <w:rFonts w:ascii="Times New Roman" w:hAnsi="Times New Roman" w:cs="Times New Roman"/>
                <w:sz w:val="28"/>
                <w:szCs w:val="28"/>
              </w:rPr>
              <w:t xml:space="preserve"> </w:t>
            </w:r>
            <w:r w:rsidR="002D3B3D" w:rsidRPr="00F35899">
              <w:rPr>
                <w:rFonts w:ascii="Times New Roman" w:hAnsi="Times New Roman" w:cs="Times New Roman"/>
                <w:sz w:val="28"/>
                <w:szCs w:val="28"/>
              </w:rPr>
              <w:t>punkta “e” apakšpunktam un inovācijas  projektiem atbilstoši regulas Nr.</w:t>
            </w:r>
            <w:r w:rsidR="00B122B7" w:rsidRPr="00F35899">
              <w:rPr>
                <w:rFonts w:ascii="Times New Roman" w:hAnsi="Times New Roman" w:cs="Times New Roman"/>
                <w:sz w:val="28"/>
                <w:szCs w:val="28"/>
              </w:rPr>
              <w:t xml:space="preserve"> </w:t>
            </w:r>
            <w:r w:rsidR="002D3B3D" w:rsidRPr="00F35899">
              <w:rPr>
                <w:rFonts w:ascii="Times New Roman" w:hAnsi="Times New Roman" w:cs="Times New Roman"/>
                <w:sz w:val="28"/>
                <w:szCs w:val="28"/>
              </w:rPr>
              <w:t xml:space="preserve">651/2016 </w:t>
            </w:r>
            <w:r w:rsidR="002D3B3D" w:rsidRPr="00F35899">
              <w:rPr>
                <w:rFonts w:ascii="Times New Roman" w:eastAsia="Calibri" w:hAnsi="Times New Roman" w:cs="Times New Roman"/>
                <w:bCs/>
                <w:sz w:val="28"/>
                <w:szCs w:val="28"/>
              </w:rPr>
              <w:t>28.</w:t>
            </w:r>
            <w:r w:rsidR="00B122B7" w:rsidRPr="00F35899">
              <w:rPr>
                <w:rFonts w:ascii="Times New Roman" w:eastAsia="Calibri" w:hAnsi="Times New Roman" w:cs="Times New Roman"/>
                <w:bCs/>
                <w:sz w:val="28"/>
                <w:szCs w:val="28"/>
              </w:rPr>
              <w:t xml:space="preserve"> </w:t>
            </w:r>
            <w:r w:rsidR="002D3B3D" w:rsidRPr="00F35899">
              <w:rPr>
                <w:rFonts w:ascii="Times New Roman" w:eastAsia="Calibri" w:hAnsi="Times New Roman" w:cs="Times New Roman"/>
                <w:bCs/>
                <w:sz w:val="28"/>
                <w:szCs w:val="28"/>
              </w:rPr>
              <w:t>panta 2.</w:t>
            </w:r>
            <w:r w:rsidR="00B122B7" w:rsidRPr="00F35899">
              <w:rPr>
                <w:rFonts w:ascii="Times New Roman" w:eastAsia="Calibri" w:hAnsi="Times New Roman" w:cs="Times New Roman"/>
                <w:bCs/>
                <w:sz w:val="28"/>
                <w:szCs w:val="28"/>
              </w:rPr>
              <w:t xml:space="preserve"> </w:t>
            </w:r>
            <w:r w:rsidR="002D3B3D" w:rsidRPr="00F35899">
              <w:rPr>
                <w:rFonts w:ascii="Times New Roman" w:eastAsia="Calibri" w:hAnsi="Times New Roman" w:cs="Times New Roman"/>
                <w:bCs/>
                <w:sz w:val="28"/>
                <w:szCs w:val="28"/>
              </w:rPr>
              <w:t>punkta “a” apakšpunktam</w:t>
            </w:r>
            <w:r w:rsidR="00F35899">
              <w:rPr>
                <w:rFonts w:ascii="Times New Roman" w:eastAsia="Calibri" w:hAnsi="Times New Roman" w:cs="Times New Roman"/>
                <w:bCs/>
                <w:sz w:val="28"/>
                <w:szCs w:val="28"/>
              </w:rPr>
              <w:t>.</w:t>
            </w:r>
          </w:p>
          <w:p w14:paraId="6694FCFC" w14:textId="57CDCBCA" w:rsidR="007F22D4" w:rsidRPr="009505C5" w:rsidRDefault="007F22D4" w:rsidP="0079566D">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bCs/>
                <w:sz w:val="28"/>
                <w:szCs w:val="28"/>
              </w:rPr>
              <w:t xml:space="preserve">Precizēta MK noteikumu 12.1.3.apajspunkts nosakot, ka aģentūra izstrādā, saskaņo ar ministriju un publicē savā </w:t>
            </w:r>
            <w:proofErr w:type="spellStart"/>
            <w:r>
              <w:rPr>
                <w:rFonts w:ascii="Times New Roman" w:eastAsia="Calibri" w:hAnsi="Times New Roman" w:cs="Times New Roman"/>
                <w:bCs/>
                <w:sz w:val="28"/>
                <w:szCs w:val="28"/>
              </w:rPr>
              <w:t>majaslapā</w:t>
            </w:r>
            <w:proofErr w:type="spellEnd"/>
            <w:r>
              <w:rPr>
                <w:rFonts w:ascii="Times New Roman" w:hAnsi="Times New Roman"/>
                <w:sz w:val="28"/>
                <w:szCs w:val="28"/>
              </w:rPr>
              <w:t xml:space="preserve"> veidlapu līgumam par valsts atbalsta piešķiršanu projekta īstenošanai un veidlapu līgumam par valsts līdzfinansējuma piešķiršanu projekta īstenošanai, </w:t>
            </w:r>
            <w:r>
              <w:rPr>
                <w:rFonts w:ascii="Times New Roman" w:hAnsi="Times New Roman"/>
                <w:sz w:val="28"/>
                <w:szCs w:val="28"/>
              </w:rPr>
              <w:lastRenderedPageBreak/>
              <w:t>šo atbalsta līgumu noslēgšanas kārtību, termiņu un projekta izdevumu tāmi (t.sk., norādot attiecināmo izdevumu sadalījumu).</w:t>
            </w:r>
          </w:p>
          <w:p w14:paraId="447E9AD5" w14:textId="07ABE466" w:rsidR="002F2C31" w:rsidRPr="009505C5" w:rsidRDefault="002427C9" w:rsidP="007956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B033F" w:rsidRPr="009505C5">
              <w:rPr>
                <w:rFonts w:ascii="Times New Roman" w:hAnsi="Times New Roman" w:cs="Times New Roman"/>
                <w:sz w:val="28"/>
                <w:szCs w:val="28"/>
              </w:rPr>
              <w:t>Ievērojot MK noteikumu 4.2.</w:t>
            </w:r>
            <w:r w:rsidR="00B122B7">
              <w:rPr>
                <w:rFonts w:ascii="Times New Roman" w:hAnsi="Times New Roman" w:cs="Times New Roman"/>
                <w:sz w:val="28"/>
                <w:szCs w:val="28"/>
              </w:rPr>
              <w:t xml:space="preserve"> </w:t>
            </w:r>
            <w:r w:rsidR="006B033F" w:rsidRPr="009505C5">
              <w:rPr>
                <w:rFonts w:ascii="Times New Roman" w:hAnsi="Times New Roman" w:cs="Times New Roman"/>
                <w:sz w:val="28"/>
                <w:szCs w:val="28"/>
              </w:rPr>
              <w:t>apakšpunktu</w:t>
            </w:r>
            <w:r>
              <w:rPr>
                <w:rFonts w:ascii="Times New Roman" w:hAnsi="Times New Roman" w:cs="Times New Roman"/>
                <w:sz w:val="28"/>
                <w:szCs w:val="28"/>
              </w:rPr>
              <w:t xml:space="preserve">, ka atbalsta ietvaros sedz arī </w:t>
            </w:r>
            <w:r w:rsidR="006B033F" w:rsidRPr="009505C5">
              <w:rPr>
                <w:rFonts w:ascii="Times New Roman" w:hAnsi="Times New Roman" w:cs="Times New Roman"/>
                <w:sz w:val="28"/>
                <w:szCs w:val="28"/>
              </w:rPr>
              <w:t>Latvijas valsts dalības mak</w:t>
            </w:r>
            <w:r>
              <w:rPr>
                <w:rFonts w:ascii="Times New Roman" w:hAnsi="Times New Roman" w:cs="Times New Roman"/>
                <w:sz w:val="28"/>
                <w:szCs w:val="28"/>
              </w:rPr>
              <w:t>su</w:t>
            </w:r>
            <w:r w:rsidR="006B033F" w:rsidRPr="009505C5">
              <w:rPr>
                <w:rFonts w:ascii="Times New Roman" w:hAnsi="Times New Roman" w:cs="Times New Roman"/>
                <w:sz w:val="28"/>
                <w:szCs w:val="28"/>
              </w:rPr>
              <w:t>, a</w:t>
            </w:r>
            <w:r w:rsidR="00096099" w:rsidRPr="009505C5">
              <w:rPr>
                <w:rFonts w:ascii="Times New Roman" w:hAnsi="Times New Roman" w:cs="Times New Roman"/>
                <w:sz w:val="28"/>
                <w:szCs w:val="28"/>
              </w:rPr>
              <w:t xml:space="preserve">r </w:t>
            </w:r>
            <w:r w:rsidR="00096099" w:rsidRPr="002F2C31">
              <w:rPr>
                <w:rFonts w:ascii="Times New Roman" w:hAnsi="Times New Roman" w:cs="Times New Roman"/>
                <w:sz w:val="28"/>
                <w:szCs w:val="28"/>
              </w:rPr>
              <w:t xml:space="preserve">noteikumu projektu </w:t>
            </w:r>
            <w:r w:rsidR="00B00871" w:rsidRPr="002F2C31">
              <w:rPr>
                <w:rFonts w:ascii="Times New Roman" w:hAnsi="Times New Roman" w:cs="Times New Roman"/>
                <w:sz w:val="28"/>
                <w:szCs w:val="28"/>
              </w:rPr>
              <w:t>tiek precizēts</w:t>
            </w:r>
            <w:r w:rsidR="006B033F" w:rsidRPr="002F2C31">
              <w:rPr>
                <w:rFonts w:ascii="Times New Roman" w:hAnsi="Times New Roman" w:cs="Times New Roman"/>
                <w:sz w:val="28"/>
                <w:szCs w:val="28"/>
              </w:rPr>
              <w:t xml:space="preserve"> MK noteikumu</w:t>
            </w:r>
            <w:r w:rsidR="006A4EED" w:rsidRPr="002F2C31">
              <w:rPr>
                <w:rFonts w:ascii="Times New Roman" w:hAnsi="Times New Roman" w:cs="Times New Roman"/>
                <w:sz w:val="28"/>
                <w:szCs w:val="28"/>
              </w:rPr>
              <w:t xml:space="preserve"> </w:t>
            </w:r>
            <w:r w:rsidR="006B033F" w:rsidRPr="002F2C31">
              <w:rPr>
                <w:rFonts w:ascii="Times New Roman" w:hAnsi="Times New Roman" w:cs="Times New Roman"/>
                <w:sz w:val="28"/>
                <w:szCs w:val="28"/>
              </w:rPr>
              <w:t>5.1.apakš</w:t>
            </w:r>
            <w:r w:rsidRPr="002F2C31">
              <w:rPr>
                <w:rFonts w:ascii="Times New Roman" w:hAnsi="Times New Roman" w:cs="Times New Roman"/>
                <w:sz w:val="28"/>
                <w:szCs w:val="28"/>
              </w:rPr>
              <w:t>punkts, nosakot, ka dotāciju vei</w:t>
            </w:r>
            <w:r w:rsidR="006B033F" w:rsidRPr="002F2C31">
              <w:rPr>
                <w:rFonts w:ascii="Times New Roman" w:hAnsi="Times New Roman" w:cs="Times New Roman"/>
                <w:sz w:val="28"/>
                <w:szCs w:val="28"/>
              </w:rPr>
              <w:t xml:space="preserve">dā sedz </w:t>
            </w:r>
            <w:r w:rsidRPr="002F2C31">
              <w:rPr>
                <w:rFonts w:ascii="Times New Roman" w:hAnsi="Times New Roman" w:cs="Times New Roman"/>
                <w:sz w:val="28"/>
                <w:szCs w:val="28"/>
              </w:rPr>
              <w:t xml:space="preserve">Latvijas </w:t>
            </w:r>
            <w:r w:rsidR="002F2C31" w:rsidRPr="002F2C31">
              <w:rPr>
                <w:rFonts w:ascii="Times New Roman" w:hAnsi="Times New Roman" w:cs="Times New Roman"/>
                <w:sz w:val="28"/>
                <w:szCs w:val="28"/>
              </w:rPr>
              <w:t xml:space="preserve">valsts </w:t>
            </w:r>
            <w:r w:rsidR="006B033F" w:rsidRPr="002F2C31">
              <w:rPr>
                <w:rFonts w:ascii="Times New Roman" w:hAnsi="Times New Roman" w:cs="Times New Roman"/>
                <w:sz w:val="28"/>
                <w:szCs w:val="28"/>
              </w:rPr>
              <w:t>dalības maksas</w:t>
            </w:r>
            <w:r w:rsidR="002F2C31" w:rsidRPr="002F2C31">
              <w:rPr>
                <w:rFonts w:ascii="Times New Roman" w:hAnsi="Times New Roman" w:cs="Times New Roman"/>
                <w:sz w:val="28"/>
                <w:szCs w:val="28"/>
              </w:rPr>
              <w:t xml:space="preserve"> Eiropas pētniecības infrastruktūru stratēģiskā foruma Eiropas pētniecības infrastruktūras konsorcijos.</w:t>
            </w:r>
          </w:p>
          <w:p w14:paraId="0E459B53" w14:textId="02F1C287" w:rsidR="002427C9" w:rsidRDefault="006B033F" w:rsidP="006B033F">
            <w:pPr>
              <w:spacing w:after="0" w:line="240" w:lineRule="auto"/>
              <w:jc w:val="both"/>
              <w:rPr>
                <w:rFonts w:ascii="Times New Roman" w:hAnsi="Times New Roman" w:cs="Times New Roman"/>
                <w:sz w:val="28"/>
                <w:szCs w:val="28"/>
              </w:rPr>
            </w:pPr>
            <w:r w:rsidRPr="009505C5">
              <w:rPr>
                <w:rFonts w:ascii="Times New Roman" w:hAnsi="Times New Roman" w:cs="Times New Roman"/>
                <w:sz w:val="28"/>
                <w:szCs w:val="28"/>
              </w:rPr>
              <w:t xml:space="preserve">     Redakcionāli nepieciešams precizēt MK noteikumu 6.1.</w:t>
            </w:r>
            <w:r w:rsidR="00B122B7">
              <w:rPr>
                <w:rFonts w:ascii="Times New Roman" w:hAnsi="Times New Roman" w:cs="Times New Roman"/>
                <w:sz w:val="28"/>
                <w:szCs w:val="28"/>
              </w:rPr>
              <w:t xml:space="preserve"> </w:t>
            </w:r>
            <w:r w:rsidRPr="009505C5">
              <w:rPr>
                <w:rFonts w:ascii="Times New Roman" w:hAnsi="Times New Roman" w:cs="Times New Roman"/>
                <w:sz w:val="28"/>
                <w:szCs w:val="28"/>
              </w:rPr>
              <w:t xml:space="preserve">apakšpunktu, dodot pilnu Valsts izglītības attīstības aģentūras nosaukumu un tā saīsinājumu. </w:t>
            </w:r>
          </w:p>
          <w:p w14:paraId="20C7F614" w14:textId="5A7BA6E5" w:rsidR="0079566D" w:rsidRPr="009505C5" w:rsidRDefault="002427C9" w:rsidP="006B03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Ar noteikumu projektu </w:t>
            </w:r>
            <w:r w:rsidR="006B033F" w:rsidRPr="009505C5">
              <w:rPr>
                <w:rFonts w:ascii="Times New Roman" w:hAnsi="Times New Roman" w:cs="Times New Roman"/>
                <w:sz w:val="28"/>
                <w:szCs w:val="28"/>
              </w:rPr>
              <w:t>precizējams MK noteikumu 12.13.</w:t>
            </w:r>
            <w:r w:rsidR="00B122B7">
              <w:rPr>
                <w:rFonts w:ascii="Times New Roman" w:hAnsi="Times New Roman" w:cs="Times New Roman"/>
                <w:sz w:val="28"/>
                <w:szCs w:val="28"/>
              </w:rPr>
              <w:t xml:space="preserve"> </w:t>
            </w:r>
            <w:r w:rsidR="006B033F" w:rsidRPr="009505C5">
              <w:rPr>
                <w:rFonts w:ascii="Times New Roman" w:hAnsi="Times New Roman" w:cs="Times New Roman"/>
                <w:sz w:val="28"/>
                <w:szCs w:val="28"/>
              </w:rPr>
              <w:t>apakšpunkts, norādot, ka iesniedzam</w:t>
            </w:r>
            <w:r w:rsidR="008D390D" w:rsidRPr="009505C5">
              <w:rPr>
                <w:rFonts w:ascii="Times New Roman" w:hAnsi="Times New Roman" w:cs="Times New Roman"/>
                <w:sz w:val="28"/>
                <w:szCs w:val="28"/>
              </w:rPr>
              <w:t>a ir</w:t>
            </w:r>
            <w:r w:rsidR="006B033F" w:rsidRPr="009505C5">
              <w:rPr>
                <w:rFonts w:ascii="Times New Roman" w:hAnsi="Times New Roman" w:cs="Times New Roman"/>
                <w:sz w:val="28"/>
                <w:szCs w:val="28"/>
              </w:rPr>
              <w:t xml:space="preserve"> </w:t>
            </w:r>
            <w:r w:rsidR="008D390D" w:rsidRPr="009505C5">
              <w:rPr>
                <w:rFonts w:ascii="Times New Roman" w:hAnsi="Times New Roman" w:cs="Times New Roman"/>
                <w:sz w:val="28"/>
                <w:szCs w:val="28"/>
              </w:rPr>
              <w:t xml:space="preserve">kārtējā </w:t>
            </w:r>
            <w:r w:rsidR="006B033F" w:rsidRPr="009505C5">
              <w:rPr>
                <w:rFonts w:ascii="Times New Roman" w:hAnsi="Times New Roman" w:cs="Times New Roman"/>
                <w:sz w:val="28"/>
                <w:szCs w:val="28"/>
              </w:rPr>
              <w:t xml:space="preserve">projekta </w:t>
            </w:r>
            <w:r w:rsidR="008D390D" w:rsidRPr="009505C5">
              <w:rPr>
                <w:rFonts w:ascii="Times New Roman" w:hAnsi="Times New Roman" w:cs="Times New Roman"/>
                <w:sz w:val="28"/>
                <w:szCs w:val="28"/>
              </w:rPr>
              <w:t xml:space="preserve">posma </w:t>
            </w:r>
            <w:r w:rsidR="0079566D" w:rsidRPr="009505C5">
              <w:rPr>
                <w:rFonts w:ascii="Times New Roman" w:eastAsia="Times New Roman" w:hAnsi="Times New Roman" w:cs="Times New Roman"/>
                <w:sz w:val="28"/>
                <w:szCs w:val="28"/>
                <w:lang w:eastAsia="lv-LV"/>
              </w:rPr>
              <w:t>īstenošanas gaitas apraksta (</w:t>
            </w:r>
            <w:proofErr w:type="spellStart"/>
            <w:r w:rsidR="0079566D" w:rsidRPr="009505C5">
              <w:rPr>
                <w:rFonts w:ascii="Times New Roman" w:eastAsia="Times New Roman" w:hAnsi="Times New Roman" w:cs="Times New Roman"/>
                <w:i/>
                <w:sz w:val="28"/>
                <w:szCs w:val="28"/>
                <w:lang w:eastAsia="lv-LV"/>
              </w:rPr>
              <w:t>Periodic</w:t>
            </w:r>
            <w:proofErr w:type="spellEnd"/>
            <w:r w:rsidR="0079566D" w:rsidRPr="009505C5">
              <w:rPr>
                <w:rFonts w:ascii="Times New Roman" w:eastAsia="Times New Roman" w:hAnsi="Times New Roman" w:cs="Times New Roman"/>
                <w:i/>
                <w:sz w:val="28"/>
                <w:szCs w:val="28"/>
                <w:lang w:eastAsia="lv-LV"/>
              </w:rPr>
              <w:t xml:space="preserve"> </w:t>
            </w:r>
            <w:proofErr w:type="spellStart"/>
            <w:r w:rsidR="0079566D" w:rsidRPr="009505C5">
              <w:rPr>
                <w:rFonts w:ascii="Times New Roman" w:eastAsia="Times New Roman" w:hAnsi="Times New Roman" w:cs="Times New Roman"/>
                <w:i/>
                <w:sz w:val="28"/>
                <w:szCs w:val="28"/>
                <w:lang w:eastAsia="lv-LV"/>
              </w:rPr>
              <w:t>Report</w:t>
            </w:r>
            <w:proofErr w:type="spellEnd"/>
            <w:r w:rsidR="006B033F" w:rsidRPr="009505C5">
              <w:rPr>
                <w:rFonts w:ascii="Times New Roman" w:eastAsia="Times New Roman" w:hAnsi="Times New Roman" w:cs="Times New Roman"/>
                <w:sz w:val="28"/>
                <w:szCs w:val="28"/>
                <w:lang w:eastAsia="lv-LV"/>
              </w:rPr>
              <w:t xml:space="preserve">) kopija, bet </w:t>
            </w:r>
            <w:r w:rsidR="008D390D" w:rsidRPr="009505C5">
              <w:rPr>
                <w:rFonts w:ascii="Times New Roman" w:eastAsia="Times New Roman" w:hAnsi="Times New Roman" w:cs="Times New Roman"/>
                <w:sz w:val="28"/>
                <w:szCs w:val="28"/>
                <w:lang w:eastAsia="lv-LV"/>
              </w:rPr>
              <w:t xml:space="preserve">pabeidzot projekta īstenošanu ir jāiesniedz projekta </w:t>
            </w:r>
            <w:r w:rsidR="0079566D" w:rsidRPr="009505C5">
              <w:rPr>
                <w:rFonts w:ascii="Times New Roman" w:hAnsi="Times New Roman" w:cs="Times New Roman"/>
                <w:sz w:val="28"/>
                <w:szCs w:val="28"/>
              </w:rPr>
              <w:t>īs</w:t>
            </w:r>
            <w:r w:rsidR="006B033F" w:rsidRPr="009505C5">
              <w:rPr>
                <w:rFonts w:ascii="Times New Roman" w:hAnsi="Times New Roman" w:cs="Times New Roman"/>
                <w:sz w:val="28"/>
                <w:szCs w:val="28"/>
              </w:rPr>
              <w:t>tenošanas gaitas</w:t>
            </w:r>
            <w:r w:rsidR="008D390D" w:rsidRPr="009505C5">
              <w:rPr>
                <w:rFonts w:ascii="Times New Roman" w:hAnsi="Times New Roman" w:cs="Times New Roman"/>
                <w:sz w:val="28"/>
                <w:szCs w:val="28"/>
              </w:rPr>
              <w:t xml:space="preserve"> gala atskaites (</w:t>
            </w:r>
            <w:proofErr w:type="spellStart"/>
            <w:r w:rsidR="008D390D" w:rsidRPr="009505C5">
              <w:rPr>
                <w:rFonts w:ascii="Times New Roman" w:hAnsi="Times New Roman" w:cs="Times New Roman"/>
                <w:i/>
                <w:sz w:val="28"/>
                <w:szCs w:val="28"/>
              </w:rPr>
              <w:t>Final</w:t>
            </w:r>
            <w:proofErr w:type="spellEnd"/>
            <w:r w:rsidR="008D390D" w:rsidRPr="009505C5">
              <w:rPr>
                <w:rFonts w:ascii="Times New Roman" w:hAnsi="Times New Roman" w:cs="Times New Roman"/>
                <w:i/>
                <w:sz w:val="28"/>
                <w:szCs w:val="28"/>
              </w:rPr>
              <w:t xml:space="preserve"> </w:t>
            </w:r>
            <w:proofErr w:type="spellStart"/>
            <w:r w:rsidR="008D390D" w:rsidRPr="009505C5">
              <w:rPr>
                <w:rFonts w:ascii="Times New Roman" w:hAnsi="Times New Roman" w:cs="Times New Roman"/>
                <w:i/>
                <w:sz w:val="28"/>
                <w:szCs w:val="28"/>
              </w:rPr>
              <w:t>Report</w:t>
            </w:r>
            <w:proofErr w:type="spellEnd"/>
            <w:r w:rsidR="008D390D" w:rsidRPr="009505C5">
              <w:rPr>
                <w:rFonts w:ascii="Times New Roman" w:hAnsi="Times New Roman" w:cs="Times New Roman"/>
                <w:sz w:val="28"/>
                <w:szCs w:val="28"/>
              </w:rPr>
              <w:t xml:space="preserve">) </w:t>
            </w:r>
            <w:r w:rsidR="006B033F" w:rsidRPr="009505C5">
              <w:rPr>
                <w:rFonts w:ascii="Times New Roman" w:hAnsi="Times New Roman" w:cs="Times New Roman"/>
                <w:sz w:val="28"/>
                <w:szCs w:val="28"/>
              </w:rPr>
              <w:t>kopija</w:t>
            </w:r>
            <w:r w:rsidR="0079566D" w:rsidRPr="009505C5">
              <w:rPr>
                <w:rFonts w:ascii="Times New Roman" w:hAnsi="Times New Roman" w:cs="Times New Roman"/>
                <w:sz w:val="28"/>
                <w:szCs w:val="28"/>
              </w:rPr>
              <w:t>.</w:t>
            </w:r>
            <w:r>
              <w:rPr>
                <w:rFonts w:ascii="Times New Roman" w:eastAsia="Times New Roman" w:hAnsi="Times New Roman" w:cs="Times New Roman"/>
                <w:sz w:val="28"/>
                <w:szCs w:val="28"/>
                <w:lang w:eastAsia="lv-LV"/>
              </w:rPr>
              <w:t xml:space="preserve"> Papildus minētajam, MK noteikumu apakšpunktā tiks ietverts, ka projekta arējā audita ziņojumu un </w:t>
            </w:r>
            <w:proofErr w:type="spellStart"/>
            <w:r w:rsidRPr="00B122B7">
              <w:rPr>
                <w:rFonts w:ascii="Times New Roman" w:eastAsia="Times New Roman" w:hAnsi="Times New Roman" w:cs="Times New Roman"/>
                <w:i/>
                <w:sz w:val="28"/>
                <w:szCs w:val="28"/>
                <w:lang w:eastAsia="lv-LV"/>
              </w:rPr>
              <w:t>Periodic</w:t>
            </w:r>
            <w:proofErr w:type="spellEnd"/>
            <w:r w:rsidRPr="00B122B7">
              <w:rPr>
                <w:rFonts w:ascii="Times New Roman" w:eastAsia="Times New Roman" w:hAnsi="Times New Roman" w:cs="Times New Roman"/>
                <w:i/>
                <w:sz w:val="28"/>
                <w:szCs w:val="28"/>
                <w:lang w:eastAsia="lv-LV"/>
              </w:rPr>
              <w:t xml:space="preserve"> </w:t>
            </w:r>
            <w:proofErr w:type="spellStart"/>
            <w:r w:rsidRPr="00B122B7">
              <w:rPr>
                <w:rFonts w:ascii="Times New Roman" w:eastAsia="Times New Roman" w:hAnsi="Times New Roman" w:cs="Times New Roman"/>
                <w:i/>
                <w:sz w:val="28"/>
                <w:szCs w:val="28"/>
                <w:lang w:eastAsia="lv-LV"/>
              </w:rPr>
              <w:t>Report</w:t>
            </w:r>
            <w:proofErr w:type="spellEnd"/>
            <w:r>
              <w:rPr>
                <w:rFonts w:ascii="Times New Roman" w:eastAsia="Times New Roman" w:hAnsi="Times New Roman" w:cs="Times New Roman"/>
                <w:sz w:val="28"/>
                <w:szCs w:val="28"/>
                <w:lang w:eastAsia="lv-LV"/>
              </w:rPr>
              <w:t xml:space="preserve"> vai </w:t>
            </w:r>
            <w:proofErr w:type="spellStart"/>
            <w:r w:rsidRPr="00B122B7">
              <w:rPr>
                <w:rFonts w:ascii="Times New Roman" w:eastAsia="Times New Roman" w:hAnsi="Times New Roman" w:cs="Times New Roman"/>
                <w:i/>
                <w:sz w:val="28"/>
                <w:szCs w:val="28"/>
                <w:lang w:eastAsia="lv-LV"/>
              </w:rPr>
              <w:t>Final</w:t>
            </w:r>
            <w:proofErr w:type="spellEnd"/>
            <w:r w:rsidRPr="00B122B7">
              <w:rPr>
                <w:rFonts w:ascii="Times New Roman" w:eastAsia="Times New Roman" w:hAnsi="Times New Roman" w:cs="Times New Roman"/>
                <w:i/>
                <w:sz w:val="28"/>
                <w:szCs w:val="28"/>
                <w:lang w:eastAsia="lv-LV"/>
              </w:rPr>
              <w:t xml:space="preserve"> </w:t>
            </w:r>
            <w:proofErr w:type="spellStart"/>
            <w:r w:rsidRPr="00B122B7">
              <w:rPr>
                <w:rFonts w:ascii="Times New Roman" w:eastAsia="Times New Roman" w:hAnsi="Times New Roman" w:cs="Times New Roman"/>
                <w:i/>
                <w:sz w:val="28"/>
                <w:szCs w:val="28"/>
                <w:lang w:eastAsia="lv-LV"/>
              </w:rPr>
              <w:t>Report</w:t>
            </w:r>
            <w:proofErr w:type="spellEnd"/>
            <w:r>
              <w:rPr>
                <w:rFonts w:ascii="Times New Roman" w:eastAsia="Times New Roman" w:hAnsi="Times New Roman" w:cs="Times New Roman"/>
                <w:sz w:val="28"/>
                <w:szCs w:val="28"/>
                <w:lang w:eastAsia="lv-LV"/>
              </w:rPr>
              <w:t xml:space="preserve"> iesniedz ne tikai ja ir </w:t>
            </w:r>
            <w:r w:rsidR="00B122B7">
              <w:rPr>
                <w:rFonts w:ascii="Times New Roman" w:eastAsia="Times New Roman" w:hAnsi="Times New Roman" w:cs="Times New Roman"/>
                <w:sz w:val="28"/>
                <w:szCs w:val="28"/>
                <w:lang w:eastAsia="lv-LV"/>
              </w:rPr>
              <w:t>noslēgts</w:t>
            </w:r>
            <w:r>
              <w:rPr>
                <w:rFonts w:ascii="Times New Roman" w:eastAsia="Times New Roman" w:hAnsi="Times New Roman" w:cs="Times New Roman"/>
                <w:sz w:val="28"/>
                <w:szCs w:val="28"/>
                <w:lang w:eastAsia="lv-LV"/>
              </w:rPr>
              <w:t xml:space="preserve"> </w:t>
            </w:r>
            <w:r w:rsidR="00B122B7">
              <w:rPr>
                <w:rFonts w:ascii="Times New Roman" w:eastAsia="Times New Roman" w:hAnsi="Times New Roman" w:cs="Times New Roman"/>
                <w:sz w:val="28"/>
                <w:szCs w:val="28"/>
                <w:lang w:eastAsia="lv-LV"/>
              </w:rPr>
              <w:t>līgums ar Eiropas Komisiju, bet arī ar attiecīgo kopuzņēmumu, kura ietvaros paredzēts  veikt  minēto auditu.</w:t>
            </w:r>
          </w:p>
          <w:p w14:paraId="16817BD5" w14:textId="77777777" w:rsidR="00B122B7" w:rsidRDefault="00CE21F8" w:rsidP="001519E4">
            <w:pPr>
              <w:autoSpaceDE w:val="0"/>
              <w:autoSpaceDN w:val="0"/>
              <w:adjustRightInd w:val="0"/>
              <w:spacing w:after="0" w:line="240" w:lineRule="auto"/>
              <w:jc w:val="both"/>
              <w:rPr>
                <w:rFonts w:ascii="Times New Roman" w:hAnsi="Times New Roman" w:cs="Times New Roman"/>
                <w:sz w:val="28"/>
                <w:szCs w:val="28"/>
              </w:rPr>
            </w:pPr>
            <w:r w:rsidRPr="009505C5">
              <w:rPr>
                <w:rFonts w:ascii="Times New Roman" w:eastAsia="Times New Roman" w:hAnsi="Times New Roman" w:cs="Times New Roman"/>
                <w:sz w:val="28"/>
                <w:szCs w:val="28"/>
                <w:lang w:eastAsia="lv-LV"/>
              </w:rPr>
              <w:t xml:space="preserve">     Ar noteikumu projektu tiek papildināti MK noteikumi ar jaunu 19.11. un 19.12.</w:t>
            </w:r>
            <w:r w:rsidR="00B122B7">
              <w:rPr>
                <w:rFonts w:ascii="Times New Roman" w:eastAsia="Times New Roman" w:hAnsi="Times New Roman" w:cs="Times New Roman"/>
                <w:sz w:val="28"/>
                <w:szCs w:val="28"/>
                <w:lang w:eastAsia="lv-LV"/>
              </w:rPr>
              <w:t xml:space="preserve"> </w:t>
            </w:r>
            <w:r w:rsidRPr="009505C5">
              <w:rPr>
                <w:rFonts w:ascii="Times New Roman" w:eastAsia="Times New Roman" w:hAnsi="Times New Roman" w:cs="Times New Roman"/>
                <w:sz w:val="28"/>
                <w:szCs w:val="28"/>
                <w:lang w:eastAsia="lv-LV"/>
              </w:rPr>
              <w:t xml:space="preserve">apakšpunktu, nosakot, ka projektu vērtēšanas komisija pieņem lēmumu par tādiem </w:t>
            </w:r>
            <w:r w:rsidRPr="009505C5">
              <w:rPr>
                <w:rFonts w:ascii="Times New Roman" w:hAnsi="Times New Roman" w:cs="Times New Roman"/>
                <w:sz w:val="28"/>
                <w:szCs w:val="28"/>
              </w:rPr>
              <w:t xml:space="preserve">atbalsta līguma grozījumiem, kas palielina </w:t>
            </w:r>
            <w:r w:rsidR="00B122B7">
              <w:rPr>
                <w:rFonts w:ascii="Times New Roman" w:hAnsi="Times New Roman" w:cs="Times New Roman"/>
                <w:sz w:val="28"/>
                <w:szCs w:val="28"/>
              </w:rPr>
              <w:t xml:space="preserve">pētniecības un attīstības projektam </w:t>
            </w:r>
            <w:r w:rsidRPr="009505C5">
              <w:rPr>
                <w:rFonts w:ascii="Times New Roman" w:hAnsi="Times New Roman" w:cs="Times New Roman"/>
                <w:sz w:val="28"/>
                <w:szCs w:val="28"/>
              </w:rPr>
              <w:t>piešķirtā atbalsta apmēru</w:t>
            </w:r>
            <w:r w:rsidR="00B122B7">
              <w:rPr>
                <w:rFonts w:ascii="Times New Roman" w:hAnsi="Times New Roman" w:cs="Times New Roman"/>
                <w:sz w:val="28"/>
                <w:szCs w:val="28"/>
              </w:rPr>
              <w:t xml:space="preserve"> pētniecības īstenošanai un </w:t>
            </w:r>
            <w:r w:rsidR="00B122B7" w:rsidRPr="00B122B7">
              <w:rPr>
                <w:rFonts w:ascii="Times New Roman" w:hAnsi="Times New Roman" w:cs="Times New Roman"/>
                <w:i/>
                <w:sz w:val="28"/>
                <w:szCs w:val="28"/>
              </w:rPr>
              <w:t>COST</w:t>
            </w:r>
            <w:r w:rsidR="00B122B7">
              <w:rPr>
                <w:rFonts w:ascii="Times New Roman" w:hAnsi="Times New Roman" w:cs="Times New Roman"/>
                <w:sz w:val="28"/>
                <w:szCs w:val="28"/>
              </w:rPr>
              <w:t xml:space="preserve"> aktivitātes izmaksas, kā arī</w:t>
            </w:r>
            <w:r w:rsidRPr="009505C5">
              <w:rPr>
                <w:rFonts w:ascii="Times New Roman" w:hAnsi="Times New Roman" w:cs="Times New Roman"/>
                <w:sz w:val="28"/>
                <w:szCs w:val="28"/>
              </w:rPr>
              <w:t xml:space="preserve"> tādām</w:t>
            </w:r>
            <w:r w:rsidR="00B122B7">
              <w:rPr>
                <w:rFonts w:ascii="Times New Roman" w:hAnsi="Times New Roman" w:cs="Times New Roman"/>
                <w:sz w:val="28"/>
                <w:szCs w:val="28"/>
              </w:rPr>
              <w:t xml:space="preserve"> </w:t>
            </w:r>
            <w:r w:rsidRPr="009505C5">
              <w:rPr>
                <w:rFonts w:ascii="Times New Roman" w:hAnsi="Times New Roman" w:cs="Times New Roman"/>
                <w:sz w:val="28"/>
                <w:szCs w:val="28"/>
              </w:rPr>
              <w:t xml:space="preserve">izmaiņām </w:t>
            </w:r>
            <w:r w:rsidR="00B122B7">
              <w:rPr>
                <w:rFonts w:ascii="Times New Roman" w:hAnsi="Times New Roman" w:cs="Times New Roman"/>
                <w:sz w:val="28"/>
                <w:szCs w:val="28"/>
              </w:rPr>
              <w:t>pētniecības un attīstības projektam</w:t>
            </w:r>
            <w:r w:rsidR="00B122B7" w:rsidRPr="009505C5">
              <w:rPr>
                <w:rFonts w:ascii="Times New Roman" w:hAnsi="Times New Roman" w:cs="Times New Roman"/>
                <w:sz w:val="28"/>
                <w:szCs w:val="28"/>
              </w:rPr>
              <w:t xml:space="preserve"> </w:t>
            </w:r>
            <w:r w:rsidR="00B122B7">
              <w:rPr>
                <w:rFonts w:ascii="Times New Roman" w:hAnsi="Times New Roman" w:cs="Times New Roman"/>
                <w:sz w:val="28"/>
                <w:szCs w:val="28"/>
              </w:rPr>
              <w:t>atbalsta līgumā, kas var radīt ietekmi</w:t>
            </w:r>
            <w:r w:rsidRPr="009505C5">
              <w:rPr>
                <w:rFonts w:ascii="Times New Roman" w:hAnsi="Times New Roman" w:cs="Times New Roman"/>
                <w:sz w:val="28"/>
                <w:szCs w:val="28"/>
              </w:rPr>
              <w:t xml:space="preserve"> uz projekta īstenošanu atbilstoši apstiprinātajam projekta pieteikumam.  </w:t>
            </w:r>
            <w:r w:rsidR="00B122B7">
              <w:rPr>
                <w:rFonts w:ascii="Times New Roman" w:hAnsi="Times New Roman" w:cs="Times New Roman"/>
                <w:sz w:val="28"/>
                <w:szCs w:val="28"/>
              </w:rPr>
              <w:t xml:space="preserve">     </w:t>
            </w:r>
            <w:r w:rsidRPr="009505C5">
              <w:rPr>
                <w:rFonts w:ascii="Times New Roman" w:hAnsi="Times New Roman" w:cs="Times New Roman"/>
                <w:sz w:val="28"/>
                <w:szCs w:val="28"/>
              </w:rPr>
              <w:t>Attiecīgi tiek precizēts MK noteikumu 12.5.</w:t>
            </w:r>
            <w:r w:rsidR="00B122B7">
              <w:rPr>
                <w:rFonts w:ascii="Times New Roman" w:hAnsi="Times New Roman" w:cs="Times New Roman"/>
                <w:sz w:val="28"/>
                <w:szCs w:val="28"/>
              </w:rPr>
              <w:t xml:space="preserve"> </w:t>
            </w:r>
            <w:r w:rsidRPr="009505C5">
              <w:rPr>
                <w:rFonts w:ascii="Times New Roman" w:hAnsi="Times New Roman" w:cs="Times New Roman"/>
                <w:sz w:val="28"/>
                <w:szCs w:val="28"/>
              </w:rPr>
              <w:t xml:space="preserve">punkts par </w:t>
            </w:r>
          </w:p>
          <w:p w14:paraId="08FD4A75" w14:textId="2D6D4660" w:rsidR="00102758" w:rsidRPr="009505C5" w:rsidRDefault="00CE21F8" w:rsidP="001519E4">
            <w:pPr>
              <w:autoSpaceDE w:val="0"/>
              <w:autoSpaceDN w:val="0"/>
              <w:adjustRightInd w:val="0"/>
              <w:spacing w:after="0" w:line="240" w:lineRule="auto"/>
              <w:jc w:val="both"/>
              <w:rPr>
                <w:rFonts w:ascii="Times New Roman" w:hAnsi="Times New Roman" w:cs="Times New Roman"/>
                <w:sz w:val="28"/>
                <w:szCs w:val="28"/>
              </w:rPr>
            </w:pPr>
            <w:r w:rsidRPr="009505C5">
              <w:rPr>
                <w:rFonts w:ascii="Times New Roman" w:hAnsi="Times New Roman" w:cs="Times New Roman"/>
                <w:sz w:val="28"/>
                <w:szCs w:val="28"/>
              </w:rPr>
              <w:t>Valsts izglītības attīstība</w:t>
            </w:r>
            <w:r w:rsidR="00B00871" w:rsidRPr="009505C5">
              <w:rPr>
                <w:rFonts w:ascii="Times New Roman" w:hAnsi="Times New Roman" w:cs="Times New Roman"/>
                <w:sz w:val="28"/>
                <w:szCs w:val="28"/>
              </w:rPr>
              <w:t>s aģentūras kompetenci saistībā</w:t>
            </w:r>
            <w:r w:rsidRPr="009505C5">
              <w:rPr>
                <w:rFonts w:ascii="Times New Roman" w:hAnsi="Times New Roman" w:cs="Times New Roman"/>
                <w:sz w:val="28"/>
                <w:szCs w:val="28"/>
              </w:rPr>
              <w:t xml:space="preserve"> ar atbalsta līgumu grozījumu </w:t>
            </w:r>
            <w:r w:rsidR="001D130E" w:rsidRPr="009505C5">
              <w:rPr>
                <w:rFonts w:ascii="Times New Roman" w:hAnsi="Times New Roman" w:cs="Times New Roman"/>
                <w:sz w:val="28"/>
                <w:szCs w:val="28"/>
              </w:rPr>
              <w:t>veikšanu</w:t>
            </w:r>
            <w:r w:rsidR="00D34477">
              <w:rPr>
                <w:rFonts w:ascii="Times New Roman" w:hAnsi="Times New Roman" w:cs="Times New Roman"/>
                <w:sz w:val="28"/>
                <w:szCs w:val="28"/>
              </w:rPr>
              <w:t xml:space="preserve"> (MK noteikumu jaunais </w:t>
            </w:r>
            <w:r w:rsidR="00D34477" w:rsidRPr="009505C5">
              <w:rPr>
                <w:rFonts w:ascii="Times New Roman" w:eastAsia="Times New Roman" w:hAnsi="Times New Roman" w:cs="Times New Roman"/>
                <w:sz w:val="28"/>
                <w:szCs w:val="28"/>
                <w:lang w:eastAsia="lv-LV"/>
              </w:rPr>
              <w:t>19.11. un 19.12.</w:t>
            </w:r>
            <w:r w:rsidR="00D34477">
              <w:rPr>
                <w:rFonts w:ascii="Times New Roman" w:eastAsia="Times New Roman" w:hAnsi="Times New Roman" w:cs="Times New Roman"/>
                <w:sz w:val="28"/>
                <w:szCs w:val="28"/>
                <w:lang w:eastAsia="lv-LV"/>
              </w:rPr>
              <w:t xml:space="preserve"> apakšpunkts)</w:t>
            </w:r>
            <w:r w:rsidR="001D130E" w:rsidRPr="009505C5">
              <w:rPr>
                <w:rFonts w:ascii="Times New Roman" w:hAnsi="Times New Roman" w:cs="Times New Roman"/>
                <w:sz w:val="28"/>
                <w:szCs w:val="28"/>
              </w:rPr>
              <w:t>, saņemot attiecīgu projektu izvērtēšanas komisijas lēmumu</w:t>
            </w:r>
            <w:r w:rsidRPr="009505C5">
              <w:rPr>
                <w:rFonts w:ascii="Times New Roman" w:hAnsi="Times New Roman" w:cs="Times New Roman"/>
                <w:sz w:val="28"/>
                <w:szCs w:val="28"/>
              </w:rPr>
              <w:t>.</w:t>
            </w:r>
          </w:p>
          <w:p w14:paraId="54318A6B" w14:textId="50D2191D" w:rsidR="001519E4" w:rsidRDefault="001519E4" w:rsidP="001519E4">
            <w:pPr>
              <w:autoSpaceDE w:val="0"/>
              <w:autoSpaceDN w:val="0"/>
              <w:adjustRightInd w:val="0"/>
              <w:spacing w:after="0" w:line="240" w:lineRule="auto"/>
              <w:jc w:val="both"/>
              <w:rPr>
                <w:rFonts w:ascii="Times New Roman" w:hAnsi="Times New Roman" w:cs="Times New Roman"/>
                <w:sz w:val="28"/>
                <w:szCs w:val="28"/>
              </w:rPr>
            </w:pPr>
            <w:r w:rsidRPr="009505C5">
              <w:rPr>
                <w:rFonts w:ascii="Times New Roman" w:hAnsi="Times New Roman" w:cs="Times New Roman"/>
                <w:sz w:val="28"/>
                <w:szCs w:val="28"/>
              </w:rPr>
              <w:t xml:space="preserve">     Ar noteikumu projektu tiek pagarināts</w:t>
            </w:r>
            <w:r w:rsidR="005F3BA4">
              <w:rPr>
                <w:rFonts w:ascii="Times New Roman" w:hAnsi="Times New Roman" w:cs="Times New Roman"/>
                <w:sz w:val="28"/>
                <w:szCs w:val="28"/>
              </w:rPr>
              <w:t xml:space="preserve"> no piecām</w:t>
            </w:r>
            <w:r w:rsidRPr="009505C5">
              <w:rPr>
                <w:rFonts w:ascii="Times New Roman" w:hAnsi="Times New Roman" w:cs="Times New Roman"/>
                <w:sz w:val="28"/>
                <w:szCs w:val="28"/>
              </w:rPr>
              <w:t xml:space="preserve"> līdz 10 darbdienām</w:t>
            </w:r>
            <w:r w:rsidR="001D130E" w:rsidRPr="009505C5">
              <w:rPr>
                <w:rFonts w:ascii="Times New Roman" w:hAnsi="Times New Roman" w:cs="Times New Roman"/>
                <w:sz w:val="28"/>
                <w:szCs w:val="28"/>
              </w:rPr>
              <w:t xml:space="preserve"> (no lēmuma pieņemšanas dienas)</w:t>
            </w:r>
            <w:r w:rsidRPr="009505C5">
              <w:rPr>
                <w:rFonts w:ascii="Times New Roman" w:hAnsi="Times New Roman" w:cs="Times New Roman"/>
                <w:sz w:val="28"/>
                <w:szCs w:val="28"/>
              </w:rPr>
              <w:t xml:space="preserve"> MK noteikumu 21.punktā noteiktais komisijas lēmuma nosūtīšana</w:t>
            </w:r>
            <w:r w:rsidR="00621496">
              <w:rPr>
                <w:rFonts w:ascii="Times New Roman" w:hAnsi="Times New Roman" w:cs="Times New Roman"/>
                <w:sz w:val="28"/>
                <w:szCs w:val="28"/>
              </w:rPr>
              <w:t>s termiņš atbalsta pretendentam, praktisku iemeslu dēļ, ievērojot iepriekšējo pieredzi.</w:t>
            </w:r>
            <w:r w:rsidRPr="009505C5">
              <w:rPr>
                <w:rFonts w:ascii="Times New Roman" w:hAnsi="Times New Roman" w:cs="Times New Roman"/>
                <w:sz w:val="28"/>
                <w:szCs w:val="28"/>
              </w:rPr>
              <w:t xml:space="preserve"> </w:t>
            </w:r>
          </w:p>
          <w:p w14:paraId="7EF6C738" w14:textId="30334E68" w:rsidR="00D34477" w:rsidRPr="00D34477" w:rsidRDefault="00D34477" w:rsidP="00D34477">
            <w:pPr>
              <w:spacing w:after="0" w:line="240" w:lineRule="auto"/>
              <w:jc w:val="both"/>
              <w:rPr>
                <w:rFonts w:ascii="Times New Roman" w:eastAsia="Times New Roman" w:hAnsi="Times New Roman" w:cs="Times New Roman"/>
                <w:color w:val="000000"/>
                <w:sz w:val="28"/>
                <w:szCs w:val="28"/>
                <w:lang w:eastAsia="lv-LV"/>
              </w:rPr>
            </w:pPr>
            <w:r>
              <w:rPr>
                <w:rFonts w:ascii="Times New Roman" w:hAnsi="Times New Roman" w:cs="Times New Roman"/>
                <w:sz w:val="28"/>
                <w:szCs w:val="28"/>
              </w:rPr>
              <w:lastRenderedPageBreak/>
              <w:t xml:space="preserve">     </w:t>
            </w:r>
            <w:r w:rsidRPr="00D34477">
              <w:rPr>
                <w:rFonts w:ascii="Times New Roman" w:eastAsia="Times New Roman" w:hAnsi="Times New Roman" w:cs="Times New Roman"/>
                <w:color w:val="000000"/>
                <w:sz w:val="28"/>
                <w:szCs w:val="28"/>
                <w:lang w:eastAsia="lv-LV"/>
              </w:rPr>
              <w:t xml:space="preserve">Tiek precizēta MK noteikumu 16.punkta ievaddaļa, 21.punkts un papildināts ar jaunu 24.punkts, ievērojot, ka 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Pr="00D34477">
              <w:rPr>
                <w:rFonts w:ascii="Times New Roman" w:eastAsia="Times New Roman" w:hAnsi="Times New Roman" w:cs="Times New Roman"/>
                <w:color w:val="000000"/>
                <w:sz w:val="28"/>
                <w:szCs w:val="28"/>
              </w:rPr>
              <w:t>Vienlaikus Ministru kabineta 2016. gada 5. janvāra sēdes protokola Nr. 1 28. § 13. punktā v</w:t>
            </w:r>
            <w:r w:rsidRPr="00D34477">
              <w:rPr>
                <w:rFonts w:ascii="Times New Roman" w:eastAsia="Times New Roman" w:hAnsi="Times New Roman" w:cs="Times New Roman"/>
                <w:color w:val="000000"/>
                <w:sz w:val="28"/>
                <w:szCs w:val="28"/>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r>
              <w:rPr>
                <w:rFonts w:ascii="Times New Roman" w:eastAsia="Times New Roman" w:hAnsi="Times New Roman" w:cs="Times New Roman"/>
                <w:color w:val="000000"/>
                <w:sz w:val="28"/>
                <w:szCs w:val="28"/>
                <w:lang w:eastAsia="lv-LV"/>
              </w:rPr>
              <w:t xml:space="preserve"> </w:t>
            </w:r>
            <w:r w:rsidRPr="00D34477">
              <w:rPr>
                <w:rFonts w:ascii="Times New Roman" w:eastAsia="Times New Roman" w:hAnsi="Times New Roman" w:cs="Times New Roman"/>
                <w:color w:val="000000"/>
                <w:sz w:val="28"/>
                <w:szCs w:val="28"/>
                <w:lang w:eastAsia="lv-LV"/>
              </w:rPr>
              <w:t>Ņemot vērā apstākli, ka saskaņā ar Oficiālās elektroniskās adreses likumu valsts iestādei o</w:t>
            </w:r>
            <w:r w:rsidRPr="00D34477">
              <w:rPr>
                <w:rFonts w:ascii="Times New Roman" w:hAnsi="Times New Roman" w:cs="Times New Roman"/>
                <w:sz w:val="28"/>
                <w:szCs w:val="28"/>
              </w:rPr>
              <w:t>ficiālās elektroniskās adreses izmantošana ir obligāta un Iedzīvotāju reģistrā reģistrēta fiziskā persona oficiālo elektronisko adresi izveido no 2018. gada 1. jūnija</w:t>
            </w:r>
            <w:r w:rsidRPr="00D34477">
              <w:rPr>
                <w:rFonts w:ascii="Times New Roman" w:eastAsia="Times New Roman" w:hAnsi="Times New Roman" w:cs="Times New Roman"/>
                <w:color w:val="000000"/>
                <w:sz w:val="28"/>
                <w:szCs w:val="28"/>
                <w:lang w:eastAsia="lv-LV"/>
              </w:rPr>
              <w:t>, MK noteikumos tiks paplašināts saziņas veidi, kas izmantojami komisijas lēmumu paziņošanai, ar lēmuma nosūtīšanu uz atbalsta pretendenta e-adresi, ja personai ir aktivizēts e-adreses konts. Vienlaicīgi attiecīgi paredzot šāda saziņas veida izmantošanu no 2018. gada 1. jūnija.</w:t>
            </w:r>
            <w:r w:rsidRPr="00846AD4">
              <w:rPr>
                <w:rFonts w:ascii="Times New Roman" w:eastAsia="Times New Roman" w:hAnsi="Times New Roman" w:cs="Times New Roman"/>
                <w:color w:val="000000"/>
                <w:sz w:val="24"/>
                <w:szCs w:val="24"/>
                <w:lang w:eastAsia="lv-LV"/>
              </w:rPr>
              <w:t xml:space="preserve"> </w:t>
            </w:r>
          </w:p>
        </w:tc>
      </w:tr>
      <w:tr w:rsidR="004C6F99" w:rsidRPr="009505C5" w14:paraId="16F2CEDA" w14:textId="77777777" w:rsidTr="009474E4">
        <w:trPr>
          <w:trHeight w:val="465"/>
          <w:tblCellSpacing w:w="15" w:type="dxa"/>
        </w:trPr>
        <w:tc>
          <w:tcPr>
            <w:tcW w:w="829" w:type="dxa"/>
            <w:gridSpan w:val="4"/>
            <w:tcBorders>
              <w:top w:val="outset" w:sz="6" w:space="0" w:color="auto"/>
              <w:left w:val="outset" w:sz="6" w:space="0" w:color="auto"/>
              <w:bottom w:val="outset" w:sz="6" w:space="0" w:color="auto"/>
              <w:right w:val="outset" w:sz="6" w:space="0" w:color="auto"/>
            </w:tcBorders>
            <w:hideMark/>
          </w:tcPr>
          <w:p w14:paraId="77A8E866" w14:textId="3B7B233C" w:rsidR="007333BC" w:rsidRPr="009505C5" w:rsidRDefault="00413ECE"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 </w:t>
            </w:r>
          </w:p>
        </w:tc>
        <w:tc>
          <w:tcPr>
            <w:tcW w:w="2353" w:type="dxa"/>
            <w:gridSpan w:val="8"/>
            <w:tcBorders>
              <w:top w:val="outset" w:sz="6" w:space="0" w:color="auto"/>
              <w:left w:val="outset" w:sz="6" w:space="0" w:color="auto"/>
              <w:bottom w:val="outset" w:sz="6" w:space="0" w:color="auto"/>
              <w:right w:val="outset" w:sz="6" w:space="0" w:color="auto"/>
            </w:tcBorders>
            <w:hideMark/>
          </w:tcPr>
          <w:p w14:paraId="25E87D1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Projekta izstrādē iesaistītās institūcijas</w:t>
            </w:r>
          </w:p>
        </w:tc>
        <w:tc>
          <w:tcPr>
            <w:tcW w:w="6485" w:type="dxa"/>
            <w:gridSpan w:val="9"/>
            <w:tcBorders>
              <w:top w:val="outset" w:sz="6" w:space="0" w:color="auto"/>
              <w:left w:val="outset" w:sz="6" w:space="0" w:color="auto"/>
              <w:bottom w:val="outset" w:sz="6" w:space="0" w:color="auto"/>
              <w:right w:val="outset" w:sz="6" w:space="0" w:color="auto"/>
            </w:tcBorders>
            <w:hideMark/>
          </w:tcPr>
          <w:p w14:paraId="63142596" w14:textId="61638EDC" w:rsidR="007333BC" w:rsidRPr="009505C5" w:rsidRDefault="0067566B" w:rsidP="007333BC">
            <w:pPr>
              <w:spacing w:after="0" w:line="240" w:lineRule="auto"/>
              <w:rPr>
                <w:rFonts w:ascii="Times New Roman" w:eastAsia="Times New Roman" w:hAnsi="Times New Roman" w:cs="Times New Roman"/>
                <w:sz w:val="28"/>
                <w:szCs w:val="28"/>
                <w:lang w:eastAsia="lv-LV"/>
              </w:rPr>
            </w:pPr>
            <w:r w:rsidRPr="009505C5">
              <w:rPr>
                <w:rFonts w:ascii="Times New Roman" w:hAnsi="Times New Roman" w:cs="Times New Roman"/>
                <w:sz w:val="28"/>
                <w:szCs w:val="28"/>
                <w:lang w:eastAsia="lv-LV"/>
              </w:rPr>
              <w:t>Izglītības un zinātnes ministrija</w:t>
            </w:r>
            <w:r w:rsidR="00B00871" w:rsidRPr="009505C5">
              <w:rPr>
                <w:rFonts w:ascii="Times New Roman" w:hAnsi="Times New Roman" w:cs="Times New Roman"/>
                <w:sz w:val="28"/>
                <w:szCs w:val="28"/>
                <w:lang w:eastAsia="lv-LV"/>
              </w:rPr>
              <w:t xml:space="preserve"> un</w:t>
            </w:r>
            <w:r w:rsidR="002F753E" w:rsidRPr="009505C5">
              <w:rPr>
                <w:rFonts w:ascii="Times New Roman" w:hAnsi="Times New Roman" w:cs="Times New Roman"/>
                <w:sz w:val="28"/>
                <w:szCs w:val="28"/>
                <w:lang w:eastAsia="lv-LV"/>
              </w:rPr>
              <w:t xml:space="preserve"> </w:t>
            </w:r>
            <w:r w:rsidR="002F753E" w:rsidRPr="009505C5">
              <w:rPr>
                <w:rFonts w:ascii="Times New Roman" w:hAnsi="Times New Roman" w:cs="Times New Roman"/>
                <w:sz w:val="28"/>
                <w:szCs w:val="28"/>
              </w:rPr>
              <w:t>Valsts izglītības attīstības aģentūra</w:t>
            </w:r>
          </w:p>
        </w:tc>
      </w:tr>
      <w:tr w:rsidR="004C6F99" w:rsidRPr="009505C5" w14:paraId="20D773F5" w14:textId="77777777" w:rsidTr="009474E4">
        <w:trPr>
          <w:tblCellSpacing w:w="15" w:type="dxa"/>
        </w:trPr>
        <w:tc>
          <w:tcPr>
            <w:tcW w:w="829" w:type="dxa"/>
            <w:gridSpan w:val="4"/>
            <w:tcBorders>
              <w:top w:val="outset" w:sz="6" w:space="0" w:color="auto"/>
              <w:left w:val="outset" w:sz="6" w:space="0" w:color="auto"/>
              <w:bottom w:val="outset" w:sz="6" w:space="0" w:color="auto"/>
              <w:right w:val="outset" w:sz="6" w:space="0" w:color="auto"/>
            </w:tcBorders>
            <w:hideMark/>
          </w:tcPr>
          <w:p w14:paraId="7BF62F1F"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4.</w:t>
            </w:r>
          </w:p>
        </w:tc>
        <w:tc>
          <w:tcPr>
            <w:tcW w:w="2353" w:type="dxa"/>
            <w:gridSpan w:val="8"/>
            <w:tcBorders>
              <w:top w:val="outset" w:sz="6" w:space="0" w:color="auto"/>
              <w:left w:val="outset" w:sz="6" w:space="0" w:color="auto"/>
              <w:bottom w:val="outset" w:sz="6" w:space="0" w:color="auto"/>
              <w:right w:val="outset" w:sz="6" w:space="0" w:color="auto"/>
            </w:tcBorders>
            <w:hideMark/>
          </w:tcPr>
          <w:p w14:paraId="2E7AC5B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6485" w:type="dxa"/>
            <w:gridSpan w:val="9"/>
            <w:tcBorders>
              <w:top w:val="outset" w:sz="6" w:space="0" w:color="auto"/>
              <w:left w:val="outset" w:sz="6" w:space="0" w:color="auto"/>
              <w:bottom w:val="outset" w:sz="6" w:space="0" w:color="auto"/>
              <w:right w:val="outset" w:sz="6" w:space="0" w:color="auto"/>
            </w:tcBorders>
            <w:hideMark/>
          </w:tcPr>
          <w:p w14:paraId="37004803" w14:textId="436C88F4" w:rsidR="002B6BCC" w:rsidRPr="009505C5" w:rsidRDefault="002B6BCC" w:rsidP="008F54E9">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iCs/>
                <w:sz w:val="28"/>
                <w:szCs w:val="28"/>
              </w:rPr>
              <w:t xml:space="preserve"> </w:t>
            </w:r>
            <w:r w:rsidR="00B00871" w:rsidRPr="009505C5">
              <w:rPr>
                <w:rFonts w:ascii="Times New Roman" w:hAnsi="Times New Roman" w:cs="Times New Roman"/>
                <w:iCs/>
                <w:sz w:val="28"/>
                <w:szCs w:val="28"/>
              </w:rPr>
              <w:t>Nav</w:t>
            </w:r>
          </w:p>
        </w:tc>
      </w:tr>
      <w:tr w:rsidR="004C6F99" w:rsidRPr="009505C5" w14:paraId="7A51B129" w14:textId="77777777" w:rsidTr="009474E4">
        <w:trPr>
          <w:trHeight w:val="555"/>
          <w:tblCellSpacing w:w="15" w:type="dxa"/>
        </w:trPr>
        <w:tc>
          <w:tcPr>
            <w:tcW w:w="9727" w:type="dxa"/>
            <w:gridSpan w:val="21"/>
            <w:tcBorders>
              <w:top w:val="outset" w:sz="6" w:space="0" w:color="auto"/>
              <w:left w:val="outset" w:sz="6" w:space="0" w:color="auto"/>
              <w:bottom w:val="outset" w:sz="6" w:space="0" w:color="auto"/>
              <w:right w:val="outset" w:sz="6" w:space="0" w:color="auto"/>
            </w:tcBorders>
            <w:vAlign w:val="center"/>
            <w:hideMark/>
          </w:tcPr>
          <w:p w14:paraId="048841D1"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4C6F99" w:rsidRPr="009505C5" w14:paraId="05BD7B60" w14:textId="77777777" w:rsidTr="009474E4">
        <w:trPr>
          <w:trHeight w:val="465"/>
          <w:tblCellSpacing w:w="15" w:type="dxa"/>
        </w:trPr>
        <w:tc>
          <w:tcPr>
            <w:tcW w:w="515" w:type="dxa"/>
            <w:gridSpan w:val="2"/>
            <w:tcBorders>
              <w:top w:val="outset" w:sz="6" w:space="0" w:color="auto"/>
              <w:left w:val="outset" w:sz="6" w:space="0" w:color="auto"/>
              <w:bottom w:val="outset" w:sz="6" w:space="0" w:color="auto"/>
              <w:right w:val="outset" w:sz="6" w:space="0" w:color="auto"/>
            </w:tcBorders>
            <w:hideMark/>
          </w:tcPr>
          <w:p w14:paraId="2B06619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2420" w:type="dxa"/>
            <w:gridSpan w:val="8"/>
            <w:tcBorders>
              <w:top w:val="outset" w:sz="6" w:space="0" w:color="auto"/>
              <w:left w:val="outset" w:sz="6" w:space="0" w:color="auto"/>
              <w:bottom w:val="outset" w:sz="6" w:space="0" w:color="auto"/>
              <w:right w:val="outset" w:sz="6" w:space="0" w:color="auto"/>
            </w:tcBorders>
            <w:hideMark/>
          </w:tcPr>
          <w:p w14:paraId="2EDB974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Sabiedrības </w:t>
            </w:r>
            <w:proofErr w:type="spellStart"/>
            <w:r w:rsidRPr="009505C5">
              <w:rPr>
                <w:rFonts w:ascii="Times New Roman" w:eastAsia="Times New Roman" w:hAnsi="Times New Roman" w:cs="Times New Roman"/>
                <w:sz w:val="28"/>
                <w:szCs w:val="28"/>
                <w:lang w:eastAsia="lv-LV"/>
              </w:rPr>
              <w:t>mērķgrupas</w:t>
            </w:r>
            <w:proofErr w:type="spellEnd"/>
            <w:r w:rsidRPr="009505C5">
              <w:rPr>
                <w:rFonts w:ascii="Times New Roman" w:eastAsia="Times New Roman" w:hAnsi="Times New Roman" w:cs="Times New Roman"/>
                <w:sz w:val="28"/>
                <w:szCs w:val="28"/>
                <w:lang w:eastAsia="lv-LV"/>
              </w:rPr>
              <w:t>, kuras tiesiskais regulējums ietekmē vai varētu ietekmēt</w:t>
            </w:r>
          </w:p>
        </w:tc>
        <w:tc>
          <w:tcPr>
            <w:tcW w:w="6732" w:type="dxa"/>
            <w:gridSpan w:val="11"/>
            <w:tcBorders>
              <w:top w:val="outset" w:sz="6" w:space="0" w:color="auto"/>
              <w:left w:val="outset" w:sz="6" w:space="0" w:color="auto"/>
              <w:bottom w:val="outset" w:sz="6" w:space="0" w:color="auto"/>
              <w:right w:val="outset" w:sz="6" w:space="0" w:color="auto"/>
            </w:tcBorders>
            <w:hideMark/>
          </w:tcPr>
          <w:p w14:paraId="3947776E" w14:textId="3779A6CB" w:rsidR="007333BC" w:rsidRPr="009505C5" w:rsidRDefault="004C6F99" w:rsidP="004C6F99">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bCs/>
                <w:sz w:val="28"/>
                <w:szCs w:val="28"/>
                <w:lang w:eastAsia="lv-LV"/>
              </w:rPr>
              <w:t>Valsts izglītības attīstības aģentūra,</w:t>
            </w:r>
            <w:r w:rsidRPr="009505C5">
              <w:rPr>
                <w:rFonts w:ascii="Times New Roman" w:eastAsia="Times New Roman" w:hAnsi="Times New Roman" w:cs="Times New Roman"/>
                <w:sz w:val="28"/>
                <w:szCs w:val="28"/>
                <w:lang w:eastAsia="lv-LV"/>
              </w:rPr>
              <w:t xml:space="preserve"> zinātnisko institūciju reģistrā reģistrētās zinātniskās institūcijas, </w:t>
            </w:r>
            <w:r w:rsidRPr="009505C5">
              <w:rPr>
                <w:rFonts w:ascii="Times New Roman" w:hAnsi="Times New Roman" w:cs="Times New Roman"/>
                <w:sz w:val="28"/>
                <w:szCs w:val="28"/>
              </w:rPr>
              <w:t>komersanti, biedrības, nodibinājumi.</w:t>
            </w:r>
          </w:p>
        </w:tc>
      </w:tr>
      <w:tr w:rsidR="004C6F99" w:rsidRPr="009505C5" w14:paraId="3229214A" w14:textId="77777777" w:rsidTr="009474E4">
        <w:trPr>
          <w:trHeight w:val="510"/>
          <w:tblCellSpacing w:w="15" w:type="dxa"/>
        </w:trPr>
        <w:tc>
          <w:tcPr>
            <w:tcW w:w="515" w:type="dxa"/>
            <w:gridSpan w:val="2"/>
            <w:tcBorders>
              <w:top w:val="outset" w:sz="6" w:space="0" w:color="auto"/>
              <w:left w:val="outset" w:sz="6" w:space="0" w:color="auto"/>
              <w:bottom w:val="outset" w:sz="6" w:space="0" w:color="auto"/>
              <w:right w:val="outset" w:sz="6" w:space="0" w:color="auto"/>
            </w:tcBorders>
            <w:hideMark/>
          </w:tcPr>
          <w:p w14:paraId="5132BF2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2420" w:type="dxa"/>
            <w:gridSpan w:val="8"/>
            <w:tcBorders>
              <w:top w:val="outset" w:sz="6" w:space="0" w:color="auto"/>
              <w:left w:val="outset" w:sz="6" w:space="0" w:color="auto"/>
              <w:bottom w:val="outset" w:sz="6" w:space="0" w:color="auto"/>
              <w:right w:val="outset" w:sz="6" w:space="0" w:color="auto"/>
            </w:tcBorders>
            <w:hideMark/>
          </w:tcPr>
          <w:p w14:paraId="22DB4A1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Tiesiskā regulējuma ietekme uz </w:t>
            </w:r>
            <w:r w:rsidRPr="009505C5">
              <w:rPr>
                <w:rFonts w:ascii="Times New Roman" w:eastAsia="Times New Roman" w:hAnsi="Times New Roman" w:cs="Times New Roman"/>
                <w:sz w:val="28"/>
                <w:szCs w:val="28"/>
                <w:lang w:eastAsia="lv-LV"/>
              </w:rPr>
              <w:lastRenderedPageBreak/>
              <w:t>tautsaimniecību un administratīvo slogu</w:t>
            </w:r>
          </w:p>
        </w:tc>
        <w:tc>
          <w:tcPr>
            <w:tcW w:w="6732" w:type="dxa"/>
            <w:gridSpan w:val="11"/>
            <w:tcBorders>
              <w:top w:val="outset" w:sz="6" w:space="0" w:color="auto"/>
              <w:left w:val="outset" w:sz="6" w:space="0" w:color="auto"/>
              <w:bottom w:val="outset" w:sz="6" w:space="0" w:color="auto"/>
              <w:right w:val="outset" w:sz="6" w:space="0" w:color="auto"/>
            </w:tcBorders>
            <w:hideMark/>
          </w:tcPr>
          <w:p w14:paraId="376B0016" w14:textId="77777777" w:rsidR="00B00871" w:rsidRPr="009505C5" w:rsidRDefault="001519E4" w:rsidP="00453FE9">
            <w:pPr>
              <w:spacing w:after="0" w:line="240" w:lineRule="auto"/>
              <w:jc w:val="both"/>
              <w:rPr>
                <w:rFonts w:ascii="Times New Roman" w:hAnsi="Times New Roman" w:cs="Times New Roman"/>
                <w:bCs/>
                <w:sz w:val="28"/>
                <w:szCs w:val="28"/>
                <w:lang w:eastAsia="lv-LV"/>
              </w:rPr>
            </w:pPr>
            <w:r w:rsidRPr="009505C5">
              <w:rPr>
                <w:rFonts w:ascii="Times New Roman" w:hAnsi="Times New Roman" w:cs="Times New Roman"/>
                <w:sz w:val="28"/>
                <w:szCs w:val="28"/>
              </w:rPr>
              <w:lastRenderedPageBreak/>
              <w:t>Administratīvais slogs sabiedrības grupām un institūcijām nemainās.</w:t>
            </w:r>
            <w:r w:rsidR="00B00871" w:rsidRPr="009505C5">
              <w:rPr>
                <w:rFonts w:ascii="Times New Roman" w:hAnsi="Times New Roman" w:cs="Times New Roman"/>
                <w:bCs/>
                <w:sz w:val="28"/>
                <w:szCs w:val="28"/>
                <w:lang w:eastAsia="lv-LV"/>
              </w:rPr>
              <w:t xml:space="preserve"> </w:t>
            </w:r>
          </w:p>
          <w:p w14:paraId="74E75281" w14:textId="5E19FA3A" w:rsidR="001519E4" w:rsidRPr="009505C5" w:rsidRDefault="00B00871" w:rsidP="00453FE9">
            <w:pPr>
              <w:spacing w:after="0" w:line="240" w:lineRule="auto"/>
              <w:jc w:val="both"/>
              <w:rPr>
                <w:rFonts w:ascii="Times New Roman" w:hAnsi="Times New Roman" w:cs="Times New Roman"/>
                <w:sz w:val="28"/>
                <w:szCs w:val="28"/>
              </w:rPr>
            </w:pPr>
            <w:r w:rsidRPr="009505C5">
              <w:rPr>
                <w:rFonts w:ascii="Times New Roman" w:hAnsi="Times New Roman" w:cs="Times New Roman"/>
                <w:bCs/>
                <w:sz w:val="28"/>
                <w:szCs w:val="28"/>
                <w:lang w:eastAsia="lv-LV"/>
              </w:rPr>
              <w:lastRenderedPageBreak/>
              <w:t xml:space="preserve">Valsts izglītības attīstības aģentūra īstenos noteikumu projektu esošā budžeta un cilvēkresursu ietvaros. </w:t>
            </w:r>
          </w:p>
          <w:p w14:paraId="51B69D9D" w14:textId="69550942" w:rsidR="00453FE9" w:rsidRPr="009505C5" w:rsidRDefault="00453FE9" w:rsidP="00453FE9">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projekta</w:t>
            </w:r>
            <w:r w:rsidR="00104278" w:rsidRPr="009505C5">
              <w:rPr>
                <w:rFonts w:ascii="Times New Roman" w:eastAsia="Times New Roman" w:hAnsi="Times New Roman" w:cs="Times New Roman"/>
                <w:sz w:val="28"/>
                <w:szCs w:val="28"/>
                <w:lang w:eastAsia="lv-LV"/>
              </w:rPr>
              <w:t xml:space="preserve"> tiesiskais regulējums ietekmēs</w:t>
            </w:r>
            <w:r w:rsidRPr="009505C5">
              <w:rPr>
                <w:rFonts w:ascii="Times New Roman" w:eastAsia="Times New Roman" w:hAnsi="Times New Roman" w:cs="Times New Roman"/>
                <w:sz w:val="28"/>
                <w:szCs w:val="28"/>
                <w:lang w:eastAsia="lv-LV"/>
              </w:rPr>
              <w:t xml:space="preserve"> arī tautsaimniecības vides attīstību, </w:t>
            </w:r>
            <w:r w:rsidRPr="009505C5">
              <w:rPr>
                <w:rFonts w:ascii="Times New Roman" w:hAnsi="Times New Roman" w:cs="Times New Roman"/>
                <w:sz w:val="28"/>
                <w:szCs w:val="28"/>
              </w:rPr>
              <w:t xml:space="preserve">veicinot inovatīvu uzņēmumu un investīciju piesaisti un iedzīvotāju kā darbaspēka un kā jaunu darba devēju piesaisti </w:t>
            </w:r>
            <w:r w:rsidRPr="009505C5">
              <w:rPr>
                <w:rFonts w:ascii="Times New Roman" w:eastAsia="Times New Roman" w:hAnsi="Times New Roman" w:cs="Times New Roman"/>
                <w:sz w:val="28"/>
                <w:szCs w:val="28"/>
                <w:lang w:eastAsia="lv-LV"/>
              </w:rPr>
              <w:t>atbilstoši</w:t>
            </w:r>
            <w:r w:rsidR="003673FD" w:rsidRPr="009505C5">
              <w:rPr>
                <w:rFonts w:ascii="Times New Roman" w:eastAsia="Times New Roman" w:hAnsi="Times New Roman" w:cs="Times New Roman"/>
                <w:sz w:val="28"/>
                <w:szCs w:val="28"/>
                <w:lang w:eastAsia="lv-LV"/>
              </w:rPr>
              <w:t xml:space="preserve"> Latvijas</w:t>
            </w:r>
            <w:r w:rsidRPr="009505C5">
              <w:rPr>
                <w:rFonts w:ascii="Times New Roman" w:eastAsia="Times New Roman" w:hAnsi="Times New Roman" w:cs="Times New Roman"/>
                <w:sz w:val="28"/>
                <w:szCs w:val="28"/>
                <w:lang w:eastAsia="lv-LV"/>
              </w:rPr>
              <w:t xml:space="preserve"> Nacionālā attīstības plānā 2014.-2020.gadam</w:t>
            </w:r>
            <w:r w:rsidR="003673FD" w:rsidRPr="009505C5">
              <w:rPr>
                <w:rFonts w:ascii="Times New Roman" w:eastAsia="Times New Roman" w:hAnsi="Times New Roman" w:cs="Times New Roman"/>
                <w:sz w:val="28"/>
                <w:szCs w:val="28"/>
                <w:lang w:eastAsia="lv-LV"/>
              </w:rPr>
              <w:t xml:space="preserve"> (apstiprināts Saeimā 2012.gada 20.decembrī)</w:t>
            </w:r>
            <w:r w:rsidRPr="009505C5">
              <w:rPr>
                <w:rFonts w:ascii="Times New Roman" w:eastAsia="Times New Roman" w:hAnsi="Times New Roman" w:cs="Times New Roman"/>
                <w:sz w:val="28"/>
                <w:szCs w:val="28"/>
                <w:lang w:eastAsia="lv-LV"/>
              </w:rPr>
              <w:t xml:space="preserve"> (turpmāk – NAP) </w:t>
            </w:r>
            <w:r w:rsidR="00212262" w:rsidRPr="009505C5">
              <w:rPr>
                <w:rFonts w:ascii="Times New Roman" w:eastAsia="Times New Roman" w:hAnsi="Times New Roman" w:cs="Times New Roman"/>
                <w:sz w:val="28"/>
                <w:szCs w:val="28"/>
                <w:lang w:eastAsia="lv-LV"/>
              </w:rPr>
              <w:t xml:space="preserve">ietvertajam </w:t>
            </w:r>
            <w:r w:rsidRPr="009505C5">
              <w:rPr>
                <w:rFonts w:ascii="Times New Roman" w:eastAsia="Times New Roman" w:hAnsi="Times New Roman" w:cs="Times New Roman"/>
                <w:sz w:val="28"/>
                <w:szCs w:val="28"/>
                <w:lang w:eastAsia="lv-LV"/>
              </w:rPr>
              <w:t>rīcības virzienam “Izcila uzņēmējdarbības vide”.</w:t>
            </w:r>
          </w:p>
          <w:p w14:paraId="65C96587" w14:textId="0951BC30" w:rsidR="00453FE9" w:rsidRPr="009505C5" w:rsidRDefault="00453FE9" w:rsidP="00453FE9">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Tiesiskais regulējums ir vērsts arī uz </w:t>
            </w:r>
            <w:r w:rsidR="00532F20" w:rsidRPr="009505C5">
              <w:rPr>
                <w:rFonts w:ascii="Times New Roman" w:eastAsia="Times New Roman" w:hAnsi="Times New Roman" w:cs="Times New Roman"/>
                <w:sz w:val="28"/>
                <w:szCs w:val="28"/>
                <w:lang w:eastAsia="lv-LV"/>
              </w:rPr>
              <w:t xml:space="preserve">to, lai </w:t>
            </w:r>
            <w:r w:rsidRPr="009505C5">
              <w:rPr>
                <w:rFonts w:ascii="Times New Roman" w:hAnsi="Times New Roman" w:cs="Times New Roman"/>
                <w:sz w:val="28"/>
                <w:szCs w:val="28"/>
              </w:rPr>
              <w:t>attīstītu pētniecību un inovāciju, kas tiks sekmīgi komercializēta</w:t>
            </w:r>
            <w:r w:rsidR="004E0120" w:rsidRPr="009505C5">
              <w:rPr>
                <w:rFonts w:ascii="Times New Roman" w:hAnsi="Times New Roman" w:cs="Times New Roman"/>
                <w:sz w:val="28"/>
                <w:szCs w:val="28"/>
              </w:rPr>
              <w:t>s</w:t>
            </w:r>
            <w:r w:rsidRPr="009505C5">
              <w:rPr>
                <w:rFonts w:ascii="Times New Roman" w:hAnsi="Times New Roman" w:cs="Times New Roman"/>
                <w:sz w:val="28"/>
                <w:szCs w:val="28"/>
              </w:rPr>
              <w:t xml:space="preserve">, dodot iespēju valstij ražot eksportējamus produktus un sniegt starptautiski konkurētspējīgus pakalpojumus. Tas atbilst </w:t>
            </w:r>
            <w:r w:rsidRPr="009505C5">
              <w:rPr>
                <w:rFonts w:ascii="Times New Roman" w:eastAsia="Times New Roman" w:hAnsi="Times New Roman" w:cs="Times New Roman"/>
                <w:sz w:val="28"/>
                <w:szCs w:val="28"/>
                <w:lang w:eastAsia="lv-LV"/>
              </w:rPr>
              <w:t>NAP rīcības virzienam “Attīstīta pētniecība, inovācija un augstākā izglītība”.</w:t>
            </w:r>
          </w:p>
          <w:p w14:paraId="564F1017" w14:textId="3E7216EA" w:rsidR="007333BC" w:rsidRPr="009505C5" w:rsidRDefault="00453FE9" w:rsidP="00453FE9">
            <w:pPr>
              <w:spacing w:after="0" w:line="240" w:lineRule="auto"/>
              <w:jc w:val="both"/>
              <w:rPr>
                <w:rFonts w:ascii="Times New Roman" w:hAnsi="Times New Roman" w:cs="Times New Roman"/>
                <w:sz w:val="28"/>
                <w:szCs w:val="28"/>
              </w:rPr>
            </w:pPr>
            <w:r w:rsidRPr="009505C5">
              <w:rPr>
                <w:rFonts w:ascii="Times New Roman" w:eastAsia="Times New Roman" w:hAnsi="Times New Roman" w:cs="Times New Roman"/>
                <w:sz w:val="28"/>
                <w:szCs w:val="28"/>
                <w:lang w:eastAsia="lv-LV"/>
              </w:rPr>
              <w:t xml:space="preserve">Noteikumu projekta tiesiskais regulējums ir </w:t>
            </w:r>
            <w:r w:rsidRPr="009505C5">
              <w:rPr>
                <w:rFonts w:ascii="Times New Roman" w:hAnsi="Times New Roman" w:cs="Times New Roman"/>
                <w:sz w:val="28"/>
                <w:szCs w:val="28"/>
              </w:rPr>
              <w:t xml:space="preserve">nepieciešams, lai veidotu inovācijas kultūru, ko balsta mērķtiecīgi veidota un efektīva inovācijas sistēma, kas aptver un integrē likumdošanas, izglītības, zinātnes, pētniecības un finanšu nosacījumus sekmīgai pētniecības rezultātu </w:t>
            </w:r>
            <w:proofErr w:type="spellStart"/>
            <w:r w:rsidRPr="009505C5">
              <w:rPr>
                <w:rFonts w:ascii="Times New Roman" w:hAnsi="Times New Roman" w:cs="Times New Roman"/>
                <w:sz w:val="28"/>
                <w:szCs w:val="28"/>
              </w:rPr>
              <w:t>komercializācijai</w:t>
            </w:r>
            <w:proofErr w:type="spellEnd"/>
            <w:r w:rsidRPr="009505C5">
              <w:rPr>
                <w:rFonts w:ascii="Times New Roman" w:hAnsi="Times New Roman" w:cs="Times New Roman"/>
                <w:sz w:val="28"/>
                <w:szCs w:val="28"/>
              </w:rPr>
              <w:t>, tāpat arī pastāvīgai sadarbībai starp zinātni un industrijām, un nodrošina privāto investīciju pieaugumu zinātnes un pētniecības finansējumā.</w:t>
            </w:r>
          </w:p>
        </w:tc>
      </w:tr>
      <w:tr w:rsidR="004C6F99" w:rsidRPr="009505C5" w14:paraId="3038867B" w14:textId="77777777" w:rsidTr="009474E4">
        <w:trPr>
          <w:trHeight w:val="510"/>
          <w:tblCellSpacing w:w="15" w:type="dxa"/>
        </w:trPr>
        <w:tc>
          <w:tcPr>
            <w:tcW w:w="515" w:type="dxa"/>
            <w:gridSpan w:val="2"/>
            <w:tcBorders>
              <w:top w:val="outset" w:sz="6" w:space="0" w:color="auto"/>
              <w:left w:val="outset" w:sz="6" w:space="0" w:color="auto"/>
              <w:bottom w:val="outset" w:sz="6" w:space="0" w:color="auto"/>
              <w:right w:val="outset" w:sz="6" w:space="0" w:color="auto"/>
            </w:tcBorders>
            <w:hideMark/>
          </w:tcPr>
          <w:p w14:paraId="6EEEF30A" w14:textId="41CAC9E0"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3.</w:t>
            </w:r>
          </w:p>
        </w:tc>
        <w:tc>
          <w:tcPr>
            <w:tcW w:w="2420" w:type="dxa"/>
            <w:gridSpan w:val="8"/>
            <w:tcBorders>
              <w:top w:val="outset" w:sz="6" w:space="0" w:color="auto"/>
              <w:left w:val="outset" w:sz="6" w:space="0" w:color="auto"/>
              <w:bottom w:val="outset" w:sz="6" w:space="0" w:color="auto"/>
              <w:right w:val="outset" w:sz="6" w:space="0" w:color="auto"/>
            </w:tcBorders>
            <w:hideMark/>
          </w:tcPr>
          <w:p w14:paraId="5FEEBAB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Administratīvo izmaksu monetārs novērtējums</w:t>
            </w:r>
          </w:p>
        </w:tc>
        <w:tc>
          <w:tcPr>
            <w:tcW w:w="6732" w:type="dxa"/>
            <w:gridSpan w:val="11"/>
            <w:tcBorders>
              <w:top w:val="outset" w:sz="6" w:space="0" w:color="auto"/>
              <w:left w:val="outset" w:sz="6" w:space="0" w:color="auto"/>
              <w:bottom w:val="outset" w:sz="6" w:space="0" w:color="auto"/>
              <w:right w:val="outset" w:sz="6" w:space="0" w:color="auto"/>
            </w:tcBorders>
            <w:hideMark/>
          </w:tcPr>
          <w:p w14:paraId="647D2670" w14:textId="3E4D3C16" w:rsidR="007333BC" w:rsidRPr="009505C5" w:rsidRDefault="00B00871" w:rsidP="00697941">
            <w:pPr>
              <w:tabs>
                <w:tab w:val="left" w:pos="993"/>
                <w:tab w:val="left" w:pos="1134"/>
                <w:tab w:val="left" w:pos="1276"/>
              </w:tabs>
              <w:spacing w:after="0" w:line="240" w:lineRule="auto"/>
              <w:ind w:right="-1"/>
              <w:jc w:val="both"/>
              <w:rPr>
                <w:rFonts w:ascii="Times New Roman" w:eastAsia="Times New Roman" w:hAnsi="Times New Roman" w:cs="Times New Roman"/>
                <w:bCs/>
                <w:sz w:val="28"/>
                <w:szCs w:val="28"/>
                <w:lang w:eastAsia="lv-LV"/>
              </w:rPr>
            </w:pPr>
            <w:r w:rsidRPr="009505C5">
              <w:rPr>
                <w:rFonts w:ascii="Times New Roman" w:eastAsia="Times New Roman" w:hAnsi="Times New Roman" w:cs="Times New Roman"/>
                <w:bCs/>
                <w:sz w:val="28"/>
                <w:szCs w:val="28"/>
              </w:rPr>
              <w:t>Noteikumu p</w:t>
            </w:r>
            <w:r w:rsidR="004016A9" w:rsidRPr="009505C5">
              <w:rPr>
                <w:rFonts w:ascii="Times New Roman" w:eastAsia="Times New Roman" w:hAnsi="Times New Roman" w:cs="Times New Roman"/>
                <w:bCs/>
                <w:sz w:val="28"/>
                <w:szCs w:val="28"/>
              </w:rPr>
              <w:t>rojekts šo jomu neskar</w:t>
            </w:r>
            <w:r w:rsidR="00453FE9" w:rsidRPr="009505C5">
              <w:rPr>
                <w:rFonts w:ascii="Times New Roman" w:eastAsia="Times New Roman" w:hAnsi="Times New Roman" w:cs="Times New Roman"/>
                <w:bCs/>
                <w:sz w:val="28"/>
                <w:szCs w:val="28"/>
              </w:rPr>
              <w:t>.</w:t>
            </w:r>
          </w:p>
        </w:tc>
      </w:tr>
      <w:tr w:rsidR="004C6F99" w:rsidRPr="009505C5" w14:paraId="4624FD07" w14:textId="77777777" w:rsidTr="009474E4">
        <w:trPr>
          <w:trHeight w:val="345"/>
          <w:tblCellSpacing w:w="15" w:type="dxa"/>
        </w:trPr>
        <w:tc>
          <w:tcPr>
            <w:tcW w:w="515" w:type="dxa"/>
            <w:gridSpan w:val="2"/>
            <w:tcBorders>
              <w:top w:val="outset" w:sz="6" w:space="0" w:color="auto"/>
              <w:left w:val="outset" w:sz="6" w:space="0" w:color="auto"/>
              <w:bottom w:val="outset" w:sz="6" w:space="0" w:color="auto"/>
              <w:right w:val="outset" w:sz="6" w:space="0" w:color="auto"/>
            </w:tcBorders>
            <w:hideMark/>
          </w:tcPr>
          <w:p w14:paraId="038BF6D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4.</w:t>
            </w:r>
          </w:p>
        </w:tc>
        <w:tc>
          <w:tcPr>
            <w:tcW w:w="2420" w:type="dxa"/>
            <w:gridSpan w:val="8"/>
            <w:tcBorders>
              <w:top w:val="outset" w:sz="6" w:space="0" w:color="auto"/>
              <w:left w:val="outset" w:sz="6" w:space="0" w:color="auto"/>
              <w:bottom w:val="outset" w:sz="6" w:space="0" w:color="auto"/>
              <w:right w:val="outset" w:sz="6" w:space="0" w:color="auto"/>
            </w:tcBorders>
            <w:hideMark/>
          </w:tcPr>
          <w:p w14:paraId="2B88C3D6"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6732" w:type="dxa"/>
            <w:gridSpan w:val="11"/>
            <w:tcBorders>
              <w:top w:val="outset" w:sz="6" w:space="0" w:color="auto"/>
              <w:left w:val="outset" w:sz="6" w:space="0" w:color="auto"/>
              <w:bottom w:val="outset" w:sz="6" w:space="0" w:color="auto"/>
              <w:right w:val="outset" w:sz="6" w:space="0" w:color="auto"/>
            </w:tcBorders>
            <w:hideMark/>
          </w:tcPr>
          <w:p w14:paraId="38CDB1A6" w14:textId="270702C0" w:rsidR="007333BC" w:rsidRPr="009505C5" w:rsidRDefault="002B6BCC" w:rsidP="00B00871">
            <w:pPr>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Nav</w:t>
            </w:r>
          </w:p>
        </w:tc>
      </w:tr>
      <w:tr w:rsidR="004C6F99" w:rsidRPr="009505C5" w14:paraId="25A6A2B0" w14:textId="77777777" w:rsidTr="009474E4">
        <w:tblPrEx>
          <w:jc w:val="center"/>
          <w:tblInd w:w="0" w:type="dxa"/>
        </w:tblPrEx>
        <w:trPr>
          <w:gridAfter w:val="1"/>
          <w:wAfter w:w="101" w:type="dxa"/>
          <w:trHeight w:val="360"/>
          <w:tblCellSpacing w:w="15" w:type="dxa"/>
          <w:jc w:val="center"/>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140BD993"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III. Tiesību akta projekta ietekme uz valsts budžetu un pašvaldību budžetiem</w:t>
            </w:r>
          </w:p>
        </w:tc>
      </w:tr>
      <w:tr w:rsidR="004C6F99" w:rsidRPr="009505C5" w14:paraId="65867601" w14:textId="77777777" w:rsidTr="009474E4">
        <w:tblPrEx>
          <w:jc w:val="center"/>
          <w:tblInd w:w="0" w:type="dxa"/>
        </w:tblPrEx>
        <w:trPr>
          <w:gridAfter w:val="1"/>
          <w:wAfter w:w="101" w:type="dxa"/>
          <w:tblCellSpacing w:w="15" w:type="dxa"/>
          <w:jc w:val="center"/>
        </w:trPr>
        <w:tc>
          <w:tcPr>
            <w:tcW w:w="1941" w:type="dxa"/>
            <w:gridSpan w:val="5"/>
            <w:vMerge w:val="restart"/>
            <w:tcBorders>
              <w:top w:val="outset" w:sz="6" w:space="0" w:color="auto"/>
              <w:left w:val="outset" w:sz="6" w:space="0" w:color="auto"/>
              <w:bottom w:val="outset" w:sz="6" w:space="0" w:color="auto"/>
              <w:right w:val="outset" w:sz="6" w:space="0" w:color="auto"/>
            </w:tcBorders>
            <w:vAlign w:val="center"/>
            <w:hideMark/>
          </w:tcPr>
          <w:p w14:paraId="04BBFBF4"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Rādītāji</w:t>
            </w:r>
          </w:p>
        </w:tc>
        <w:tc>
          <w:tcPr>
            <w:tcW w:w="2731" w:type="dxa"/>
            <w:gridSpan w:val="10"/>
            <w:vMerge w:val="restart"/>
            <w:tcBorders>
              <w:top w:val="outset" w:sz="6" w:space="0" w:color="auto"/>
              <w:left w:val="outset" w:sz="6" w:space="0" w:color="auto"/>
              <w:bottom w:val="outset" w:sz="6" w:space="0" w:color="auto"/>
              <w:right w:val="outset" w:sz="6" w:space="0" w:color="auto"/>
            </w:tcBorders>
            <w:vAlign w:val="center"/>
            <w:hideMark/>
          </w:tcPr>
          <w:p w14:paraId="3ABD7417" w14:textId="63648F63" w:rsidR="007333BC" w:rsidRPr="009505C5" w:rsidRDefault="006A4EED"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2017</w:t>
            </w:r>
            <w:r w:rsidR="00453FE9" w:rsidRPr="009505C5">
              <w:rPr>
                <w:rFonts w:ascii="Times New Roman" w:eastAsia="Times New Roman" w:hAnsi="Times New Roman" w:cs="Times New Roman"/>
                <w:b/>
                <w:bCs/>
                <w:sz w:val="28"/>
                <w:szCs w:val="28"/>
                <w:lang w:eastAsia="lv-LV"/>
              </w:rPr>
              <w:t>.</w:t>
            </w:r>
            <w:r w:rsidR="007333BC" w:rsidRPr="009505C5">
              <w:rPr>
                <w:rFonts w:ascii="Times New Roman" w:eastAsia="Times New Roman" w:hAnsi="Times New Roman" w:cs="Times New Roman"/>
                <w:b/>
                <w:bCs/>
                <w:sz w:val="28"/>
                <w:szCs w:val="28"/>
                <w:lang w:eastAsia="lv-LV"/>
              </w:rPr>
              <w:t xml:space="preserve"> gads</w:t>
            </w:r>
          </w:p>
        </w:tc>
        <w:tc>
          <w:tcPr>
            <w:tcW w:w="4864" w:type="dxa"/>
            <w:gridSpan w:val="5"/>
            <w:tcBorders>
              <w:top w:val="outset" w:sz="6" w:space="0" w:color="auto"/>
              <w:left w:val="outset" w:sz="6" w:space="0" w:color="auto"/>
              <w:bottom w:val="outset" w:sz="6" w:space="0" w:color="auto"/>
              <w:right w:val="outset" w:sz="6" w:space="0" w:color="auto"/>
            </w:tcBorders>
            <w:vAlign w:val="center"/>
            <w:hideMark/>
          </w:tcPr>
          <w:p w14:paraId="111B75E4"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Turpmākie trīs gadi (</w:t>
            </w:r>
            <w:proofErr w:type="spellStart"/>
            <w:r w:rsidRPr="009505C5">
              <w:rPr>
                <w:rFonts w:ascii="Times New Roman" w:eastAsia="Times New Roman" w:hAnsi="Times New Roman" w:cs="Times New Roman"/>
                <w:i/>
                <w:iCs/>
                <w:sz w:val="28"/>
                <w:szCs w:val="28"/>
                <w:lang w:eastAsia="lv-LV"/>
              </w:rPr>
              <w:t>euro</w:t>
            </w:r>
            <w:proofErr w:type="spellEnd"/>
            <w:r w:rsidRPr="009505C5">
              <w:rPr>
                <w:rFonts w:ascii="Times New Roman" w:eastAsia="Times New Roman" w:hAnsi="Times New Roman" w:cs="Times New Roman"/>
                <w:sz w:val="28"/>
                <w:szCs w:val="28"/>
                <w:lang w:eastAsia="lv-LV"/>
              </w:rPr>
              <w:t>)</w:t>
            </w:r>
          </w:p>
        </w:tc>
      </w:tr>
      <w:tr w:rsidR="004C6F99" w:rsidRPr="009505C5" w14:paraId="1C7725AA" w14:textId="77777777" w:rsidTr="009474E4">
        <w:tblPrEx>
          <w:jc w:val="center"/>
          <w:tblInd w:w="0" w:type="dxa"/>
        </w:tblPrEx>
        <w:trPr>
          <w:gridAfter w:val="1"/>
          <w:wAfter w:w="101" w:type="dxa"/>
          <w:tblCellSpacing w:w="15" w:type="dxa"/>
          <w:jc w:val="center"/>
        </w:trPr>
        <w:tc>
          <w:tcPr>
            <w:tcW w:w="1941" w:type="dxa"/>
            <w:gridSpan w:val="5"/>
            <w:vMerge/>
            <w:tcBorders>
              <w:top w:val="outset" w:sz="6" w:space="0" w:color="auto"/>
              <w:left w:val="outset" w:sz="6" w:space="0" w:color="auto"/>
              <w:bottom w:val="outset" w:sz="6" w:space="0" w:color="auto"/>
              <w:right w:val="outset" w:sz="6" w:space="0" w:color="auto"/>
            </w:tcBorders>
            <w:vAlign w:val="center"/>
            <w:hideMark/>
          </w:tcPr>
          <w:p w14:paraId="7269FDD2" w14:textId="77777777" w:rsidR="007333BC" w:rsidRPr="009505C5" w:rsidRDefault="007333BC" w:rsidP="007333BC">
            <w:pPr>
              <w:spacing w:after="0" w:line="240" w:lineRule="auto"/>
              <w:rPr>
                <w:rFonts w:ascii="Times New Roman" w:eastAsia="Times New Roman" w:hAnsi="Times New Roman" w:cs="Times New Roman"/>
                <w:b/>
                <w:bCs/>
                <w:sz w:val="28"/>
                <w:szCs w:val="28"/>
                <w:lang w:eastAsia="lv-LV"/>
              </w:rPr>
            </w:pPr>
          </w:p>
        </w:tc>
        <w:tc>
          <w:tcPr>
            <w:tcW w:w="2731" w:type="dxa"/>
            <w:gridSpan w:val="10"/>
            <w:vMerge/>
            <w:tcBorders>
              <w:top w:val="outset" w:sz="6" w:space="0" w:color="auto"/>
              <w:left w:val="outset" w:sz="6" w:space="0" w:color="auto"/>
              <w:bottom w:val="outset" w:sz="6" w:space="0" w:color="auto"/>
              <w:right w:val="outset" w:sz="6" w:space="0" w:color="auto"/>
            </w:tcBorders>
            <w:vAlign w:val="center"/>
            <w:hideMark/>
          </w:tcPr>
          <w:p w14:paraId="673B4BFC" w14:textId="77777777" w:rsidR="007333BC" w:rsidRPr="009505C5" w:rsidRDefault="007333BC" w:rsidP="007333BC">
            <w:pPr>
              <w:spacing w:after="0" w:line="240" w:lineRule="auto"/>
              <w:rPr>
                <w:rFonts w:ascii="Times New Roman" w:eastAsia="Times New Roman" w:hAnsi="Times New Roman" w:cs="Times New Roman"/>
                <w:b/>
                <w:bCs/>
                <w:sz w:val="28"/>
                <w:szCs w:val="28"/>
                <w:lang w:eastAsia="lv-LV"/>
              </w:rPr>
            </w:pP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68DEF58F" w14:textId="0D3F1686" w:rsidR="007333BC" w:rsidRPr="009505C5" w:rsidRDefault="006A4EED" w:rsidP="00453FE9">
            <w:pPr>
              <w:spacing w:before="100" w:beforeAutospacing="1" w:after="100" w:afterAutospacing="1" w:line="360" w:lineRule="auto"/>
              <w:ind w:firstLine="300"/>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2018</w:t>
            </w:r>
            <w:r w:rsidR="00453FE9" w:rsidRPr="009505C5">
              <w:rPr>
                <w:rFonts w:ascii="Times New Roman" w:eastAsia="Times New Roman" w:hAnsi="Times New Roman" w:cs="Times New Roman"/>
                <w:b/>
                <w:bCs/>
                <w:sz w:val="28"/>
                <w:szCs w:val="28"/>
                <w:lang w:eastAsia="lv-LV"/>
              </w:rPr>
              <w:t>.</w:t>
            </w:r>
            <w:r w:rsidR="00AD1AED" w:rsidRPr="009505C5">
              <w:rPr>
                <w:rFonts w:ascii="Times New Roman" w:eastAsia="Times New Roman" w:hAnsi="Times New Roman" w:cs="Times New Roman"/>
                <w:b/>
                <w:bCs/>
                <w:sz w:val="28"/>
                <w:szCs w:val="28"/>
                <w:lang w:eastAsia="lv-LV"/>
              </w:rPr>
              <w:t>g.</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4C7F682F" w14:textId="36524B23" w:rsidR="007333BC" w:rsidRPr="009505C5" w:rsidRDefault="006A4EED"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2019</w:t>
            </w:r>
            <w:r w:rsidR="00453FE9" w:rsidRPr="009505C5">
              <w:rPr>
                <w:rFonts w:ascii="Times New Roman" w:eastAsia="Times New Roman" w:hAnsi="Times New Roman" w:cs="Times New Roman"/>
                <w:b/>
                <w:bCs/>
                <w:sz w:val="28"/>
                <w:szCs w:val="28"/>
                <w:lang w:eastAsia="lv-LV"/>
              </w:rPr>
              <w:t>.</w:t>
            </w:r>
            <w:r w:rsidR="00AD1AED" w:rsidRPr="009505C5">
              <w:rPr>
                <w:rFonts w:ascii="Times New Roman" w:eastAsia="Times New Roman" w:hAnsi="Times New Roman" w:cs="Times New Roman"/>
                <w:b/>
                <w:bCs/>
                <w:sz w:val="28"/>
                <w:szCs w:val="28"/>
                <w:lang w:eastAsia="lv-LV"/>
              </w:rPr>
              <w:t>g.</w:t>
            </w:r>
          </w:p>
        </w:tc>
        <w:tc>
          <w:tcPr>
            <w:tcW w:w="2038" w:type="dxa"/>
            <w:tcBorders>
              <w:top w:val="outset" w:sz="6" w:space="0" w:color="auto"/>
              <w:left w:val="outset" w:sz="6" w:space="0" w:color="auto"/>
              <w:bottom w:val="outset" w:sz="6" w:space="0" w:color="auto"/>
              <w:right w:val="outset" w:sz="6" w:space="0" w:color="auto"/>
            </w:tcBorders>
            <w:vAlign w:val="center"/>
            <w:hideMark/>
          </w:tcPr>
          <w:p w14:paraId="4ECCA8DE" w14:textId="73F9A577" w:rsidR="007333BC" w:rsidRPr="009505C5" w:rsidRDefault="006A4EED"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2020</w:t>
            </w:r>
            <w:r w:rsidR="00453FE9" w:rsidRPr="009505C5">
              <w:rPr>
                <w:rFonts w:ascii="Times New Roman" w:eastAsia="Times New Roman" w:hAnsi="Times New Roman" w:cs="Times New Roman"/>
                <w:b/>
                <w:bCs/>
                <w:sz w:val="28"/>
                <w:szCs w:val="28"/>
                <w:lang w:eastAsia="lv-LV"/>
              </w:rPr>
              <w:t>.</w:t>
            </w:r>
            <w:r w:rsidR="00AD1AED" w:rsidRPr="009505C5">
              <w:rPr>
                <w:rFonts w:ascii="Times New Roman" w:eastAsia="Times New Roman" w:hAnsi="Times New Roman" w:cs="Times New Roman"/>
                <w:b/>
                <w:bCs/>
                <w:sz w:val="28"/>
                <w:szCs w:val="28"/>
                <w:lang w:eastAsia="lv-LV"/>
              </w:rPr>
              <w:t>g.</w:t>
            </w:r>
          </w:p>
        </w:tc>
      </w:tr>
      <w:tr w:rsidR="004C6F99" w:rsidRPr="009505C5" w14:paraId="7E6A7A81" w14:textId="77777777" w:rsidTr="009474E4">
        <w:tblPrEx>
          <w:jc w:val="center"/>
          <w:tblInd w:w="0" w:type="dxa"/>
        </w:tblPrEx>
        <w:trPr>
          <w:gridAfter w:val="1"/>
          <w:wAfter w:w="101" w:type="dxa"/>
          <w:tblCellSpacing w:w="15" w:type="dxa"/>
          <w:jc w:val="center"/>
        </w:trPr>
        <w:tc>
          <w:tcPr>
            <w:tcW w:w="1941" w:type="dxa"/>
            <w:gridSpan w:val="5"/>
            <w:vMerge/>
            <w:tcBorders>
              <w:top w:val="outset" w:sz="6" w:space="0" w:color="auto"/>
              <w:left w:val="outset" w:sz="6" w:space="0" w:color="auto"/>
              <w:bottom w:val="outset" w:sz="6" w:space="0" w:color="auto"/>
              <w:right w:val="outset" w:sz="6" w:space="0" w:color="auto"/>
            </w:tcBorders>
            <w:vAlign w:val="center"/>
            <w:hideMark/>
          </w:tcPr>
          <w:p w14:paraId="21ECBC82" w14:textId="77777777" w:rsidR="007333BC" w:rsidRPr="009505C5" w:rsidRDefault="007333BC" w:rsidP="007333BC">
            <w:pPr>
              <w:spacing w:after="0" w:line="240" w:lineRule="auto"/>
              <w:rPr>
                <w:rFonts w:ascii="Times New Roman" w:eastAsia="Times New Roman" w:hAnsi="Times New Roman" w:cs="Times New Roman"/>
                <w:b/>
                <w:bCs/>
                <w:sz w:val="28"/>
                <w:szCs w:val="28"/>
                <w:lang w:eastAsia="lv-LV"/>
              </w:rPr>
            </w:pP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12088139" w14:textId="77777777" w:rsidR="007333BC" w:rsidRPr="009505C5"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saskaņā ar valsts budžetu kārtējam gadam</w:t>
            </w:r>
          </w:p>
        </w:tc>
        <w:tc>
          <w:tcPr>
            <w:tcW w:w="1277" w:type="dxa"/>
            <w:gridSpan w:val="2"/>
            <w:tcBorders>
              <w:top w:val="outset" w:sz="6" w:space="0" w:color="auto"/>
              <w:left w:val="outset" w:sz="6" w:space="0" w:color="auto"/>
              <w:bottom w:val="outset" w:sz="6" w:space="0" w:color="auto"/>
              <w:right w:val="outset" w:sz="6" w:space="0" w:color="auto"/>
            </w:tcBorders>
            <w:vAlign w:val="center"/>
            <w:hideMark/>
          </w:tcPr>
          <w:p w14:paraId="6B5231CF" w14:textId="77777777" w:rsidR="007333BC" w:rsidRPr="009505C5"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izmaiņas kārtējā gadā, salīdzinot ar valsts budžetu </w:t>
            </w:r>
            <w:r w:rsidRPr="009505C5">
              <w:rPr>
                <w:rFonts w:ascii="Times New Roman" w:eastAsia="Times New Roman" w:hAnsi="Times New Roman" w:cs="Times New Roman"/>
                <w:sz w:val="28"/>
                <w:szCs w:val="28"/>
                <w:lang w:eastAsia="lv-LV"/>
              </w:rPr>
              <w:lastRenderedPageBreak/>
              <w:t>kārtējam gadam</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4B4DC4B0" w14:textId="7EC8A46A" w:rsidR="007333BC" w:rsidRPr="009505C5"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 xml:space="preserve">izmaiņas, salīdzinot ar </w:t>
            </w:r>
            <w:r w:rsidR="006A4EED" w:rsidRPr="009505C5">
              <w:rPr>
                <w:rFonts w:ascii="Times New Roman" w:eastAsia="Times New Roman" w:hAnsi="Times New Roman" w:cs="Times New Roman"/>
                <w:sz w:val="28"/>
                <w:szCs w:val="28"/>
                <w:lang w:eastAsia="lv-LV"/>
              </w:rPr>
              <w:t>2017</w:t>
            </w:r>
            <w:r w:rsidR="00453FE9" w:rsidRPr="009505C5">
              <w:rPr>
                <w:rFonts w:ascii="Times New Roman" w:eastAsia="Times New Roman" w:hAnsi="Times New Roman" w:cs="Times New Roman"/>
                <w:sz w:val="28"/>
                <w:szCs w:val="28"/>
                <w:lang w:eastAsia="lv-LV"/>
              </w:rPr>
              <w:t>.</w:t>
            </w:r>
            <w:r w:rsidRPr="009505C5">
              <w:rPr>
                <w:rFonts w:ascii="Times New Roman" w:eastAsia="Times New Roman" w:hAnsi="Times New Roman" w:cs="Times New Roman"/>
                <w:sz w:val="28"/>
                <w:szCs w:val="28"/>
                <w:lang w:eastAsia="lv-LV"/>
              </w:rPr>
              <w:t>gadu</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017F82C3" w14:textId="45C3A1F7" w:rsidR="007333BC" w:rsidRPr="009505C5"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izmaiņas, salīdzinot ar </w:t>
            </w:r>
            <w:r w:rsidR="006A4EED" w:rsidRPr="009505C5">
              <w:rPr>
                <w:rFonts w:ascii="Times New Roman" w:eastAsia="Times New Roman" w:hAnsi="Times New Roman" w:cs="Times New Roman"/>
                <w:sz w:val="28"/>
                <w:szCs w:val="28"/>
                <w:lang w:eastAsia="lv-LV"/>
              </w:rPr>
              <w:t>2017</w:t>
            </w:r>
            <w:r w:rsidR="00453FE9" w:rsidRPr="009505C5">
              <w:rPr>
                <w:rFonts w:ascii="Times New Roman" w:eastAsia="Times New Roman" w:hAnsi="Times New Roman" w:cs="Times New Roman"/>
                <w:sz w:val="28"/>
                <w:szCs w:val="28"/>
                <w:lang w:eastAsia="lv-LV"/>
              </w:rPr>
              <w:t>.</w:t>
            </w:r>
            <w:r w:rsidRPr="009505C5">
              <w:rPr>
                <w:rFonts w:ascii="Times New Roman" w:eastAsia="Times New Roman" w:hAnsi="Times New Roman" w:cs="Times New Roman"/>
                <w:sz w:val="28"/>
                <w:szCs w:val="28"/>
                <w:lang w:eastAsia="lv-LV"/>
              </w:rPr>
              <w:t xml:space="preserve"> gadu</w:t>
            </w:r>
          </w:p>
        </w:tc>
        <w:tc>
          <w:tcPr>
            <w:tcW w:w="2038" w:type="dxa"/>
            <w:tcBorders>
              <w:top w:val="outset" w:sz="6" w:space="0" w:color="auto"/>
              <w:left w:val="outset" w:sz="6" w:space="0" w:color="auto"/>
              <w:bottom w:val="outset" w:sz="6" w:space="0" w:color="auto"/>
              <w:right w:val="outset" w:sz="6" w:space="0" w:color="auto"/>
            </w:tcBorders>
            <w:vAlign w:val="center"/>
            <w:hideMark/>
          </w:tcPr>
          <w:p w14:paraId="13C818C2" w14:textId="387E4DF3" w:rsidR="007333BC" w:rsidRPr="009505C5" w:rsidRDefault="007333BC" w:rsidP="00453FE9">
            <w:pPr>
              <w:spacing w:after="0" w:line="240" w:lineRule="auto"/>
              <w:ind w:firstLine="301"/>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izmaiņas, salīdzinot ar </w:t>
            </w:r>
            <w:r w:rsidR="006A4EED" w:rsidRPr="009505C5">
              <w:rPr>
                <w:rFonts w:ascii="Times New Roman" w:eastAsia="Times New Roman" w:hAnsi="Times New Roman" w:cs="Times New Roman"/>
                <w:sz w:val="28"/>
                <w:szCs w:val="28"/>
                <w:lang w:eastAsia="lv-LV"/>
              </w:rPr>
              <w:t>2017</w:t>
            </w:r>
            <w:r w:rsidR="00453FE9" w:rsidRPr="009505C5">
              <w:rPr>
                <w:rFonts w:ascii="Times New Roman" w:eastAsia="Times New Roman" w:hAnsi="Times New Roman" w:cs="Times New Roman"/>
                <w:sz w:val="28"/>
                <w:szCs w:val="28"/>
                <w:lang w:eastAsia="lv-LV"/>
              </w:rPr>
              <w:t>.</w:t>
            </w:r>
            <w:r w:rsidRPr="009505C5">
              <w:rPr>
                <w:rFonts w:ascii="Times New Roman" w:eastAsia="Times New Roman" w:hAnsi="Times New Roman" w:cs="Times New Roman"/>
                <w:sz w:val="28"/>
                <w:szCs w:val="28"/>
                <w:lang w:eastAsia="lv-LV"/>
              </w:rPr>
              <w:t xml:space="preserve"> gadu</w:t>
            </w:r>
          </w:p>
        </w:tc>
      </w:tr>
      <w:tr w:rsidR="004C6F99" w:rsidRPr="009505C5" w14:paraId="17DE1520"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vAlign w:val="center"/>
            <w:hideMark/>
          </w:tcPr>
          <w:p w14:paraId="55EA9CC3"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248CCAAB"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1277" w:type="dxa"/>
            <w:gridSpan w:val="2"/>
            <w:tcBorders>
              <w:top w:val="outset" w:sz="6" w:space="0" w:color="auto"/>
              <w:left w:val="outset" w:sz="6" w:space="0" w:color="auto"/>
              <w:bottom w:val="outset" w:sz="6" w:space="0" w:color="auto"/>
              <w:right w:val="outset" w:sz="6" w:space="0" w:color="auto"/>
            </w:tcBorders>
            <w:vAlign w:val="center"/>
            <w:hideMark/>
          </w:tcPr>
          <w:p w14:paraId="4847D631"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06F0E80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4</w:t>
            </w:r>
          </w:p>
        </w:tc>
        <w:tc>
          <w:tcPr>
            <w:tcW w:w="1383" w:type="dxa"/>
            <w:gridSpan w:val="2"/>
            <w:tcBorders>
              <w:top w:val="outset" w:sz="6" w:space="0" w:color="auto"/>
              <w:left w:val="outset" w:sz="6" w:space="0" w:color="auto"/>
              <w:bottom w:val="outset" w:sz="6" w:space="0" w:color="auto"/>
              <w:right w:val="outset" w:sz="6" w:space="0" w:color="auto"/>
            </w:tcBorders>
            <w:vAlign w:val="center"/>
            <w:hideMark/>
          </w:tcPr>
          <w:p w14:paraId="6301057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5</w:t>
            </w:r>
          </w:p>
        </w:tc>
        <w:tc>
          <w:tcPr>
            <w:tcW w:w="2038" w:type="dxa"/>
            <w:tcBorders>
              <w:top w:val="outset" w:sz="6" w:space="0" w:color="auto"/>
              <w:left w:val="outset" w:sz="6" w:space="0" w:color="auto"/>
              <w:bottom w:val="outset" w:sz="6" w:space="0" w:color="auto"/>
              <w:right w:val="outset" w:sz="6" w:space="0" w:color="auto"/>
            </w:tcBorders>
            <w:vAlign w:val="center"/>
            <w:hideMark/>
          </w:tcPr>
          <w:p w14:paraId="393A97CB"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6</w:t>
            </w:r>
          </w:p>
        </w:tc>
      </w:tr>
      <w:tr w:rsidR="004C6F99" w:rsidRPr="009505C5" w14:paraId="4FDBAA59"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3DDD1FF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 Budžeta ieņēmumi:</w:t>
            </w:r>
          </w:p>
        </w:tc>
        <w:tc>
          <w:tcPr>
            <w:tcW w:w="1424" w:type="dxa"/>
            <w:gridSpan w:val="8"/>
            <w:tcBorders>
              <w:top w:val="outset" w:sz="6" w:space="0" w:color="auto"/>
              <w:left w:val="outset" w:sz="6" w:space="0" w:color="auto"/>
              <w:bottom w:val="outset" w:sz="6" w:space="0" w:color="auto"/>
              <w:right w:val="outset" w:sz="6" w:space="0" w:color="auto"/>
            </w:tcBorders>
            <w:hideMark/>
          </w:tcPr>
          <w:p w14:paraId="671F9760" w14:textId="45EE89D0"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41FF1F82" w14:textId="1CA0C4E8" w:rsidR="007333BC" w:rsidRPr="009505C5" w:rsidRDefault="007333BC"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EF47B2" w:rsidRPr="009505C5">
              <w:rPr>
                <w:rFonts w:ascii="Times New Roman" w:eastAsia="Calibri" w:hAnsi="Times New Roman" w:cs="Times New Roman"/>
                <w:sz w:val="28"/>
                <w:szCs w:val="28"/>
                <w:lang w:val="fr-BE"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3688BB3" w14:textId="3ECECD5C" w:rsidR="007333BC" w:rsidRPr="009505C5" w:rsidRDefault="00EF47B2" w:rsidP="00D815A8">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CC44B31" w14:textId="76FAF112" w:rsidR="007333BC" w:rsidRPr="009505C5" w:rsidRDefault="00EF47B2"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61853F56" w14:textId="3DF7F2C2" w:rsidR="007333BC" w:rsidRPr="009505C5" w:rsidRDefault="00EF47B2"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r>
      <w:tr w:rsidR="004C6F99" w:rsidRPr="009505C5" w14:paraId="403E54BE"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3922E595"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1.1. valsts pamatbudžets, tai skaitā ieņēmumi no maksas pakalpojumiem un citi pašu ieņēmumi</w:t>
            </w:r>
          </w:p>
        </w:tc>
        <w:tc>
          <w:tcPr>
            <w:tcW w:w="1424" w:type="dxa"/>
            <w:gridSpan w:val="8"/>
            <w:tcBorders>
              <w:top w:val="outset" w:sz="6" w:space="0" w:color="auto"/>
              <w:left w:val="outset" w:sz="6" w:space="0" w:color="auto"/>
              <w:bottom w:val="outset" w:sz="6" w:space="0" w:color="auto"/>
              <w:right w:val="outset" w:sz="6" w:space="0" w:color="auto"/>
            </w:tcBorders>
            <w:hideMark/>
          </w:tcPr>
          <w:p w14:paraId="0ACE6963" w14:textId="3C217048"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2BADAFCA" w14:textId="6E61BEC0" w:rsidR="007333BC" w:rsidRPr="009505C5" w:rsidRDefault="007333BC"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EF47B2" w:rsidRPr="009505C5">
              <w:rPr>
                <w:rFonts w:ascii="Times New Roman" w:eastAsia="Times New Roman" w:hAnsi="Times New Roman" w:cs="Times New Roman"/>
                <w:sz w:val="28"/>
                <w:szCs w:val="28"/>
                <w:lang w:eastAsia="lv-LV"/>
              </w:rPr>
              <w:t>0</w:t>
            </w:r>
            <w:r w:rsidR="007E0625" w:rsidRPr="009505C5">
              <w:rPr>
                <w:rFonts w:ascii="Times New Roman" w:eastAsia="Times New Roman" w:hAnsi="Times New Roman" w:cs="Times New Roman"/>
                <w:sz w:val="28"/>
                <w:szCs w:val="28"/>
                <w:lang w:eastAsia="lv-LV"/>
              </w:rPr>
              <w:t xml:space="preserve"> </w:t>
            </w:r>
          </w:p>
        </w:tc>
        <w:tc>
          <w:tcPr>
            <w:tcW w:w="1383" w:type="dxa"/>
            <w:gridSpan w:val="2"/>
            <w:tcBorders>
              <w:top w:val="outset" w:sz="6" w:space="0" w:color="auto"/>
              <w:left w:val="outset" w:sz="6" w:space="0" w:color="auto"/>
              <w:bottom w:val="outset" w:sz="6" w:space="0" w:color="auto"/>
              <w:right w:val="outset" w:sz="6" w:space="0" w:color="auto"/>
            </w:tcBorders>
            <w:hideMark/>
          </w:tcPr>
          <w:p w14:paraId="413DB465" w14:textId="56EABC51" w:rsidR="007333BC" w:rsidRPr="009505C5" w:rsidRDefault="00EF47B2" w:rsidP="00D815A8">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73E62A0" w14:textId="427F4ADF" w:rsidR="007333BC" w:rsidRPr="009505C5" w:rsidRDefault="00EF47B2"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2F5A8F75" w14:textId="730F317D" w:rsidR="007333BC" w:rsidRPr="009505C5" w:rsidRDefault="007333BC"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EF47B2" w:rsidRPr="009505C5">
              <w:rPr>
                <w:rFonts w:ascii="Times New Roman" w:eastAsia="Times New Roman" w:hAnsi="Times New Roman" w:cs="Times New Roman"/>
                <w:sz w:val="28"/>
                <w:szCs w:val="28"/>
                <w:lang w:eastAsia="lv-LV"/>
              </w:rPr>
              <w:t>0</w:t>
            </w:r>
          </w:p>
        </w:tc>
      </w:tr>
      <w:tr w:rsidR="004C6F99" w:rsidRPr="009505C5" w14:paraId="46E5EE3D"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3245E3A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1.2. valsts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3E3C37D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273724B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987A89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45B803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3552DC9B"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477928A4"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7DF1826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3523DCD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3BDC0C0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3C66647"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D4E5D5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725F277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57E28F38"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0E18E88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 Budžeta izdevumi:</w:t>
            </w:r>
          </w:p>
        </w:tc>
        <w:tc>
          <w:tcPr>
            <w:tcW w:w="1424" w:type="dxa"/>
            <w:gridSpan w:val="8"/>
            <w:tcBorders>
              <w:top w:val="outset" w:sz="6" w:space="0" w:color="auto"/>
              <w:left w:val="outset" w:sz="6" w:space="0" w:color="auto"/>
              <w:bottom w:val="outset" w:sz="6" w:space="0" w:color="auto"/>
              <w:right w:val="outset" w:sz="6" w:space="0" w:color="auto"/>
            </w:tcBorders>
            <w:hideMark/>
          </w:tcPr>
          <w:p w14:paraId="6C9D71C9" w14:textId="6A9BB2ED"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6F2317B0" w14:textId="5414AAB3"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050BBE4" w14:textId="3F3A62F4"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444E489" w14:textId="30D82037"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020012EC" w14:textId="4D50DD48" w:rsidR="007333BC" w:rsidRPr="009505C5" w:rsidRDefault="001519E4"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r>
      <w:tr w:rsidR="004C6F99" w:rsidRPr="009505C5" w14:paraId="296AA296"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299D4CF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2.1. valsts pamatbudžets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129F30C6" w14:textId="23F351E8"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001ECB83" w14:textId="76CCD879"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872212E" w14:textId="2BCC7937" w:rsidR="007333BC" w:rsidRPr="009505C5" w:rsidRDefault="001519E4"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D6FAB38" w14:textId="5B62F28A" w:rsidR="007333BC" w:rsidRPr="009505C5" w:rsidRDefault="001519E4" w:rsidP="00D815A8">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10084C7A" w14:textId="40933972" w:rsidR="007333BC" w:rsidRPr="009505C5" w:rsidRDefault="007333BC"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r>
      <w:tr w:rsidR="004C6F99" w:rsidRPr="009505C5" w14:paraId="75F8B16F"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7AEC2C2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2.2. valsts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5166E84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73EAAFDB"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D695541"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1CF8594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7E86019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3140C29C"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60BBE197"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22CA37D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42CD391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613856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5F2027B"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705613C1"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244FE033"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1C7698F1" w14:textId="77777777" w:rsidR="00EF47B2" w:rsidRPr="009505C5" w:rsidRDefault="00EF47B2"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 Finansiālā ietekme:</w:t>
            </w:r>
          </w:p>
        </w:tc>
        <w:tc>
          <w:tcPr>
            <w:tcW w:w="1424" w:type="dxa"/>
            <w:gridSpan w:val="8"/>
            <w:tcBorders>
              <w:top w:val="outset" w:sz="6" w:space="0" w:color="auto"/>
              <w:left w:val="outset" w:sz="6" w:space="0" w:color="auto"/>
              <w:bottom w:val="outset" w:sz="6" w:space="0" w:color="auto"/>
              <w:right w:val="outset" w:sz="6" w:space="0" w:color="auto"/>
            </w:tcBorders>
            <w:vAlign w:val="center"/>
            <w:hideMark/>
          </w:tcPr>
          <w:p w14:paraId="0CD606DB" w14:textId="77777777" w:rsidR="00EF47B2" w:rsidRPr="009505C5" w:rsidRDefault="00EF47B2"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0</w:t>
            </w:r>
          </w:p>
        </w:tc>
        <w:tc>
          <w:tcPr>
            <w:tcW w:w="1277" w:type="dxa"/>
            <w:gridSpan w:val="2"/>
            <w:tcBorders>
              <w:top w:val="outset" w:sz="6" w:space="0" w:color="auto"/>
              <w:left w:val="outset" w:sz="6" w:space="0" w:color="auto"/>
              <w:bottom w:val="outset" w:sz="6" w:space="0" w:color="auto"/>
              <w:right w:val="outset" w:sz="6" w:space="0" w:color="auto"/>
            </w:tcBorders>
            <w:hideMark/>
          </w:tcPr>
          <w:p w14:paraId="09D1C6F8" w14:textId="51E9659D" w:rsidR="00EF47B2" w:rsidRPr="009505C5" w:rsidRDefault="00EF47B2"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FCACF8A" w14:textId="057423DF" w:rsidR="00EF47B2" w:rsidRPr="009505C5" w:rsidRDefault="001519E4"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288CADC" w14:textId="64410623" w:rsidR="00EF47B2" w:rsidRPr="009505C5" w:rsidRDefault="001519E4"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44DB18B6" w14:textId="6D57E7F7" w:rsidR="00EF47B2" w:rsidRPr="009505C5" w:rsidRDefault="00EF47B2"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r>
      <w:tr w:rsidR="004C6F99" w:rsidRPr="009505C5" w14:paraId="705DCD0B"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2758D574" w14:textId="77777777" w:rsidR="00EF47B2" w:rsidRPr="009505C5" w:rsidRDefault="00EF47B2"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3.1. valsts pamatbudžets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16017D37" w14:textId="77777777" w:rsidR="00EF47B2" w:rsidRPr="009505C5" w:rsidRDefault="00EF47B2"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0</w:t>
            </w:r>
          </w:p>
        </w:tc>
        <w:tc>
          <w:tcPr>
            <w:tcW w:w="1277" w:type="dxa"/>
            <w:gridSpan w:val="2"/>
            <w:tcBorders>
              <w:top w:val="outset" w:sz="6" w:space="0" w:color="auto"/>
              <w:left w:val="outset" w:sz="6" w:space="0" w:color="auto"/>
              <w:bottom w:val="outset" w:sz="6" w:space="0" w:color="auto"/>
              <w:right w:val="outset" w:sz="6" w:space="0" w:color="auto"/>
            </w:tcBorders>
            <w:hideMark/>
          </w:tcPr>
          <w:p w14:paraId="522D51B0" w14:textId="58039538" w:rsidR="00EF47B2" w:rsidRPr="009505C5" w:rsidRDefault="00EF47B2" w:rsidP="001519E4">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1519E4"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FA3BB4F" w14:textId="76BF898D" w:rsidR="00EF47B2" w:rsidRPr="009505C5" w:rsidRDefault="001519E4"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7558E88" w14:textId="552A8B74" w:rsidR="00EF47B2" w:rsidRPr="009505C5" w:rsidRDefault="001519E4"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6849C029" w14:textId="00C4BF81" w:rsidR="00EF47B2" w:rsidRPr="009505C5" w:rsidRDefault="001519E4" w:rsidP="00EF47B2">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0</w:t>
            </w:r>
          </w:p>
        </w:tc>
      </w:tr>
      <w:tr w:rsidR="004C6F99" w:rsidRPr="009505C5" w14:paraId="42951E0C"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59900B4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3.2. speciālais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060D1BAE"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3FEB8BDF"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A61C38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397D46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12BB9D7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3B88D7F7"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6DAE8C3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3.3. pašvaldību budžets</w:t>
            </w:r>
          </w:p>
        </w:tc>
        <w:tc>
          <w:tcPr>
            <w:tcW w:w="1424" w:type="dxa"/>
            <w:gridSpan w:val="8"/>
            <w:tcBorders>
              <w:top w:val="outset" w:sz="6" w:space="0" w:color="auto"/>
              <w:left w:val="outset" w:sz="6" w:space="0" w:color="auto"/>
              <w:bottom w:val="outset" w:sz="6" w:space="0" w:color="auto"/>
              <w:right w:val="outset" w:sz="6" w:space="0" w:color="auto"/>
            </w:tcBorders>
            <w:hideMark/>
          </w:tcPr>
          <w:p w14:paraId="5C45523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277" w:type="dxa"/>
            <w:gridSpan w:val="2"/>
            <w:tcBorders>
              <w:top w:val="outset" w:sz="6" w:space="0" w:color="auto"/>
              <w:left w:val="outset" w:sz="6" w:space="0" w:color="auto"/>
              <w:bottom w:val="outset" w:sz="6" w:space="0" w:color="auto"/>
              <w:right w:val="outset" w:sz="6" w:space="0" w:color="auto"/>
            </w:tcBorders>
            <w:hideMark/>
          </w:tcPr>
          <w:p w14:paraId="6A6F481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A2C9056"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2AAA1D1E"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5B2BD4A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6F986780" w14:textId="77777777" w:rsidTr="009474E4">
        <w:tblPrEx>
          <w:jc w:val="center"/>
          <w:tblInd w:w="0" w:type="dxa"/>
        </w:tblPrEx>
        <w:trPr>
          <w:gridAfter w:val="1"/>
          <w:wAfter w:w="101" w:type="dxa"/>
          <w:tblCellSpacing w:w="15" w:type="dxa"/>
          <w:jc w:val="center"/>
        </w:trPr>
        <w:tc>
          <w:tcPr>
            <w:tcW w:w="1941" w:type="dxa"/>
            <w:gridSpan w:val="5"/>
            <w:vMerge w:val="restart"/>
            <w:tcBorders>
              <w:top w:val="outset" w:sz="6" w:space="0" w:color="auto"/>
              <w:left w:val="outset" w:sz="6" w:space="0" w:color="auto"/>
              <w:bottom w:val="outset" w:sz="6" w:space="0" w:color="auto"/>
              <w:right w:val="outset" w:sz="6" w:space="0" w:color="auto"/>
            </w:tcBorders>
            <w:hideMark/>
          </w:tcPr>
          <w:p w14:paraId="0BD1F06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4. Finanšu līdzekļi papildu izdevumu </w:t>
            </w:r>
            <w:r w:rsidRPr="009505C5">
              <w:rPr>
                <w:rFonts w:ascii="Times New Roman" w:eastAsia="Times New Roman" w:hAnsi="Times New Roman" w:cs="Times New Roman"/>
                <w:sz w:val="28"/>
                <w:szCs w:val="28"/>
                <w:lang w:eastAsia="lv-LV"/>
              </w:rPr>
              <w:lastRenderedPageBreak/>
              <w:t>finansēšanai (kompensējošu izdevumu samazinājumu norāda ar "+" zīmi)</w:t>
            </w:r>
          </w:p>
        </w:tc>
        <w:tc>
          <w:tcPr>
            <w:tcW w:w="1424" w:type="dxa"/>
            <w:gridSpan w:val="8"/>
            <w:vMerge w:val="restart"/>
            <w:tcBorders>
              <w:top w:val="outset" w:sz="6" w:space="0" w:color="auto"/>
              <w:left w:val="outset" w:sz="6" w:space="0" w:color="auto"/>
              <w:bottom w:val="outset" w:sz="6" w:space="0" w:color="auto"/>
              <w:right w:val="outset" w:sz="6" w:space="0" w:color="auto"/>
            </w:tcBorders>
            <w:hideMark/>
          </w:tcPr>
          <w:p w14:paraId="100078D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X</w:t>
            </w:r>
          </w:p>
        </w:tc>
        <w:tc>
          <w:tcPr>
            <w:tcW w:w="1277" w:type="dxa"/>
            <w:gridSpan w:val="2"/>
            <w:tcBorders>
              <w:top w:val="outset" w:sz="6" w:space="0" w:color="auto"/>
              <w:left w:val="outset" w:sz="6" w:space="0" w:color="auto"/>
              <w:bottom w:val="outset" w:sz="6" w:space="0" w:color="auto"/>
              <w:right w:val="outset" w:sz="6" w:space="0" w:color="auto"/>
            </w:tcBorders>
            <w:hideMark/>
          </w:tcPr>
          <w:p w14:paraId="7D276B6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C51005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A8748BF"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32FEAF5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2B760EA1" w14:textId="77777777" w:rsidTr="009474E4">
        <w:tblPrEx>
          <w:jc w:val="center"/>
          <w:tblInd w:w="0" w:type="dxa"/>
        </w:tblPrEx>
        <w:trPr>
          <w:gridAfter w:val="1"/>
          <w:wAfter w:w="101" w:type="dxa"/>
          <w:tblCellSpacing w:w="15" w:type="dxa"/>
          <w:jc w:val="center"/>
        </w:trPr>
        <w:tc>
          <w:tcPr>
            <w:tcW w:w="1941" w:type="dxa"/>
            <w:gridSpan w:val="5"/>
            <w:vMerge/>
            <w:tcBorders>
              <w:top w:val="outset" w:sz="6" w:space="0" w:color="auto"/>
              <w:left w:val="outset" w:sz="6" w:space="0" w:color="auto"/>
              <w:bottom w:val="outset" w:sz="6" w:space="0" w:color="auto"/>
              <w:right w:val="outset" w:sz="6" w:space="0" w:color="auto"/>
            </w:tcBorders>
            <w:vAlign w:val="center"/>
            <w:hideMark/>
          </w:tcPr>
          <w:p w14:paraId="44C798B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383B01E5"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4AC47E5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F309D4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370DE74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2B6DB99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15645A95" w14:textId="77777777" w:rsidTr="009474E4">
        <w:tblPrEx>
          <w:jc w:val="center"/>
          <w:tblInd w:w="0" w:type="dxa"/>
        </w:tblPrEx>
        <w:trPr>
          <w:gridAfter w:val="1"/>
          <w:wAfter w:w="101" w:type="dxa"/>
          <w:tblCellSpacing w:w="15" w:type="dxa"/>
          <w:jc w:val="center"/>
        </w:trPr>
        <w:tc>
          <w:tcPr>
            <w:tcW w:w="1941" w:type="dxa"/>
            <w:gridSpan w:val="5"/>
            <w:vMerge/>
            <w:tcBorders>
              <w:top w:val="outset" w:sz="6" w:space="0" w:color="auto"/>
              <w:left w:val="outset" w:sz="6" w:space="0" w:color="auto"/>
              <w:bottom w:val="outset" w:sz="6" w:space="0" w:color="auto"/>
              <w:right w:val="outset" w:sz="6" w:space="0" w:color="auto"/>
            </w:tcBorders>
            <w:vAlign w:val="center"/>
            <w:hideMark/>
          </w:tcPr>
          <w:p w14:paraId="6B1C0D7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E3DFD1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1B23AAF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263458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56F774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503ED45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6CCBDA36"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45F3C53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5. Precizēta finansiālā ietekme:</w:t>
            </w:r>
          </w:p>
        </w:tc>
        <w:tc>
          <w:tcPr>
            <w:tcW w:w="1424" w:type="dxa"/>
            <w:gridSpan w:val="8"/>
            <w:vMerge w:val="restart"/>
            <w:tcBorders>
              <w:top w:val="outset" w:sz="6" w:space="0" w:color="auto"/>
              <w:left w:val="outset" w:sz="6" w:space="0" w:color="auto"/>
              <w:bottom w:val="outset" w:sz="6" w:space="0" w:color="auto"/>
              <w:right w:val="outset" w:sz="6" w:space="0" w:color="auto"/>
            </w:tcBorders>
            <w:hideMark/>
          </w:tcPr>
          <w:p w14:paraId="33E1CCF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X</w:t>
            </w:r>
          </w:p>
        </w:tc>
        <w:tc>
          <w:tcPr>
            <w:tcW w:w="1277" w:type="dxa"/>
            <w:gridSpan w:val="2"/>
            <w:tcBorders>
              <w:top w:val="outset" w:sz="6" w:space="0" w:color="auto"/>
              <w:left w:val="outset" w:sz="6" w:space="0" w:color="auto"/>
              <w:bottom w:val="outset" w:sz="6" w:space="0" w:color="auto"/>
              <w:right w:val="outset" w:sz="6" w:space="0" w:color="auto"/>
            </w:tcBorders>
            <w:hideMark/>
          </w:tcPr>
          <w:p w14:paraId="787FD39F"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AE6830E"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83E998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7493FFDE"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708C8B58"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637F3F7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5.1. valsts pamatbudžets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3B320E3"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2A0157B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108EEA9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55CB486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72A64AB2"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7313EB36"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5ACA9266"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5.2. speciālais 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285F2E65"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66839C46"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620F237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79D1482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6CC8EC0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0640F22C"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5E335DA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5.3. pašvaldību budžets</w:t>
            </w:r>
          </w:p>
        </w:tc>
        <w:tc>
          <w:tcPr>
            <w:tcW w:w="1424" w:type="dxa"/>
            <w:gridSpan w:val="8"/>
            <w:vMerge/>
            <w:tcBorders>
              <w:top w:val="outset" w:sz="6" w:space="0" w:color="auto"/>
              <w:left w:val="outset" w:sz="6" w:space="0" w:color="auto"/>
              <w:bottom w:val="outset" w:sz="6" w:space="0" w:color="auto"/>
              <w:right w:val="outset" w:sz="6" w:space="0" w:color="auto"/>
            </w:tcBorders>
            <w:vAlign w:val="center"/>
            <w:hideMark/>
          </w:tcPr>
          <w:p w14:paraId="739C537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c>
          <w:tcPr>
            <w:tcW w:w="1277" w:type="dxa"/>
            <w:gridSpan w:val="2"/>
            <w:tcBorders>
              <w:top w:val="outset" w:sz="6" w:space="0" w:color="auto"/>
              <w:left w:val="outset" w:sz="6" w:space="0" w:color="auto"/>
              <w:bottom w:val="outset" w:sz="6" w:space="0" w:color="auto"/>
              <w:right w:val="outset" w:sz="6" w:space="0" w:color="auto"/>
            </w:tcBorders>
            <w:hideMark/>
          </w:tcPr>
          <w:p w14:paraId="4F3BC65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4335C39D"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1383" w:type="dxa"/>
            <w:gridSpan w:val="2"/>
            <w:tcBorders>
              <w:top w:val="outset" w:sz="6" w:space="0" w:color="auto"/>
              <w:left w:val="outset" w:sz="6" w:space="0" w:color="auto"/>
              <w:bottom w:val="outset" w:sz="6" w:space="0" w:color="auto"/>
              <w:right w:val="outset" w:sz="6" w:space="0" w:color="auto"/>
            </w:tcBorders>
            <w:hideMark/>
          </w:tcPr>
          <w:p w14:paraId="009E321C"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c>
          <w:tcPr>
            <w:tcW w:w="2038" w:type="dxa"/>
            <w:tcBorders>
              <w:top w:val="outset" w:sz="6" w:space="0" w:color="auto"/>
              <w:left w:val="outset" w:sz="6" w:space="0" w:color="auto"/>
              <w:bottom w:val="outset" w:sz="6" w:space="0" w:color="auto"/>
              <w:right w:val="outset" w:sz="6" w:space="0" w:color="auto"/>
            </w:tcBorders>
            <w:hideMark/>
          </w:tcPr>
          <w:p w14:paraId="4FF50801"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0</w:t>
            </w:r>
          </w:p>
        </w:tc>
      </w:tr>
      <w:tr w:rsidR="004C6F99" w:rsidRPr="009505C5" w14:paraId="1C7158DC"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04973ED5"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7625" w:type="dxa"/>
            <w:gridSpan w:val="15"/>
            <w:vMerge w:val="restart"/>
            <w:tcBorders>
              <w:top w:val="outset" w:sz="6" w:space="0" w:color="auto"/>
              <w:left w:val="outset" w:sz="6" w:space="0" w:color="auto"/>
              <w:bottom w:val="outset" w:sz="6" w:space="0" w:color="auto"/>
              <w:right w:val="outset" w:sz="6" w:space="0" w:color="auto"/>
            </w:tcBorders>
            <w:vAlign w:val="center"/>
            <w:hideMark/>
          </w:tcPr>
          <w:p w14:paraId="39521160" w14:textId="77777777" w:rsidR="007333BC" w:rsidRPr="009505C5" w:rsidRDefault="007333BC" w:rsidP="00D815A8">
            <w:pPr>
              <w:spacing w:after="0" w:line="240" w:lineRule="auto"/>
              <w:ind w:left="-60"/>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w:t>
            </w:r>
            <w:r w:rsidR="00A51265" w:rsidRPr="009505C5">
              <w:rPr>
                <w:rFonts w:ascii="Times New Roman" w:eastAsia="Times New Roman" w:hAnsi="Times New Roman" w:cs="Times New Roman"/>
                <w:sz w:val="28"/>
                <w:szCs w:val="28"/>
                <w:lang w:eastAsia="lv-LV"/>
              </w:rPr>
              <w:t xml:space="preserve">Noteikumu </w:t>
            </w:r>
            <w:r w:rsidR="00A51265" w:rsidRPr="009505C5">
              <w:rPr>
                <w:rFonts w:ascii="Times New Roman" w:eastAsia="Times New Roman" w:hAnsi="Times New Roman" w:cs="Times New Roman"/>
                <w:bCs/>
                <w:sz w:val="28"/>
                <w:szCs w:val="28"/>
                <w:lang w:eastAsia="lv-LV"/>
              </w:rPr>
              <w:t>projekts šo jomu neskar.</w:t>
            </w:r>
          </w:p>
        </w:tc>
      </w:tr>
      <w:tr w:rsidR="004C6F99" w:rsidRPr="009505C5" w14:paraId="4EBDC68D"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436AA04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6.1. detalizēts ieņēmumu aprēķins</w:t>
            </w:r>
          </w:p>
        </w:tc>
        <w:tc>
          <w:tcPr>
            <w:tcW w:w="7625" w:type="dxa"/>
            <w:gridSpan w:val="15"/>
            <w:vMerge/>
            <w:tcBorders>
              <w:top w:val="outset" w:sz="6" w:space="0" w:color="auto"/>
              <w:left w:val="outset" w:sz="6" w:space="0" w:color="auto"/>
              <w:bottom w:val="outset" w:sz="6" w:space="0" w:color="auto"/>
              <w:right w:val="outset" w:sz="6" w:space="0" w:color="auto"/>
            </w:tcBorders>
            <w:vAlign w:val="center"/>
            <w:hideMark/>
          </w:tcPr>
          <w:p w14:paraId="6C92972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r>
      <w:tr w:rsidR="004C6F99" w:rsidRPr="009505C5" w14:paraId="19E79242" w14:textId="77777777" w:rsidTr="009474E4">
        <w:tblPrEx>
          <w:jc w:val="center"/>
          <w:tblInd w:w="0" w:type="dxa"/>
        </w:tblPrEx>
        <w:trPr>
          <w:gridAfter w:val="1"/>
          <w:wAfter w:w="101" w:type="dxa"/>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6176F426"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6.2. detalizēts izdevumu aprēķins</w:t>
            </w:r>
          </w:p>
        </w:tc>
        <w:tc>
          <w:tcPr>
            <w:tcW w:w="7625" w:type="dxa"/>
            <w:gridSpan w:val="15"/>
            <w:vMerge/>
            <w:tcBorders>
              <w:top w:val="outset" w:sz="6" w:space="0" w:color="auto"/>
              <w:left w:val="outset" w:sz="6" w:space="0" w:color="auto"/>
              <w:bottom w:val="outset" w:sz="6" w:space="0" w:color="auto"/>
              <w:right w:val="outset" w:sz="6" w:space="0" w:color="auto"/>
            </w:tcBorders>
            <w:vAlign w:val="center"/>
            <w:hideMark/>
          </w:tcPr>
          <w:p w14:paraId="2B814958"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p>
        </w:tc>
      </w:tr>
      <w:tr w:rsidR="004C6F99" w:rsidRPr="009505C5" w14:paraId="185038E5" w14:textId="77777777" w:rsidTr="009474E4">
        <w:tblPrEx>
          <w:jc w:val="center"/>
          <w:tblInd w:w="0" w:type="dxa"/>
        </w:tblPrEx>
        <w:trPr>
          <w:gridAfter w:val="1"/>
          <w:wAfter w:w="101" w:type="dxa"/>
          <w:trHeight w:val="555"/>
          <w:tblCellSpacing w:w="15" w:type="dxa"/>
          <w:jc w:val="center"/>
        </w:trPr>
        <w:tc>
          <w:tcPr>
            <w:tcW w:w="1941" w:type="dxa"/>
            <w:gridSpan w:val="5"/>
            <w:tcBorders>
              <w:top w:val="outset" w:sz="6" w:space="0" w:color="auto"/>
              <w:left w:val="outset" w:sz="6" w:space="0" w:color="auto"/>
              <w:bottom w:val="outset" w:sz="6" w:space="0" w:color="auto"/>
              <w:right w:val="outset" w:sz="6" w:space="0" w:color="auto"/>
            </w:tcBorders>
            <w:hideMark/>
          </w:tcPr>
          <w:p w14:paraId="63E2A6EC" w14:textId="72C4CA0E" w:rsidR="00104278"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7. Cita informācija</w:t>
            </w:r>
          </w:p>
          <w:p w14:paraId="61735ACF" w14:textId="77777777" w:rsidR="007333BC" w:rsidRPr="009505C5" w:rsidRDefault="007333BC" w:rsidP="00886912">
            <w:pPr>
              <w:rPr>
                <w:rFonts w:ascii="Times New Roman" w:eastAsia="Times New Roman" w:hAnsi="Times New Roman" w:cs="Times New Roman"/>
                <w:sz w:val="28"/>
                <w:szCs w:val="28"/>
                <w:lang w:eastAsia="lv-LV"/>
              </w:rPr>
            </w:pPr>
          </w:p>
        </w:tc>
        <w:tc>
          <w:tcPr>
            <w:tcW w:w="7625" w:type="dxa"/>
            <w:gridSpan w:val="15"/>
            <w:tcBorders>
              <w:top w:val="outset" w:sz="6" w:space="0" w:color="auto"/>
              <w:left w:val="outset" w:sz="6" w:space="0" w:color="auto"/>
              <w:bottom w:val="outset" w:sz="6" w:space="0" w:color="auto"/>
              <w:right w:val="outset" w:sz="6" w:space="0" w:color="auto"/>
            </w:tcBorders>
            <w:hideMark/>
          </w:tcPr>
          <w:p w14:paraId="19E0A8B7" w14:textId="6DBC4400" w:rsidR="00F24106" w:rsidRPr="00F24106" w:rsidRDefault="00F24106" w:rsidP="00F24106">
            <w:pPr>
              <w:pStyle w:val="naisc"/>
              <w:spacing w:before="0" w:after="0"/>
              <w:ind w:left="6"/>
              <w:jc w:val="both"/>
              <w:rPr>
                <w:sz w:val="28"/>
                <w:szCs w:val="28"/>
              </w:rPr>
            </w:pPr>
            <w:r>
              <w:rPr>
                <w:sz w:val="28"/>
                <w:szCs w:val="28"/>
              </w:rPr>
              <w:t xml:space="preserve">     </w:t>
            </w:r>
            <w:r w:rsidRPr="00F24106">
              <w:rPr>
                <w:sz w:val="28"/>
                <w:szCs w:val="28"/>
              </w:rPr>
              <w:t>1. MK noteikumu 13.punkts pēc būtības nav papildināts ar jaunām uz projekta īstenošanu attiecināmām izmaksām. Noteikumu projektā pētniecības un attīstības vai inovācijas projektu attiecināmās izmaksas ir sakārtotas atbilstoši</w:t>
            </w:r>
            <w:r w:rsidRPr="00F24106">
              <w:rPr>
                <w:color w:val="000000"/>
                <w:sz w:val="28"/>
                <w:szCs w:val="28"/>
              </w:rPr>
              <w:t xml:space="preserve"> regulas Nr.651/2014 </w:t>
            </w:r>
            <w:r>
              <w:rPr>
                <w:color w:val="000000"/>
                <w:sz w:val="28"/>
                <w:szCs w:val="28"/>
              </w:rPr>
              <w:t>r</w:t>
            </w:r>
            <w:r w:rsidRPr="00F24106">
              <w:rPr>
                <w:color w:val="000000"/>
                <w:sz w:val="28"/>
                <w:szCs w:val="28"/>
              </w:rPr>
              <w:t>egulas (ES) Nr.1290/2013 nosacījumiem par projektu attiecināmajām izmaksām. Līgumi, kas ir noslēgti un šobr</w:t>
            </w:r>
            <w:r w:rsidRPr="00F24106">
              <w:rPr>
                <w:sz w:val="28"/>
                <w:szCs w:val="28"/>
              </w:rPr>
              <w:t>īd ir spēkā</w:t>
            </w:r>
            <w:r w:rsidRPr="00F24106">
              <w:rPr>
                <w:color w:val="000000"/>
                <w:sz w:val="28"/>
                <w:szCs w:val="28"/>
              </w:rPr>
              <w:t xml:space="preserve"> par valsts atbalsta vai līdzfinansējuma piešķiršanu Eiropas Savienības pētniecības un inovāciju programmu ietvaros </w:t>
            </w:r>
            <w:r w:rsidRPr="00F24106">
              <w:rPr>
                <w:color w:val="000000"/>
                <w:sz w:val="28"/>
                <w:szCs w:val="28"/>
              </w:rPr>
              <w:lastRenderedPageBreak/>
              <w:t xml:space="preserve">atbalstītajiem projektiem, izmaksu tāmēs ir iekļautas gan projektu tiešās, gan netiešās izmaksas. Līgumu izmaksu tāmes ir sastādītas atbilstoši iepriekšminēto regulu nosacījumiem par projektu izmaksām. Līgumi tika slēgti laikā, kad spēkā bija MK noteikumu Nr.259 pamata redakcija, kuras 13.3.punkts paredzēja pētniecības un attīstības projektu netiešās izmaksas. Līdz ar to </w:t>
            </w:r>
            <w:r w:rsidRPr="00F24106">
              <w:rPr>
                <w:sz w:val="28"/>
                <w:szCs w:val="28"/>
              </w:rPr>
              <w:t xml:space="preserve">Izglītības un zinātnes ministrijas valsts budžeta apakšprogrammā 70.06.00 “Dalība Eiropas Savienības pētniecības un tehnoloģiju attīstības programmās” 2017.gadā plānotais finansējuma apmērs un ar Ministru kabineta 2016.gada 13.decembra sēdes </w:t>
            </w:r>
            <w:proofErr w:type="spellStart"/>
            <w:r w:rsidRPr="00F24106">
              <w:rPr>
                <w:sz w:val="28"/>
                <w:szCs w:val="28"/>
              </w:rPr>
              <w:t>protokollēmumu</w:t>
            </w:r>
            <w:proofErr w:type="spellEnd"/>
            <w:r w:rsidRPr="00F24106">
              <w:rPr>
                <w:sz w:val="28"/>
                <w:szCs w:val="28"/>
              </w:rPr>
              <w:t xml:space="preserve"> 73.§ </w:t>
            </w:r>
            <w:r w:rsidRPr="00F24106">
              <w:rPr>
                <w:color w:val="2A2A2A"/>
                <w:sz w:val="28"/>
                <w:szCs w:val="28"/>
              </w:rPr>
              <w:t>Izglītības un zinātnes ministrijai dotā atļauja uzņemties valsts budžeta ilgtermiņa saistības 2017.gadā  3 162 203 EUR</w:t>
            </w:r>
            <w:r w:rsidRPr="00F24106">
              <w:rPr>
                <w:sz w:val="28"/>
                <w:szCs w:val="28"/>
              </w:rPr>
              <w:t xml:space="preserve"> apmērā, ietver visas projektu attiecināmās izmaksas. </w:t>
            </w:r>
            <w:r w:rsidRPr="00F24106">
              <w:rPr>
                <w:color w:val="000000"/>
                <w:sz w:val="28"/>
                <w:szCs w:val="28"/>
              </w:rPr>
              <w:t xml:space="preserve">     </w:t>
            </w:r>
            <w:r w:rsidRPr="00F24106">
              <w:rPr>
                <w:sz w:val="28"/>
                <w:szCs w:val="28"/>
              </w:rPr>
              <w:t xml:space="preserve"> </w:t>
            </w:r>
          </w:p>
          <w:p w14:paraId="392FF8D8" w14:textId="65A00F9A" w:rsidR="00866B10" w:rsidRPr="00866B10" w:rsidRDefault="00F24106" w:rsidP="00F24106">
            <w:pPr>
              <w:pStyle w:val="naisc"/>
              <w:spacing w:before="0" w:after="0"/>
              <w:jc w:val="both"/>
              <w:rPr>
                <w:rFonts w:eastAsiaTheme="minorHAnsi"/>
                <w:sz w:val="28"/>
                <w:szCs w:val="28"/>
                <w:lang w:eastAsia="en-US"/>
              </w:rPr>
            </w:pPr>
            <w:r>
              <w:rPr>
                <w:sz w:val="28"/>
                <w:szCs w:val="28"/>
              </w:rPr>
              <w:t xml:space="preserve">     2. </w:t>
            </w:r>
            <w:r w:rsidR="00866B10" w:rsidRPr="00866B10">
              <w:rPr>
                <w:sz w:val="28"/>
                <w:szCs w:val="28"/>
              </w:rPr>
              <w:t xml:space="preserve">Pamatojoties uz </w:t>
            </w:r>
            <w:r w:rsidR="00866B10" w:rsidRPr="00866B10">
              <w:rPr>
                <w:rFonts w:eastAsiaTheme="minorHAnsi"/>
                <w:bCs/>
                <w:color w:val="000000"/>
                <w:sz w:val="28"/>
                <w:szCs w:val="28"/>
                <w:lang w:eastAsia="en-US"/>
              </w:rPr>
              <w:t>MK 05.04.2016. sēdes</w:t>
            </w:r>
            <w:r w:rsidR="00866B10" w:rsidRPr="00866B10">
              <w:rPr>
                <w:rFonts w:eastAsiaTheme="minorHAnsi"/>
                <w:color w:val="000000"/>
                <w:sz w:val="28"/>
                <w:szCs w:val="28"/>
                <w:lang w:eastAsia="en-US"/>
              </w:rPr>
              <w:t xml:space="preserve"> </w:t>
            </w:r>
            <w:proofErr w:type="spellStart"/>
            <w:r w:rsidR="00866B10" w:rsidRPr="00866B10">
              <w:rPr>
                <w:rFonts w:eastAsiaTheme="minorHAnsi"/>
                <w:color w:val="000000"/>
                <w:sz w:val="28"/>
                <w:szCs w:val="28"/>
                <w:lang w:eastAsia="en-US"/>
              </w:rPr>
              <w:t>protokollēmuma</w:t>
            </w:r>
            <w:proofErr w:type="spellEnd"/>
            <w:r w:rsidR="00866B10" w:rsidRPr="00866B10">
              <w:rPr>
                <w:rFonts w:eastAsiaTheme="minorHAnsi"/>
                <w:color w:val="000000"/>
                <w:sz w:val="28"/>
                <w:szCs w:val="28"/>
                <w:lang w:eastAsia="en-US"/>
              </w:rPr>
              <w:t xml:space="preserve"> (prot.Nr.16  23.§) 2.punktu, ka</w:t>
            </w:r>
            <w:r w:rsidR="00866B10" w:rsidRPr="00866B10">
              <w:rPr>
                <w:rFonts w:eastAsiaTheme="minorHAnsi"/>
                <w:bCs/>
                <w:color w:val="000000"/>
                <w:sz w:val="28"/>
                <w:szCs w:val="28"/>
                <w:lang w:eastAsia="en-US"/>
              </w:rPr>
              <w:t xml:space="preserve"> </w:t>
            </w:r>
            <w:r w:rsidR="00866B10" w:rsidRPr="00866B10">
              <w:rPr>
                <w:rFonts w:eastAsiaTheme="minorHAnsi"/>
                <w:bCs/>
                <w:i/>
                <w:color w:val="000000"/>
                <w:sz w:val="28"/>
                <w:szCs w:val="28"/>
                <w:lang w:eastAsia="en-US"/>
              </w:rPr>
              <w:t>IZM nodrošina Latvijas pārstāvību</w:t>
            </w:r>
            <w:r w:rsidR="00866B10" w:rsidRPr="00866B10">
              <w:rPr>
                <w:rFonts w:eastAsiaTheme="minorHAnsi"/>
                <w:color w:val="000000"/>
                <w:sz w:val="28"/>
                <w:szCs w:val="28"/>
                <w:lang w:eastAsia="en-US"/>
              </w:rPr>
              <w:t xml:space="preserve"> un Latvijas zinātnisko institūciju piesaisti Eiropas pētniecības infrastruktūru stratēģiskā foruma (</w:t>
            </w:r>
            <w:proofErr w:type="spellStart"/>
            <w:r w:rsidR="00866B10" w:rsidRPr="00866B10">
              <w:rPr>
                <w:rFonts w:eastAsiaTheme="minorHAnsi"/>
                <w:color w:val="000000"/>
                <w:sz w:val="28"/>
                <w:szCs w:val="28"/>
                <w:lang w:eastAsia="en-US"/>
              </w:rPr>
              <w:t>European</w:t>
            </w:r>
            <w:proofErr w:type="spellEnd"/>
            <w:r w:rsidR="00866B10" w:rsidRPr="00866B10">
              <w:rPr>
                <w:rFonts w:eastAsiaTheme="minorHAnsi"/>
                <w:color w:val="000000"/>
                <w:sz w:val="28"/>
                <w:szCs w:val="28"/>
                <w:lang w:eastAsia="en-US"/>
              </w:rPr>
              <w:t xml:space="preserve"> </w:t>
            </w:r>
            <w:proofErr w:type="spellStart"/>
            <w:r w:rsidR="00866B10" w:rsidRPr="00866B10">
              <w:rPr>
                <w:rFonts w:eastAsiaTheme="minorHAnsi"/>
                <w:color w:val="000000"/>
                <w:sz w:val="28"/>
                <w:szCs w:val="28"/>
                <w:lang w:eastAsia="en-US"/>
              </w:rPr>
              <w:t>Strategy</w:t>
            </w:r>
            <w:proofErr w:type="spellEnd"/>
            <w:r w:rsidR="00866B10" w:rsidRPr="00866B10">
              <w:rPr>
                <w:rFonts w:eastAsiaTheme="minorHAnsi"/>
                <w:color w:val="000000"/>
                <w:sz w:val="28"/>
                <w:szCs w:val="28"/>
                <w:lang w:eastAsia="en-US"/>
              </w:rPr>
              <w:t xml:space="preserve"> Forum </w:t>
            </w:r>
            <w:proofErr w:type="spellStart"/>
            <w:r w:rsidR="00866B10" w:rsidRPr="00866B10">
              <w:rPr>
                <w:rFonts w:eastAsiaTheme="minorHAnsi"/>
                <w:color w:val="000000"/>
                <w:sz w:val="28"/>
                <w:szCs w:val="28"/>
                <w:lang w:eastAsia="en-US"/>
              </w:rPr>
              <w:t>on</w:t>
            </w:r>
            <w:proofErr w:type="spellEnd"/>
            <w:r w:rsidR="00866B10" w:rsidRPr="00866B10">
              <w:rPr>
                <w:rFonts w:eastAsiaTheme="minorHAnsi"/>
                <w:color w:val="000000"/>
                <w:sz w:val="28"/>
                <w:szCs w:val="28"/>
                <w:lang w:eastAsia="en-US"/>
              </w:rPr>
              <w:t xml:space="preserve"> </w:t>
            </w:r>
            <w:proofErr w:type="spellStart"/>
            <w:r w:rsidR="00866B10" w:rsidRPr="00866B10">
              <w:rPr>
                <w:rFonts w:eastAsiaTheme="minorHAnsi"/>
                <w:sz w:val="28"/>
                <w:szCs w:val="28"/>
                <w:lang w:eastAsia="en-US"/>
              </w:rPr>
              <w:t>Research</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Infrastructures</w:t>
            </w:r>
            <w:proofErr w:type="spellEnd"/>
            <w:r w:rsidR="00866B10" w:rsidRPr="00866B10">
              <w:rPr>
                <w:rFonts w:eastAsiaTheme="minorHAnsi"/>
                <w:sz w:val="28"/>
                <w:szCs w:val="28"/>
                <w:lang w:eastAsia="en-US"/>
              </w:rPr>
              <w:t xml:space="preserve"> (ESFRI)) Eiropas pētniecības infrastruktūru Ceļa kartē (</w:t>
            </w:r>
            <w:proofErr w:type="spellStart"/>
            <w:r w:rsidR="00866B10" w:rsidRPr="00866B10">
              <w:rPr>
                <w:rFonts w:eastAsiaTheme="minorHAnsi"/>
                <w:sz w:val="28"/>
                <w:szCs w:val="28"/>
                <w:lang w:eastAsia="en-US"/>
              </w:rPr>
              <w:t>European</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Roadmap</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for</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Researchers</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Infrastructures</w:t>
            </w:r>
            <w:proofErr w:type="spellEnd"/>
            <w:r w:rsidR="00866B10" w:rsidRPr="00866B10">
              <w:rPr>
                <w:rFonts w:eastAsiaTheme="minorHAnsi"/>
                <w:sz w:val="28"/>
                <w:szCs w:val="28"/>
                <w:lang w:eastAsia="en-US"/>
              </w:rPr>
              <w:t>) iekļautajos šādos Eiropas pētniecības infrastruktūru konsorcijos (</w:t>
            </w:r>
            <w:proofErr w:type="spellStart"/>
            <w:r w:rsidR="00866B10" w:rsidRPr="00866B10">
              <w:rPr>
                <w:rFonts w:eastAsiaTheme="minorHAnsi"/>
                <w:sz w:val="28"/>
                <w:szCs w:val="28"/>
                <w:lang w:eastAsia="en-US"/>
              </w:rPr>
              <w:t>European</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Research</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Infrastructure</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Consortium</w:t>
            </w:r>
            <w:proofErr w:type="spellEnd"/>
            <w:r w:rsidR="00866B10" w:rsidRPr="00866B10">
              <w:rPr>
                <w:rFonts w:eastAsiaTheme="minorHAnsi"/>
                <w:sz w:val="28"/>
                <w:szCs w:val="28"/>
                <w:lang w:eastAsia="en-US"/>
              </w:rPr>
              <w:t xml:space="preserve"> (ERIC)): BBMRI ERIC, CLARIN ERIC, </w:t>
            </w:r>
            <w:r w:rsidR="00866B10" w:rsidRPr="00866B10">
              <w:rPr>
                <w:rFonts w:eastAsiaTheme="minorHAnsi"/>
                <w:bCs/>
                <w:sz w:val="28"/>
                <w:szCs w:val="28"/>
                <w:lang w:eastAsia="en-US"/>
              </w:rPr>
              <w:t>ESS ERIC</w:t>
            </w:r>
            <w:r w:rsidR="00866B10" w:rsidRPr="00866B10">
              <w:rPr>
                <w:rFonts w:eastAsiaTheme="minorHAnsi"/>
                <w:sz w:val="28"/>
                <w:szCs w:val="28"/>
                <w:lang w:eastAsia="en-US"/>
              </w:rPr>
              <w:t xml:space="preserve">, JIV ERIC, EATRIS ERIC, kā arī </w:t>
            </w:r>
            <w:proofErr w:type="spellStart"/>
            <w:r w:rsidR="00866B10" w:rsidRPr="00866B10">
              <w:rPr>
                <w:rFonts w:eastAsiaTheme="minorHAnsi"/>
                <w:sz w:val="28"/>
                <w:szCs w:val="28"/>
                <w:lang w:eastAsia="en-US"/>
              </w:rPr>
              <w:t>European</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Research</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Infrastructure</w:t>
            </w:r>
            <w:proofErr w:type="spellEnd"/>
            <w:r w:rsidR="00866B10" w:rsidRPr="00866B10">
              <w:rPr>
                <w:rFonts w:eastAsiaTheme="minorHAnsi"/>
                <w:sz w:val="28"/>
                <w:szCs w:val="28"/>
                <w:lang w:eastAsia="en-US"/>
              </w:rPr>
              <w:t xml:space="preserve"> </w:t>
            </w:r>
            <w:proofErr w:type="spellStart"/>
            <w:r w:rsidR="00866B10" w:rsidRPr="00866B10">
              <w:rPr>
                <w:rFonts w:eastAsiaTheme="minorHAnsi"/>
                <w:sz w:val="28"/>
                <w:szCs w:val="28"/>
                <w:lang w:eastAsia="en-US"/>
              </w:rPr>
              <w:t>Consortium</w:t>
            </w:r>
            <w:proofErr w:type="spellEnd"/>
            <w:r w:rsidR="00866B10" w:rsidRPr="00866B10">
              <w:rPr>
                <w:rFonts w:eastAsiaTheme="minorHAnsi"/>
                <w:sz w:val="28"/>
                <w:szCs w:val="28"/>
                <w:lang w:eastAsia="en-US"/>
              </w:rPr>
              <w:t xml:space="preserve"> (ERIC) statusu ieguvušajās pētniecības platformās EU-OPENSCREEN, INSTRUCT, MIRRI.</w:t>
            </w:r>
          </w:p>
          <w:p w14:paraId="006A40CD" w14:textId="504EA864" w:rsidR="00866B10" w:rsidRPr="00866B10" w:rsidRDefault="00866B10" w:rsidP="00866B10">
            <w:pPr>
              <w:pStyle w:val="naisc"/>
              <w:spacing w:before="0" w:after="0"/>
              <w:jc w:val="both"/>
              <w:rPr>
                <w:sz w:val="28"/>
                <w:szCs w:val="28"/>
              </w:rPr>
            </w:pPr>
            <w:r w:rsidRPr="00866B10">
              <w:rPr>
                <w:rFonts w:eastAsiaTheme="minorHAnsi"/>
                <w:sz w:val="28"/>
                <w:szCs w:val="28"/>
                <w:lang w:eastAsia="en-US"/>
              </w:rPr>
              <w:t xml:space="preserve">     Minētā </w:t>
            </w:r>
            <w:proofErr w:type="spellStart"/>
            <w:r w:rsidRPr="00866B10">
              <w:rPr>
                <w:rFonts w:eastAsiaTheme="minorHAnsi"/>
                <w:sz w:val="28"/>
                <w:szCs w:val="28"/>
                <w:lang w:eastAsia="en-US"/>
              </w:rPr>
              <w:t>protokollēmuma</w:t>
            </w:r>
            <w:proofErr w:type="spellEnd"/>
            <w:r w:rsidRPr="00866B10">
              <w:rPr>
                <w:rFonts w:eastAsiaTheme="minorHAnsi"/>
                <w:sz w:val="28"/>
                <w:szCs w:val="28"/>
                <w:lang w:eastAsia="en-US"/>
              </w:rPr>
              <w:t xml:space="preserve"> 4.punktā noteikts, ka </w:t>
            </w:r>
            <w:r w:rsidRPr="00866B10">
              <w:rPr>
                <w:sz w:val="28"/>
                <w:szCs w:val="28"/>
              </w:rPr>
              <w:t>Izglītības un zinātnes ministrijai dalības maksu Eiropas pētniecības infrastruktūru stratēģiskā foruma Eiropas pētniecības infrastruktūru Ceļa kartes konsorcijos nodrošināt valsts budžeta programmas 70.00.00 "Citu Eiropas Savienības politiku instrumentu projektu un pasākumu īstenošana" apakšprogrammas 70.06.00 "Dalība Eiropas Savienības pētniecības un tehnoloģiju attīstības programmās" esošo līdzekļu ietvaros.</w:t>
            </w:r>
          </w:p>
          <w:p w14:paraId="570FA90A" w14:textId="22067A7B" w:rsidR="00866B10" w:rsidRPr="00866B10" w:rsidRDefault="00866B10" w:rsidP="00866B10">
            <w:pPr>
              <w:pStyle w:val="naisc"/>
              <w:spacing w:before="0" w:after="0"/>
              <w:jc w:val="both"/>
              <w:rPr>
                <w:sz w:val="28"/>
                <w:szCs w:val="28"/>
              </w:rPr>
            </w:pPr>
            <w:r w:rsidRPr="00866B10">
              <w:rPr>
                <w:sz w:val="28"/>
                <w:szCs w:val="28"/>
              </w:rPr>
              <w:t xml:space="preserve">     Par Latvijas ikgadējo dalības maksu segšanu Eiropas pētniecības infrastruktūru stratēģiskā foruma Eiropas pētniecības infrastruktūras konsorcijos, Izglītības un zinātnes ministrija gatavos informatīvo ziņojumu izskatīšanai Ministru kabinetā, lai saņemtu Ministru kabineta lēmumu par   papildu saistību uzņemšanos, lai nodrošinātu Latvijas pārstāvību </w:t>
            </w:r>
            <w:r w:rsidRPr="00866B10">
              <w:rPr>
                <w:rFonts w:eastAsiaTheme="minorHAnsi"/>
                <w:sz w:val="28"/>
                <w:szCs w:val="28"/>
                <w:lang w:eastAsia="en-US"/>
              </w:rPr>
              <w:t>Eiropas pētniecības infrastruktūru stratēģiskā foruma (</w:t>
            </w:r>
            <w:r w:rsidRPr="00866B10">
              <w:rPr>
                <w:sz w:val="28"/>
                <w:szCs w:val="28"/>
              </w:rPr>
              <w:t xml:space="preserve">ESFRI) </w:t>
            </w:r>
            <w:r w:rsidRPr="00866B10">
              <w:rPr>
                <w:rFonts w:eastAsiaTheme="minorHAnsi"/>
                <w:sz w:val="28"/>
                <w:szCs w:val="28"/>
                <w:lang w:eastAsia="en-US"/>
              </w:rPr>
              <w:t>Eiropas pētniecības infrastruktūru konsorcijos</w:t>
            </w:r>
            <w:r w:rsidRPr="00866B10">
              <w:rPr>
                <w:sz w:val="28"/>
                <w:szCs w:val="28"/>
              </w:rPr>
              <w:t xml:space="preserve">. </w:t>
            </w:r>
          </w:p>
          <w:p w14:paraId="0ED4C9B7" w14:textId="1F9E0355" w:rsidR="00866B10" w:rsidRPr="00866B10" w:rsidRDefault="00866B10" w:rsidP="00866B10">
            <w:pPr>
              <w:pStyle w:val="naisc"/>
              <w:spacing w:before="0" w:after="0"/>
              <w:jc w:val="both"/>
              <w:rPr>
                <w:sz w:val="28"/>
                <w:szCs w:val="28"/>
              </w:rPr>
            </w:pPr>
            <w:r w:rsidRPr="00866B10">
              <w:rPr>
                <w:sz w:val="28"/>
                <w:szCs w:val="28"/>
              </w:rPr>
              <w:t xml:space="preserve">     Pamatojoties uz attiecīgo Ministru kabineta lēmumu un MK noteikumu 5.1.apakšpunktu, IZM noteiktā kārtībā iesniegs pieprasījumu Finanšu ministrijā par finansējuma pārdali no </w:t>
            </w:r>
            <w:r w:rsidRPr="00866B10">
              <w:rPr>
                <w:sz w:val="28"/>
                <w:szCs w:val="28"/>
              </w:rPr>
              <w:lastRenderedPageBreak/>
              <w:t>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179DB5B2" w14:textId="6CE26AD8" w:rsidR="008F54E9" w:rsidRPr="009505C5" w:rsidRDefault="008F54E9" w:rsidP="00866B10">
            <w:pPr>
              <w:pStyle w:val="naisc"/>
              <w:spacing w:before="0" w:after="0"/>
              <w:jc w:val="both"/>
              <w:rPr>
                <w:sz w:val="28"/>
                <w:szCs w:val="28"/>
              </w:rPr>
            </w:pPr>
          </w:p>
        </w:tc>
      </w:tr>
      <w:tr w:rsidR="004C6F99" w:rsidRPr="009505C5" w14:paraId="1043457C" w14:textId="77777777" w:rsidTr="009474E4">
        <w:trPr>
          <w:gridAfter w:val="1"/>
          <w:wAfter w:w="101" w:type="dxa"/>
          <w:tblCellSpacing w:w="15" w:type="dxa"/>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58A36AC1" w14:textId="08DF9A9E" w:rsidR="007333BC" w:rsidRPr="009505C5" w:rsidRDefault="007333BC" w:rsidP="0014705E">
            <w:pPr>
              <w:spacing w:after="0" w:line="240" w:lineRule="auto"/>
              <w:ind w:firstLine="301"/>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lastRenderedPageBreak/>
              <w:t>V. Tiesību akta projekta atbilstība Latvijas Republikas starptautiskajām saistībām</w:t>
            </w:r>
          </w:p>
        </w:tc>
      </w:tr>
      <w:tr w:rsidR="004C6F99" w:rsidRPr="009505C5" w14:paraId="76F975B9" w14:textId="77777777" w:rsidTr="009474E4">
        <w:trPr>
          <w:gridAfter w:val="1"/>
          <w:wAfter w:w="101" w:type="dxa"/>
          <w:tblCellSpacing w:w="15" w:type="dxa"/>
        </w:trPr>
        <w:tc>
          <w:tcPr>
            <w:tcW w:w="670" w:type="dxa"/>
            <w:gridSpan w:val="3"/>
            <w:tcBorders>
              <w:top w:val="outset" w:sz="6" w:space="0" w:color="auto"/>
              <w:left w:val="outset" w:sz="6" w:space="0" w:color="auto"/>
              <w:bottom w:val="outset" w:sz="6" w:space="0" w:color="auto"/>
              <w:right w:val="outset" w:sz="6" w:space="0" w:color="auto"/>
            </w:tcBorders>
            <w:hideMark/>
          </w:tcPr>
          <w:p w14:paraId="7FCD5194"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1777" w:type="dxa"/>
            <w:gridSpan w:val="5"/>
            <w:tcBorders>
              <w:top w:val="outset" w:sz="6" w:space="0" w:color="auto"/>
              <w:left w:val="outset" w:sz="6" w:space="0" w:color="auto"/>
              <w:bottom w:val="outset" w:sz="6" w:space="0" w:color="auto"/>
              <w:right w:val="outset" w:sz="6" w:space="0" w:color="auto"/>
            </w:tcBorders>
            <w:hideMark/>
          </w:tcPr>
          <w:p w14:paraId="02BF8910"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Saistības pret Eiropas Savienību</w:t>
            </w:r>
          </w:p>
        </w:tc>
        <w:tc>
          <w:tcPr>
            <w:tcW w:w="7089" w:type="dxa"/>
            <w:gridSpan w:val="12"/>
            <w:tcBorders>
              <w:top w:val="outset" w:sz="6" w:space="0" w:color="auto"/>
              <w:left w:val="outset" w:sz="6" w:space="0" w:color="auto"/>
              <w:bottom w:val="outset" w:sz="6" w:space="0" w:color="auto"/>
              <w:right w:val="outset" w:sz="6" w:space="0" w:color="auto"/>
            </w:tcBorders>
            <w:hideMark/>
          </w:tcPr>
          <w:p w14:paraId="5E696DBD" w14:textId="77777777" w:rsidR="006A4EED" w:rsidRPr="009505C5" w:rsidRDefault="00E65FAA" w:rsidP="00772673">
            <w:pPr>
              <w:spacing w:after="0" w:line="240" w:lineRule="auto"/>
              <w:jc w:val="both"/>
              <w:rPr>
                <w:rFonts w:ascii="Times New Roman" w:hAnsi="Times New Roman" w:cs="Times New Roman"/>
                <w:sz w:val="28"/>
                <w:szCs w:val="28"/>
                <w:lang w:eastAsia="lv-LV"/>
              </w:rPr>
            </w:pPr>
            <w:r w:rsidRPr="009505C5">
              <w:rPr>
                <w:rFonts w:ascii="Times New Roman" w:hAnsi="Times New Roman" w:cs="Times New Roman"/>
                <w:sz w:val="28"/>
                <w:szCs w:val="28"/>
              </w:rPr>
              <w:t>Eiropas Komisijas 2014.gada 17.jūnija Regula (EK) Nr.651/2014, ar ko noteiktas atbalsta kategorijas atzīst par saderīgām ar iekšējo tirgu, piemērojot Līguma 107 un 108.pantu (</w:t>
            </w:r>
            <w:r w:rsidRPr="009505C5">
              <w:rPr>
                <w:rFonts w:ascii="Times New Roman" w:hAnsi="Times New Roman" w:cs="Times New Roman"/>
                <w:sz w:val="28"/>
                <w:szCs w:val="28"/>
                <w:lang w:eastAsia="lv-LV"/>
              </w:rPr>
              <w:t>Eiropas Savienības Oficiālais Vēstnesis, 2014.gada 26.jūnijs, Nr. L 187)</w:t>
            </w:r>
            <w:r w:rsidR="00886912" w:rsidRPr="009505C5">
              <w:rPr>
                <w:rFonts w:ascii="Times New Roman" w:hAnsi="Times New Roman" w:cs="Times New Roman"/>
                <w:sz w:val="28"/>
                <w:szCs w:val="28"/>
                <w:lang w:eastAsia="lv-LV"/>
              </w:rPr>
              <w:t xml:space="preserve"> (turpmāk – r</w:t>
            </w:r>
            <w:r w:rsidR="00661127" w:rsidRPr="009505C5">
              <w:rPr>
                <w:rFonts w:ascii="Times New Roman" w:hAnsi="Times New Roman" w:cs="Times New Roman"/>
                <w:sz w:val="28"/>
                <w:szCs w:val="28"/>
                <w:lang w:eastAsia="lv-LV"/>
              </w:rPr>
              <w:t>egula</w:t>
            </w:r>
            <w:r w:rsidR="00886912" w:rsidRPr="009505C5">
              <w:rPr>
                <w:rFonts w:ascii="Times New Roman" w:hAnsi="Times New Roman" w:cs="Times New Roman"/>
                <w:sz w:val="28"/>
                <w:szCs w:val="28"/>
                <w:lang w:eastAsia="lv-LV"/>
              </w:rPr>
              <w:t xml:space="preserve"> Nr.651/2014</w:t>
            </w:r>
            <w:r w:rsidR="00661127" w:rsidRPr="009505C5">
              <w:rPr>
                <w:rFonts w:ascii="Times New Roman" w:hAnsi="Times New Roman" w:cs="Times New Roman"/>
                <w:sz w:val="28"/>
                <w:szCs w:val="28"/>
                <w:lang w:eastAsia="lv-LV"/>
              </w:rPr>
              <w:t>)</w:t>
            </w:r>
            <w:r w:rsidR="00886912" w:rsidRPr="009505C5">
              <w:rPr>
                <w:rFonts w:ascii="Times New Roman" w:hAnsi="Times New Roman" w:cs="Times New Roman"/>
                <w:sz w:val="28"/>
                <w:szCs w:val="28"/>
                <w:lang w:eastAsia="lv-LV"/>
              </w:rPr>
              <w:t>.</w:t>
            </w:r>
          </w:p>
          <w:p w14:paraId="08F9ECAE" w14:textId="716F4071" w:rsidR="00017D5E" w:rsidRPr="009505C5" w:rsidRDefault="00017D5E" w:rsidP="00772673">
            <w:pPr>
              <w:spacing w:after="0" w:line="240" w:lineRule="auto"/>
              <w:jc w:val="both"/>
              <w:rPr>
                <w:rFonts w:ascii="Times New Roman" w:hAnsi="Times New Roman" w:cs="Times New Roman"/>
                <w:sz w:val="28"/>
                <w:szCs w:val="28"/>
                <w:lang w:eastAsia="lv-LV"/>
              </w:rPr>
            </w:pPr>
            <w:r w:rsidRPr="009505C5">
              <w:rPr>
                <w:rFonts w:ascii="Times New Roman" w:hAnsi="Times New Roman" w:cs="Times New Roman"/>
                <w:bCs/>
                <w:sz w:val="28"/>
                <w:szCs w:val="28"/>
              </w:rPr>
              <w:t xml:space="preserve">Eiropas Parlamenta un Padomes 2013. gada 11. decembra Regulai  (ES) Nr. 1290/2013, ar ko nosaka pētniecības un inovācijas pamatprogrammas </w:t>
            </w:r>
            <w:r w:rsidRPr="009505C5">
              <w:rPr>
                <w:rFonts w:ascii="Times New Roman" w:hAnsi="Times New Roman" w:cs="Times New Roman"/>
                <w:sz w:val="28"/>
                <w:szCs w:val="28"/>
              </w:rPr>
              <w:t>"</w:t>
            </w:r>
            <w:r w:rsidRPr="009505C5">
              <w:rPr>
                <w:rFonts w:ascii="Times New Roman" w:hAnsi="Times New Roman" w:cs="Times New Roman"/>
                <w:bCs/>
                <w:sz w:val="28"/>
                <w:szCs w:val="28"/>
              </w:rPr>
              <w:t>Apvārsnis 2020</w:t>
            </w:r>
            <w:r w:rsidRPr="009505C5">
              <w:rPr>
                <w:rFonts w:ascii="Times New Roman" w:hAnsi="Times New Roman" w:cs="Times New Roman"/>
                <w:sz w:val="28"/>
                <w:szCs w:val="28"/>
              </w:rPr>
              <w:t xml:space="preserve">" </w:t>
            </w:r>
            <w:r w:rsidRPr="009505C5">
              <w:rPr>
                <w:rFonts w:ascii="Times New Roman" w:hAnsi="Times New Roman" w:cs="Times New Roman"/>
                <w:bCs/>
                <w:sz w:val="28"/>
                <w:szCs w:val="28"/>
              </w:rPr>
              <w:t xml:space="preserve">(2014.–2020. gads) dalības un rezultātu izplatīšanas noteikumus un atceļ Regulu (EK) Nr. 1906/2006 (Dokuments attiecas uz EEZ) </w:t>
            </w:r>
            <w:r w:rsidRPr="009505C5">
              <w:rPr>
                <w:rFonts w:ascii="Times New Roman" w:hAnsi="Times New Roman" w:cs="Times New Roman"/>
                <w:sz w:val="28"/>
                <w:szCs w:val="28"/>
              </w:rPr>
              <w:t>(Eiropas Savienības Oficiālais Vēstnesis 2013.gada 20.decembris, Nr. L 347/81)</w:t>
            </w:r>
            <w:r w:rsidRPr="009505C5">
              <w:rPr>
                <w:rFonts w:ascii="Times New Roman" w:hAnsi="Times New Roman" w:cs="Times New Roman"/>
                <w:bCs/>
                <w:sz w:val="28"/>
                <w:szCs w:val="28"/>
              </w:rPr>
              <w:t xml:space="preserve"> (turpmāk - </w:t>
            </w:r>
            <w:r w:rsidRPr="009505C5">
              <w:rPr>
                <w:rFonts w:ascii="Times New Roman" w:eastAsia="Times New Roman" w:hAnsi="Times New Roman" w:cs="Times New Roman"/>
                <w:sz w:val="28"/>
                <w:szCs w:val="28"/>
                <w:lang w:eastAsia="lv-LV"/>
              </w:rPr>
              <w:t>regula Nr.1290/2013).</w:t>
            </w:r>
          </w:p>
        </w:tc>
      </w:tr>
      <w:tr w:rsidR="004C6F99" w:rsidRPr="009505C5" w14:paraId="303855D9" w14:textId="77777777" w:rsidTr="009474E4">
        <w:trPr>
          <w:gridAfter w:val="1"/>
          <w:wAfter w:w="101" w:type="dxa"/>
          <w:tblCellSpacing w:w="15" w:type="dxa"/>
        </w:trPr>
        <w:tc>
          <w:tcPr>
            <w:tcW w:w="670" w:type="dxa"/>
            <w:gridSpan w:val="3"/>
            <w:tcBorders>
              <w:top w:val="outset" w:sz="6" w:space="0" w:color="auto"/>
              <w:left w:val="outset" w:sz="6" w:space="0" w:color="auto"/>
              <w:bottom w:val="outset" w:sz="6" w:space="0" w:color="auto"/>
              <w:right w:val="outset" w:sz="6" w:space="0" w:color="auto"/>
            </w:tcBorders>
            <w:hideMark/>
          </w:tcPr>
          <w:p w14:paraId="5B2638FA"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1777" w:type="dxa"/>
            <w:gridSpan w:val="5"/>
            <w:tcBorders>
              <w:top w:val="outset" w:sz="6" w:space="0" w:color="auto"/>
              <w:left w:val="outset" w:sz="6" w:space="0" w:color="auto"/>
              <w:bottom w:val="outset" w:sz="6" w:space="0" w:color="auto"/>
              <w:right w:val="outset" w:sz="6" w:space="0" w:color="auto"/>
            </w:tcBorders>
            <w:hideMark/>
          </w:tcPr>
          <w:p w14:paraId="6464A669"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Citas starptautiskās saistības</w:t>
            </w:r>
          </w:p>
        </w:tc>
        <w:tc>
          <w:tcPr>
            <w:tcW w:w="7089" w:type="dxa"/>
            <w:gridSpan w:val="12"/>
            <w:tcBorders>
              <w:top w:val="outset" w:sz="6" w:space="0" w:color="auto"/>
              <w:left w:val="outset" w:sz="6" w:space="0" w:color="auto"/>
              <w:bottom w:val="outset" w:sz="6" w:space="0" w:color="auto"/>
              <w:right w:val="outset" w:sz="6" w:space="0" w:color="auto"/>
            </w:tcBorders>
            <w:hideMark/>
          </w:tcPr>
          <w:p w14:paraId="0450F0F3" w14:textId="77777777" w:rsidR="007333BC" w:rsidRPr="009505C5" w:rsidRDefault="000B7FAD"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Noteikumu </w:t>
            </w:r>
            <w:r w:rsidRPr="009505C5">
              <w:rPr>
                <w:rFonts w:ascii="Times New Roman" w:eastAsia="Times New Roman" w:hAnsi="Times New Roman" w:cs="Times New Roman"/>
                <w:bCs/>
                <w:sz w:val="28"/>
                <w:szCs w:val="28"/>
                <w:lang w:eastAsia="lv-LV"/>
              </w:rPr>
              <w:t>projekts šo jomu neskar.</w:t>
            </w:r>
          </w:p>
        </w:tc>
      </w:tr>
      <w:tr w:rsidR="004C6F99" w:rsidRPr="009505C5" w14:paraId="22122BFD" w14:textId="77777777" w:rsidTr="009474E4">
        <w:trPr>
          <w:gridAfter w:val="1"/>
          <w:wAfter w:w="101" w:type="dxa"/>
          <w:tblCellSpacing w:w="15" w:type="dxa"/>
        </w:trPr>
        <w:tc>
          <w:tcPr>
            <w:tcW w:w="670" w:type="dxa"/>
            <w:gridSpan w:val="3"/>
            <w:tcBorders>
              <w:top w:val="outset" w:sz="6" w:space="0" w:color="auto"/>
              <w:left w:val="outset" w:sz="6" w:space="0" w:color="auto"/>
              <w:bottom w:val="outset" w:sz="6" w:space="0" w:color="auto"/>
              <w:right w:val="outset" w:sz="6" w:space="0" w:color="auto"/>
            </w:tcBorders>
            <w:hideMark/>
          </w:tcPr>
          <w:p w14:paraId="7C4228D1"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w:t>
            </w:r>
          </w:p>
        </w:tc>
        <w:tc>
          <w:tcPr>
            <w:tcW w:w="1777" w:type="dxa"/>
            <w:gridSpan w:val="5"/>
            <w:tcBorders>
              <w:top w:val="outset" w:sz="6" w:space="0" w:color="auto"/>
              <w:left w:val="outset" w:sz="6" w:space="0" w:color="auto"/>
              <w:bottom w:val="outset" w:sz="6" w:space="0" w:color="auto"/>
              <w:right w:val="outset" w:sz="6" w:space="0" w:color="auto"/>
            </w:tcBorders>
            <w:hideMark/>
          </w:tcPr>
          <w:p w14:paraId="1124C29B"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7089" w:type="dxa"/>
            <w:gridSpan w:val="12"/>
            <w:tcBorders>
              <w:top w:val="outset" w:sz="6" w:space="0" w:color="auto"/>
              <w:left w:val="outset" w:sz="6" w:space="0" w:color="auto"/>
              <w:bottom w:val="outset" w:sz="6" w:space="0" w:color="auto"/>
              <w:right w:val="outset" w:sz="6" w:space="0" w:color="auto"/>
            </w:tcBorders>
            <w:hideMark/>
          </w:tcPr>
          <w:p w14:paraId="4A4A5E58" w14:textId="068B163E" w:rsidR="006C71E6" w:rsidRPr="009505C5" w:rsidRDefault="006C71E6" w:rsidP="00123151">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sz w:val="28"/>
                <w:szCs w:val="28"/>
              </w:rPr>
              <w:t>Informācija par atbalsta programmu tiks publicēta Izglītības un zinātnes ministrijas un Valsts izglītības attīstības a</w:t>
            </w:r>
            <w:r w:rsidR="001519E4" w:rsidRPr="009505C5">
              <w:rPr>
                <w:rFonts w:ascii="Times New Roman" w:hAnsi="Times New Roman" w:cs="Times New Roman"/>
                <w:sz w:val="28"/>
                <w:szCs w:val="28"/>
              </w:rPr>
              <w:t>ģentūras mājaslapās saskaņā ar r</w:t>
            </w:r>
            <w:r w:rsidRPr="009505C5">
              <w:rPr>
                <w:rFonts w:ascii="Times New Roman" w:hAnsi="Times New Roman" w:cs="Times New Roman"/>
                <w:sz w:val="28"/>
                <w:szCs w:val="28"/>
              </w:rPr>
              <w:t>egulas</w:t>
            </w:r>
            <w:r w:rsidR="001519E4" w:rsidRPr="009505C5">
              <w:rPr>
                <w:rFonts w:ascii="Times New Roman" w:hAnsi="Times New Roman" w:cs="Times New Roman"/>
                <w:sz w:val="28"/>
                <w:szCs w:val="28"/>
              </w:rPr>
              <w:t xml:space="preserve"> nr.651/2014 </w:t>
            </w:r>
            <w:r w:rsidRPr="009505C5">
              <w:rPr>
                <w:rFonts w:ascii="Times New Roman" w:hAnsi="Times New Roman" w:cs="Times New Roman"/>
                <w:sz w:val="28"/>
                <w:szCs w:val="28"/>
              </w:rPr>
              <w:t xml:space="preserve"> 9.panta 1., 2. un 4.punktu, no projekta spēkā stāšanās dienas, tai skaitā, tiks norādīts, ka informāciju publicē, ievērojot regulas II un III pielikumā noteiktās prasības.</w:t>
            </w:r>
          </w:p>
        </w:tc>
      </w:tr>
      <w:tr w:rsidR="004C6F99" w:rsidRPr="009505C5" w14:paraId="41D1D0FA" w14:textId="77777777" w:rsidTr="009474E4">
        <w:tblPrEx>
          <w:jc w:val="center"/>
          <w:tblInd w:w="0" w:type="dxa"/>
        </w:tblPrEx>
        <w:trPr>
          <w:gridAfter w:val="1"/>
          <w:wAfter w:w="101" w:type="dxa"/>
          <w:tblCellSpacing w:w="15" w:type="dxa"/>
          <w:jc w:val="center"/>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2E2E5078"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sz w:val="28"/>
                <w:szCs w:val="28"/>
                <w:lang w:eastAsia="lv-LV"/>
              </w:rPr>
              <w:t> </w:t>
            </w:r>
            <w:r w:rsidRPr="009505C5">
              <w:rPr>
                <w:rFonts w:ascii="Times New Roman" w:eastAsia="Times New Roman" w:hAnsi="Times New Roman" w:cs="Times New Roman"/>
                <w:b/>
                <w:bCs/>
                <w:sz w:val="28"/>
                <w:szCs w:val="28"/>
                <w:lang w:eastAsia="lv-LV"/>
              </w:rPr>
              <w:t>1.tabula</w:t>
            </w:r>
            <w:r w:rsidRPr="009505C5">
              <w:rPr>
                <w:rFonts w:ascii="Times New Roman" w:eastAsia="Times New Roman" w:hAnsi="Times New Roman" w:cs="Times New Roman"/>
                <w:b/>
                <w:bCs/>
                <w:sz w:val="28"/>
                <w:szCs w:val="28"/>
                <w:lang w:eastAsia="lv-LV"/>
              </w:rPr>
              <w:br/>
              <w:t>Tiesību akta projekta atbilstība ES tiesību aktiem</w:t>
            </w:r>
          </w:p>
        </w:tc>
      </w:tr>
      <w:tr w:rsidR="004C6F99" w:rsidRPr="009505C5" w14:paraId="64A0E769"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hideMark/>
          </w:tcPr>
          <w:p w14:paraId="294AE84E" w14:textId="77777777" w:rsidR="007333BC" w:rsidRPr="009505C5" w:rsidRDefault="007333BC" w:rsidP="007333BC">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Attiecīgā ES tiesību akta datums, numurs un nosaukums</w:t>
            </w:r>
          </w:p>
        </w:tc>
        <w:tc>
          <w:tcPr>
            <w:tcW w:w="7536" w:type="dxa"/>
            <w:gridSpan w:val="14"/>
            <w:tcBorders>
              <w:top w:val="outset" w:sz="6" w:space="0" w:color="auto"/>
              <w:left w:val="outset" w:sz="6" w:space="0" w:color="auto"/>
              <w:bottom w:val="outset" w:sz="6" w:space="0" w:color="auto"/>
              <w:right w:val="outset" w:sz="6" w:space="0" w:color="auto"/>
            </w:tcBorders>
            <w:hideMark/>
          </w:tcPr>
          <w:p w14:paraId="39BEB7E0" w14:textId="1743802F" w:rsidR="007333BC" w:rsidRPr="009505C5" w:rsidRDefault="001519E4" w:rsidP="00A87B45">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sz w:val="28"/>
                <w:szCs w:val="28"/>
                <w:lang w:eastAsia="lv-LV"/>
              </w:rPr>
              <w:t xml:space="preserve">regula Nr.651/2014 un </w:t>
            </w:r>
            <w:r w:rsidRPr="009505C5">
              <w:rPr>
                <w:rFonts w:ascii="Times New Roman" w:eastAsia="Times New Roman" w:hAnsi="Times New Roman" w:cs="Times New Roman"/>
                <w:sz w:val="28"/>
                <w:szCs w:val="28"/>
                <w:lang w:eastAsia="lv-LV"/>
              </w:rPr>
              <w:t>regula Nr.1290/2013</w:t>
            </w:r>
          </w:p>
        </w:tc>
      </w:tr>
      <w:tr w:rsidR="004C6F99" w:rsidRPr="009505C5" w14:paraId="2627A86D"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vAlign w:val="center"/>
            <w:hideMark/>
          </w:tcPr>
          <w:p w14:paraId="0BDA9B96"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A</w:t>
            </w:r>
          </w:p>
        </w:tc>
        <w:tc>
          <w:tcPr>
            <w:tcW w:w="2063" w:type="dxa"/>
            <w:gridSpan w:val="8"/>
            <w:tcBorders>
              <w:top w:val="outset" w:sz="6" w:space="0" w:color="auto"/>
              <w:left w:val="outset" w:sz="6" w:space="0" w:color="auto"/>
              <w:bottom w:val="outset" w:sz="6" w:space="0" w:color="auto"/>
              <w:right w:val="outset" w:sz="6" w:space="0" w:color="auto"/>
            </w:tcBorders>
            <w:vAlign w:val="center"/>
            <w:hideMark/>
          </w:tcPr>
          <w:p w14:paraId="5C8F874E"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B</w:t>
            </w:r>
          </w:p>
        </w:tc>
        <w:tc>
          <w:tcPr>
            <w:tcW w:w="2580" w:type="dxa"/>
            <w:gridSpan w:val="4"/>
            <w:tcBorders>
              <w:top w:val="outset" w:sz="6" w:space="0" w:color="auto"/>
              <w:left w:val="outset" w:sz="6" w:space="0" w:color="auto"/>
              <w:bottom w:val="outset" w:sz="6" w:space="0" w:color="auto"/>
              <w:right w:val="outset" w:sz="6" w:space="0" w:color="auto"/>
            </w:tcBorders>
            <w:vAlign w:val="center"/>
            <w:hideMark/>
          </w:tcPr>
          <w:p w14:paraId="0946B5EC"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w:t>
            </w:r>
          </w:p>
        </w:tc>
        <w:tc>
          <w:tcPr>
            <w:tcW w:w="2833" w:type="dxa"/>
            <w:gridSpan w:val="2"/>
            <w:tcBorders>
              <w:top w:val="outset" w:sz="6" w:space="0" w:color="auto"/>
              <w:left w:val="outset" w:sz="6" w:space="0" w:color="auto"/>
              <w:bottom w:val="outset" w:sz="6" w:space="0" w:color="auto"/>
              <w:right w:val="outset" w:sz="6" w:space="0" w:color="auto"/>
            </w:tcBorders>
            <w:vAlign w:val="center"/>
            <w:hideMark/>
          </w:tcPr>
          <w:p w14:paraId="78BDD880" w14:textId="77777777" w:rsidR="007333BC" w:rsidRPr="009505C5" w:rsidRDefault="007333BC" w:rsidP="007333BC">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D</w:t>
            </w:r>
          </w:p>
        </w:tc>
      </w:tr>
      <w:tr w:rsidR="004C6F99" w:rsidRPr="009505C5" w14:paraId="08AAC51A"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hideMark/>
          </w:tcPr>
          <w:p w14:paraId="5A75363D" w14:textId="77777777" w:rsidR="007333BC" w:rsidRPr="009505C5" w:rsidRDefault="007333BC" w:rsidP="0014705E">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Attiecīgā ES tiesību akta panta numurs (uzskaitot katru tiesību akta </w:t>
            </w:r>
            <w:r w:rsidRPr="009505C5">
              <w:rPr>
                <w:rFonts w:ascii="Times New Roman" w:eastAsia="Times New Roman" w:hAnsi="Times New Roman" w:cs="Times New Roman"/>
                <w:sz w:val="28"/>
                <w:szCs w:val="28"/>
                <w:lang w:eastAsia="lv-LV"/>
              </w:rPr>
              <w:lastRenderedPageBreak/>
              <w:t>vienību – pantu, daļu, punktu, apakšpunktu)</w:t>
            </w:r>
          </w:p>
        </w:tc>
        <w:tc>
          <w:tcPr>
            <w:tcW w:w="2063" w:type="dxa"/>
            <w:gridSpan w:val="8"/>
            <w:tcBorders>
              <w:top w:val="outset" w:sz="6" w:space="0" w:color="auto"/>
              <w:left w:val="outset" w:sz="6" w:space="0" w:color="auto"/>
              <w:bottom w:val="outset" w:sz="6" w:space="0" w:color="auto"/>
              <w:right w:val="outset" w:sz="6" w:space="0" w:color="auto"/>
            </w:tcBorders>
            <w:hideMark/>
          </w:tcPr>
          <w:p w14:paraId="5DAE976D" w14:textId="77777777" w:rsidR="007333BC" w:rsidRPr="009505C5" w:rsidRDefault="007333BC" w:rsidP="0014705E">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 xml:space="preserve">Projekta vienība, kas pārņem vai ievieš katru šīs tabulas A ailē minēto ES tiesību </w:t>
            </w:r>
            <w:r w:rsidRPr="009505C5">
              <w:rPr>
                <w:rFonts w:ascii="Times New Roman" w:eastAsia="Times New Roman" w:hAnsi="Times New Roman" w:cs="Times New Roman"/>
                <w:sz w:val="28"/>
                <w:szCs w:val="28"/>
                <w:lang w:eastAsia="lv-LV"/>
              </w:rPr>
              <w:lastRenderedPageBreak/>
              <w:t>akta vienību, vai tiesību akts, kur attiecīgā ES tiesību akta vienība pārņemta vai ieviesta</w:t>
            </w:r>
          </w:p>
        </w:tc>
        <w:tc>
          <w:tcPr>
            <w:tcW w:w="2580" w:type="dxa"/>
            <w:gridSpan w:val="4"/>
            <w:tcBorders>
              <w:top w:val="outset" w:sz="6" w:space="0" w:color="auto"/>
              <w:left w:val="outset" w:sz="6" w:space="0" w:color="auto"/>
              <w:bottom w:val="outset" w:sz="6" w:space="0" w:color="auto"/>
              <w:right w:val="outset" w:sz="6" w:space="0" w:color="auto"/>
            </w:tcBorders>
            <w:hideMark/>
          </w:tcPr>
          <w:p w14:paraId="0DF42590" w14:textId="77777777" w:rsidR="007333BC" w:rsidRPr="009505C5" w:rsidRDefault="007333BC" w:rsidP="0014705E">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 xml:space="preserve">Informācija par to, vai šīs tabulas A ailē minētās ES tiesību akta vienības tiek pārņemtas vai </w:t>
            </w:r>
            <w:r w:rsidRPr="009505C5">
              <w:rPr>
                <w:rFonts w:ascii="Times New Roman" w:eastAsia="Times New Roman" w:hAnsi="Times New Roman" w:cs="Times New Roman"/>
                <w:sz w:val="28"/>
                <w:szCs w:val="28"/>
                <w:lang w:eastAsia="lv-LV"/>
              </w:rPr>
              <w:lastRenderedPageBreak/>
              <w:t xml:space="preserve">ieviestas pilnībā vai daļēji. </w:t>
            </w:r>
          </w:p>
          <w:p w14:paraId="6A51CD8B" w14:textId="77777777" w:rsidR="007333BC" w:rsidRPr="009505C5" w:rsidRDefault="007333BC" w:rsidP="00AD1AED">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14:paraId="5F472B3B" w14:textId="77777777" w:rsidR="007333BC" w:rsidRPr="009505C5" w:rsidRDefault="007333BC" w:rsidP="00AD1AED">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Norāda institūciju, kas ir atbildīga par šo saistību izpildi pilnībā</w:t>
            </w:r>
          </w:p>
        </w:tc>
        <w:tc>
          <w:tcPr>
            <w:tcW w:w="2833" w:type="dxa"/>
            <w:gridSpan w:val="2"/>
            <w:tcBorders>
              <w:top w:val="outset" w:sz="6" w:space="0" w:color="auto"/>
              <w:left w:val="outset" w:sz="6" w:space="0" w:color="auto"/>
              <w:bottom w:val="outset" w:sz="6" w:space="0" w:color="auto"/>
              <w:right w:val="outset" w:sz="6" w:space="0" w:color="auto"/>
            </w:tcBorders>
            <w:hideMark/>
          </w:tcPr>
          <w:p w14:paraId="48525930" w14:textId="77777777" w:rsidR="007333BC" w:rsidRPr="009505C5" w:rsidRDefault="007333BC" w:rsidP="0014705E">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 xml:space="preserve">Informācija par to, vai šīs tabulas B ailē minētās projekta vienības paredz stingrākas prasības nekā </w:t>
            </w:r>
            <w:r w:rsidRPr="009505C5">
              <w:rPr>
                <w:rFonts w:ascii="Times New Roman" w:eastAsia="Times New Roman" w:hAnsi="Times New Roman" w:cs="Times New Roman"/>
                <w:sz w:val="28"/>
                <w:szCs w:val="28"/>
                <w:lang w:eastAsia="lv-LV"/>
              </w:rPr>
              <w:lastRenderedPageBreak/>
              <w:t xml:space="preserve">šīs tabulas A ailē minētās ES tiesību akta vienības. </w:t>
            </w:r>
          </w:p>
          <w:p w14:paraId="1A346FB7" w14:textId="77777777" w:rsidR="007333BC" w:rsidRPr="009505C5" w:rsidRDefault="007333BC" w:rsidP="00AD1AED">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Ja projekts satur stingrākas prasības nekā attiecīgais ES tiesību akts, norāda pamatojumu un samērīgumu.</w:t>
            </w:r>
          </w:p>
          <w:p w14:paraId="68AE7AD2" w14:textId="77777777" w:rsidR="007333BC" w:rsidRPr="009505C5" w:rsidRDefault="007333BC" w:rsidP="00AD1AED">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C6F99" w:rsidRPr="009474E4" w14:paraId="150CC906"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41A0C7AD" w14:textId="5DE35FC7" w:rsidR="00402FDB" w:rsidRPr="009474E4" w:rsidRDefault="001519E4"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lastRenderedPageBreak/>
              <w:t xml:space="preserve">Regulas 1290/2013 29.panta </w:t>
            </w:r>
            <w:r w:rsidR="004C6F99" w:rsidRPr="009474E4">
              <w:rPr>
                <w:rFonts w:ascii="Times New Roman" w:eastAsia="Times New Roman" w:hAnsi="Times New Roman" w:cs="Times New Roman"/>
                <w:sz w:val="28"/>
                <w:szCs w:val="28"/>
                <w:lang w:eastAsia="lv-LV"/>
              </w:rPr>
              <w:t>1.punkts</w:t>
            </w:r>
            <w:r w:rsidR="002737E5" w:rsidRPr="009474E4">
              <w:rPr>
                <w:rFonts w:ascii="Times New Roman" w:eastAsia="Times New Roman" w:hAnsi="Times New Roman" w:cs="Times New Roman"/>
                <w:sz w:val="28"/>
                <w:szCs w:val="28"/>
                <w:lang w:eastAsia="lv-LV"/>
              </w:rPr>
              <w:t xml:space="preserve"> un 52.panta 2.punkts</w:t>
            </w:r>
          </w:p>
        </w:tc>
        <w:tc>
          <w:tcPr>
            <w:tcW w:w="2063" w:type="dxa"/>
            <w:gridSpan w:val="8"/>
            <w:tcBorders>
              <w:top w:val="outset" w:sz="6" w:space="0" w:color="auto"/>
              <w:left w:val="outset" w:sz="6" w:space="0" w:color="auto"/>
              <w:bottom w:val="outset" w:sz="6" w:space="0" w:color="auto"/>
              <w:right w:val="outset" w:sz="6" w:space="0" w:color="auto"/>
            </w:tcBorders>
          </w:tcPr>
          <w:p w14:paraId="50191176" w14:textId="519B4B8D" w:rsidR="00E65FAA" w:rsidRPr="009474E4" w:rsidRDefault="0019613B" w:rsidP="001519E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1519E4" w:rsidRPr="009474E4">
              <w:rPr>
                <w:rFonts w:ascii="Times New Roman" w:eastAsia="Times New Roman" w:hAnsi="Times New Roman" w:cs="Times New Roman"/>
                <w:sz w:val="28"/>
                <w:szCs w:val="28"/>
                <w:lang w:eastAsia="lv-LV"/>
              </w:rPr>
              <w:t>.</w:t>
            </w:r>
            <w:r w:rsidR="004C62C1" w:rsidRPr="009474E4">
              <w:rPr>
                <w:rFonts w:ascii="Times New Roman" w:eastAsia="Times New Roman" w:hAnsi="Times New Roman" w:cs="Times New Roman"/>
                <w:sz w:val="28"/>
                <w:szCs w:val="28"/>
                <w:lang w:eastAsia="lv-LV"/>
              </w:rPr>
              <w:t xml:space="preserve"> grozījuma punkts</w:t>
            </w:r>
            <w:r w:rsidR="001519E4" w:rsidRPr="009474E4">
              <w:rPr>
                <w:rFonts w:ascii="Times New Roman" w:eastAsia="Times New Roman" w:hAnsi="Times New Roman" w:cs="Times New Roman"/>
                <w:sz w:val="28"/>
                <w:szCs w:val="28"/>
                <w:lang w:eastAsia="lv-LV"/>
              </w:rPr>
              <w:t xml:space="preserve"> </w:t>
            </w:r>
            <w:r w:rsidR="004C62C1" w:rsidRPr="009474E4">
              <w:rPr>
                <w:rFonts w:ascii="Times New Roman" w:eastAsia="Times New Roman" w:hAnsi="Times New Roman" w:cs="Times New Roman"/>
                <w:sz w:val="28"/>
                <w:szCs w:val="28"/>
                <w:lang w:eastAsia="lv-LV"/>
              </w:rPr>
              <w:t xml:space="preserve">par MK noteikumu </w:t>
            </w:r>
            <w:r w:rsidR="002737E5" w:rsidRPr="009474E4">
              <w:rPr>
                <w:rFonts w:ascii="Times New Roman" w:hAnsi="Times New Roman" w:cs="Times New Roman"/>
                <w:sz w:val="28"/>
                <w:szCs w:val="28"/>
              </w:rPr>
              <w:t>13.1.1.6.</w:t>
            </w:r>
            <w:r w:rsidR="001519E4" w:rsidRPr="009474E4">
              <w:rPr>
                <w:rFonts w:ascii="Times New Roman" w:hAnsi="Times New Roman" w:cs="Times New Roman"/>
                <w:sz w:val="28"/>
                <w:szCs w:val="28"/>
              </w:rPr>
              <w:t xml:space="preserve"> </w:t>
            </w:r>
            <w:r w:rsidR="002737E5" w:rsidRPr="009474E4">
              <w:rPr>
                <w:rFonts w:ascii="Times New Roman" w:hAnsi="Times New Roman" w:cs="Times New Roman"/>
                <w:sz w:val="28"/>
                <w:szCs w:val="28"/>
              </w:rPr>
              <w:t xml:space="preserve">un 13.1.2. </w:t>
            </w:r>
            <w:r w:rsidR="004C62C1" w:rsidRPr="009474E4">
              <w:rPr>
                <w:rFonts w:ascii="Times New Roman" w:eastAsia="Times New Roman" w:hAnsi="Times New Roman" w:cs="Times New Roman"/>
                <w:sz w:val="28"/>
                <w:szCs w:val="28"/>
                <w:lang w:eastAsia="lv-LV"/>
              </w:rPr>
              <w:t>apakšpunktu</w:t>
            </w:r>
          </w:p>
        </w:tc>
        <w:tc>
          <w:tcPr>
            <w:tcW w:w="2580" w:type="dxa"/>
            <w:gridSpan w:val="4"/>
            <w:tcBorders>
              <w:top w:val="outset" w:sz="6" w:space="0" w:color="auto"/>
              <w:left w:val="outset" w:sz="6" w:space="0" w:color="auto"/>
              <w:bottom w:val="outset" w:sz="6" w:space="0" w:color="auto"/>
              <w:right w:val="outset" w:sz="6" w:space="0" w:color="auto"/>
            </w:tcBorders>
          </w:tcPr>
          <w:p w14:paraId="723BBFF0" w14:textId="77777777"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130F2264" w14:textId="793F5478" w:rsidR="00402FDB"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11CC8D79" w14:textId="77777777"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46A72394" w14:textId="6F5C0630" w:rsidR="00A61740"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621496" w:rsidRPr="009474E4" w14:paraId="689323DF"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2CF6C5D3" w14:textId="1E04A272" w:rsidR="00621496" w:rsidRPr="009474E4" w:rsidRDefault="00621496"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 xml:space="preserve">Regulas </w:t>
            </w:r>
            <w:r w:rsidR="002737E5" w:rsidRPr="009474E4">
              <w:rPr>
                <w:rFonts w:ascii="Times New Roman" w:hAnsi="Times New Roman" w:cs="Times New Roman"/>
                <w:sz w:val="28"/>
                <w:szCs w:val="28"/>
                <w:lang w:eastAsia="lv-LV"/>
              </w:rPr>
              <w:t>Nr.651/2014 25.panta 3.punkta “a</w:t>
            </w:r>
            <w:r w:rsidRPr="009474E4">
              <w:rPr>
                <w:rFonts w:ascii="Times New Roman" w:hAnsi="Times New Roman" w:cs="Times New Roman"/>
                <w:sz w:val="28"/>
                <w:szCs w:val="28"/>
                <w:lang w:eastAsia="lv-LV"/>
              </w:rPr>
              <w:t>” apakšpunkts</w:t>
            </w:r>
          </w:p>
        </w:tc>
        <w:tc>
          <w:tcPr>
            <w:tcW w:w="2063" w:type="dxa"/>
            <w:gridSpan w:val="8"/>
            <w:tcBorders>
              <w:top w:val="outset" w:sz="6" w:space="0" w:color="auto"/>
              <w:left w:val="outset" w:sz="6" w:space="0" w:color="auto"/>
              <w:bottom w:val="outset" w:sz="6" w:space="0" w:color="auto"/>
              <w:right w:val="outset" w:sz="6" w:space="0" w:color="auto"/>
            </w:tcBorders>
          </w:tcPr>
          <w:p w14:paraId="120FE946" w14:textId="334C0313" w:rsidR="00621496" w:rsidRPr="009474E4" w:rsidRDefault="0019613B" w:rsidP="004C62C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621496" w:rsidRPr="009474E4">
              <w:rPr>
                <w:rFonts w:ascii="Times New Roman" w:eastAsia="Times New Roman" w:hAnsi="Times New Roman" w:cs="Times New Roman"/>
                <w:sz w:val="28"/>
                <w:szCs w:val="28"/>
                <w:lang w:eastAsia="lv-LV"/>
              </w:rPr>
              <w:t>.</w:t>
            </w:r>
            <w:r w:rsidR="004C62C1" w:rsidRPr="009474E4">
              <w:rPr>
                <w:rFonts w:ascii="Times New Roman" w:eastAsia="Times New Roman" w:hAnsi="Times New Roman" w:cs="Times New Roman"/>
                <w:sz w:val="28"/>
                <w:szCs w:val="28"/>
                <w:lang w:eastAsia="lv-LV"/>
              </w:rPr>
              <w:t xml:space="preserve"> grozījuma </w:t>
            </w:r>
            <w:r w:rsidR="00621496" w:rsidRPr="009474E4">
              <w:rPr>
                <w:rFonts w:ascii="Times New Roman" w:eastAsia="Times New Roman" w:hAnsi="Times New Roman" w:cs="Times New Roman"/>
                <w:sz w:val="28"/>
                <w:szCs w:val="28"/>
                <w:lang w:eastAsia="lv-LV"/>
              </w:rPr>
              <w:t>punkt</w:t>
            </w:r>
            <w:r w:rsidR="004C62C1" w:rsidRPr="009474E4">
              <w:rPr>
                <w:rFonts w:ascii="Times New Roman" w:eastAsia="Times New Roman" w:hAnsi="Times New Roman" w:cs="Times New Roman"/>
                <w:sz w:val="28"/>
                <w:szCs w:val="28"/>
                <w:lang w:eastAsia="lv-LV"/>
              </w:rPr>
              <w:t>s par MK noteikumu</w:t>
            </w:r>
            <w:r w:rsidR="00621496" w:rsidRPr="009474E4">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rPr>
              <w:t>13.2.1.</w:t>
            </w:r>
            <w:r w:rsidR="004C62C1" w:rsidRPr="009474E4">
              <w:rPr>
                <w:rFonts w:ascii="Times New Roman" w:eastAsia="Times New Roman" w:hAnsi="Times New Roman" w:cs="Times New Roman"/>
                <w:sz w:val="28"/>
                <w:szCs w:val="28"/>
                <w:lang w:eastAsia="lv-LV"/>
              </w:rPr>
              <w:t>apakšpunktu</w:t>
            </w:r>
          </w:p>
        </w:tc>
        <w:tc>
          <w:tcPr>
            <w:tcW w:w="2580" w:type="dxa"/>
            <w:gridSpan w:val="4"/>
            <w:tcBorders>
              <w:top w:val="outset" w:sz="6" w:space="0" w:color="auto"/>
              <w:left w:val="outset" w:sz="6" w:space="0" w:color="auto"/>
              <w:bottom w:val="outset" w:sz="6" w:space="0" w:color="auto"/>
              <w:right w:val="outset" w:sz="6" w:space="0" w:color="auto"/>
            </w:tcBorders>
          </w:tcPr>
          <w:p w14:paraId="045A8F9A" w14:textId="77777777" w:rsidR="00621496" w:rsidRPr="009474E4" w:rsidRDefault="00621496" w:rsidP="00621496">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0774F00F" w14:textId="2143AEBC" w:rsidR="00621496" w:rsidRPr="009474E4" w:rsidRDefault="00621496" w:rsidP="00621496">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221DB74F" w14:textId="77777777" w:rsidR="00621496" w:rsidRPr="009474E4" w:rsidRDefault="00621496" w:rsidP="00621496">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2C2A29D2" w14:textId="690E1595" w:rsidR="00621496" w:rsidRPr="009474E4" w:rsidRDefault="00621496" w:rsidP="00621496">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4C6F99" w:rsidRPr="009474E4" w14:paraId="4B37CE9F"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6A4578F0" w14:textId="2D935226" w:rsidR="004C6F99" w:rsidRPr="009474E4" w:rsidRDefault="002737E5" w:rsidP="000B7FAD">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 xml:space="preserve">Regulas </w:t>
            </w:r>
            <w:r w:rsidRPr="009474E4">
              <w:rPr>
                <w:rFonts w:ascii="Times New Roman" w:hAnsi="Times New Roman" w:cs="Times New Roman"/>
                <w:sz w:val="28"/>
                <w:szCs w:val="28"/>
                <w:lang w:eastAsia="lv-LV"/>
              </w:rPr>
              <w:t>Nr.651/2014 25.panta 3.punkta “b” apakšpunkts</w:t>
            </w:r>
          </w:p>
        </w:tc>
        <w:tc>
          <w:tcPr>
            <w:tcW w:w="2063" w:type="dxa"/>
            <w:gridSpan w:val="8"/>
            <w:tcBorders>
              <w:top w:val="outset" w:sz="6" w:space="0" w:color="auto"/>
              <w:left w:val="outset" w:sz="6" w:space="0" w:color="auto"/>
              <w:bottom w:val="outset" w:sz="6" w:space="0" w:color="auto"/>
              <w:right w:val="outset" w:sz="6" w:space="0" w:color="auto"/>
            </w:tcBorders>
          </w:tcPr>
          <w:p w14:paraId="063D8BB9" w14:textId="66A9EA22" w:rsidR="004C6F99" w:rsidRPr="009474E4" w:rsidRDefault="0019613B" w:rsidP="001519E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4C6F99" w:rsidRPr="009474E4">
              <w:rPr>
                <w:rFonts w:ascii="Times New Roman" w:eastAsia="Times New Roman" w:hAnsi="Times New Roman" w:cs="Times New Roman"/>
                <w:sz w:val="28"/>
                <w:szCs w:val="28"/>
                <w:lang w:eastAsia="lv-LV"/>
              </w:rPr>
              <w:t>.</w:t>
            </w:r>
            <w:r w:rsidR="004C62C1" w:rsidRPr="009474E4">
              <w:rPr>
                <w:rFonts w:ascii="Times New Roman" w:eastAsia="Times New Roman" w:hAnsi="Times New Roman" w:cs="Times New Roman"/>
                <w:sz w:val="28"/>
                <w:szCs w:val="28"/>
                <w:lang w:eastAsia="lv-LV"/>
              </w:rPr>
              <w:t xml:space="preserve"> grozījuma punkts</w:t>
            </w:r>
            <w:r w:rsidR="004C6F99" w:rsidRPr="009474E4">
              <w:rPr>
                <w:rFonts w:ascii="Times New Roman" w:eastAsia="Times New Roman" w:hAnsi="Times New Roman" w:cs="Times New Roman"/>
                <w:sz w:val="28"/>
                <w:szCs w:val="28"/>
                <w:lang w:eastAsia="lv-LV"/>
              </w:rPr>
              <w:t xml:space="preserve"> </w:t>
            </w:r>
            <w:r w:rsidR="004C62C1" w:rsidRPr="009474E4">
              <w:rPr>
                <w:rFonts w:ascii="Times New Roman" w:eastAsia="Times New Roman" w:hAnsi="Times New Roman" w:cs="Times New Roman"/>
                <w:sz w:val="28"/>
                <w:szCs w:val="28"/>
                <w:lang w:eastAsia="lv-LV"/>
              </w:rPr>
              <w:t xml:space="preserve">par MK noteikumu </w:t>
            </w:r>
            <w:r>
              <w:rPr>
                <w:rFonts w:ascii="Times New Roman" w:hAnsi="Times New Roman" w:cs="Times New Roman"/>
                <w:sz w:val="28"/>
                <w:szCs w:val="28"/>
              </w:rPr>
              <w:t>13.2.</w:t>
            </w:r>
            <w:r w:rsidR="002737E5" w:rsidRPr="009474E4">
              <w:rPr>
                <w:rFonts w:ascii="Times New Roman" w:hAnsi="Times New Roman" w:cs="Times New Roman"/>
                <w:sz w:val="28"/>
                <w:szCs w:val="28"/>
              </w:rPr>
              <w:t>2.</w:t>
            </w:r>
            <w:r w:rsidR="004C6F99" w:rsidRPr="009474E4">
              <w:rPr>
                <w:rFonts w:ascii="Times New Roman" w:hAnsi="Times New Roman" w:cs="Times New Roman"/>
                <w:sz w:val="28"/>
                <w:szCs w:val="28"/>
              </w:rPr>
              <w:t xml:space="preserve"> </w:t>
            </w:r>
            <w:r w:rsidR="004C62C1" w:rsidRPr="009474E4">
              <w:rPr>
                <w:rFonts w:ascii="Times New Roman" w:eastAsia="Times New Roman" w:hAnsi="Times New Roman" w:cs="Times New Roman"/>
                <w:sz w:val="28"/>
                <w:szCs w:val="28"/>
                <w:lang w:eastAsia="lv-LV"/>
              </w:rPr>
              <w:t>apakšpunktu</w:t>
            </w:r>
          </w:p>
        </w:tc>
        <w:tc>
          <w:tcPr>
            <w:tcW w:w="2580" w:type="dxa"/>
            <w:gridSpan w:val="4"/>
            <w:tcBorders>
              <w:top w:val="outset" w:sz="6" w:space="0" w:color="auto"/>
              <w:left w:val="outset" w:sz="6" w:space="0" w:color="auto"/>
              <w:bottom w:val="outset" w:sz="6" w:space="0" w:color="auto"/>
              <w:right w:val="outset" w:sz="6" w:space="0" w:color="auto"/>
            </w:tcBorders>
          </w:tcPr>
          <w:p w14:paraId="5EEA3F67" w14:textId="77777777"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0225E757" w14:textId="5B8F4A14"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2254D371" w14:textId="77777777"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0328B1C0" w14:textId="2B406ADF" w:rsidR="004C6F99" w:rsidRPr="009474E4" w:rsidRDefault="004C6F99" w:rsidP="004C6F99">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4C6F99" w:rsidRPr="009474E4" w14:paraId="1ADADC84"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1FC953DA" w14:textId="3287A866" w:rsidR="009A5596" w:rsidRPr="009474E4" w:rsidRDefault="002737E5" w:rsidP="0030368D">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lastRenderedPageBreak/>
              <w:t xml:space="preserve">Regulas </w:t>
            </w:r>
            <w:r w:rsidRPr="009474E4">
              <w:rPr>
                <w:rFonts w:ascii="Times New Roman" w:hAnsi="Times New Roman" w:cs="Times New Roman"/>
                <w:sz w:val="28"/>
                <w:szCs w:val="28"/>
                <w:lang w:eastAsia="lv-LV"/>
              </w:rPr>
              <w:t>Nr.651/2014 25.panta 3.punkta “c” apakšpunkts</w:t>
            </w:r>
          </w:p>
        </w:tc>
        <w:tc>
          <w:tcPr>
            <w:tcW w:w="2063" w:type="dxa"/>
            <w:gridSpan w:val="8"/>
            <w:tcBorders>
              <w:top w:val="outset" w:sz="6" w:space="0" w:color="auto"/>
              <w:left w:val="outset" w:sz="6" w:space="0" w:color="auto"/>
              <w:bottom w:val="outset" w:sz="6" w:space="0" w:color="auto"/>
              <w:right w:val="outset" w:sz="6" w:space="0" w:color="auto"/>
            </w:tcBorders>
          </w:tcPr>
          <w:p w14:paraId="09A2A4EB" w14:textId="3FCF1508" w:rsidR="009A5596" w:rsidRPr="009474E4" w:rsidRDefault="0019613B" w:rsidP="004C62C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9A5596" w:rsidRPr="009474E4">
              <w:rPr>
                <w:rFonts w:ascii="Times New Roman" w:eastAsia="Times New Roman" w:hAnsi="Times New Roman" w:cs="Times New Roman"/>
                <w:sz w:val="28"/>
                <w:szCs w:val="28"/>
                <w:lang w:eastAsia="lv-LV"/>
              </w:rPr>
              <w:t>.</w:t>
            </w:r>
            <w:r w:rsidR="004C62C1" w:rsidRPr="009474E4">
              <w:rPr>
                <w:rFonts w:ascii="Times New Roman" w:eastAsia="Times New Roman" w:hAnsi="Times New Roman" w:cs="Times New Roman"/>
                <w:sz w:val="28"/>
                <w:szCs w:val="28"/>
                <w:lang w:eastAsia="lv-LV"/>
              </w:rPr>
              <w:t xml:space="preserve"> grozījuma </w:t>
            </w:r>
            <w:r w:rsidR="009A5596" w:rsidRPr="009474E4">
              <w:rPr>
                <w:rFonts w:ascii="Times New Roman" w:eastAsia="Times New Roman" w:hAnsi="Times New Roman" w:cs="Times New Roman"/>
                <w:sz w:val="28"/>
                <w:szCs w:val="28"/>
                <w:lang w:eastAsia="lv-LV"/>
              </w:rPr>
              <w:t>punkt</w:t>
            </w:r>
            <w:r w:rsidR="004C62C1" w:rsidRPr="009474E4">
              <w:rPr>
                <w:rFonts w:ascii="Times New Roman" w:eastAsia="Times New Roman" w:hAnsi="Times New Roman" w:cs="Times New Roman"/>
                <w:sz w:val="28"/>
                <w:szCs w:val="28"/>
                <w:lang w:eastAsia="lv-LV"/>
              </w:rPr>
              <w:t>s</w:t>
            </w:r>
            <w:r w:rsidR="009A5596" w:rsidRPr="009474E4">
              <w:rPr>
                <w:rFonts w:ascii="Times New Roman" w:eastAsia="Times New Roman" w:hAnsi="Times New Roman" w:cs="Times New Roman"/>
                <w:sz w:val="28"/>
                <w:szCs w:val="28"/>
                <w:lang w:eastAsia="lv-LV"/>
              </w:rPr>
              <w:t xml:space="preserve"> </w:t>
            </w:r>
            <w:r w:rsidR="004C62C1" w:rsidRPr="009474E4">
              <w:rPr>
                <w:rFonts w:ascii="Times New Roman" w:eastAsia="Times New Roman" w:hAnsi="Times New Roman" w:cs="Times New Roman"/>
                <w:sz w:val="28"/>
                <w:szCs w:val="28"/>
                <w:lang w:eastAsia="lv-LV"/>
              </w:rPr>
              <w:t xml:space="preserve">par MK noteikumu </w:t>
            </w:r>
            <w:r>
              <w:rPr>
                <w:rFonts w:ascii="Times New Roman" w:hAnsi="Times New Roman" w:cs="Times New Roman"/>
                <w:sz w:val="28"/>
                <w:szCs w:val="28"/>
              </w:rPr>
              <w:t>13.2.</w:t>
            </w:r>
            <w:r w:rsidR="002737E5" w:rsidRPr="009474E4">
              <w:rPr>
                <w:rFonts w:ascii="Times New Roman" w:hAnsi="Times New Roman" w:cs="Times New Roman"/>
                <w:sz w:val="28"/>
                <w:szCs w:val="28"/>
              </w:rPr>
              <w:t>3.</w:t>
            </w:r>
            <w:r w:rsidR="00886912" w:rsidRPr="009474E4">
              <w:rPr>
                <w:rFonts w:ascii="Times New Roman" w:hAnsi="Times New Roman" w:cs="Times New Roman"/>
                <w:sz w:val="28"/>
                <w:szCs w:val="28"/>
              </w:rPr>
              <w:t xml:space="preserve"> </w:t>
            </w:r>
            <w:r w:rsidR="004C62C1" w:rsidRPr="009474E4">
              <w:rPr>
                <w:rFonts w:ascii="Times New Roman" w:eastAsia="Times New Roman" w:hAnsi="Times New Roman" w:cs="Times New Roman"/>
                <w:sz w:val="28"/>
                <w:szCs w:val="28"/>
                <w:lang w:eastAsia="lv-LV"/>
              </w:rPr>
              <w:t>apakšpunktu</w:t>
            </w:r>
          </w:p>
        </w:tc>
        <w:tc>
          <w:tcPr>
            <w:tcW w:w="2580" w:type="dxa"/>
            <w:gridSpan w:val="4"/>
            <w:tcBorders>
              <w:top w:val="outset" w:sz="6" w:space="0" w:color="auto"/>
              <w:left w:val="outset" w:sz="6" w:space="0" w:color="auto"/>
              <w:bottom w:val="outset" w:sz="6" w:space="0" w:color="auto"/>
              <w:right w:val="outset" w:sz="6" w:space="0" w:color="auto"/>
            </w:tcBorders>
          </w:tcPr>
          <w:p w14:paraId="4B9E878D" w14:textId="77777777" w:rsidR="009A5596" w:rsidRPr="009474E4" w:rsidRDefault="009A5596" w:rsidP="009A5596">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3F9D933A" w14:textId="5ADB34BA" w:rsidR="009A5596" w:rsidRPr="009474E4" w:rsidRDefault="009A5596" w:rsidP="0012315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1B25F954" w14:textId="7008069D" w:rsidR="009A5596" w:rsidRPr="009474E4" w:rsidRDefault="00123151" w:rsidP="0012315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Noteikumu projekts neparedz stingrākas prasības nekā A ailē minētā ES akta vienība.</w:t>
            </w:r>
          </w:p>
        </w:tc>
      </w:tr>
      <w:tr w:rsidR="004C6F99" w:rsidRPr="009474E4" w14:paraId="3563D3F6"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4A675136" w14:textId="098F7E84" w:rsidR="00017D5E" w:rsidRPr="009474E4" w:rsidRDefault="002737E5" w:rsidP="002737E5">
            <w:pPr>
              <w:spacing w:after="0" w:line="240" w:lineRule="auto"/>
              <w:jc w:val="both"/>
              <w:rPr>
                <w:rFonts w:ascii="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R</w:t>
            </w:r>
            <w:r w:rsidR="00017D5E" w:rsidRPr="009474E4">
              <w:rPr>
                <w:rFonts w:ascii="Times New Roman" w:eastAsia="Times New Roman" w:hAnsi="Times New Roman" w:cs="Times New Roman"/>
                <w:sz w:val="28"/>
                <w:szCs w:val="28"/>
                <w:lang w:eastAsia="lv-LV"/>
              </w:rPr>
              <w:t xml:space="preserve">egulas </w:t>
            </w:r>
            <w:r w:rsidR="009474E4" w:rsidRPr="009474E4">
              <w:rPr>
                <w:rFonts w:ascii="Times New Roman" w:hAnsi="Times New Roman" w:cs="Times New Roman"/>
                <w:sz w:val="28"/>
                <w:szCs w:val="28"/>
                <w:lang w:eastAsia="lv-LV"/>
              </w:rPr>
              <w:t>Nr.651/2014 25.panta 3.punkta “</w:t>
            </w:r>
            <w:r w:rsidRPr="009474E4">
              <w:rPr>
                <w:rFonts w:ascii="Times New Roman" w:hAnsi="Times New Roman" w:cs="Times New Roman"/>
                <w:sz w:val="28"/>
                <w:szCs w:val="28"/>
                <w:lang w:eastAsia="lv-LV"/>
              </w:rPr>
              <w:t>d</w:t>
            </w:r>
            <w:r w:rsidR="00017D5E" w:rsidRPr="009474E4">
              <w:rPr>
                <w:rFonts w:ascii="Times New Roman" w:hAnsi="Times New Roman" w:cs="Times New Roman"/>
                <w:sz w:val="28"/>
                <w:szCs w:val="28"/>
                <w:lang w:eastAsia="lv-LV"/>
              </w:rPr>
              <w:t>” apakšpunkts</w:t>
            </w:r>
            <w:r w:rsidR="002D3B3D" w:rsidRPr="009474E4">
              <w:rPr>
                <w:rFonts w:ascii="Times New Roman" w:hAnsi="Times New Roman" w:cs="Times New Roman"/>
                <w:sz w:val="28"/>
                <w:szCs w:val="28"/>
                <w:lang w:eastAsia="lv-LV"/>
              </w:rPr>
              <w:t xml:space="preserve"> </w:t>
            </w:r>
          </w:p>
        </w:tc>
        <w:tc>
          <w:tcPr>
            <w:tcW w:w="2063" w:type="dxa"/>
            <w:gridSpan w:val="8"/>
            <w:tcBorders>
              <w:top w:val="outset" w:sz="6" w:space="0" w:color="auto"/>
              <w:left w:val="outset" w:sz="6" w:space="0" w:color="auto"/>
              <w:bottom w:val="outset" w:sz="6" w:space="0" w:color="auto"/>
              <w:right w:val="outset" w:sz="6" w:space="0" w:color="auto"/>
            </w:tcBorders>
          </w:tcPr>
          <w:p w14:paraId="78A36772" w14:textId="2A557EE2" w:rsidR="00017D5E" w:rsidRPr="009474E4" w:rsidRDefault="0019613B" w:rsidP="004C62C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017D5E" w:rsidRPr="009474E4">
              <w:rPr>
                <w:rFonts w:ascii="Times New Roman" w:eastAsia="Times New Roman" w:hAnsi="Times New Roman" w:cs="Times New Roman"/>
                <w:sz w:val="28"/>
                <w:szCs w:val="28"/>
                <w:lang w:eastAsia="lv-LV"/>
              </w:rPr>
              <w:t>.</w:t>
            </w:r>
            <w:r w:rsidR="004C62C1" w:rsidRPr="009474E4">
              <w:rPr>
                <w:rFonts w:ascii="Times New Roman" w:eastAsia="Times New Roman" w:hAnsi="Times New Roman" w:cs="Times New Roman"/>
                <w:sz w:val="28"/>
                <w:szCs w:val="28"/>
                <w:lang w:eastAsia="lv-LV"/>
              </w:rPr>
              <w:t xml:space="preserve"> grozījuma </w:t>
            </w:r>
            <w:r w:rsidR="00017D5E" w:rsidRPr="009474E4">
              <w:rPr>
                <w:rFonts w:ascii="Times New Roman" w:eastAsia="Times New Roman" w:hAnsi="Times New Roman" w:cs="Times New Roman"/>
                <w:sz w:val="28"/>
                <w:szCs w:val="28"/>
                <w:lang w:eastAsia="lv-LV"/>
              </w:rPr>
              <w:t>punkt</w:t>
            </w:r>
            <w:r w:rsidR="004C62C1" w:rsidRPr="009474E4">
              <w:rPr>
                <w:rFonts w:ascii="Times New Roman" w:eastAsia="Times New Roman" w:hAnsi="Times New Roman" w:cs="Times New Roman"/>
                <w:sz w:val="28"/>
                <w:szCs w:val="28"/>
                <w:lang w:eastAsia="lv-LV"/>
              </w:rPr>
              <w:t>s</w:t>
            </w:r>
            <w:r w:rsidR="00017D5E" w:rsidRPr="009474E4">
              <w:rPr>
                <w:rFonts w:ascii="Times New Roman" w:eastAsia="Times New Roman" w:hAnsi="Times New Roman" w:cs="Times New Roman"/>
                <w:sz w:val="28"/>
                <w:szCs w:val="28"/>
                <w:lang w:eastAsia="lv-LV"/>
              </w:rPr>
              <w:t xml:space="preserve"> </w:t>
            </w:r>
            <w:r w:rsidR="004C62C1" w:rsidRPr="009474E4">
              <w:rPr>
                <w:rFonts w:ascii="Times New Roman" w:eastAsia="Times New Roman" w:hAnsi="Times New Roman" w:cs="Times New Roman"/>
                <w:sz w:val="28"/>
                <w:szCs w:val="28"/>
                <w:lang w:eastAsia="lv-LV"/>
              </w:rPr>
              <w:t xml:space="preserve">par MK noteikumu </w:t>
            </w:r>
            <w:r>
              <w:rPr>
                <w:rFonts w:ascii="Times New Roman" w:hAnsi="Times New Roman" w:cs="Times New Roman"/>
                <w:sz w:val="28"/>
                <w:szCs w:val="28"/>
              </w:rPr>
              <w:t>13.2.</w:t>
            </w:r>
            <w:r w:rsidR="002737E5" w:rsidRPr="009474E4">
              <w:rPr>
                <w:rFonts w:ascii="Times New Roman" w:hAnsi="Times New Roman" w:cs="Times New Roman"/>
                <w:sz w:val="28"/>
                <w:szCs w:val="28"/>
              </w:rPr>
              <w:t>4</w:t>
            </w:r>
            <w:r w:rsidR="00017D5E" w:rsidRPr="009474E4">
              <w:rPr>
                <w:rFonts w:ascii="Times New Roman" w:hAnsi="Times New Roman" w:cs="Times New Roman"/>
                <w:sz w:val="28"/>
                <w:szCs w:val="28"/>
              </w:rPr>
              <w:t xml:space="preserve">. </w:t>
            </w:r>
            <w:r w:rsidR="004C62C1" w:rsidRPr="009474E4">
              <w:rPr>
                <w:rFonts w:ascii="Times New Roman" w:eastAsia="Times New Roman" w:hAnsi="Times New Roman" w:cs="Times New Roman"/>
                <w:sz w:val="28"/>
                <w:szCs w:val="28"/>
                <w:lang w:eastAsia="lv-LV"/>
              </w:rPr>
              <w:t>apakšpunktu</w:t>
            </w:r>
          </w:p>
        </w:tc>
        <w:tc>
          <w:tcPr>
            <w:tcW w:w="2580" w:type="dxa"/>
            <w:gridSpan w:val="4"/>
            <w:tcBorders>
              <w:top w:val="outset" w:sz="6" w:space="0" w:color="auto"/>
              <w:left w:val="outset" w:sz="6" w:space="0" w:color="auto"/>
              <w:bottom w:val="outset" w:sz="6" w:space="0" w:color="auto"/>
              <w:right w:val="outset" w:sz="6" w:space="0" w:color="auto"/>
            </w:tcBorders>
          </w:tcPr>
          <w:p w14:paraId="4E15C19E" w14:textId="77777777" w:rsidR="00017D5E" w:rsidRPr="009474E4" w:rsidRDefault="00017D5E" w:rsidP="00017D5E">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2FC470A8" w14:textId="33B1A151" w:rsidR="00017D5E" w:rsidRPr="009474E4" w:rsidRDefault="00017D5E" w:rsidP="00017D5E">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5A9BE0E2" w14:textId="77777777" w:rsidR="00017D5E" w:rsidRPr="009474E4" w:rsidRDefault="00017D5E" w:rsidP="00017D5E">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1E22BAC5" w14:textId="290F201C" w:rsidR="00017D5E" w:rsidRPr="009474E4" w:rsidRDefault="00017D5E" w:rsidP="00017D5E">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4C62C1" w:rsidRPr="009474E4" w14:paraId="48FFD64D"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068381E8" w14:textId="33A66BE5" w:rsidR="004C62C1" w:rsidRPr="009474E4" w:rsidRDefault="004C62C1" w:rsidP="002737E5">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 xml:space="preserve">regulas </w:t>
            </w:r>
            <w:r w:rsidRPr="009474E4">
              <w:rPr>
                <w:rFonts w:ascii="Times New Roman" w:hAnsi="Times New Roman" w:cs="Times New Roman"/>
                <w:sz w:val="28"/>
                <w:szCs w:val="28"/>
                <w:lang w:eastAsia="lv-LV"/>
              </w:rPr>
              <w:t xml:space="preserve">Nr.651/2014 </w:t>
            </w:r>
            <w:r w:rsidRPr="009474E4">
              <w:rPr>
                <w:rFonts w:ascii="Times New Roman" w:eastAsia="Times New Roman" w:hAnsi="Times New Roman" w:cs="Times New Roman"/>
                <w:sz w:val="28"/>
                <w:szCs w:val="28"/>
                <w:lang w:eastAsia="lv-LV"/>
              </w:rPr>
              <w:t>28.panta  2.punkta “a” apakšpunkts</w:t>
            </w:r>
          </w:p>
        </w:tc>
        <w:tc>
          <w:tcPr>
            <w:tcW w:w="2063" w:type="dxa"/>
            <w:gridSpan w:val="8"/>
            <w:tcBorders>
              <w:top w:val="outset" w:sz="6" w:space="0" w:color="auto"/>
              <w:left w:val="outset" w:sz="6" w:space="0" w:color="auto"/>
              <w:bottom w:val="outset" w:sz="6" w:space="0" w:color="auto"/>
              <w:right w:val="outset" w:sz="6" w:space="0" w:color="auto"/>
            </w:tcBorders>
          </w:tcPr>
          <w:p w14:paraId="7E1B55CD" w14:textId="435A67AF" w:rsidR="004C62C1" w:rsidRPr="009474E4" w:rsidRDefault="0019613B" w:rsidP="002737E5">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4C62C1" w:rsidRPr="009474E4">
              <w:rPr>
                <w:rFonts w:ascii="Times New Roman" w:eastAsia="Times New Roman" w:hAnsi="Times New Roman" w:cs="Times New Roman"/>
                <w:sz w:val="28"/>
                <w:szCs w:val="28"/>
                <w:lang w:eastAsia="lv-LV"/>
              </w:rPr>
              <w:t xml:space="preserve">. grozījuma punkts par MK noteikumu </w:t>
            </w:r>
            <w:r>
              <w:rPr>
                <w:rFonts w:ascii="Times New Roman" w:eastAsia="Times New Roman" w:hAnsi="Times New Roman" w:cs="Times New Roman"/>
                <w:sz w:val="28"/>
                <w:szCs w:val="28"/>
                <w:lang w:eastAsia="lv-LV"/>
              </w:rPr>
              <w:t>13.2.</w:t>
            </w:r>
            <w:r w:rsidR="002737E5" w:rsidRPr="009474E4">
              <w:rPr>
                <w:rFonts w:ascii="Times New Roman" w:eastAsia="Times New Roman" w:hAnsi="Times New Roman" w:cs="Times New Roman"/>
                <w:sz w:val="28"/>
                <w:szCs w:val="28"/>
                <w:lang w:eastAsia="lv-LV"/>
              </w:rPr>
              <w:t>5</w:t>
            </w:r>
            <w:r w:rsidR="004C62C1" w:rsidRPr="009474E4">
              <w:rPr>
                <w:rFonts w:ascii="Times New Roman" w:hAnsi="Times New Roman" w:cs="Times New Roman"/>
                <w:sz w:val="28"/>
                <w:szCs w:val="28"/>
              </w:rPr>
              <w:t xml:space="preserve">. </w:t>
            </w:r>
            <w:r w:rsidR="002737E5" w:rsidRPr="009474E4">
              <w:rPr>
                <w:rFonts w:ascii="Times New Roman" w:hAnsi="Times New Roman" w:cs="Times New Roman"/>
                <w:sz w:val="28"/>
                <w:szCs w:val="28"/>
              </w:rPr>
              <w:t>apakš</w:t>
            </w:r>
            <w:r w:rsidR="002737E5" w:rsidRPr="009474E4">
              <w:rPr>
                <w:rFonts w:ascii="Times New Roman" w:eastAsia="Times New Roman" w:hAnsi="Times New Roman" w:cs="Times New Roman"/>
                <w:sz w:val="28"/>
                <w:szCs w:val="28"/>
                <w:lang w:eastAsia="lv-LV"/>
              </w:rPr>
              <w:t>punktu</w:t>
            </w:r>
            <w:r w:rsidR="004C62C1" w:rsidRPr="009474E4">
              <w:rPr>
                <w:rFonts w:ascii="Times New Roman" w:eastAsia="Times New Roman" w:hAnsi="Times New Roman" w:cs="Times New Roman"/>
                <w:sz w:val="28"/>
                <w:szCs w:val="28"/>
                <w:lang w:eastAsia="lv-LV"/>
              </w:rPr>
              <w:t xml:space="preserve"> </w:t>
            </w:r>
          </w:p>
        </w:tc>
        <w:tc>
          <w:tcPr>
            <w:tcW w:w="2580" w:type="dxa"/>
            <w:gridSpan w:val="4"/>
            <w:tcBorders>
              <w:top w:val="outset" w:sz="6" w:space="0" w:color="auto"/>
              <w:left w:val="outset" w:sz="6" w:space="0" w:color="auto"/>
              <w:bottom w:val="outset" w:sz="6" w:space="0" w:color="auto"/>
              <w:right w:val="outset" w:sz="6" w:space="0" w:color="auto"/>
            </w:tcBorders>
          </w:tcPr>
          <w:p w14:paraId="0A0F6ECD" w14:textId="77777777" w:rsidR="004C62C1" w:rsidRPr="009474E4" w:rsidRDefault="004C62C1" w:rsidP="004C62C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79B7A656" w14:textId="0D1A6C4B" w:rsidR="004C62C1" w:rsidRPr="009474E4" w:rsidRDefault="004C62C1" w:rsidP="004C62C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02DB2403" w14:textId="77777777" w:rsidR="004C62C1" w:rsidRPr="009474E4" w:rsidRDefault="004C62C1" w:rsidP="004C62C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15751DAB" w14:textId="2C01280F" w:rsidR="004C62C1" w:rsidRPr="009474E4" w:rsidRDefault="004C62C1" w:rsidP="004C62C1">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2737E5" w:rsidRPr="009474E4" w14:paraId="7E0A83B5"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6096C8F6" w14:textId="1BEA76A2" w:rsidR="002737E5" w:rsidRPr="009474E4" w:rsidRDefault="002737E5" w:rsidP="002737E5">
            <w:pPr>
              <w:spacing w:after="0" w:line="240" w:lineRule="auto"/>
              <w:jc w:val="both"/>
              <w:rPr>
                <w:rFonts w:ascii="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 xml:space="preserve">Regulas </w:t>
            </w:r>
            <w:r w:rsidRPr="009474E4">
              <w:rPr>
                <w:rFonts w:ascii="Times New Roman" w:hAnsi="Times New Roman" w:cs="Times New Roman"/>
                <w:sz w:val="28"/>
                <w:szCs w:val="28"/>
                <w:lang w:eastAsia="lv-LV"/>
              </w:rPr>
              <w:t>Nr.651/2014 25.panta 3.punkta “e” apakšpunkts</w:t>
            </w:r>
          </w:p>
        </w:tc>
        <w:tc>
          <w:tcPr>
            <w:tcW w:w="2063" w:type="dxa"/>
            <w:gridSpan w:val="8"/>
            <w:tcBorders>
              <w:top w:val="outset" w:sz="6" w:space="0" w:color="auto"/>
              <w:left w:val="outset" w:sz="6" w:space="0" w:color="auto"/>
              <w:bottom w:val="outset" w:sz="6" w:space="0" w:color="auto"/>
              <w:right w:val="outset" w:sz="6" w:space="0" w:color="auto"/>
            </w:tcBorders>
          </w:tcPr>
          <w:p w14:paraId="13A866A1" w14:textId="4084FEE4" w:rsidR="002737E5" w:rsidRPr="009474E4" w:rsidRDefault="0019613B" w:rsidP="0019613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7</w:t>
            </w:r>
            <w:r w:rsidR="009474E4" w:rsidRPr="009474E4">
              <w:rPr>
                <w:rFonts w:ascii="Times New Roman" w:eastAsia="Times New Roman" w:hAnsi="Times New Roman" w:cs="Times New Roman"/>
                <w:sz w:val="28"/>
                <w:szCs w:val="28"/>
                <w:lang w:eastAsia="lv-LV"/>
              </w:rPr>
              <w:t>. grozījuma</w:t>
            </w:r>
            <w:r>
              <w:rPr>
                <w:rFonts w:ascii="Times New Roman" w:eastAsia="Times New Roman" w:hAnsi="Times New Roman" w:cs="Times New Roman"/>
                <w:sz w:val="28"/>
                <w:szCs w:val="28"/>
                <w:lang w:eastAsia="lv-LV"/>
              </w:rPr>
              <w:t xml:space="preserve"> punkts par MK noteikumu 13.2.6</w:t>
            </w:r>
            <w:r w:rsidR="009474E4" w:rsidRPr="009474E4">
              <w:rPr>
                <w:rFonts w:ascii="Times New Roman" w:eastAsia="Times New Roman" w:hAnsi="Times New Roman" w:cs="Times New Roman"/>
                <w:sz w:val="28"/>
                <w:szCs w:val="28"/>
                <w:lang w:eastAsia="lv-LV"/>
              </w:rPr>
              <w:t>.</w:t>
            </w:r>
            <w:r w:rsidR="009474E4" w:rsidRPr="009474E4">
              <w:rPr>
                <w:rFonts w:ascii="Times New Roman" w:hAnsi="Times New Roman" w:cs="Times New Roman"/>
                <w:sz w:val="28"/>
                <w:szCs w:val="28"/>
              </w:rPr>
              <w:t xml:space="preserve"> apakš</w:t>
            </w:r>
            <w:r w:rsidR="009474E4" w:rsidRPr="009474E4">
              <w:rPr>
                <w:rFonts w:ascii="Times New Roman" w:eastAsia="Times New Roman" w:hAnsi="Times New Roman" w:cs="Times New Roman"/>
                <w:sz w:val="28"/>
                <w:szCs w:val="28"/>
                <w:lang w:eastAsia="lv-LV"/>
              </w:rPr>
              <w:t>punktu</w:t>
            </w:r>
          </w:p>
        </w:tc>
        <w:tc>
          <w:tcPr>
            <w:tcW w:w="2580" w:type="dxa"/>
            <w:gridSpan w:val="4"/>
            <w:tcBorders>
              <w:top w:val="outset" w:sz="6" w:space="0" w:color="auto"/>
              <w:left w:val="outset" w:sz="6" w:space="0" w:color="auto"/>
              <w:bottom w:val="outset" w:sz="6" w:space="0" w:color="auto"/>
              <w:right w:val="outset" w:sz="6" w:space="0" w:color="auto"/>
            </w:tcBorders>
          </w:tcPr>
          <w:p w14:paraId="58D7DFEC" w14:textId="77777777"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3E75D91F" w14:textId="6CB644FC" w:rsidR="002737E5"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1E269FE5" w14:textId="77777777"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4A1761AA" w14:textId="4AD0C74B" w:rsidR="002737E5"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r>
      <w:tr w:rsidR="009474E4" w:rsidRPr="009505C5" w14:paraId="5EBA59F0"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tcPr>
          <w:p w14:paraId="420A0C12" w14:textId="76CA2899" w:rsidR="009474E4" w:rsidRPr="009474E4" w:rsidRDefault="009474E4" w:rsidP="009474E4">
            <w:pPr>
              <w:spacing w:after="0" w:line="240" w:lineRule="auto"/>
              <w:jc w:val="both"/>
              <w:rPr>
                <w:rFonts w:ascii="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 xml:space="preserve">Regulas </w:t>
            </w:r>
            <w:r w:rsidRPr="009474E4">
              <w:rPr>
                <w:rFonts w:ascii="Times New Roman" w:hAnsi="Times New Roman" w:cs="Times New Roman"/>
                <w:sz w:val="28"/>
                <w:szCs w:val="28"/>
                <w:lang w:eastAsia="lv-LV"/>
              </w:rPr>
              <w:t xml:space="preserve">Nr.651/2014 25.pants </w:t>
            </w:r>
          </w:p>
          <w:p w14:paraId="167DE516" w14:textId="36343CD0" w:rsidR="009474E4" w:rsidRPr="009474E4" w:rsidRDefault="009474E4" w:rsidP="009474E4">
            <w:pPr>
              <w:spacing w:after="0" w:line="240" w:lineRule="auto"/>
              <w:jc w:val="both"/>
              <w:rPr>
                <w:rFonts w:ascii="Times New Roman" w:hAnsi="Times New Roman" w:cs="Times New Roman"/>
                <w:sz w:val="28"/>
                <w:szCs w:val="28"/>
                <w:lang w:eastAsia="lv-LV"/>
              </w:rPr>
            </w:pPr>
            <w:r w:rsidRPr="009474E4">
              <w:rPr>
                <w:rFonts w:ascii="Times New Roman" w:hAnsi="Times New Roman" w:cs="Times New Roman"/>
                <w:sz w:val="28"/>
                <w:szCs w:val="28"/>
                <w:lang w:eastAsia="lv-LV"/>
              </w:rPr>
              <w:t>un</w:t>
            </w:r>
          </w:p>
          <w:p w14:paraId="086CC69A" w14:textId="7073853A"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28.panta  2.punkta “a” apakšpunkts</w:t>
            </w:r>
          </w:p>
        </w:tc>
        <w:tc>
          <w:tcPr>
            <w:tcW w:w="2063" w:type="dxa"/>
            <w:gridSpan w:val="8"/>
            <w:tcBorders>
              <w:top w:val="outset" w:sz="6" w:space="0" w:color="auto"/>
              <w:left w:val="outset" w:sz="6" w:space="0" w:color="auto"/>
              <w:bottom w:val="outset" w:sz="6" w:space="0" w:color="auto"/>
              <w:right w:val="outset" w:sz="6" w:space="0" w:color="auto"/>
            </w:tcBorders>
          </w:tcPr>
          <w:p w14:paraId="500BC262" w14:textId="51A17E53" w:rsidR="009474E4" w:rsidRPr="009474E4" w:rsidRDefault="0019613B" w:rsidP="009474E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8</w:t>
            </w:r>
            <w:r w:rsidR="009474E4" w:rsidRPr="009474E4">
              <w:rPr>
                <w:rFonts w:ascii="Times New Roman" w:eastAsia="Times New Roman" w:hAnsi="Times New Roman" w:cs="Times New Roman"/>
                <w:sz w:val="28"/>
                <w:szCs w:val="28"/>
                <w:lang w:eastAsia="lv-LV"/>
              </w:rPr>
              <w:t>. grozījuma punkts par MK noteikumu 14.punktu</w:t>
            </w:r>
          </w:p>
        </w:tc>
        <w:tc>
          <w:tcPr>
            <w:tcW w:w="2580" w:type="dxa"/>
            <w:gridSpan w:val="4"/>
            <w:tcBorders>
              <w:top w:val="outset" w:sz="6" w:space="0" w:color="auto"/>
              <w:left w:val="outset" w:sz="6" w:space="0" w:color="auto"/>
              <w:bottom w:val="outset" w:sz="6" w:space="0" w:color="auto"/>
              <w:right w:val="outset" w:sz="6" w:space="0" w:color="auto"/>
            </w:tcBorders>
          </w:tcPr>
          <w:p w14:paraId="0E0F98A0" w14:textId="77777777"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6E2D0B88" w14:textId="075EFBC9"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p>
        </w:tc>
        <w:tc>
          <w:tcPr>
            <w:tcW w:w="2833" w:type="dxa"/>
            <w:gridSpan w:val="2"/>
            <w:tcBorders>
              <w:top w:val="outset" w:sz="6" w:space="0" w:color="auto"/>
              <w:left w:val="outset" w:sz="6" w:space="0" w:color="auto"/>
              <w:bottom w:val="outset" w:sz="6" w:space="0" w:color="auto"/>
              <w:right w:val="outset" w:sz="6" w:space="0" w:color="auto"/>
            </w:tcBorders>
          </w:tcPr>
          <w:p w14:paraId="6D67BCA5" w14:textId="77777777"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 ailē minēta ES tiesību akta vienība ieviesta pilnībā.</w:t>
            </w:r>
          </w:p>
          <w:p w14:paraId="512049C1" w14:textId="51CCA953" w:rsidR="009474E4" w:rsidRPr="009474E4" w:rsidRDefault="009474E4" w:rsidP="009474E4">
            <w:pPr>
              <w:spacing w:after="0" w:line="240" w:lineRule="auto"/>
              <w:jc w:val="both"/>
              <w:rPr>
                <w:rFonts w:ascii="Times New Roman" w:eastAsia="Times New Roman" w:hAnsi="Times New Roman" w:cs="Times New Roman"/>
                <w:sz w:val="28"/>
                <w:szCs w:val="28"/>
                <w:lang w:eastAsia="lv-LV"/>
              </w:rPr>
            </w:pPr>
            <w:r w:rsidRPr="009474E4">
              <w:rPr>
                <w:rFonts w:ascii="Times New Roman" w:eastAsia="Times New Roman" w:hAnsi="Times New Roman" w:cs="Times New Roman"/>
                <w:sz w:val="28"/>
                <w:szCs w:val="28"/>
                <w:lang w:eastAsia="lv-LV"/>
              </w:rPr>
              <w:t>Atbildīgā institūcija ir Valsts izglītības attīstības aģentūra</w:t>
            </w:r>
            <w:r>
              <w:rPr>
                <w:rFonts w:ascii="Times New Roman" w:eastAsia="Times New Roman" w:hAnsi="Times New Roman" w:cs="Times New Roman"/>
                <w:sz w:val="28"/>
                <w:szCs w:val="28"/>
                <w:lang w:eastAsia="lv-LV"/>
              </w:rPr>
              <w:t>.</w:t>
            </w:r>
          </w:p>
        </w:tc>
      </w:tr>
      <w:tr w:rsidR="004C62C1" w:rsidRPr="009505C5" w14:paraId="50E8F4C0"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hideMark/>
          </w:tcPr>
          <w:p w14:paraId="26F26F5B"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Kā ir izmantota ES tiesību aktā paredzētā rīcības brīvība dalībvalstij pārņemt vai ieviest noteiktas </w:t>
            </w:r>
            <w:r w:rsidRPr="009505C5">
              <w:rPr>
                <w:rFonts w:ascii="Times New Roman" w:eastAsia="Times New Roman" w:hAnsi="Times New Roman" w:cs="Times New Roman"/>
                <w:sz w:val="28"/>
                <w:szCs w:val="28"/>
                <w:lang w:eastAsia="lv-LV"/>
              </w:rPr>
              <w:lastRenderedPageBreak/>
              <w:t>ES tiesību akta normas?</w:t>
            </w:r>
            <w:r w:rsidRPr="009505C5">
              <w:rPr>
                <w:rFonts w:ascii="Times New Roman" w:eastAsia="Times New Roman" w:hAnsi="Times New Roman" w:cs="Times New Roman"/>
                <w:sz w:val="28"/>
                <w:szCs w:val="28"/>
                <w:lang w:eastAsia="lv-LV"/>
              </w:rPr>
              <w:br/>
              <w:t>Kādēļ?</w:t>
            </w:r>
          </w:p>
        </w:tc>
        <w:tc>
          <w:tcPr>
            <w:tcW w:w="7536" w:type="dxa"/>
            <w:gridSpan w:val="14"/>
            <w:tcBorders>
              <w:top w:val="outset" w:sz="6" w:space="0" w:color="auto"/>
              <w:left w:val="outset" w:sz="6" w:space="0" w:color="auto"/>
              <w:bottom w:val="outset" w:sz="6" w:space="0" w:color="auto"/>
              <w:right w:val="outset" w:sz="6" w:space="0" w:color="auto"/>
            </w:tcBorders>
            <w:hideMark/>
          </w:tcPr>
          <w:p w14:paraId="3DA6C4BC"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Noteikumu projekts šo jomu neskar.</w:t>
            </w:r>
          </w:p>
          <w:p w14:paraId="41D62F7F"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p>
        </w:tc>
      </w:tr>
      <w:tr w:rsidR="004C62C1" w:rsidRPr="009505C5" w14:paraId="61725EB1"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hideMark/>
          </w:tcPr>
          <w:p w14:paraId="14024CE2"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36" w:type="dxa"/>
            <w:gridSpan w:val="14"/>
            <w:tcBorders>
              <w:top w:val="outset" w:sz="6" w:space="0" w:color="auto"/>
              <w:left w:val="outset" w:sz="6" w:space="0" w:color="auto"/>
              <w:bottom w:val="outset" w:sz="6" w:space="0" w:color="auto"/>
              <w:right w:val="outset" w:sz="6" w:space="0" w:color="auto"/>
            </w:tcBorders>
            <w:hideMark/>
          </w:tcPr>
          <w:p w14:paraId="374C397E"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projekts šo jomu neskar.</w:t>
            </w:r>
          </w:p>
          <w:p w14:paraId="024663E1"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p>
        </w:tc>
      </w:tr>
      <w:tr w:rsidR="004C62C1" w:rsidRPr="009505C5" w14:paraId="09E8DD85" w14:textId="77777777" w:rsidTr="009474E4">
        <w:tblPrEx>
          <w:jc w:val="center"/>
          <w:tblInd w:w="0" w:type="dxa"/>
        </w:tblPrEx>
        <w:trPr>
          <w:gridAfter w:val="1"/>
          <w:wAfter w:w="101" w:type="dxa"/>
          <w:tblCellSpacing w:w="15" w:type="dxa"/>
          <w:jc w:val="center"/>
        </w:trPr>
        <w:tc>
          <w:tcPr>
            <w:tcW w:w="2030" w:type="dxa"/>
            <w:gridSpan w:val="6"/>
            <w:tcBorders>
              <w:top w:val="outset" w:sz="6" w:space="0" w:color="auto"/>
              <w:left w:val="outset" w:sz="6" w:space="0" w:color="auto"/>
              <w:bottom w:val="outset" w:sz="6" w:space="0" w:color="auto"/>
              <w:right w:val="outset" w:sz="6" w:space="0" w:color="auto"/>
            </w:tcBorders>
            <w:hideMark/>
          </w:tcPr>
          <w:p w14:paraId="7BA78FBB"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7536" w:type="dxa"/>
            <w:gridSpan w:val="14"/>
            <w:tcBorders>
              <w:top w:val="outset" w:sz="6" w:space="0" w:color="auto"/>
              <w:left w:val="outset" w:sz="6" w:space="0" w:color="auto"/>
              <w:bottom w:val="outset" w:sz="6" w:space="0" w:color="auto"/>
              <w:right w:val="outset" w:sz="6" w:space="0" w:color="auto"/>
            </w:tcBorders>
            <w:hideMark/>
          </w:tcPr>
          <w:p w14:paraId="6641EB32" w14:textId="77777777" w:rsidR="004C62C1" w:rsidRPr="009505C5" w:rsidRDefault="004C62C1" w:rsidP="004C62C1">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Nav</w:t>
            </w:r>
          </w:p>
        </w:tc>
      </w:tr>
      <w:tr w:rsidR="004C62C1" w:rsidRPr="009505C5" w14:paraId="64C79575" w14:textId="77777777" w:rsidTr="009474E4">
        <w:tblPrEx>
          <w:jc w:val="center"/>
          <w:tblInd w:w="0" w:type="dxa"/>
        </w:tblPrEx>
        <w:trPr>
          <w:gridAfter w:val="1"/>
          <w:wAfter w:w="101" w:type="dxa"/>
          <w:tblCellSpacing w:w="15" w:type="dxa"/>
          <w:jc w:val="center"/>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4586F090" w14:textId="77777777" w:rsidR="004C62C1" w:rsidRPr="009505C5" w:rsidRDefault="004C62C1" w:rsidP="004C62C1">
            <w:pPr>
              <w:spacing w:after="0" w:line="240" w:lineRule="auto"/>
              <w:ind w:firstLine="301"/>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2.tabula</w:t>
            </w:r>
            <w:r w:rsidRPr="009505C5">
              <w:rPr>
                <w:rFonts w:ascii="Times New Roman" w:eastAsia="Times New Roman" w:hAnsi="Times New Roman" w:cs="Times New Roman"/>
                <w:b/>
                <w:bCs/>
                <w:sz w:val="28"/>
                <w:szCs w:val="28"/>
                <w:lang w:eastAsia="lv-LV"/>
              </w:rPr>
              <w:br/>
              <w:t>Ar tiesību akta projektu izpildītās vai uzņemtās saistības, kas izriet no starptautiskajiem tiesību aktiem vai starptautiskas institūcijas vai organizācijas dokumentiem. Pasākumi šo saistību izpildei</w:t>
            </w:r>
          </w:p>
        </w:tc>
      </w:tr>
      <w:tr w:rsidR="004C62C1" w:rsidRPr="009505C5" w14:paraId="376C86BC" w14:textId="77777777" w:rsidTr="009474E4">
        <w:tblPrEx>
          <w:jc w:val="center"/>
          <w:tblInd w:w="0" w:type="dxa"/>
        </w:tblPrEx>
        <w:trPr>
          <w:gridAfter w:val="1"/>
          <w:wAfter w:w="101" w:type="dxa"/>
          <w:tblCellSpacing w:w="15" w:type="dxa"/>
          <w:jc w:val="center"/>
        </w:trPr>
        <w:tc>
          <w:tcPr>
            <w:tcW w:w="2170" w:type="dxa"/>
            <w:gridSpan w:val="7"/>
            <w:tcBorders>
              <w:top w:val="outset" w:sz="6" w:space="0" w:color="auto"/>
              <w:left w:val="outset" w:sz="6" w:space="0" w:color="auto"/>
              <w:bottom w:val="outset" w:sz="6" w:space="0" w:color="auto"/>
              <w:right w:val="outset" w:sz="6" w:space="0" w:color="auto"/>
            </w:tcBorders>
            <w:vAlign w:val="center"/>
            <w:hideMark/>
          </w:tcPr>
          <w:p w14:paraId="57BD9ED7"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Attiecīgā starptautiskā tiesību akta vai starptautiskas institūcijas vai organizācijas dokumenta (turpmāk – starptautiskais dokuments) datums, numurs un nosaukums</w:t>
            </w:r>
          </w:p>
        </w:tc>
        <w:tc>
          <w:tcPr>
            <w:tcW w:w="7396" w:type="dxa"/>
            <w:gridSpan w:val="13"/>
            <w:tcBorders>
              <w:top w:val="outset" w:sz="6" w:space="0" w:color="auto"/>
              <w:left w:val="outset" w:sz="6" w:space="0" w:color="auto"/>
              <w:bottom w:val="outset" w:sz="6" w:space="0" w:color="auto"/>
              <w:right w:val="outset" w:sz="6" w:space="0" w:color="auto"/>
            </w:tcBorders>
            <w:hideMark/>
          </w:tcPr>
          <w:p w14:paraId="2083892E"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projekts šo jomu neskar.</w:t>
            </w:r>
          </w:p>
          <w:p w14:paraId="713272D7"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p>
        </w:tc>
      </w:tr>
      <w:tr w:rsidR="004C62C1" w:rsidRPr="009505C5" w14:paraId="6AC9529B" w14:textId="77777777" w:rsidTr="009474E4">
        <w:tblPrEx>
          <w:jc w:val="center"/>
          <w:tblInd w:w="0" w:type="dxa"/>
        </w:tblPrEx>
        <w:trPr>
          <w:gridAfter w:val="1"/>
          <w:wAfter w:w="101" w:type="dxa"/>
          <w:tblCellSpacing w:w="15" w:type="dxa"/>
          <w:jc w:val="center"/>
        </w:trPr>
        <w:tc>
          <w:tcPr>
            <w:tcW w:w="2170" w:type="dxa"/>
            <w:gridSpan w:val="7"/>
            <w:tcBorders>
              <w:top w:val="outset" w:sz="6" w:space="0" w:color="auto"/>
              <w:left w:val="outset" w:sz="6" w:space="0" w:color="auto"/>
              <w:bottom w:val="outset" w:sz="6" w:space="0" w:color="auto"/>
              <w:right w:val="outset" w:sz="6" w:space="0" w:color="auto"/>
            </w:tcBorders>
            <w:vAlign w:val="center"/>
            <w:hideMark/>
          </w:tcPr>
          <w:p w14:paraId="5979B209" w14:textId="77777777" w:rsidR="004C62C1" w:rsidRPr="009505C5" w:rsidRDefault="004C62C1" w:rsidP="004C62C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A</w:t>
            </w:r>
          </w:p>
        </w:tc>
        <w:tc>
          <w:tcPr>
            <w:tcW w:w="3304" w:type="dxa"/>
            <w:gridSpan w:val="9"/>
            <w:tcBorders>
              <w:top w:val="outset" w:sz="6" w:space="0" w:color="auto"/>
              <w:left w:val="outset" w:sz="6" w:space="0" w:color="auto"/>
              <w:bottom w:val="outset" w:sz="6" w:space="0" w:color="auto"/>
              <w:right w:val="outset" w:sz="6" w:space="0" w:color="auto"/>
            </w:tcBorders>
            <w:vAlign w:val="center"/>
            <w:hideMark/>
          </w:tcPr>
          <w:p w14:paraId="2CAFF802" w14:textId="77777777" w:rsidR="004C62C1" w:rsidRPr="009505C5" w:rsidRDefault="004C62C1" w:rsidP="004C62C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B</w:t>
            </w:r>
          </w:p>
        </w:tc>
        <w:tc>
          <w:tcPr>
            <w:tcW w:w="4062" w:type="dxa"/>
            <w:gridSpan w:val="4"/>
            <w:tcBorders>
              <w:top w:val="outset" w:sz="6" w:space="0" w:color="auto"/>
              <w:left w:val="outset" w:sz="6" w:space="0" w:color="auto"/>
              <w:bottom w:val="outset" w:sz="6" w:space="0" w:color="auto"/>
              <w:right w:val="outset" w:sz="6" w:space="0" w:color="auto"/>
            </w:tcBorders>
            <w:vAlign w:val="center"/>
            <w:hideMark/>
          </w:tcPr>
          <w:p w14:paraId="75CA3E6A" w14:textId="77777777" w:rsidR="004C62C1" w:rsidRPr="009505C5" w:rsidRDefault="004C62C1" w:rsidP="004C62C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w:t>
            </w:r>
          </w:p>
        </w:tc>
      </w:tr>
      <w:tr w:rsidR="004C62C1" w:rsidRPr="009505C5" w14:paraId="14B48D56" w14:textId="77777777" w:rsidTr="009474E4">
        <w:tblPrEx>
          <w:jc w:val="center"/>
          <w:tblInd w:w="0" w:type="dxa"/>
        </w:tblPrEx>
        <w:trPr>
          <w:gridAfter w:val="1"/>
          <w:wAfter w:w="101" w:type="dxa"/>
          <w:tblCellSpacing w:w="15" w:type="dxa"/>
          <w:jc w:val="center"/>
        </w:trPr>
        <w:tc>
          <w:tcPr>
            <w:tcW w:w="2170" w:type="dxa"/>
            <w:gridSpan w:val="7"/>
            <w:tcBorders>
              <w:top w:val="outset" w:sz="6" w:space="0" w:color="auto"/>
              <w:left w:val="outset" w:sz="6" w:space="0" w:color="auto"/>
              <w:bottom w:val="outset" w:sz="6" w:space="0" w:color="auto"/>
              <w:right w:val="outset" w:sz="6" w:space="0" w:color="auto"/>
            </w:tcBorders>
            <w:hideMark/>
          </w:tcPr>
          <w:p w14:paraId="4872E5F1"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lastRenderedPageBreak/>
              <w:t xml:space="preserve">Starptautiskās saistības (pēc būtības), kas izriet no norādītā starptautiskā dokumenta. </w:t>
            </w:r>
          </w:p>
          <w:p w14:paraId="7AEC1C19" w14:textId="77777777" w:rsidR="004C62C1" w:rsidRPr="009505C5" w:rsidRDefault="004C62C1" w:rsidP="004C62C1">
            <w:pPr>
              <w:spacing w:after="0" w:line="240" w:lineRule="auto"/>
              <w:ind w:firstLine="30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Konkrēti veicamie pasākumi vai uzdevumi, kas nepieciešami šo starptautisko saistību izpildei</w:t>
            </w:r>
          </w:p>
        </w:tc>
        <w:tc>
          <w:tcPr>
            <w:tcW w:w="3304" w:type="dxa"/>
            <w:gridSpan w:val="9"/>
            <w:tcBorders>
              <w:top w:val="outset" w:sz="6" w:space="0" w:color="auto"/>
              <w:left w:val="outset" w:sz="6" w:space="0" w:color="auto"/>
              <w:bottom w:val="outset" w:sz="6" w:space="0" w:color="auto"/>
              <w:right w:val="outset" w:sz="6" w:space="0" w:color="auto"/>
            </w:tcBorders>
            <w:hideMark/>
          </w:tcPr>
          <w:p w14:paraId="4EFEEB35"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062" w:type="dxa"/>
            <w:gridSpan w:val="4"/>
            <w:tcBorders>
              <w:top w:val="outset" w:sz="6" w:space="0" w:color="auto"/>
              <w:left w:val="outset" w:sz="6" w:space="0" w:color="auto"/>
              <w:bottom w:val="outset" w:sz="6" w:space="0" w:color="auto"/>
              <w:right w:val="outset" w:sz="6" w:space="0" w:color="auto"/>
            </w:tcBorders>
            <w:hideMark/>
          </w:tcPr>
          <w:p w14:paraId="24924179"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Informācija par to, vai starptautiskās saistības, kas minētas šīs tabulas A ailē, tiek izpildītas pilnībā vai daļēji. </w:t>
            </w:r>
          </w:p>
          <w:p w14:paraId="19E6840B"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Ja attiecīgās starptautiskās saistības tiek izpildītas daļēji, sniedz skaidrojumu, kā arī precīzi norāda, kad un kādā veidā starptautiskās saistības tiks izpildītas pilnībā.</w:t>
            </w:r>
          </w:p>
          <w:p w14:paraId="3B645F9B"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Norāda institūciju, kas ir atbildīga par šo saistību izpildi pilnībā</w:t>
            </w:r>
          </w:p>
        </w:tc>
      </w:tr>
      <w:tr w:rsidR="004C62C1" w:rsidRPr="009505C5" w14:paraId="540B8920" w14:textId="77777777" w:rsidTr="009474E4">
        <w:tblPrEx>
          <w:jc w:val="center"/>
          <w:tblInd w:w="0" w:type="dxa"/>
        </w:tblPrEx>
        <w:trPr>
          <w:gridAfter w:val="1"/>
          <w:wAfter w:w="101" w:type="dxa"/>
          <w:tblCellSpacing w:w="15" w:type="dxa"/>
          <w:jc w:val="center"/>
        </w:trPr>
        <w:tc>
          <w:tcPr>
            <w:tcW w:w="2170" w:type="dxa"/>
            <w:gridSpan w:val="7"/>
            <w:tcBorders>
              <w:top w:val="outset" w:sz="6" w:space="0" w:color="auto"/>
              <w:left w:val="outset" w:sz="6" w:space="0" w:color="auto"/>
              <w:bottom w:val="outset" w:sz="6" w:space="0" w:color="auto"/>
              <w:right w:val="outset" w:sz="6" w:space="0" w:color="auto"/>
            </w:tcBorders>
            <w:hideMark/>
          </w:tcPr>
          <w:p w14:paraId="6D9ECF6A"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Vai starptautiskajā dokumentā paredzētās saistības nav pretrunā ar jau esošajām Latvijas Republikas starptautiskajām saistībām</w:t>
            </w:r>
          </w:p>
        </w:tc>
        <w:tc>
          <w:tcPr>
            <w:tcW w:w="7396" w:type="dxa"/>
            <w:gridSpan w:val="13"/>
            <w:tcBorders>
              <w:top w:val="outset" w:sz="6" w:space="0" w:color="auto"/>
              <w:left w:val="outset" w:sz="6" w:space="0" w:color="auto"/>
              <w:bottom w:val="outset" w:sz="6" w:space="0" w:color="auto"/>
              <w:right w:val="outset" w:sz="6" w:space="0" w:color="auto"/>
            </w:tcBorders>
            <w:hideMark/>
          </w:tcPr>
          <w:p w14:paraId="00881809"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projekts šo jomu neskar.</w:t>
            </w:r>
          </w:p>
          <w:p w14:paraId="000ED4EF"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p>
        </w:tc>
      </w:tr>
      <w:tr w:rsidR="004C62C1" w:rsidRPr="009505C5" w14:paraId="30B97192" w14:textId="77777777" w:rsidTr="009474E4">
        <w:tblPrEx>
          <w:jc w:val="center"/>
          <w:tblInd w:w="0" w:type="dxa"/>
        </w:tblPrEx>
        <w:trPr>
          <w:gridAfter w:val="1"/>
          <w:wAfter w:w="101" w:type="dxa"/>
          <w:tblCellSpacing w:w="15" w:type="dxa"/>
          <w:jc w:val="center"/>
        </w:trPr>
        <w:tc>
          <w:tcPr>
            <w:tcW w:w="2170" w:type="dxa"/>
            <w:gridSpan w:val="7"/>
            <w:tcBorders>
              <w:top w:val="outset" w:sz="6" w:space="0" w:color="auto"/>
              <w:left w:val="outset" w:sz="6" w:space="0" w:color="auto"/>
              <w:bottom w:val="outset" w:sz="6" w:space="0" w:color="auto"/>
              <w:right w:val="outset" w:sz="6" w:space="0" w:color="auto"/>
            </w:tcBorders>
            <w:hideMark/>
          </w:tcPr>
          <w:p w14:paraId="59986DB8"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7396" w:type="dxa"/>
            <w:gridSpan w:val="13"/>
            <w:tcBorders>
              <w:top w:val="outset" w:sz="6" w:space="0" w:color="auto"/>
              <w:left w:val="outset" w:sz="6" w:space="0" w:color="auto"/>
              <w:bottom w:val="outset" w:sz="6" w:space="0" w:color="auto"/>
              <w:right w:val="outset" w:sz="6" w:space="0" w:color="auto"/>
            </w:tcBorders>
            <w:hideMark/>
          </w:tcPr>
          <w:p w14:paraId="47B61E69" w14:textId="77777777" w:rsidR="004C62C1" w:rsidRPr="009505C5" w:rsidRDefault="004C62C1" w:rsidP="004C62C1">
            <w:pPr>
              <w:spacing w:after="0" w:line="240" w:lineRule="auto"/>
              <w:ind w:firstLine="30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Nav</w:t>
            </w:r>
          </w:p>
        </w:tc>
      </w:tr>
      <w:tr w:rsidR="004C62C1" w:rsidRPr="009505C5" w14:paraId="14C872EF" w14:textId="77777777" w:rsidTr="009474E4">
        <w:tblPrEx>
          <w:jc w:val="center"/>
          <w:tblInd w:w="0" w:type="dxa"/>
        </w:tblPrEx>
        <w:trPr>
          <w:gridAfter w:val="1"/>
          <w:wAfter w:w="101" w:type="dxa"/>
          <w:trHeight w:val="420"/>
          <w:tblCellSpacing w:w="15" w:type="dxa"/>
          <w:jc w:val="center"/>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5546B632" w14:textId="77777777" w:rsidR="004C62C1" w:rsidRPr="009505C5" w:rsidRDefault="004C62C1" w:rsidP="004C62C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t>VI. Sabiedrības līdzdalība un komunikācijas aktivitātes</w:t>
            </w:r>
          </w:p>
        </w:tc>
      </w:tr>
      <w:tr w:rsidR="004C62C1" w:rsidRPr="009505C5" w14:paraId="08548E64" w14:textId="77777777" w:rsidTr="009474E4">
        <w:tblPrEx>
          <w:jc w:val="center"/>
          <w:tblInd w:w="0" w:type="dxa"/>
        </w:tblPrEx>
        <w:trPr>
          <w:gridAfter w:val="1"/>
          <w:wAfter w:w="101" w:type="dxa"/>
          <w:trHeight w:val="540"/>
          <w:tblCellSpacing w:w="15" w:type="dxa"/>
          <w:jc w:val="center"/>
        </w:trPr>
        <w:tc>
          <w:tcPr>
            <w:tcW w:w="670" w:type="dxa"/>
            <w:gridSpan w:val="3"/>
            <w:tcBorders>
              <w:top w:val="outset" w:sz="6" w:space="0" w:color="auto"/>
              <w:left w:val="outset" w:sz="6" w:space="0" w:color="auto"/>
              <w:bottom w:val="outset" w:sz="6" w:space="0" w:color="auto"/>
              <w:right w:val="outset" w:sz="6" w:space="0" w:color="auto"/>
            </w:tcBorders>
            <w:hideMark/>
          </w:tcPr>
          <w:p w14:paraId="68EDFB56"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1992" w:type="dxa"/>
            <w:gridSpan w:val="6"/>
            <w:tcBorders>
              <w:top w:val="outset" w:sz="6" w:space="0" w:color="auto"/>
              <w:left w:val="outset" w:sz="6" w:space="0" w:color="auto"/>
              <w:bottom w:val="outset" w:sz="6" w:space="0" w:color="auto"/>
              <w:right w:val="outset" w:sz="6" w:space="0" w:color="auto"/>
            </w:tcBorders>
            <w:hideMark/>
          </w:tcPr>
          <w:p w14:paraId="0CCFFB25"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Plānotās sabiedrības līdzdalības un komunikācijas aktivitātes saistībā ar projektu</w:t>
            </w:r>
          </w:p>
        </w:tc>
        <w:tc>
          <w:tcPr>
            <w:tcW w:w="6874" w:type="dxa"/>
            <w:gridSpan w:val="11"/>
            <w:tcBorders>
              <w:top w:val="outset" w:sz="6" w:space="0" w:color="auto"/>
              <w:left w:val="outset" w:sz="6" w:space="0" w:color="auto"/>
              <w:bottom w:val="outset" w:sz="6" w:space="0" w:color="auto"/>
              <w:right w:val="outset" w:sz="6" w:space="0" w:color="auto"/>
            </w:tcBorders>
            <w:hideMark/>
          </w:tcPr>
          <w:p w14:paraId="21E2794F" w14:textId="03B9404F" w:rsidR="004C62C1" w:rsidRPr="009505C5" w:rsidRDefault="004C62C1" w:rsidP="009474E4">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sz w:val="28"/>
                <w:szCs w:val="28"/>
                <w:lang w:eastAsia="lv-LV"/>
              </w:rPr>
              <w:t xml:space="preserve">Sabiedrības līdzdalība nav nepieciešama, jo noteikumu projekts paredz precizēt un papildināt projektu </w:t>
            </w:r>
            <w:r w:rsidR="009474E4">
              <w:rPr>
                <w:rFonts w:ascii="Times New Roman" w:hAnsi="Times New Roman" w:cs="Times New Roman"/>
                <w:sz w:val="28"/>
                <w:szCs w:val="28"/>
                <w:lang w:eastAsia="lv-LV"/>
              </w:rPr>
              <w:t xml:space="preserve">tiešās un netiešās </w:t>
            </w:r>
            <w:r w:rsidRPr="009505C5">
              <w:rPr>
                <w:rFonts w:ascii="Times New Roman" w:hAnsi="Times New Roman" w:cs="Times New Roman"/>
                <w:sz w:val="28"/>
                <w:szCs w:val="28"/>
                <w:lang w:eastAsia="lv-LV"/>
              </w:rPr>
              <w:t xml:space="preserve">attiecināmās izmaksas, lai nodrošinātu to izmaksu atbilstoši regulai Nr.651/2014 un </w:t>
            </w:r>
            <w:r w:rsidRPr="009505C5">
              <w:rPr>
                <w:rFonts w:ascii="Times New Roman" w:eastAsia="Times New Roman" w:hAnsi="Times New Roman" w:cs="Times New Roman"/>
                <w:sz w:val="28"/>
                <w:szCs w:val="28"/>
                <w:lang w:eastAsia="lv-LV"/>
              </w:rPr>
              <w:t>regulai Nr.1290/2013.</w:t>
            </w:r>
          </w:p>
        </w:tc>
      </w:tr>
      <w:tr w:rsidR="004C62C1" w:rsidRPr="009505C5" w14:paraId="67AAAB8A" w14:textId="77777777" w:rsidTr="009474E4">
        <w:tblPrEx>
          <w:jc w:val="center"/>
          <w:tblInd w:w="0" w:type="dxa"/>
        </w:tblPrEx>
        <w:trPr>
          <w:gridAfter w:val="1"/>
          <w:wAfter w:w="101" w:type="dxa"/>
          <w:trHeight w:val="330"/>
          <w:tblCellSpacing w:w="15" w:type="dxa"/>
          <w:jc w:val="center"/>
        </w:trPr>
        <w:tc>
          <w:tcPr>
            <w:tcW w:w="670" w:type="dxa"/>
            <w:gridSpan w:val="3"/>
            <w:tcBorders>
              <w:top w:val="outset" w:sz="6" w:space="0" w:color="auto"/>
              <w:left w:val="outset" w:sz="6" w:space="0" w:color="auto"/>
              <w:bottom w:val="outset" w:sz="6" w:space="0" w:color="auto"/>
              <w:right w:val="outset" w:sz="6" w:space="0" w:color="auto"/>
            </w:tcBorders>
            <w:hideMark/>
          </w:tcPr>
          <w:p w14:paraId="2EE738C5"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1992" w:type="dxa"/>
            <w:gridSpan w:val="6"/>
            <w:tcBorders>
              <w:top w:val="outset" w:sz="6" w:space="0" w:color="auto"/>
              <w:left w:val="outset" w:sz="6" w:space="0" w:color="auto"/>
              <w:bottom w:val="outset" w:sz="6" w:space="0" w:color="auto"/>
              <w:right w:val="outset" w:sz="6" w:space="0" w:color="auto"/>
            </w:tcBorders>
            <w:hideMark/>
          </w:tcPr>
          <w:p w14:paraId="77799802"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Sabiedrības līdzdalība projekta izstrādē</w:t>
            </w:r>
          </w:p>
        </w:tc>
        <w:tc>
          <w:tcPr>
            <w:tcW w:w="6874" w:type="dxa"/>
            <w:gridSpan w:val="11"/>
            <w:tcBorders>
              <w:top w:val="outset" w:sz="6" w:space="0" w:color="auto"/>
              <w:left w:val="outset" w:sz="6" w:space="0" w:color="auto"/>
              <w:bottom w:val="outset" w:sz="6" w:space="0" w:color="auto"/>
              <w:right w:val="outset" w:sz="6" w:space="0" w:color="auto"/>
            </w:tcBorders>
            <w:hideMark/>
          </w:tcPr>
          <w:p w14:paraId="0EC978A5"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projekts šo jomu neskar.</w:t>
            </w:r>
          </w:p>
          <w:p w14:paraId="6226056A"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p>
        </w:tc>
      </w:tr>
      <w:tr w:rsidR="004C62C1" w:rsidRPr="009505C5" w14:paraId="3A8A5FA4" w14:textId="77777777" w:rsidTr="009474E4">
        <w:tblPrEx>
          <w:jc w:val="center"/>
          <w:tblInd w:w="0" w:type="dxa"/>
        </w:tblPrEx>
        <w:trPr>
          <w:gridAfter w:val="1"/>
          <w:wAfter w:w="101" w:type="dxa"/>
          <w:trHeight w:val="465"/>
          <w:tblCellSpacing w:w="15" w:type="dxa"/>
          <w:jc w:val="center"/>
        </w:trPr>
        <w:tc>
          <w:tcPr>
            <w:tcW w:w="670" w:type="dxa"/>
            <w:gridSpan w:val="3"/>
            <w:tcBorders>
              <w:top w:val="outset" w:sz="6" w:space="0" w:color="auto"/>
              <w:left w:val="outset" w:sz="6" w:space="0" w:color="auto"/>
              <w:bottom w:val="outset" w:sz="6" w:space="0" w:color="auto"/>
              <w:right w:val="outset" w:sz="6" w:space="0" w:color="auto"/>
            </w:tcBorders>
            <w:hideMark/>
          </w:tcPr>
          <w:p w14:paraId="1983CCE3"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w:t>
            </w:r>
          </w:p>
        </w:tc>
        <w:tc>
          <w:tcPr>
            <w:tcW w:w="1992" w:type="dxa"/>
            <w:gridSpan w:val="6"/>
            <w:tcBorders>
              <w:top w:val="outset" w:sz="6" w:space="0" w:color="auto"/>
              <w:left w:val="outset" w:sz="6" w:space="0" w:color="auto"/>
              <w:bottom w:val="outset" w:sz="6" w:space="0" w:color="auto"/>
              <w:right w:val="outset" w:sz="6" w:space="0" w:color="auto"/>
            </w:tcBorders>
            <w:hideMark/>
          </w:tcPr>
          <w:p w14:paraId="7057EEB0"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Sabiedrības līdzdalības rezultāti</w:t>
            </w:r>
          </w:p>
        </w:tc>
        <w:tc>
          <w:tcPr>
            <w:tcW w:w="6874" w:type="dxa"/>
            <w:gridSpan w:val="11"/>
            <w:tcBorders>
              <w:top w:val="outset" w:sz="6" w:space="0" w:color="auto"/>
              <w:left w:val="outset" w:sz="6" w:space="0" w:color="auto"/>
              <w:bottom w:val="outset" w:sz="6" w:space="0" w:color="auto"/>
              <w:right w:val="outset" w:sz="6" w:space="0" w:color="auto"/>
            </w:tcBorders>
            <w:hideMark/>
          </w:tcPr>
          <w:p w14:paraId="786CC80D" w14:textId="77777777" w:rsidR="004C62C1" w:rsidRPr="009505C5" w:rsidRDefault="004C62C1" w:rsidP="004C62C1">
            <w:pPr>
              <w:autoSpaceDE w:val="0"/>
              <w:autoSpaceDN w:val="0"/>
              <w:adjustRightInd w:val="0"/>
              <w:spacing w:after="0" w:line="240" w:lineRule="auto"/>
              <w:ind w:left="80"/>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projekts šo jomu neskar.</w:t>
            </w:r>
          </w:p>
          <w:p w14:paraId="00438D24"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p>
        </w:tc>
      </w:tr>
      <w:tr w:rsidR="004C62C1" w:rsidRPr="009505C5" w14:paraId="6DBE9A01" w14:textId="77777777" w:rsidTr="009474E4">
        <w:tblPrEx>
          <w:jc w:val="center"/>
          <w:tblInd w:w="0" w:type="dxa"/>
        </w:tblPrEx>
        <w:trPr>
          <w:gridAfter w:val="1"/>
          <w:wAfter w:w="101" w:type="dxa"/>
          <w:trHeight w:val="465"/>
          <w:tblCellSpacing w:w="15" w:type="dxa"/>
          <w:jc w:val="center"/>
        </w:trPr>
        <w:tc>
          <w:tcPr>
            <w:tcW w:w="670" w:type="dxa"/>
            <w:gridSpan w:val="3"/>
            <w:tcBorders>
              <w:top w:val="outset" w:sz="6" w:space="0" w:color="auto"/>
              <w:left w:val="outset" w:sz="6" w:space="0" w:color="auto"/>
              <w:bottom w:val="outset" w:sz="6" w:space="0" w:color="auto"/>
              <w:right w:val="outset" w:sz="6" w:space="0" w:color="auto"/>
            </w:tcBorders>
            <w:hideMark/>
          </w:tcPr>
          <w:p w14:paraId="6983EDF2"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4.</w:t>
            </w:r>
          </w:p>
        </w:tc>
        <w:tc>
          <w:tcPr>
            <w:tcW w:w="1992" w:type="dxa"/>
            <w:gridSpan w:val="6"/>
            <w:tcBorders>
              <w:top w:val="outset" w:sz="6" w:space="0" w:color="auto"/>
              <w:left w:val="outset" w:sz="6" w:space="0" w:color="auto"/>
              <w:bottom w:val="outset" w:sz="6" w:space="0" w:color="auto"/>
              <w:right w:val="outset" w:sz="6" w:space="0" w:color="auto"/>
            </w:tcBorders>
            <w:hideMark/>
          </w:tcPr>
          <w:p w14:paraId="054C3D33"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6874" w:type="dxa"/>
            <w:gridSpan w:val="11"/>
            <w:tcBorders>
              <w:top w:val="outset" w:sz="6" w:space="0" w:color="auto"/>
              <w:left w:val="outset" w:sz="6" w:space="0" w:color="auto"/>
              <w:bottom w:val="outset" w:sz="6" w:space="0" w:color="auto"/>
              <w:right w:val="outset" w:sz="6" w:space="0" w:color="auto"/>
            </w:tcBorders>
            <w:hideMark/>
          </w:tcPr>
          <w:p w14:paraId="58D490A9" w14:textId="77777777" w:rsidR="004C62C1" w:rsidRPr="009505C5" w:rsidRDefault="004C62C1" w:rsidP="004C62C1">
            <w:pPr>
              <w:spacing w:before="100" w:beforeAutospacing="1" w:after="100" w:afterAutospacing="1" w:line="36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Nav</w:t>
            </w:r>
          </w:p>
        </w:tc>
      </w:tr>
      <w:tr w:rsidR="004C62C1" w:rsidRPr="009505C5" w14:paraId="283D0326" w14:textId="77777777" w:rsidTr="009474E4">
        <w:tblPrEx>
          <w:jc w:val="center"/>
          <w:tblInd w:w="0" w:type="dxa"/>
        </w:tblPrEx>
        <w:trPr>
          <w:gridAfter w:val="1"/>
          <w:wAfter w:w="101" w:type="dxa"/>
          <w:trHeight w:val="375"/>
          <w:tblCellSpacing w:w="15" w:type="dxa"/>
          <w:jc w:val="center"/>
        </w:trPr>
        <w:tc>
          <w:tcPr>
            <w:tcW w:w="9596" w:type="dxa"/>
            <w:gridSpan w:val="20"/>
            <w:tcBorders>
              <w:top w:val="outset" w:sz="6" w:space="0" w:color="auto"/>
              <w:left w:val="outset" w:sz="6" w:space="0" w:color="auto"/>
              <w:bottom w:val="outset" w:sz="6" w:space="0" w:color="auto"/>
              <w:right w:val="outset" w:sz="6" w:space="0" w:color="auto"/>
            </w:tcBorders>
            <w:vAlign w:val="center"/>
            <w:hideMark/>
          </w:tcPr>
          <w:p w14:paraId="442706CF" w14:textId="77777777" w:rsidR="004C62C1" w:rsidRPr="009505C5" w:rsidRDefault="004C62C1" w:rsidP="004C62C1">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9505C5">
              <w:rPr>
                <w:rFonts w:ascii="Times New Roman" w:eastAsia="Times New Roman" w:hAnsi="Times New Roman" w:cs="Times New Roman"/>
                <w:b/>
                <w:bCs/>
                <w:sz w:val="28"/>
                <w:szCs w:val="28"/>
                <w:lang w:eastAsia="lv-LV"/>
              </w:rPr>
              <w:lastRenderedPageBreak/>
              <w:t>VII. Tiesību akta projekta izpildes nodrošināšana un tās ietekme uz institūcijām</w:t>
            </w:r>
          </w:p>
        </w:tc>
      </w:tr>
      <w:tr w:rsidR="004C62C1" w:rsidRPr="009505C5" w14:paraId="35BBED28" w14:textId="77777777" w:rsidTr="009474E4">
        <w:tblPrEx>
          <w:jc w:val="center"/>
          <w:tblInd w:w="0" w:type="dxa"/>
        </w:tblPrEx>
        <w:trPr>
          <w:gridAfter w:val="1"/>
          <w:wAfter w:w="101" w:type="dxa"/>
          <w:trHeight w:val="42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47AE9B60" w14:textId="77777777" w:rsidR="004C62C1" w:rsidRPr="009505C5" w:rsidRDefault="004C62C1" w:rsidP="004C62C1">
            <w:pPr>
              <w:spacing w:after="0" w:line="240" w:lineRule="auto"/>
              <w:ind w:left="-113" w:firstLine="113"/>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1.</w:t>
            </w:r>
          </w:p>
        </w:tc>
        <w:tc>
          <w:tcPr>
            <w:tcW w:w="2771" w:type="dxa"/>
            <w:gridSpan w:val="10"/>
            <w:tcBorders>
              <w:top w:val="outset" w:sz="6" w:space="0" w:color="auto"/>
              <w:left w:val="outset" w:sz="6" w:space="0" w:color="auto"/>
              <w:bottom w:val="outset" w:sz="6" w:space="0" w:color="auto"/>
              <w:right w:val="outset" w:sz="6" w:space="0" w:color="auto"/>
            </w:tcBorders>
            <w:hideMark/>
          </w:tcPr>
          <w:p w14:paraId="108B9229"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Projekta izpildē iesaistītās institūcijas</w:t>
            </w:r>
          </w:p>
        </w:tc>
        <w:tc>
          <w:tcPr>
            <w:tcW w:w="6482" w:type="dxa"/>
            <w:gridSpan w:val="9"/>
            <w:tcBorders>
              <w:top w:val="outset" w:sz="6" w:space="0" w:color="auto"/>
              <w:left w:val="outset" w:sz="6" w:space="0" w:color="auto"/>
              <w:bottom w:val="outset" w:sz="6" w:space="0" w:color="auto"/>
              <w:right w:val="outset" w:sz="6" w:space="0" w:color="auto"/>
            </w:tcBorders>
            <w:hideMark/>
          </w:tcPr>
          <w:p w14:paraId="5572F208" w14:textId="3FD8066D"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hAnsi="Times New Roman" w:cs="Times New Roman"/>
                <w:bCs/>
                <w:sz w:val="28"/>
                <w:szCs w:val="28"/>
                <w:lang w:eastAsia="lv-LV"/>
              </w:rPr>
              <w:t>Valsts izglītības attīstības aģentūra,</w:t>
            </w:r>
            <w:r w:rsidRPr="009505C5">
              <w:rPr>
                <w:rFonts w:ascii="Times New Roman" w:eastAsia="Times New Roman" w:hAnsi="Times New Roman" w:cs="Times New Roman"/>
                <w:sz w:val="28"/>
                <w:szCs w:val="28"/>
                <w:lang w:eastAsia="lv-LV"/>
              </w:rPr>
              <w:t xml:space="preserve"> zinātnisko institūciju reģistrā reģistrētās zinātniskās institūcijas, </w:t>
            </w:r>
            <w:r w:rsidRPr="009505C5">
              <w:rPr>
                <w:rFonts w:ascii="Times New Roman" w:hAnsi="Times New Roman" w:cs="Times New Roman"/>
                <w:sz w:val="28"/>
                <w:szCs w:val="28"/>
              </w:rPr>
              <w:t>komersanti, biedrības, nodibinājumi.</w:t>
            </w:r>
          </w:p>
        </w:tc>
      </w:tr>
      <w:tr w:rsidR="004C62C1" w:rsidRPr="009505C5" w14:paraId="7E843D46" w14:textId="77777777" w:rsidTr="009474E4">
        <w:tblPrEx>
          <w:jc w:val="center"/>
          <w:tblInd w:w="0" w:type="dxa"/>
        </w:tblPrEx>
        <w:trPr>
          <w:gridAfter w:val="1"/>
          <w:wAfter w:w="101" w:type="dxa"/>
          <w:trHeight w:val="45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0585DF9E"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2.</w:t>
            </w:r>
          </w:p>
        </w:tc>
        <w:tc>
          <w:tcPr>
            <w:tcW w:w="2771" w:type="dxa"/>
            <w:gridSpan w:val="10"/>
            <w:tcBorders>
              <w:top w:val="outset" w:sz="6" w:space="0" w:color="auto"/>
              <w:left w:val="outset" w:sz="6" w:space="0" w:color="auto"/>
              <w:bottom w:val="outset" w:sz="6" w:space="0" w:color="auto"/>
              <w:right w:val="outset" w:sz="6" w:space="0" w:color="auto"/>
            </w:tcBorders>
            <w:hideMark/>
          </w:tcPr>
          <w:p w14:paraId="7BE059D5"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 xml:space="preserve">Projekta izpildes ietekme uz pārvaldes funkcijām un institucionālo struktūru. </w:t>
            </w:r>
          </w:p>
          <w:p w14:paraId="68E32B60" w14:textId="77777777"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6482" w:type="dxa"/>
            <w:gridSpan w:val="9"/>
            <w:tcBorders>
              <w:top w:val="outset" w:sz="6" w:space="0" w:color="auto"/>
              <w:left w:val="outset" w:sz="6" w:space="0" w:color="auto"/>
              <w:bottom w:val="outset" w:sz="6" w:space="0" w:color="auto"/>
              <w:right w:val="outset" w:sz="6" w:space="0" w:color="auto"/>
            </w:tcBorders>
            <w:hideMark/>
          </w:tcPr>
          <w:p w14:paraId="6E03EA66" w14:textId="2E5F5B7B"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Noteikumu projekta izpildi nodrošinās pieejamo cilvēkresursu ietvaros.</w:t>
            </w:r>
          </w:p>
          <w:p w14:paraId="274433CE" w14:textId="0090FDB5" w:rsidR="004C62C1" w:rsidRPr="009505C5" w:rsidRDefault="004C62C1" w:rsidP="004C62C1">
            <w:pPr>
              <w:spacing w:after="0" w:line="240" w:lineRule="auto"/>
              <w:jc w:val="both"/>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Saistībā ar noteikumu projekta izpildi nav nepieciešamas veidot jaunas institūcijas, likvidēt vai reorganizēt esošās.</w:t>
            </w:r>
          </w:p>
        </w:tc>
      </w:tr>
      <w:tr w:rsidR="004C62C1" w:rsidRPr="009505C5" w14:paraId="2C7CCDE9" w14:textId="77777777" w:rsidTr="009474E4">
        <w:tblPrEx>
          <w:jc w:val="center"/>
          <w:tblInd w:w="0" w:type="dxa"/>
        </w:tblPrEx>
        <w:trPr>
          <w:gridAfter w:val="1"/>
          <w:wAfter w:w="101" w:type="dxa"/>
          <w:trHeight w:val="390"/>
          <w:tblCellSpacing w:w="15" w:type="dxa"/>
          <w:jc w:val="center"/>
        </w:trPr>
        <w:tc>
          <w:tcPr>
            <w:tcW w:w="283" w:type="dxa"/>
            <w:tcBorders>
              <w:top w:val="outset" w:sz="6" w:space="0" w:color="auto"/>
              <w:left w:val="outset" w:sz="6" w:space="0" w:color="auto"/>
              <w:bottom w:val="outset" w:sz="6" w:space="0" w:color="auto"/>
              <w:right w:val="outset" w:sz="6" w:space="0" w:color="auto"/>
            </w:tcBorders>
            <w:hideMark/>
          </w:tcPr>
          <w:p w14:paraId="322FA5A9"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3.</w:t>
            </w:r>
          </w:p>
        </w:tc>
        <w:tc>
          <w:tcPr>
            <w:tcW w:w="2771" w:type="dxa"/>
            <w:gridSpan w:val="10"/>
            <w:tcBorders>
              <w:top w:val="outset" w:sz="6" w:space="0" w:color="auto"/>
              <w:left w:val="outset" w:sz="6" w:space="0" w:color="auto"/>
              <w:bottom w:val="outset" w:sz="6" w:space="0" w:color="auto"/>
              <w:right w:val="outset" w:sz="6" w:space="0" w:color="auto"/>
            </w:tcBorders>
            <w:hideMark/>
          </w:tcPr>
          <w:p w14:paraId="68F3085A" w14:textId="77777777" w:rsidR="004C62C1" w:rsidRPr="009505C5" w:rsidRDefault="004C62C1" w:rsidP="004C62C1">
            <w:pPr>
              <w:spacing w:after="0" w:line="240" w:lineRule="auto"/>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Cita informācija</w:t>
            </w:r>
          </w:p>
        </w:tc>
        <w:tc>
          <w:tcPr>
            <w:tcW w:w="6482" w:type="dxa"/>
            <w:gridSpan w:val="9"/>
            <w:tcBorders>
              <w:top w:val="outset" w:sz="6" w:space="0" w:color="auto"/>
              <w:left w:val="outset" w:sz="6" w:space="0" w:color="auto"/>
              <w:bottom w:val="outset" w:sz="6" w:space="0" w:color="auto"/>
              <w:right w:val="outset" w:sz="6" w:space="0" w:color="auto"/>
            </w:tcBorders>
            <w:hideMark/>
          </w:tcPr>
          <w:p w14:paraId="4E945B3B" w14:textId="77777777" w:rsidR="004C62C1" w:rsidRPr="009505C5" w:rsidRDefault="004C62C1" w:rsidP="004C62C1">
            <w:pPr>
              <w:spacing w:before="100" w:beforeAutospacing="1" w:after="100" w:afterAutospacing="1" w:line="360" w:lineRule="auto"/>
              <w:ind w:firstLine="300"/>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Nav</w:t>
            </w:r>
          </w:p>
        </w:tc>
      </w:tr>
    </w:tbl>
    <w:p w14:paraId="2FB06B79" w14:textId="77777777" w:rsidR="004C6F99" w:rsidRPr="009505C5" w:rsidRDefault="004C6F99">
      <w:pPr>
        <w:rPr>
          <w:rFonts w:ascii="Times New Roman" w:hAnsi="Times New Roman" w:cs="Times New Roman"/>
          <w:sz w:val="28"/>
          <w:szCs w:val="28"/>
        </w:rPr>
      </w:pPr>
    </w:p>
    <w:p w14:paraId="160479F0" w14:textId="4D610B2E" w:rsidR="00A51265" w:rsidRPr="009505C5" w:rsidRDefault="00402FDB">
      <w:pPr>
        <w:rPr>
          <w:rFonts w:ascii="Times New Roman" w:hAnsi="Times New Roman" w:cs="Times New Roman"/>
          <w:sz w:val="28"/>
          <w:szCs w:val="28"/>
        </w:rPr>
      </w:pPr>
      <w:r w:rsidRPr="009505C5">
        <w:rPr>
          <w:rFonts w:ascii="Times New Roman" w:hAnsi="Times New Roman" w:cs="Times New Roman"/>
          <w:sz w:val="28"/>
          <w:szCs w:val="28"/>
        </w:rPr>
        <w:t xml:space="preserve">Anotācijas </w:t>
      </w:r>
      <w:r w:rsidR="00A51265" w:rsidRPr="009505C5">
        <w:rPr>
          <w:rFonts w:ascii="Times New Roman" w:hAnsi="Times New Roman" w:cs="Times New Roman"/>
          <w:sz w:val="28"/>
          <w:szCs w:val="28"/>
        </w:rPr>
        <w:t>IV</w:t>
      </w:r>
      <w:r w:rsidRPr="009505C5">
        <w:rPr>
          <w:rFonts w:ascii="Times New Roman" w:hAnsi="Times New Roman" w:cs="Times New Roman"/>
          <w:sz w:val="28"/>
          <w:szCs w:val="28"/>
        </w:rPr>
        <w:t xml:space="preserve"> sadaļa </w:t>
      </w:r>
      <w:r w:rsidR="003100F0" w:rsidRPr="009505C5">
        <w:rPr>
          <w:rFonts w:ascii="Times New Roman" w:hAnsi="Times New Roman" w:cs="Times New Roman"/>
          <w:sz w:val="28"/>
          <w:szCs w:val="28"/>
        </w:rPr>
        <w:t xml:space="preserve">– </w:t>
      </w:r>
      <w:r w:rsidRPr="009505C5">
        <w:rPr>
          <w:rFonts w:ascii="Times New Roman" w:hAnsi="Times New Roman" w:cs="Times New Roman"/>
          <w:sz w:val="28"/>
          <w:szCs w:val="28"/>
        </w:rPr>
        <w:t>noteikumu projekt</w:t>
      </w:r>
      <w:r w:rsidR="003100F0" w:rsidRPr="009505C5">
        <w:rPr>
          <w:rFonts w:ascii="Times New Roman" w:hAnsi="Times New Roman" w:cs="Times New Roman"/>
          <w:sz w:val="28"/>
          <w:szCs w:val="28"/>
        </w:rPr>
        <w:t>s šo jomu neskar</w:t>
      </w:r>
      <w:r w:rsidRPr="009505C5">
        <w:rPr>
          <w:rFonts w:ascii="Times New Roman" w:hAnsi="Times New Roman" w:cs="Times New Roman"/>
          <w:sz w:val="28"/>
          <w:szCs w:val="28"/>
        </w:rPr>
        <w:t>.</w:t>
      </w:r>
    </w:p>
    <w:p w14:paraId="44C6B1DF" w14:textId="77777777" w:rsidR="00402FDB" w:rsidRPr="009505C5" w:rsidRDefault="00402FDB" w:rsidP="00152DA5">
      <w:pPr>
        <w:spacing w:after="0" w:line="240" w:lineRule="auto"/>
        <w:ind w:right="-1" w:firstLine="709"/>
        <w:rPr>
          <w:rFonts w:ascii="Times New Roman" w:eastAsia="Times New Roman" w:hAnsi="Times New Roman" w:cs="Times New Roman"/>
          <w:sz w:val="28"/>
          <w:szCs w:val="28"/>
          <w:lang w:eastAsia="lv-LV"/>
        </w:rPr>
      </w:pPr>
    </w:p>
    <w:p w14:paraId="15A28F02" w14:textId="77777777" w:rsidR="00402FDB" w:rsidRPr="009505C5" w:rsidRDefault="00402FDB" w:rsidP="00152DA5">
      <w:pPr>
        <w:spacing w:after="0" w:line="240" w:lineRule="auto"/>
        <w:ind w:right="-1" w:firstLine="709"/>
        <w:rPr>
          <w:rFonts w:ascii="Times New Roman" w:eastAsia="Times New Roman" w:hAnsi="Times New Roman" w:cs="Times New Roman"/>
          <w:sz w:val="28"/>
          <w:szCs w:val="28"/>
          <w:lang w:eastAsia="lv-LV"/>
        </w:rPr>
      </w:pPr>
    </w:p>
    <w:p w14:paraId="0D594B32" w14:textId="5A2DB7D0" w:rsidR="00152DA5" w:rsidRPr="009505C5" w:rsidRDefault="00152DA5" w:rsidP="002F753E">
      <w:pPr>
        <w:spacing w:after="0" w:line="240" w:lineRule="auto"/>
        <w:ind w:right="-1"/>
        <w:rPr>
          <w:rFonts w:ascii="Times New Roman" w:eastAsia="Times New Roman" w:hAnsi="Times New Roman" w:cs="Times New Roman"/>
          <w:sz w:val="28"/>
          <w:szCs w:val="28"/>
          <w:lang w:eastAsia="lv-LV"/>
        </w:rPr>
      </w:pPr>
      <w:r w:rsidRPr="009505C5">
        <w:rPr>
          <w:rFonts w:ascii="Times New Roman" w:eastAsia="Times New Roman" w:hAnsi="Times New Roman" w:cs="Times New Roman"/>
          <w:sz w:val="28"/>
          <w:szCs w:val="28"/>
          <w:lang w:eastAsia="lv-LV"/>
        </w:rPr>
        <w:t>Iesniedzējs</w:t>
      </w:r>
      <w:r w:rsidR="002F753E" w:rsidRPr="009505C5">
        <w:rPr>
          <w:rFonts w:ascii="Times New Roman" w:eastAsia="Times New Roman" w:hAnsi="Times New Roman" w:cs="Times New Roman"/>
          <w:sz w:val="28"/>
          <w:szCs w:val="28"/>
          <w:lang w:eastAsia="lv-LV"/>
        </w:rPr>
        <w:t>:</w:t>
      </w:r>
      <w:r w:rsidR="002F753E" w:rsidRPr="009505C5">
        <w:rPr>
          <w:rFonts w:ascii="Times New Roman" w:eastAsia="Calibri" w:hAnsi="Times New Roman" w:cs="Times New Roman"/>
          <w:sz w:val="28"/>
          <w:szCs w:val="28"/>
          <w:lang w:eastAsia="lv-LV"/>
        </w:rPr>
        <w:t xml:space="preserve"> izglītības un zinātnes ministrs </w:t>
      </w:r>
      <w:r w:rsidR="002F753E" w:rsidRPr="009505C5">
        <w:rPr>
          <w:rFonts w:ascii="Times New Roman" w:eastAsia="Calibri" w:hAnsi="Times New Roman" w:cs="Times New Roman"/>
          <w:sz w:val="28"/>
          <w:szCs w:val="28"/>
          <w:lang w:eastAsia="lv-LV"/>
        </w:rPr>
        <w:tab/>
      </w:r>
      <w:r w:rsidR="002F753E" w:rsidRPr="009505C5">
        <w:rPr>
          <w:rFonts w:ascii="Times New Roman" w:eastAsia="Calibri" w:hAnsi="Times New Roman" w:cs="Times New Roman"/>
          <w:sz w:val="28"/>
          <w:szCs w:val="28"/>
          <w:lang w:eastAsia="lv-LV"/>
        </w:rPr>
        <w:tab/>
      </w:r>
      <w:r w:rsidR="002F753E" w:rsidRPr="009505C5">
        <w:rPr>
          <w:rFonts w:ascii="Times New Roman" w:eastAsia="Calibri" w:hAnsi="Times New Roman" w:cs="Times New Roman"/>
          <w:sz w:val="28"/>
          <w:szCs w:val="28"/>
          <w:lang w:eastAsia="lv-LV"/>
        </w:rPr>
        <w:tab/>
      </w:r>
      <w:r w:rsidR="002F753E" w:rsidRPr="009505C5">
        <w:rPr>
          <w:rFonts w:ascii="Times New Roman" w:eastAsia="Calibri" w:hAnsi="Times New Roman" w:cs="Times New Roman"/>
          <w:sz w:val="28"/>
          <w:szCs w:val="28"/>
          <w:lang w:eastAsia="lv-LV"/>
        </w:rPr>
        <w:tab/>
        <w:t>Kārlis Šadurskis</w:t>
      </w:r>
      <w:r w:rsidRPr="009505C5">
        <w:rPr>
          <w:rFonts w:ascii="Times New Roman" w:eastAsia="Times New Roman" w:hAnsi="Times New Roman" w:cs="Times New Roman"/>
          <w:sz w:val="28"/>
          <w:szCs w:val="28"/>
          <w:lang w:eastAsia="lv-LV"/>
        </w:rPr>
        <w:t xml:space="preserve">                                                                                                   </w:t>
      </w:r>
      <w:r w:rsidR="002F753E" w:rsidRPr="009505C5">
        <w:rPr>
          <w:rFonts w:ascii="Times New Roman" w:eastAsia="Times New Roman" w:hAnsi="Times New Roman" w:cs="Times New Roman"/>
          <w:sz w:val="28"/>
          <w:szCs w:val="28"/>
          <w:lang w:eastAsia="lv-LV"/>
        </w:rPr>
        <w:t xml:space="preserve">                               </w:t>
      </w:r>
    </w:p>
    <w:p w14:paraId="35A67D27" w14:textId="77777777" w:rsidR="00152DA5" w:rsidRPr="009505C5" w:rsidRDefault="00152DA5" w:rsidP="00152DA5">
      <w:pPr>
        <w:spacing w:after="0" w:line="240" w:lineRule="auto"/>
        <w:ind w:right="-1" w:firstLine="709"/>
        <w:jc w:val="both"/>
        <w:rPr>
          <w:rFonts w:ascii="Times New Roman" w:eastAsia="Calibri" w:hAnsi="Times New Roman" w:cs="Times New Roman"/>
          <w:sz w:val="28"/>
          <w:szCs w:val="28"/>
          <w:lang w:eastAsia="lv-LV"/>
        </w:rPr>
      </w:pPr>
    </w:p>
    <w:p w14:paraId="4F1C1FA7" w14:textId="77777777" w:rsidR="00152DA5" w:rsidRPr="009505C5" w:rsidRDefault="00152DA5" w:rsidP="00152DA5">
      <w:pPr>
        <w:spacing w:after="0" w:line="240" w:lineRule="auto"/>
        <w:ind w:right="-1" w:firstLine="709"/>
        <w:jc w:val="both"/>
        <w:rPr>
          <w:rFonts w:ascii="Times New Roman" w:eastAsia="Times New Roman" w:hAnsi="Times New Roman" w:cs="Times New Roman"/>
          <w:sz w:val="28"/>
          <w:szCs w:val="28"/>
          <w:lang w:eastAsia="lv-LV"/>
        </w:rPr>
      </w:pPr>
    </w:p>
    <w:p w14:paraId="04F72562" w14:textId="102D473A" w:rsidR="00152DA5" w:rsidRPr="009505C5" w:rsidRDefault="00152DA5" w:rsidP="002F753E">
      <w:pPr>
        <w:spacing w:after="0" w:line="240" w:lineRule="auto"/>
        <w:ind w:right="-1"/>
        <w:jc w:val="both"/>
        <w:rPr>
          <w:rFonts w:ascii="Times New Roman" w:hAnsi="Times New Roman" w:cs="Times New Roman"/>
          <w:sz w:val="28"/>
          <w:szCs w:val="28"/>
          <w:lang w:eastAsia="lv-LV"/>
        </w:rPr>
      </w:pPr>
      <w:r w:rsidRPr="009505C5">
        <w:rPr>
          <w:rFonts w:ascii="Times New Roman" w:hAnsi="Times New Roman" w:cs="Times New Roman"/>
          <w:sz w:val="28"/>
          <w:szCs w:val="28"/>
          <w:lang w:eastAsia="lv-LV"/>
        </w:rPr>
        <w:t xml:space="preserve">Vizē: </w:t>
      </w:r>
      <w:r w:rsidR="002F753E" w:rsidRPr="009505C5">
        <w:rPr>
          <w:rFonts w:ascii="Times New Roman" w:hAnsi="Times New Roman" w:cs="Times New Roman"/>
          <w:kern w:val="32"/>
          <w:sz w:val="28"/>
          <w:szCs w:val="28"/>
          <w:lang w:eastAsia="lv-LV"/>
        </w:rPr>
        <w:t xml:space="preserve">Valsts sekretāre </w:t>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r>
      <w:r w:rsidR="002F753E" w:rsidRPr="009505C5">
        <w:rPr>
          <w:rFonts w:ascii="Times New Roman" w:hAnsi="Times New Roman" w:cs="Times New Roman"/>
          <w:kern w:val="32"/>
          <w:sz w:val="28"/>
          <w:szCs w:val="28"/>
          <w:lang w:eastAsia="lv-LV"/>
        </w:rPr>
        <w:tab/>
        <w:t>Līga Lejiņa</w:t>
      </w:r>
    </w:p>
    <w:p w14:paraId="1861E0AB" w14:textId="4335D39E" w:rsidR="00152DA5" w:rsidRPr="009505C5" w:rsidRDefault="00152DA5" w:rsidP="00152DA5">
      <w:pPr>
        <w:spacing w:after="0" w:line="240" w:lineRule="auto"/>
        <w:ind w:right="-1" w:firstLine="709"/>
        <w:jc w:val="both"/>
        <w:rPr>
          <w:rFonts w:ascii="Times New Roman" w:hAnsi="Times New Roman" w:cs="Times New Roman"/>
          <w:kern w:val="32"/>
          <w:sz w:val="28"/>
          <w:szCs w:val="28"/>
          <w:lang w:eastAsia="lv-LV"/>
        </w:rPr>
      </w:pPr>
      <w:r w:rsidRPr="009505C5">
        <w:rPr>
          <w:rFonts w:ascii="Times New Roman" w:hAnsi="Times New Roman" w:cs="Times New Roman"/>
          <w:kern w:val="32"/>
          <w:sz w:val="28"/>
          <w:szCs w:val="28"/>
          <w:lang w:eastAsia="lv-LV"/>
        </w:rPr>
        <w:tab/>
      </w:r>
      <w:r w:rsidRPr="009505C5">
        <w:rPr>
          <w:rFonts w:ascii="Times New Roman" w:hAnsi="Times New Roman" w:cs="Times New Roman"/>
          <w:kern w:val="32"/>
          <w:sz w:val="28"/>
          <w:szCs w:val="28"/>
          <w:lang w:eastAsia="lv-LV"/>
        </w:rPr>
        <w:tab/>
      </w:r>
      <w:r w:rsidRPr="009505C5">
        <w:rPr>
          <w:rFonts w:ascii="Times New Roman" w:hAnsi="Times New Roman" w:cs="Times New Roman"/>
          <w:kern w:val="32"/>
          <w:sz w:val="28"/>
          <w:szCs w:val="28"/>
          <w:lang w:eastAsia="lv-LV"/>
        </w:rPr>
        <w:tab/>
      </w:r>
      <w:r w:rsidRPr="009505C5">
        <w:rPr>
          <w:rFonts w:ascii="Times New Roman" w:hAnsi="Times New Roman" w:cs="Times New Roman"/>
          <w:kern w:val="32"/>
          <w:sz w:val="28"/>
          <w:szCs w:val="28"/>
          <w:lang w:eastAsia="lv-LV"/>
        </w:rPr>
        <w:tab/>
      </w:r>
      <w:r w:rsidRPr="009505C5">
        <w:rPr>
          <w:rFonts w:ascii="Times New Roman" w:hAnsi="Times New Roman" w:cs="Times New Roman"/>
          <w:kern w:val="32"/>
          <w:sz w:val="28"/>
          <w:szCs w:val="28"/>
          <w:lang w:eastAsia="lv-LV"/>
        </w:rPr>
        <w:tab/>
      </w:r>
    </w:p>
    <w:p w14:paraId="035624ED" w14:textId="77777777" w:rsidR="00123151" w:rsidRPr="009505C5" w:rsidRDefault="00123151" w:rsidP="00123151">
      <w:pPr>
        <w:spacing w:after="0" w:line="240" w:lineRule="auto"/>
        <w:ind w:right="-1"/>
        <w:jc w:val="both"/>
        <w:rPr>
          <w:rFonts w:ascii="Times New Roman" w:hAnsi="Times New Roman" w:cs="Times New Roman"/>
          <w:kern w:val="32"/>
          <w:sz w:val="28"/>
          <w:szCs w:val="28"/>
          <w:lang w:eastAsia="lv-LV"/>
        </w:rPr>
      </w:pPr>
    </w:p>
    <w:p w14:paraId="663F4056" w14:textId="77777777" w:rsidR="004C6F99" w:rsidRPr="009505C5" w:rsidRDefault="004C6F99" w:rsidP="004C6F99">
      <w:pPr>
        <w:spacing w:after="0" w:line="240" w:lineRule="auto"/>
        <w:jc w:val="both"/>
        <w:rPr>
          <w:rFonts w:ascii="Times New Roman" w:hAnsi="Times New Roman"/>
          <w:sz w:val="28"/>
          <w:szCs w:val="28"/>
        </w:rPr>
      </w:pPr>
    </w:p>
    <w:p w14:paraId="3E2E2AFD" w14:textId="77777777" w:rsidR="00B00871" w:rsidRPr="009505C5" w:rsidRDefault="00B00871" w:rsidP="004C6F99">
      <w:pPr>
        <w:spacing w:after="0" w:line="240" w:lineRule="auto"/>
        <w:jc w:val="both"/>
        <w:rPr>
          <w:rFonts w:ascii="Times New Roman" w:hAnsi="Times New Roman"/>
          <w:sz w:val="28"/>
          <w:szCs w:val="28"/>
        </w:rPr>
      </w:pPr>
    </w:p>
    <w:p w14:paraId="0C33EEC0" w14:textId="77777777" w:rsidR="00B00871" w:rsidRPr="009505C5" w:rsidRDefault="00B00871" w:rsidP="004C6F99">
      <w:pPr>
        <w:spacing w:after="0" w:line="240" w:lineRule="auto"/>
        <w:jc w:val="both"/>
        <w:rPr>
          <w:rFonts w:ascii="Times New Roman" w:hAnsi="Times New Roman"/>
          <w:sz w:val="28"/>
          <w:szCs w:val="28"/>
        </w:rPr>
      </w:pPr>
    </w:p>
    <w:p w14:paraId="3F5AF020" w14:textId="77777777" w:rsidR="00B00871" w:rsidRPr="009505C5" w:rsidRDefault="00B00871" w:rsidP="004C6F99">
      <w:pPr>
        <w:spacing w:after="0" w:line="240" w:lineRule="auto"/>
        <w:jc w:val="both"/>
        <w:rPr>
          <w:rFonts w:ascii="Times New Roman" w:hAnsi="Times New Roman"/>
          <w:sz w:val="28"/>
          <w:szCs w:val="28"/>
        </w:rPr>
      </w:pPr>
    </w:p>
    <w:p w14:paraId="658C5450" w14:textId="6D0B2B7F" w:rsidR="00F35899" w:rsidRPr="00A66258" w:rsidRDefault="007F22D4" w:rsidP="00F35899">
      <w:pPr>
        <w:spacing w:after="0" w:line="240" w:lineRule="auto"/>
        <w:jc w:val="both"/>
        <w:rPr>
          <w:rFonts w:ascii="Times New Roman" w:hAnsi="Times New Roman"/>
        </w:rPr>
      </w:pPr>
      <w:r>
        <w:rPr>
          <w:rFonts w:ascii="Times New Roman" w:hAnsi="Times New Roman"/>
        </w:rPr>
        <w:t>12</w:t>
      </w:r>
      <w:r w:rsidR="00F35899">
        <w:rPr>
          <w:rFonts w:ascii="Times New Roman" w:hAnsi="Times New Roman"/>
        </w:rPr>
        <w:t>.05</w:t>
      </w:r>
      <w:r w:rsidR="00F35899" w:rsidRPr="00A66258">
        <w:rPr>
          <w:rFonts w:ascii="Times New Roman" w:hAnsi="Times New Roman"/>
        </w:rPr>
        <w:t>.2017. 14:40</w:t>
      </w:r>
    </w:p>
    <w:p w14:paraId="538B6D42" w14:textId="79397C5A" w:rsidR="00F35899" w:rsidRPr="00A66258" w:rsidRDefault="00C768AB" w:rsidP="00F35899">
      <w:pPr>
        <w:spacing w:after="0" w:line="240" w:lineRule="auto"/>
        <w:jc w:val="both"/>
        <w:rPr>
          <w:rFonts w:ascii="Times New Roman" w:hAnsi="Times New Roman"/>
        </w:rPr>
      </w:pPr>
      <w:r>
        <w:rPr>
          <w:rFonts w:ascii="Times New Roman" w:hAnsi="Times New Roman"/>
        </w:rPr>
        <w:t>3313</w:t>
      </w:r>
      <w:bookmarkStart w:id="0" w:name="_GoBack"/>
      <w:bookmarkEnd w:id="0"/>
    </w:p>
    <w:p w14:paraId="26EB61E8" w14:textId="77777777" w:rsidR="00F35899" w:rsidRPr="00A66258" w:rsidRDefault="00F35899" w:rsidP="00F35899">
      <w:pPr>
        <w:spacing w:after="0" w:line="240" w:lineRule="auto"/>
        <w:jc w:val="both"/>
        <w:rPr>
          <w:rFonts w:ascii="Times New Roman" w:hAnsi="Times New Roman"/>
        </w:rPr>
      </w:pPr>
      <w:r w:rsidRPr="00A66258">
        <w:rPr>
          <w:rFonts w:ascii="Times New Roman" w:hAnsi="Times New Roman"/>
        </w:rPr>
        <w:t>Depkovska, 67047772</w:t>
      </w:r>
    </w:p>
    <w:p w14:paraId="2F17CE75" w14:textId="77777777" w:rsidR="00F35899" w:rsidRPr="00A66258" w:rsidRDefault="00BE547F" w:rsidP="00F35899">
      <w:pPr>
        <w:spacing w:after="0" w:line="240" w:lineRule="auto"/>
        <w:jc w:val="both"/>
        <w:rPr>
          <w:rFonts w:ascii="Times New Roman" w:hAnsi="Times New Roman"/>
        </w:rPr>
      </w:pPr>
      <w:hyperlink r:id="rId8" w:history="1">
        <w:r w:rsidR="00F35899" w:rsidRPr="0013307E">
          <w:rPr>
            <w:rStyle w:val="Hyperlink"/>
            <w:rFonts w:ascii="Times New Roman" w:hAnsi="Times New Roman"/>
          </w:rPr>
          <w:t>anita.depkovska@izm.gov.lv</w:t>
        </w:r>
      </w:hyperlink>
      <w:r w:rsidR="00F35899" w:rsidRPr="00A66258">
        <w:rPr>
          <w:rFonts w:ascii="Times New Roman" w:hAnsi="Times New Roman"/>
        </w:rPr>
        <w:t xml:space="preserve">  </w:t>
      </w:r>
    </w:p>
    <w:p w14:paraId="3F583BCA" w14:textId="77777777" w:rsidR="00F35899" w:rsidRPr="0013307E" w:rsidRDefault="00F35899" w:rsidP="00F35899">
      <w:pPr>
        <w:spacing w:after="0" w:line="240" w:lineRule="auto"/>
        <w:jc w:val="both"/>
        <w:rPr>
          <w:rFonts w:ascii="Times New Roman" w:hAnsi="Times New Roman"/>
        </w:rPr>
      </w:pPr>
      <w:r w:rsidRPr="0013307E">
        <w:rPr>
          <w:rFonts w:ascii="Times New Roman" w:hAnsi="Times New Roman"/>
        </w:rPr>
        <w:t xml:space="preserve">Bundule, </w:t>
      </w:r>
      <w:r w:rsidRPr="0013307E">
        <w:rPr>
          <w:rFonts w:ascii="Times New Roman" w:eastAsia="Times New Roman" w:hAnsi="Times New Roman"/>
          <w:lang w:eastAsia="lv-LV"/>
        </w:rPr>
        <w:t>67785423</w:t>
      </w:r>
    </w:p>
    <w:p w14:paraId="36FA93B1" w14:textId="77777777" w:rsidR="00F35899" w:rsidRPr="00A66258" w:rsidRDefault="00BE547F" w:rsidP="00F35899">
      <w:pPr>
        <w:spacing w:after="0" w:line="240" w:lineRule="auto"/>
        <w:jc w:val="both"/>
        <w:rPr>
          <w:rFonts w:ascii="Times New Roman" w:hAnsi="Times New Roman"/>
        </w:rPr>
      </w:pPr>
      <w:hyperlink r:id="rId9" w:history="1">
        <w:r w:rsidR="00F35899" w:rsidRPr="0013307E">
          <w:rPr>
            <w:rStyle w:val="Hyperlink"/>
            <w:rFonts w:ascii="Times New Roman" w:hAnsi="Times New Roman"/>
          </w:rPr>
          <w:t>maija.bundule@viaa.gov.lv</w:t>
        </w:r>
      </w:hyperlink>
      <w:r w:rsidR="00F35899" w:rsidRPr="00A66258">
        <w:rPr>
          <w:rFonts w:ascii="Times New Roman" w:hAnsi="Times New Roman"/>
        </w:rPr>
        <w:t xml:space="preserve"> </w:t>
      </w:r>
    </w:p>
    <w:p w14:paraId="4600C8F0" w14:textId="77777777" w:rsidR="00F35899" w:rsidRPr="0013307E" w:rsidRDefault="00F35899" w:rsidP="00F35899">
      <w:pPr>
        <w:spacing w:after="0" w:line="240" w:lineRule="auto"/>
        <w:jc w:val="both"/>
        <w:rPr>
          <w:rFonts w:ascii="Times New Roman" w:hAnsi="Times New Roman"/>
        </w:rPr>
      </w:pPr>
    </w:p>
    <w:p w14:paraId="1EBAD431" w14:textId="77777777" w:rsidR="00B00871" w:rsidRPr="009505C5" w:rsidRDefault="00B00871" w:rsidP="004C6F99">
      <w:pPr>
        <w:spacing w:after="0" w:line="240" w:lineRule="auto"/>
        <w:jc w:val="both"/>
        <w:rPr>
          <w:rFonts w:ascii="Times New Roman" w:hAnsi="Times New Roman"/>
          <w:sz w:val="28"/>
          <w:szCs w:val="28"/>
        </w:rPr>
      </w:pPr>
    </w:p>
    <w:p w14:paraId="006B2A1B" w14:textId="77777777" w:rsidR="00B00871" w:rsidRPr="009505C5" w:rsidRDefault="00B00871" w:rsidP="004C6F99">
      <w:pPr>
        <w:spacing w:after="0" w:line="240" w:lineRule="auto"/>
        <w:jc w:val="both"/>
        <w:rPr>
          <w:rFonts w:ascii="Times New Roman" w:hAnsi="Times New Roman"/>
          <w:sz w:val="28"/>
          <w:szCs w:val="28"/>
        </w:rPr>
      </w:pPr>
    </w:p>
    <w:p w14:paraId="0B7557A7" w14:textId="77777777" w:rsidR="004C6F99" w:rsidRPr="009505C5" w:rsidRDefault="004C6F99" w:rsidP="004C6F99">
      <w:pPr>
        <w:spacing w:after="0" w:line="240" w:lineRule="auto"/>
        <w:jc w:val="both"/>
        <w:rPr>
          <w:rFonts w:ascii="Times New Roman" w:eastAsia="Times New Roman" w:hAnsi="Times New Roman"/>
          <w:sz w:val="28"/>
          <w:szCs w:val="28"/>
          <w:lang w:eastAsia="lv-LV"/>
        </w:rPr>
      </w:pPr>
    </w:p>
    <w:p w14:paraId="4825C7D9" w14:textId="77777777" w:rsidR="002F753E" w:rsidRPr="009505C5" w:rsidRDefault="002F753E" w:rsidP="002F753E">
      <w:pPr>
        <w:spacing w:after="0" w:line="240" w:lineRule="auto"/>
        <w:ind w:right="-1"/>
        <w:jc w:val="both"/>
        <w:rPr>
          <w:rFonts w:ascii="Times New Roman" w:hAnsi="Times New Roman" w:cs="Times New Roman"/>
          <w:kern w:val="32"/>
          <w:sz w:val="28"/>
          <w:szCs w:val="28"/>
          <w:lang w:eastAsia="lv-LV"/>
        </w:rPr>
      </w:pPr>
    </w:p>
    <w:p w14:paraId="6C70B834" w14:textId="77777777" w:rsidR="002F753E" w:rsidRPr="009505C5" w:rsidRDefault="002F753E" w:rsidP="002F753E">
      <w:pPr>
        <w:spacing w:after="0" w:line="240" w:lineRule="auto"/>
        <w:ind w:right="-1"/>
        <w:jc w:val="both"/>
        <w:rPr>
          <w:rFonts w:ascii="Times New Roman" w:hAnsi="Times New Roman" w:cs="Times New Roman"/>
          <w:kern w:val="32"/>
          <w:sz w:val="28"/>
          <w:szCs w:val="28"/>
          <w:lang w:eastAsia="lv-LV"/>
        </w:rPr>
      </w:pPr>
    </w:p>
    <w:p w14:paraId="26DEFF19" w14:textId="77777777" w:rsidR="009505C5" w:rsidRPr="009505C5" w:rsidRDefault="009505C5">
      <w:pPr>
        <w:spacing w:after="0" w:line="240" w:lineRule="auto"/>
        <w:ind w:right="-1"/>
        <w:jc w:val="both"/>
        <w:rPr>
          <w:rFonts w:ascii="Times New Roman" w:hAnsi="Times New Roman" w:cs="Times New Roman"/>
          <w:sz w:val="28"/>
          <w:szCs w:val="28"/>
        </w:rPr>
      </w:pPr>
    </w:p>
    <w:sectPr w:rsidR="009505C5" w:rsidRPr="009505C5" w:rsidSect="00123151">
      <w:headerReference w:type="default" r:id="rId10"/>
      <w:footerReference w:type="default" r:id="rId11"/>
      <w:footerReference w:type="first" r:id="rId12"/>
      <w:pgSz w:w="11906" w:h="16838"/>
      <w:pgMar w:top="1134" w:right="1134" w:bottom="1134" w:left="1701" w:header="709"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F6D77" w14:textId="77777777" w:rsidR="00BE547F" w:rsidRDefault="00BE547F" w:rsidP="007333BC">
      <w:pPr>
        <w:spacing w:after="0" w:line="240" w:lineRule="auto"/>
      </w:pPr>
      <w:r>
        <w:separator/>
      </w:r>
    </w:p>
  </w:endnote>
  <w:endnote w:type="continuationSeparator" w:id="0">
    <w:p w14:paraId="074F0D95" w14:textId="77777777" w:rsidR="00BE547F" w:rsidRDefault="00BE547F" w:rsidP="007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10A8" w14:textId="39BB840B" w:rsidR="002D3B3D" w:rsidRPr="003E18EB" w:rsidRDefault="007F22D4" w:rsidP="003E18EB">
    <w:pPr>
      <w:pStyle w:val="BodyText"/>
      <w:spacing w:after="0"/>
      <w:ind w:right="-1"/>
      <w:jc w:val="both"/>
      <w:rPr>
        <w:b w:val="0"/>
        <w:noProof w:val="0"/>
        <w:sz w:val="20"/>
        <w:szCs w:val="20"/>
        <w:lang w:val="lv-LV"/>
      </w:rPr>
    </w:pPr>
    <w:r>
      <w:rPr>
        <w:b w:val="0"/>
        <w:sz w:val="20"/>
        <w:szCs w:val="20"/>
      </w:rPr>
      <w:t>IZManot_12</w:t>
    </w:r>
    <w:r w:rsidR="00F35899">
      <w:rPr>
        <w:b w:val="0"/>
        <w:sz w:val="20"/>
        <w:szCs w:val="20"/>
      </w:rPr>
      <w:t>05</w:t>
    </w:r>
    <w:r w:rsidR="002D3B3D">
      <w:rPr>
        <w:b w:val="0"/>
        <w:sz w:val="20"/>
        <w:szCs w:val="20"/>
      </w:rPr>
      <w:t>17</w:t>
    </w:r>
    <w:r w:rsidR="002D3B3D" w:rsidRPr="003E18EB">
      <w:rPr>
        <w:b w:val="0"/>
        <w:sz w:val="20"/>
        <w:szCs w:val="20"/>
      </w:rPr>
      <w:t>_groz259;</w:t>
    </w:r>
    <w:r w:rsidR="002D3B3D" w:rsidRPr="003E18EB">
      <w:rPr>
        <w:b w:val="0"/>
        <w:noProof w:val="0"/>
        <w:sz w:val="20"/>
        <w:szCs w:val="20"/>
        <w:lang w:val="lv-LV"/>
      </w:rPr>
      <w:t xml:space="preserve"> Ministru kabineta noteikumu projekta “Grozījumi Ministru kabineta 2015.gada 26.maija noteikumos Nr.259 “Atbalsta piešķiršanas kārtība dalībai starptautiskās sadarbības programmās pētniecības un tehnoloģiju jomā”” </w:t>
    </w:r>
    <w:r w:rsidR="002D3B3D" w:rsidRPr="003E18EB">
      <w:rPr>
        <w:b w:val="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AC9C" w14:textId="550580EA" w:rsidR="002D3B3D" w:rsidRPr="003E18EB" w:rsidRDefault="007F22D4" w:rsidP="002F753E">
    <w:pPr>
      <w:pStyle w:val="BodyText"/>
      <w:spacing w:after="0"/>
      <w:ind w:right="-1"/>
      <w:jc w:val="both"/>
      <w:rPr>
        <w:b w:val="0"/>
        <w:noProof w:val="0"/>
        <w:sz w:val="20"/>
        <w:szCs w:val="20"/>
        <w:lang w:val="lv-LV"/>
      </w:rPr>
    </w:pPr>
    <w:r>
      <w:rPr>
        <w:b w:val="0"/>
        <w:sz w:val="20"/>
        <w:szCs w:val="20"/>
      </w:rPr>
      <w:t>IZManot_12</w:t>
    </w:r>
    <w:r w:rsidR="00F35899">
      <w:rPr>
        <w:b w:val="0"/>
        <w:sz w:val="20"/>
        <w:szCs w:val="20"/>
      </w:rPr>
      <w:t>05</w:t>
    </w:r>
    <w:r w:rsidR="002D3B3D">
      <w:rPr>
        <w:b w:val="0"/>
        <w:sz w:val="20"/>
        <w:szCs w:val="20"/>
      </w:rPr>
      <w:t>17</w:t>
    </w:r>
    <w:r w:rsidR="002D3B3D" w:rsidRPr="003E18EB">
      <w:rPr>
        <w:b w:val="0"/>
        <w:sz w:val="20"/>
        <w:szCs w:val="20"/>
      </w:rPr>
      <w:t>_groz259;</w:t>
    </w:r>
    <w:r w:rsidR="002D3B3D" w:rsidRPr="003E18EB">
      <w:rPr>
        <w:b w:val="0"/>
        <w:noProof w:val="0"/>
        <w:sz w:val="20"/>
        <w:szCs w:val="20"/>
        <w:lang w:val="lv-LV"/>
      </w:rPr>
      <w:t xml:space="preserve"> Ministru kabineta noteikumu projekta “Grozījumi Ministru kabineta 2015.gada 26.maija noteikumos Nr.259 “Atbalsta piešķiršanas kārtība dalībai starptautiskās sadarbības programmās pētniecības un tehnoloģiju jomā”” </w:t>
    </w:r>
    <w:r w:rsidR="002D3B3D" w:rsidRPr="003E18EB">
      <w:rPr>
        <w:b w:val="0"/>
        <w:sz w:val="20"/>
        <w:szCs w:val="20"/>
        <w:lang w:eastAsia="lv-LV"/>
      </w:rPr>
      <w:t>sākotnējās ietekmes novērtējuma ziņojums (anotācija)</w:t>
    </w:r>
  </w:p>
  <w:p w14:paraId="6BE66FBE" w14:textId="77777777" w:rsidR="002D3B3D" w:rsidRDefault="002D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060FA" w14:textId="77777777" w:rsidR="00BE547F" w:rsidRDefault="00BE547F" w:rsidP="007333BC">
      <w:pPr>
        <w:spacing w:after="0" w:line="240" w:lineRule="auto"/>
      </w:pPr>
      <w:r>
        <w:separator/>
      </w:r>
    </w:p>
  </w:footnote>
  <w:footnote w:type="continuationSeparator" w:id="0">
    <w:p w14:paraId="269770CD" w14:textId="77777777" w:rsidR="00BE547F" w:rsidRDefault="00BE547F" w:rsidP="007333BC">
      <w:pPr>
        <w:spacing w:after="0" w:line="240" w:lineRule="auto"/>
      </w:pPr>
      <w:r>
        <w:continuationSeparator/>
      </w:r>
    </w:p>
  </w:footnote>
  <w:footnote w:id="1">
    <w:p w14:paraId="76BFECDC" w14:textId="77777777" w:rsidR="002D3B3D" w:rsidRPr="00102758" w:rsidRDefault="002D3B3D" w:rsidP="008C1936">
      <w:pPr>
        <w:pStyle w:val="FootnoteText"/>
        <w:jc w:val="both"/>
        <w:rPr>
          <w:rFonts w:ascii="Times New Roman" w:hAnsi="Times New Roman" w:cs="Times New Roman"/>
        </w:rPr>
      </w:pPr>
      <w:r>
        <w:rPr>
          <w:rStyle w:val="FootnoteReference"/>
        </w:rPr>
        <w:footnoteRef/>
      </w:r>
      <w:hyperlink r:id="rId1" w:history="1">
        <w:r w:rsidRPr="00102758">
          <w:rPr>
            <w:rStyle w:val="Hyperlink"/>
            <w:rFonts w:ascii="Times New Roman" w:hAnsi="Times New Roman" w:cs="Times New Roman"/>
          </w:rPr>
          <w:t>http://ec.europa.eu/research/participants/data/ref/h2020/legal_basis/rules_participation/h2020-rules-  participation_lv.pdf</w:t>
        </w:r>
      </w:hyperlink>
      <w:r w:rsidRPr="00102758">
        <w:rPr>
          <w:rFonts w:ascii="Times New Roman" w:hAnsi="Times New Roman" w:cs="Times New Roman"/>
        </w:rPr>
        <w:t xml:space="preserve">   </w:t>
      </w:r>
    </w:p>
  </w:footnote>
  <w:footnote w:id="2">
    <w:p w14:paraId="76C462BD" w14:textId="77777777" w:rsidR="002D3B3D" w:rsidRDefault="002D3B3D" w:rsidP="0093175E">
      <w:pPr>
        <w:pStyle w:val="FootnoteText"/>
      </w:pPr>
      <w:r>
        <w:rPr>
          <w:rStyle w:val="FootnoteReference"/>
        </w:rPr>
        <w:footnoteRef/>
      </w:r>
      <w:r>
        <w:t xml:space="preserve"> </w:t>
      </w:r>
      <w:hyperlink r:id="rId2" w:history="1">
        <w:r w:rsidRPr="00427BC5">
          <w:rPr>
            <w:rStyle w:val="Hyperlink"/>
          </w:rPr>
          <w:t>http://eur-lex.europa.eu/legal-content/LV/TXT/?uri=CELEX%3A32014R0651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68505476"/>
      <w:docPartObj>
        <w:docPartGallery w:val="Page Numbers (Top of Page)"/>
        <w:docPartUnique/>
      </w:docPartObj>
    </w:sdtPr>
    <w:sdtEndPr>
      <w:rPr>
        <w:noProof/>
      </w:rPr>
    </w:sdtEndPr>
    <w:sdtContent>
      <w:p w14:paraId="51E995DF" w14:textId="77777777" w:rsidR="002D3B3D" w:rsidRPr="003E18EB" w:rsidRDefault="002D3B3D">
        <w:pPr>
          <w:pStyle w:val="Header"/>
          <w:jc w:val="center"/>
          <w:rPr>
            <w:rFonts w:ascii="Times New Roman" w:hAnsi="Times New Roman" w:cs="Times New Roman"/>
            <w:sz w:val="20"/>
            <w:szCs w:val="20"/>
          </w:rPr>
        </w:pPr>
        <w:r w:rsidRPr="003E18EB">
          <w:rPr>
            <w:rFonts w:ascii="Times New Roman" w:hAnsi="Times New Roman" w:cs="Times New Roman"/>
            <w:sz w:val="20"/>
            <w:szCs w:val="20"/>
          </w:rPr>
          <w:fldChar w:fldCharType="begin"/>
        </w:r>
        <w:r w:rsidRPr="003E18EB">
          <w:rPr>
            <w:rFonts w:ascii="Times New Roman" w:hAnsi="Times New Roman" w:cs="Times New Roman"/>
            <w:sz w:val="20"/>
            <w:szCs w:val="20"/>
          </w:rPr>
          <w:instrText xml:space="preserve"> PAGE   \* MERGEFORMAT </w:instrText>
        </w:r>
        <w:r w:rsidRPr="003E18EB">
          <w:rPr>
            <w:rFonts w:ascii="Times New Roman" w:hAnsi="Times New Roman" w:cs="Times New Roman"/>
            <w:sz w:val="20"/>
            <w:szCs w:val="20"/>
          </w:rPr>
          <w:fldChar w:fldCharType="separate"/>
        </w:r>
        <w:r w:rsidR="00C768AB">
          <w:rPr>
            <w:rFonts w:ascii="Times New Roman" w:hAnsi="Times New Roman" w:cs="Times New Roman"/>
            <w:noProof/>
            <w:sz w:val="20"/>
            <w:szCs w:val="20"/>
          </w:rPr>
          <w:t>16</w:t>
        </w:r>
        <w:r w:rsidRPr="003E18EB">
          <w:rPr>
            <w:rFonts w:ascii="Times New Roman" w:hAnsi="Times New Roman" w:cs="Times New Roman"/>
            <w:noProof/>
            <w:sz w:val="20"/>
            <w:szCs w:val="20"/>
          </w:rPr>
          <w:fldChar w:fldCharType="end"/>
        </w:r>
      </w:p>
    </w:sdtContent>
  </w:sdt>
  <w:p w14:paraId="09275F43" w14:textId="77777777" w:rsidR="002D3B3D" w:rsidRDefault="002D3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0F42"/>
    <w:multiLevelType w:val="multilevel"/>
    <w:tmpl w:val="FCC0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83B84"/>
    <w:multiLevelType w:val="hybridMultilevel"/>
    <w:tmpl w:val="84EE0D2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52192C"/>
    <w:multiLevelType w:val="multilevel"/>
    <w:tmpl w:val="4CFCE506"/>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eastAsia="PMingLiU" w:hint="default"/>
        <w:color w:val="auto"/>
      </w:rPr>
    </w:lvl>
    <w:lvl w:ilvl="2">
      <w:start w:val="1"/>
      <w:numFmt w:val="decimal"/>
      <w:isLgl/>
      <w:lvlText w:val="%1.%2.%3."/>
      <w:lvlJc w:val="left"/>
      <w:pPr>
        <w:ind w:left="1800" w:hanging="720"/>
      </w:pPr>
      <w:rPr>
        <w:rFonts w:eastAsia="PMingLiU" w:hint="default"/>
        <w:color w:val="auto"/>
      </w:rPr>
    </w:lvl>
    <w:lvl w:ilvl="3">
      <w:start w:val="1"/>
      <w:numFmt w:val="decimal"/>
      <w:isLgl/>
      <w:lvlText w:val="%1.%2.%3.%4."/>
      <w:lvlJc w:val="left"/>
      <w:pPr>
        <w:ind w:left="2160" w:hanging="720"/>
      </w:pPr>
      <w:rPr>
        <w:rFonts w:eastAsia="PMingLiU" w:hint="default"/>
        <w:color w:val="auto"/>
      </w:rPr>
    </w:lvl>
    <w:lvl w:ilvl="4">
      <w:start w:val="1"/>
      <w:numFmt w:val="decimal"/>
      <w:isLgl/>
      <w:lvlText w:val="%1.%2.%3.%4.%5."/>
      <w:lvlJc w:val="left"/>
      <w:pPr>
        <w:ind w:left="2880" w:hanging="1080"/>
      </w:pPr>
      <w:rPr>
        <w:rFonts w:eastAsia="PMingLiU" w:hint="default"/>
        <w:color w:val="auto"/>
      </w:rPr>
    </w:lvl>
    <w:lvl w:ilvl="5">
      <w:start w:val="1"/>
      <w:numFmt w:val="decimal"/>
      <w:isLgl/>
      <w:lvlText w:val="%1.%2.%3.%4.%5.%6."/>
      <w:lvlJc w:val="left"/>
      <w:pPr>
        <w:ind w:left="3240" w:hanging="1080"/>
      </w:pPr>
      <w:rPr>
        <w:rFonts w:eastAsia="PMingLiU" w:hint="default"/>
        <w:color w:val="auto"/>
      </w:rPr>
    </w:lvl>
    <w:lvl w:ilvl="6">
      <w:start w:val="1"/>
      <w:numFmt w:val="decimal"/>
      <w:isLgl/>
      <w:lvlText w:val="%1.%2.%3.%4.%5.%6.%7."/>
      <w:lvlJc w:val="left"/>
      <w:pPr>
        <w:ind w:left="3960" w:hanging="1440"/>
      </w:pPr>
      <w:rPr>
        <w:rFonts w:eastAsia="PMingLiU" w:hint="default"/>
        <w:color w:val="auto"/>
      </w:rPr>
    </w:lvl>
    <w:lvl w:ilvl="7">
      <w:start w:val="1"/>
      <w:numFmt w:val="decimal"/>
      <w:isLgl/>
      <w:lvlText w:val="%1.%2.%3.%4.%5.%6.%7.%8."/>
      <w:lvlJc w:val="left"/>
      <w:pPr>
        <w:ind w:left="4320" w:hanging="1440"/>
      </w:pPr>
      <w:rPr>
        <w:rFonts w:eastAsia="PMingLiU" w:hint="default"/>
        <w:color w:val="auto"/>
      </w:rPr>
    </w:lvl>
    <w:lvl w:ilvl="8">
      <w:start w:val="1"/>
      <w:numFmt w:val="decimal"/>
      <w:isLgl/>
      <w:lvlText w:val="%1.%2.%3.%4.%5.%6.%7.%8.%9."/>
      <w:lvlJc w:val="left"/>
      <w:pPr>
        <w:ind w:left="5040" w:hanging="1800"/>
      </w:pPr>
      <w:rPr>
        <w:rFonts w:eastAsia="PMingLiU" w:hint="default"/>
        <w:color w:val="auto"/>
      </w:rPr>
    </w:lvl>
  </w:abstractNum>
  <w:abstractNum w:abstractNumId="3" w15:restartNumberingAfterBreak="0">
    <w:nsid w:val="45C31C66"/>
    <w:multiLevelType w:val="hybridMultilevel"/>
    <w:tmpl w:val="FF88BCFA"/>
    <w:lvl w:ilvl="0" w:tplc="E5186E96">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47165EDA"/>
    <w:multiLevelType w:val="hybridMultilevel"/>
    <w:tmpl w:val="4A8C4EC8"/>
    <w:lvl w:ilvl="0" w:tplc="69AC8108">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CDE2ED5"/>
    <w:multiLevelType w:val="hybridMultilevel"/>
    <w:tmpl w:val="5CC2DC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FF442D"/>
    <w:multiLevelType w:val="hybridMultilevel"/>
    <w:tmpl w:val="81A40268"/>
    <w:lvl w:ilvl="0" w:tplc="04260017">
      <w:start w:val="2"/>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3D0FF0"/>
    <w:multiLevelType w:val="hybridMultilevel"/>
    <w:tmpl w:val="D114985E"/>
    <w:lvl w:ilvl="0" w:tplc="9B4891AA">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8" w15:restartNumberingAfterBreak="0">
    <w:nsid w:val="6F597863"/>
    <w:multiLevelType w:val="hybridMultilevel"/>
    <w:tmpl w:val="61A2F226"/>
    <w:lvl w:ilvl="0" w:tplc="82EE5098">
      <w:start w:val="1"/>
      <w:numFmt w:val="decimal"/>
      <w:lvlText w:val="%1."/>
      <w:lvlJc w:val="left"/>
      <w:pPr>
        <w:ind w:left="660" w:hanging="360"/>
      </w:pPr>
      <w:rPr>
        <w:rFonts w:eastAsia="Times New Roman"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7A9207AB"/>
    <w:multiLevelType w:val="hybridMultilevel"/>
    <w:tmpl w:val="2F88FBB6"/>
    <w:lvl w:ilvl="0" w:tplc="20F00710">
      <w:start w:val="1"/>
      <w:numFmt w:val="lowerLetter"/>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num w:numId="1">
    <w:abstractNumId w:val="9"/>
  </w:num>
  <w:num w:numId="2">
    <w:abstractNumId w:val="7"/>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27"/>
    <w:rsid w:val="00002D12"/>
    <w:rsid w:val="0001248D"/>
    <w:rsid w:val="00017D5E"/>
    <w:rsid w:val="00022933"/>
    <w:rsid w:val="00035B0B"/>
    <w:rsid w:val="000469A3"/>
    <w:rsid w:val="00052500"/>
    <w:rsid w:val="00065E01"/>
    <w:rsid w:val="00072460"/>
    <w:rsid w:val="00075931"/>
    <w:rsid w:val="00084299"/>
    <w:rsid w:val="00086F49"/>
    <w:rsid w:val="00096099"/>
    <w:rsid w:val="000B330B"/>
    <w:rsid w:val="000B7FAD"/>
    <w:rsid w:val="000C27DA"/>
    <w:rsid w:val="000C4CF7"/>
    <w:rsid w:val="000C7ABC"/>
    <w:rsid w:val="000E57D2"/>
    <w:rsid w:val="000E7002"/>
    <w:rsid w:val="00102758"/>
    <w:rsid w:val="00104278"/>
    <w:rsid w:val="0010735E"/>
    <w:rsid w:val="00123151"/>
    <w:rsid w:val="00131EA3"/>
    <w:rsid w:val="0013757A"/>
    <w:rsid w:val="00140338"/>
    <w:rsid w:val="0014557B"/>
    <w:rsid w:val="0014705E"/>
    <w:rsid w:val="0014787C"/>
    <w:rsid w:val="00151125"/>
    <w:rsid w:val="001519E4"/>
    <w:rsid w:val="00152743"/>
    <w:rsid w:val="00152DA5"/>
    <w:rsid w:val="00165B45"/>
    <w:rsid w:val="00165E2A"/>
    <w:rsid w:val="001721D2"/>
    <w:rsid w:val="001859DE"/>
    <w:rsid w:val="0019590C"/>
    <w:rsid w:val="0019613B"/>
    <w:rsid w:val="001B58D6"/>
    <w:rsid w:val="001D130E"/>
    <w:rsid w:val="001D6275"/>
    <w:rsid w:val="001F1464"/>
    <w:rsid w:val="00202B62"/>
    <w:rsid w:val="00212262"/>
    <w:rsid w:val="002427C9"/>
    <w:rsid w:val="00254AA7"/>
    <w:rsid w:val="002555B0"/>
    <w:rsid w:val="002639E3"/>
    <w:rsid w:val="002737E5"/>
    <w:rsid w:val="00275945"/>
    <w:rsid w:val="00282736"/>
    <w:rsid w:val="00294E99"/>
    <w:rsid w:val="002A6A1C"/>
    <w:rsid w:val="002B0C2B"/>
    <w:rsid w:val="002B6BCC"/>
    <w:rsid w:val="002B7EFF"/>
    <w:rsid w:val="002C0217"/>
    <w:rsid w:val="002C1E2C"/>
    <w:rsid w:val="002C5929"/>
    <w:rsid w:val="002D3B3D"/>
    <w:rsid w:val="002F12F6"/>
    <w:rsid w:val="002F2C31"/>
    <w:rsid w:val="002F31A5"/>
    <w:rsid w:val="002F753E"/>
    <w:rsid w:val="0030368D"/>
    <w:rsid w:val="00306FCB"/>
    <w:rsid w:val="00307CE0"/>
    <w:rsid w:val="003100F0"/>
    <w:rsid w:val="003307D7"/>
    <w:rsid w:val="003336D9"/>
    <w:rsid w:val="0034098E"/>
    <w:rsid w:val="003612C5"/>
    <w:rsid w:val="0036149B"/>
    <w:rsid w:val="0036406A"/>
    <w:rsid w:val="003673FD"/>
    <w:rsid w:val="00377049"/>
    <w:rsid w:val="003770AE"/>
    <w:rsid w:val="00395AE0"/>
    <w:rsid w:val="003A3CE2"/>
    <w:rsid w:val="003C2A14"/>
    <w:rsid w:val="003C4F15"/>
    <w:rsid w:val="003E133E"/>
    <w:rsid w:val="003E18EB"/>
    <w:rsid w:val="003E600E"/>
    <w:rsid w:val="003F03CA"/>
    <w:rsid w:val="003F48D7"/>
    <w:rsid w:val="004016A9"/>
    <w:rsid w:val="00402FDB"/>
    <w:rsid w:val="00413ECE"/>
    <w:rsid w:val="00436688"/>
    <w:rsid w:val="00437B71"/>
    <w:rsid w:val="00444C51"/>
    <w:rsid w:val="0044521E"/>
    <w:rsid w:val="00453FE9"/>
    <w:rsid w:val="0047673F"/>
    <w:rsid w:val="00480254"/>
    <w:rsid w:val="00481E06"/>
    <w:rsid w:val="00487C41"/>
    <w:rsid w:val="004A2882"/>
    <w:rsid w:val="004C02AA"/>
    <w:rsid w:val="004C62C1"/>
    <w:rsid w:val="004C6F99"/>
    <w:rsid w:val="004C7DB7"/>
    <w:rsid w:val="004D1502"/>
    <w:rsid w:val="004D7F8A"/>
    <w:rsid w:val="004E0120"/>
    <w:rsid w:val="004E6EAF"/>
    <w:rsid w:val="004E771E"/>
    <w:rsid w:val="004F0F95"/>
    <w:rsid w:val="004F10EE"/>
    <w:rsid w:val="004F244F"/>
    <w:rsid w:val="00500B43"/>
    <w:rsid w:val="0051496E"/>
    <w:rsid w:val="00525F57"/>
    <w:rsid w:val="005305F6"/>
    <w:rsid w:val="00532F20"/>
    <w:rsid w:val="0054132B"/>
    <w:rsid w:val="005564A3"/>
    <w:rsid w:val="005626A9"/>
    <w:rsid w:val="0056393D"/>
    <w:rsid w:val="00565336"/>
    <w:rsid w:val="00566B61"/>
    <w:rsid w:val="00595A7B"/>
    <w:rsid w:val="005A1F89"/>
    <w:rsid w:val="005B6D43"/>
    <w:rsid w:val="005D4E7D"/>
    <w:rsid w:val="005D5B5B"/>
    <w:rsid w:val="005E04F7"/>
    <w:rsid w:val="005F3BA4"/>
    <w:rsid w:val="00600A2A"/>
    <w:rsid w:val="00604534"/>
    <w:rsid w:val="00605370"/>
    <w:rsid w:val="0060636A"/>
    <w:rsid w:val="00621496"/>
    <w:rsid w:val="00634C41"/>
    <w:rsid w:val="006374CA"/>
    <w:rsid w:val="00653ABE"/>
    <w:rsid w:val="00655625"/>
    <w:rsid w:val="0065691F"/>
    <w:rsid w:val="00661127"/>
    <w:rsid w:val="0066530B"/>
    <w:rsid w:val="0067566B"/>
    <w:rsid w:val="0068375F"/>
    <w:rsid w:val="00684470"/>
    <w:rsid w:val="006930C9"/>
    <w:rsid w:val="006947F3"/>
    <w:rsid w:val="00697941"/>
    <w:rsid w:val="006A065D"/>
    <w:rsid w:val="006A4EED"/>
    <w:rsid w:val="006A6A83"/>
    <w:rsid w:val="006A773F"/>
    <w:rsid w:val="006A7BC2"/>
    <w:rsid w:val="006B033F"/>
    <w:rsid w:val="006C71E6"/>
    <w:rsid w:val="006E37B9"/>
    <w:rsid w:val="006F011F"/>
    <w:rsid w:val="006F3B24"/>
    <w:rsid w:val="006F498C"/>
    <w:rsid w:val="00707925"/>
    <w:rsid w:val="00715FA0"/>
    <w:rsid w:val="00720BFA"/>
    <w:rsid w:val="007221CB"/>
    <w:rsid w:val="007253A1"/>
    <w:rsid w:val="007333BC"/>
    <w:rsid w:val="007360FA"/>
    <w:rsid w:val="00752D87"/>
    <w:rsid w:val="00753B77"/>
    <w:rsid w:val="007663F0"/>
    <w:rsid w:val="00772673"/>
    <w:rsid w:val="00775732"/>
    <w:rsid w:val="0078040D"/>
    <w:rsid w:val="00782236"/>
    <w:rsid w:val="007855FF"/>
    <w:rsid w:val="00793904"/>
    <w:rsid w:val="0079566D"/>
    <w:rsid w:val="007A038F"/>
    <w:rsid w:val="007A28DF"/>
    <w:rsid w:val="007A3150"/>
    <w:rsid w:val="007E0625"/>
    <w:rsid w:val="007E5B31"/>
    <w:rsid w:val="007F22D4"/>
    <w:rsid w:val="007F4F24"/>
    <w:rsid w:val="00812962"/>
    <w:rsid w:val="00814587"/>
    <w:rsid w:val="008226C2"/>
    <w:rsid w:val="00823079"/>
    <w:rsid w:val="008261A5"/>
    <w:rsid w:val="00837C7D"/>
    <w:rsid w:val="00843993"/>
    <w:rsid w:val="00866114"/>
    <w:rsid w:val="008664AD"/>
    <w:rsid w:val="00866B10"/>
    <w:rsid w:val="008765C8"/>
    <w:rsid w:val="00886912"/>
    <w:rsid w:val="008B179D"/>
    <w:rsid w:val="008C1936"/>
    <w:rsid w:val="008C4C88"/>
    <w:rsid w:val="008D0DB7"/>
    <w:rsid w:val="008D0FD4"/>
    <w:rsid w:val="008D390D"/>
    <w:rsid w:val="008E5BB5"/>
    <w:rsid w:val="008F13B8"/>
    <w:rsid w:val="008F35AB"/>
    <w:rsid w:val="008F4127"/>
    <w:rsid w:val="008F54E9"/>
    <w:rsid w:val="0091211F"/>
    <w:rsid w:val="009248A7"/>
    <w:rsid w:val="00924C84"/>
    <w:rsid w:val="0093175E"/>
    <w:rsid w:val="0094018B"/>
    <w:rsid w:val="00941D4B"/>
    <w:rsid w:val="0094543F"/>
    <w:rsid w:val="009474E4"/>
    <w:rsid w:val="009505C5"/>
    <w:rsid w:val="0095159E"/>
    <w:rsid w:val="00973135"/>
    <w:rsid w:val="00990584"/>
    <w:rsid w:val="00994062"/>
    <w:rsid w:val="009A5596"/>
    <w:rsid w:val="009B0C86"/>
    <w:rsid w:val="009B322D"/>
    <w:rsid w:val="009B5AF6"/>
    <w:rsid w:val="009C1CC1"/>
    <w:rsid w:val="009D44A5"/>
    <w:rsid w:val="009D6CD6"/>
    <w:rsid w:val="009D7CA8"/>
    <w:rsid w:val="009F2752"/>
    <w:rsid w:val="009F5B57"/>
    <w:rsid w:val="009F7F2B"/>
    <w:rsid w:val="00A12732"/>
    <w:rsid w:val="00A13FAC"/>
    <w:rsid w:val="00A31200"/>
    <w:rsid w:val="00A416FF"/>
    <w:rsid w:val="00A51265"/>
    <w:rsid w:val="00A56A5F"/>
    <w:rsid w:val="00A61740"/>
    <w:rsid w:val="00A83797"/>
    <w:rsid w:val="00A841C1"/>
    <w:rsid w:val="00A86416"/>
    <w:rsid w:val="00A87B45"/>
    <w:rsid w:val="00A9384D"/>
    <w:rsid w:val="00A949AE"/>
    <w:rsid w:val="00A97FE9"/>
    <w:rsid w:val="00AB134C"/>
    <w:rsid w:val="00AB1828"/>
    <w:rsid w:val="00AD1AED"/>
    <w:rsid w:val="00AD558C"/>
    <w:rsid w:val="00AF5072"/>
    <w:rsid w:val="00B00871"/>
    <w:rsid w:val="00B03A3F"/>
    <w:rsid w:val="00B05D28"/>
    <w:rsid w:val="00B117C5"/>
    <w:rsid w:val="00B122B7"/>
    <w:rsid w:val="00B4434B"/>
    <w:rsid w:val="00B532C9"/>
    <w:rsid w:val="00B559EF"/>
    <w:rsid w:val="00B64B5D"/>
    <w:rsid w:val="00B66F5A"/>
    <w:rsid w:val="00B73DF0"/>
    <w:rsid w:val="00B80F10"/>
    <w:rsid w:val="00BC0968"/>
    <w:rsid w:val="00BC2638"/>
    <w:rsid w:val="00BD0B3C"/>
    <w:rsid w:val="00BE547F"/>
    <w:rsid w:val="00BE59F5"/>
    <w:rsid w:val="00BF0E55"/>
    <w:rsid w:val="00C144D8"/>
    <w:rsid w:val="00C172A8"/>
    <w:rsid w:val="00C251C9"/>
    <w:rsid w:val="00C323CC"/>
    <w:rsid w:val="00C35D71"/>
    <w:rsid w:val="00C37F3F"/>
    <w:rsid w:val="00C458B4"/>
    <w:rsid w:val="00C609E7"/>
    <w:rsid w:val="00C61F6C"/>
    <w:rsid w:val="00C6390A"/>
    <w:rsid w:val="00C64358"/>
    <w:rsid w:val="00C73821"/>
    <w:rsid w:val="00C768AB"/>
    <w:rsid w:val="00C8487A"/>
    <w:rsid w:val="00C87FB1"/>
    <w:rsid w:val="00CB13DA"/>
    <w:rsid w:val="00CD3886"/>
    <w:rsid w:val="00CE21F8"/>
    <w:rsid w:val="00D13491"/>
    <w:rsid w:val="00D20976"/>
    <w:rsid w:val="00D23B56"/>
    <w:rsid w:val="00D34477"/>
    <w:rsid w:val="00D61C0E"/>
    <w:rsid w:val="00D65A8B"/>
    <w:rsid w:val="00D66B84"/>
    <w:rsid w:val="00D815A8"/>
    <w:rsid w:val="00DA7E26"/>
    <w:rsid w:val="00DD7180"/>
    <w:rsid w:val="00DF02CC"/>
    <w:rsid w:val="00DF4D35"/>
    <w:rsid w:val="00E017ED"/>
    <w:rsid w:val="00E10808"/>
    <w:rsid w:val="00E15B78"/>
    <w:rsid w:val="00E16A3A"/>
    <w:rsid w:val="00E414DB"/>
    <w:rsid w:val="00E43A29"/>
    <w:rsid w:val="00E471F2"/>
    <w:rsid w:val="00E57606"/>
    <w:rsid w:val="00E61DF2"/>
    <w:rsid w:val="00E650BB"/>
    <w:rsid w:val="00E65FAA"/>
    <w:rsid w:val="00E710A0"/>
    <w:rsid w:val="00E7513D"/>
    <w:rsid w:val="00EA6134"/>
    <w:rsid w:val="00EC0E87"/>
    <w:rsid w:val="00EE267C"/>
    <w:rsid w:val="00EE6B4F"/>
    <w:rsid w:val="00EF00C7"/>
    <w:rsid w:val="00EF4387"/>
    <w:rsid w:val="00EF47B2"/>
    <w:rsid w:val="00F24106"/>
    <w:rsid w:val="00F24589"/>
    <w:rsid w:val="00F323A4"/>
    <w:rsid w:val="00F35899"/>
    <w:rsid w:val="00F423D1"/>
    <w:rsid w:val="00F53920"/>
    <w:rsid w:val="00F72536"/>
    <w:rsid w:val="00F8459B"/>
    <w:rsid w:val="00FB4A72"/>
    <w:rsid w:val="00FC1CB4"/>
    <w:rsid w:val="00FD265A"/>
    <w:rsid w:val="00FD65B2"/>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BB28"/>
  <w15:chartTrackingRefBased/>
  <w15:docId w15:val="{6DB40E6A-9177-4CC2-AEDE-933EB48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333BC"/>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7333BC"/>
    <w:rPr>
      <w:rFonts w:ascii="Times New Roman" w:eastAsia="Times New Roman" w:hAnsi="Times New Roman" w:cs="Times New Roman"/>
      <w:b/>
      <w:bCs/>
      <w:noProof/>
      <w:sz w:val="28"/>
      <w:szCs w:val="28"/>
      <w:lang w:val="en-GB"/>
    </w:rPr>
  </w:style>
  <w:style w:type="paragraph" w:styleId="Header">
    <w:name w:val="header"/>
    <w:basedOn w:val="Normal"/>
    <w:link w:val="HeaderChar"/>
    <w:uiPriority w:val="99"/>
    <w:unhideWhenUsed/>
    <w:rsid w:val="007333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33BC"/>
  </w:style>
  <w:style w:type="paragraph" w:styleId="Footer">
    <w:name w:val="footer"/>
    <w:basedOn w:val="Normal"/>
    <w:link w:val="FooterChar"/>
    <w:uiPriority w:val="99"/>
    <w:unhideWhenUsed/>
    <w:rsid w:val="007333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333BC"/>
  </w:style>
  <w:style w:type="character" w:customStyle="1" w:styleId="hps">
    <w:name w:val="hps"/>
    <w:basedOn w:val="DefaultParagraphFont"/>
    <w:rsid w:val="005A1F89"/>
  </w:style>
  <w:style w:type="paragraph" w:styleId="EndnoteText">
    <w:name w:val="endnote text"/>
    <w:basedOn w:val="Normal"/>
    <w:link w:val="EndnoteTextChar"/>
    <w:uiPriority w:val="99"/>
    <w:semiHidden/>
    <w:unhideWhenUsed/>
    <w:rsid w:val="006556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5625"/>
    <w:rPr>
      <w:sz w:val="20"/>
      <w:szCs w:val="20"/>
    </w:rPr>
  </w:style>
  <w:style w:type="character" w:styleId="EndnoteReference">
    <w:name w:val="endnote reference"/>
    <w:basedOn w:val="DefaultParagraphFont"/>
    <w:uiPriority w:val="99"/>
    <w:semiHidden/>
    <w:unhideWhenUsed/>
    <w:rsid w:val="00655625"/>
    <w:rPr>
      <w:vertAlign w:val="superscript"/>
    </w:rPr>
  </w:style>
  <w:style w:type="paragraph" w:styleId="ListParagraph">
    <w:name w:val="List Paragraph"/>
    <w:basedOn w:val="Normal"/>
    <w:uiPriority w:val="34"/>
    <w:qFormat/>
    <w:rsid w:val="00565336"/>
    <w:pPr>
      <w:ind w:left="720"/>
      <w:contextualSpacing/>
    </w:pPr>
  </w:style>
  <w:style w:type="character" w:styleId="CommentReference">
    <w:name w:val="annotation reference"/>
    <w:basedOn w:val="DefaultParagraphFont"/>
    <w:uiPriority w:val="99"/>
    <w:semiHidden/>
    <w:unhideWhenUsed/>
    <w:rsid w:val="00C73821"/>
    <w:rPr>
      <w:sz w:val="16"/>
      <w:szCs w:val="16"/>
    </w:rPr>
  </w:style>
  <w:style w:type="paragraph" w:styleId="CommentText">
    <w:name w:val="annotation text"/>
    <w:basedOn w:val="Normal"/>
    <w:link w:val="CommentTextChar"/>
    <w:uiPriority w:val="99"/>
    <w:semiHidden/>
    <w:unhideWhenUsed/>
    <w:rsid w:val="00C73821"/>
    <w:pPr>
      <w:spacing w:line="240" w:lineRule="auto"/>
    </w:pPr>
    <w:rPr>
      <w:sz w:val="20"/>
      <w:szCs w:val="20"/>
    </w:rPr>
  </w:style>
  <w:style w:type="character" w:customStyle="1" w:styleId="CommentTextChar">
    <w:name w:val="Comment Text Char"/>
    <w:basedOn w:val="DefaultParagraphFont"/>
    <w:link w:val="CommentText"/>
    <w:uiPriority w:val="99"/>
    <w:semiHidden/>
    <w:rsid w:val="00C73821"/>
    <w:rPr>
      <w:sz w:val="20"/>
      <w:szCs w:val="20"/>
    </w:rPr>
  </w:style>
  <w:style w:type="paragraph" w:styleId="CommentSubject">
    <w:name w:val="annotation subject"/>
    <w:basedOn w:val="CommentText"/>
    <w:next w:val="CommentText"/>
    <w:link w:val="CommentSubjectChar"/>
    <w:uiPriority w:val="99"/>
    <w:semiHidden/>
    <w:unhideWhenUsed/>
    <w:rsid w:val="00C73821"/>
    <w:rPr>
      <w:b/>
      <w:bCs/>
    </w:rPr>
  </w:style>
  <w:style w:type="character" w:customStyle="1" w:styleId="CommentSubjectChar">
    <w:name w:val="Comment Subject Char"/>
    <w:basedOn w:val="CommentTextChar"/>
    <w:link w:val="CommentSubject"/>
    <w:uiPriority w:val="99"/>
    <w:semiHidden/>
    <w:rsid w:val="00C73821"/>
    <w:rPr>
      <w:b/>
      <w:bCs/>
      <w:sz w:val="20"/>
      <w:szCs w:val="20"/>
    </w:rPr>
  </w:style>
  <w:style w:type="paragraph" w:styleId="BalloonText">
    <w:name w:val="Balloon Text"/>
    <w:basedOn w:val="Normal"/>
    <w:link w:val="BalloonTextChar"/>
    <w:uiPriority w:val="99"/>
    <w:semiHidden/>
    <w:unhideWhenUsed/>
    <w:rsid w:val="00C73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21"/>
    <w:rPr>
      <w:rFonts w:ascii="Segoe UI" w:hAnsi="Segoe UI" w:cs="Segoe UI"/>
      <w:sz w:val="18"/>
      <w:szCs w:val="18"/>
    </w:rPr>
  </w:style>
  <w:style w:type="character" w:customStyle="1" w:styleId="italic1">
    <w:name w:val="italic1"/>
    <w:basedOn w:val="DefaultParagraphFont"/>
    <w:rsid w:val="00EA6134"/>
    <w:rPr>
      <w:i/>
      <w:iCs/>
    </w:rPr>
  </w:style>
  <w:style w:type="paragraph" w:styleId="FootnoteText">
    <w:name w:val="footnote text"/>
    <w:basedOn w:val="Normal"/>
    <w:link w:val="FootnoteTextChar"/>
    <w:uiPriority w:val="99"/>
    <w:semiHidden/>
    <w:unhideWhenUsed/>
    <w:rsid w:val="006A7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BC2"/>
    <w:rPr>
      <w:sz w:val="20"/>
      <w:szCs w:val="20"/>
    </w:rPr>
  </w:style>
  <w:style w:type="character" w:styleId="FootnoteReference">
    <w:name w:val="footnote reference"/>
    <w:basedOn w:val="DefaultParagraphFont"/>
    <w:uiPriority w:val="99"/>
    <w:semiHidden/>
    <w:unhideWhenUsed/>
    <w:rsid w:val="006A7BC2"/>
    <w:rPr>
      <w:vertAlign w:val="superscript"/>
    </w:rPr>
  </w:style>
  <w:style w:type="character" w:styleId="Hyperlink">
    <w:name w:val="Hyperlink"/>
    <w:basedOn w:val="DefaultParagraphFont"/>
    <w:uiPriority w:val="99"/>
    <w:unhideWhenUsed/>
    <w:rsid w:val="006A7BC2"/>
    <w:rPr>
      <w:color w:val="0563C1" w:themeColor="hyperlink"/>
      <w:u w:val="single"/>
    </w:rPr>
  </w:style>
  <w:style w:type="table" w:styleId="TableGrid">
    <w:name w:val="Table Grid"/>
    <w:basedOn w:val="TableNormal"/>
    <w:uiPriority w:val="39"/>
    <w:rsid w:val="003E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E133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E133E"/>
    <w:rPr>
      <w:rFonts w:ascii="Consolas" w:hAnsi="Consolas" w:cs="Consolas"/>
      <w:sz w:val="21"/>
      <w:szCs w:val="21"/>
    </w:rPr>
  </w:style>
  <w:style w:type="paragraph" w:customStyle="1" w:styleId="CM1">
    <w:name w:val="CM1"/>
    <w:basedOn w:val="Normal"/>
    <w:next w:val="Normal"/>
    <w:uiPriority w:val="99"/>
    <w:rsid w:val="008D390D"/>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D390D"/>
    <w:pPr>
      <w:autoSpaceDE w:val="0"/>
      <w:autoSpaceDN w:val="0"/>
      <w:adjustRightInd w:val="0"/>
      <w:spacing w:after="0" w:line="240" w:lineRule="auto"/>
    </w:pPr>
    <w:rPr>
      <w:rFonts w:ascii="EUAlbertina" w:hAnsi="EUAlbertina"/>
      <w:sz w:val="24"/>
      <w:szCs w:val="24"/>
    </w:rPr>
  </w:style>
  <w:style w:type="paragraph" w:customStyle="1" w:styleId="naisc">
    <w:name w:val="naisc"/>
    <w:basedOn w:val="Normal"/>
    <w:uiPriority w:val="99"/>
    <w:rsid w:val="00866B10"/>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3024">
      <w:bodyDiv w:val="1"/>
      <w:marLeft w:val="0"/>
      <w:marRight w:val="0"/>
      <w:marTop w:val="0"/>
      <w:marBottom w:val="0"/>
      <w:divBdr>
        <w:top w:val="none" w:sz="0" w:space="0" w:color="auto"/>
        <w:left w:val="none" w:sz="0" w:space="0" w:color="auto"/>
        <w:bottom w:val="none" w:sz="0" w:space="0" w:color="auto"/>
        <w:right w:val="none" w:sz="0" w:space="0" w:color="auto"/>
      </w:divBdr>
    </w:div>
    <w:div w:id="664210399">
      <w:bodyDiv w:val="1"/>
      <w:marLeft w:val="0"/>
      <w:marRight w:val="0"/>
      <w:marTop w:val="0"/>
      <w:marBottom w:val="0"/>
      <w:divBdr>
        <w:top w:val="none" w:sz="0" w:space="0" w:color="auto"/>
        <w:left w:val="none" w:sz="0" w:space="0" w:color="auto"/>
        <w:bottom w:val="none" w:sz="0" w:space="0" w:color="auto"/>
        <w:right w:val="none" w:sz="0" w:space="0" w:color="auto"/>
      </w:divBdr>
    </w:div>
    <w:div w:id="1276207087">
      <w:bodyDiv w:val="1"/>
      <w:marLeft w:val="0"/>
      <w:marRight w:val="0"/>
      <w:marTop w:val="0"/>
      <w:marBottom w:val="0"/>
      <w:divBdr>
        <w:top w:val="none" w:sz="0" w:space="0" w:color="auto"/>
        <w:left w:val="none" w:sz="0" w:space="0" w:color="auto"/>
        <w:bottom w:val="none" w:sz="0" w:space="0" w:color="auto"/>
        <w:right w:val="none" w:sz="0" w:space="0" w:color="auto"/>
      </w:divBdr>
      <w:divsChild>
        <w:div w:id="1554466196">
          <w:marLeft w:val="0"/>
          <w:marRight w:val="0"/>
          <w:marTop w:val="0"/>
          <w:marBottom w:val="0"/>
          <w:divBdr>
            <w:top w:val="none" w:sz="0" w:space="0" w:color="auto"/>
            <w:left w:val="none" w:sz="0" w:space="0" w:color="auto"/>
            <w:bottom w:val="none" w:sz="0" w:space="0" w:color="auto"/>
            <w:right w:val="none" w:sz="0" w:space="0" w:color="auto"/>
          </w:divBdr>
          <w:divsChild>
            <w:div w:id="845438671">
              <w:marLeft w:val="0"/>
              <w:marRight w:val="0"/>
              <w:marTop w:val="0"/>
              <w:marBottom w:val="0"/>
              <w:divBdr>
                <w:top w:val="none" w:sz="0" w:space="0" w:color="auto"/>
                <w:left w:val="none" w:sz="0" w:space="0" w:color="auto"/>
                <w:bottom w:val="none" w:sz="0" w:space="0" w:color="auto"/>
                <w:right w:val="none" w:sz="0" w:space="0" w:color="auto"/>
              </w:divBdr>
              <w:divsChild>
                <w:div w:id="1374841848">
                  <w:marLeft w:val="0"/>
                  <w:marRight w:val="0"/>
                  <w:marTop w:val="0"/>
                  <w:marBottom w:val="0"/>
                  <w:divBdr>
                    <w:top w:val="none" w:sz="0" w:space="0" w:color="auto"/>
                    <w:left w:val="none" w:sz="0" w:space="0" w:color="auto"/>
                    <w:bottom w:val="none" w:sz="0" w:space="0" w:color="auto"/>
                    <w:right w:val="none" w:sz="0" w:space="0" w:color="auto"/>
                  </w:divBdr>
                  <w:divsChild>
                    <w:div w:id="243344278">
                      <w:marLeft w:val="0"/>
                      <w:marRight w:val="0"/>
                      <w:marTop w:val="240"/>
                      <w:marBottom w:val="0"/>
                      <w:divBdr>
                        <w:top w:val="none" w:sz="0" w:space="0" w:color="auto"/>
                        <w:left w:val="none" w:sz="0" w:space="0" w:color="auto"/>
                        <w:bottom w:val="none" w:sz="0" w:space="0" w:color="auto"/>
                        <w:right w:val="none" w:sz="0" w:space="0" w:color="auto"/>
                      </w:divBdr>
                    </w:div>
                    <w:div w:id="334889659">
                      <w:marLeft w:val="150"/>
                      <w:marRight w:val="150"/>
                      <w:marTop w:val="480"/>
                      <w:marBottom w:val="0"/>
                      <w:divBdr>
                        <w:top w:val="single" w:sz="6" w:space="28" w:color="D4D4D4"/>
                        <w:left w:val="none" w:sz="0" w:space="0" w:color="auto"/>
                        <w:bottom w:val="none" w:sz="0" w:space="0" w:color="auto"/>
                        <w:right w:val="none" w:sz="0" w:space="0" w:color="auto"/>
                      </w:divBdr>
                    </w:div>
                    <w:div w:id="144245839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10213922">
      <w:bodyDiv w:val="1"/>
      <w:marLeft w:val="0"/>
      <w:marRight w:val="0"/>
      <w:marTop w:val="0"/>
      <w:marBottom w:val="0"/>
      <w:divBdr>
        <w:top w:val="none" w:sz="0" w:space="0" w:color="auto"/>
        <w:left w:val="none" w:sz="0" w:space="0" w:color="auto"/>
        <w:bottom w:val="none" w:sz="0" w:space="0" w:color="auto"/>
        <w:right w:val="none" w:sz="0" w:space="0" w:color="auto"/>
      </w:divBdr>
    </w:div>
    <w:div w:id="1698385856">
      <w:bodyDiv w:val="1"/>
      <w:marLeft w:val="0"/>
      <w:marRight w:val="0"/>
      <w:marTop w:val="0"/>
      <w:marBottom w:val="0"/>
      <w:divBdr>
        <w:top w:val="none" w:sz="0" w:space="0" w:color="auto"/>
        <w:left w:val="none" w:sz="0" w:space="0" w:color="auto"/>
        <w:bottom w:val="none" w:sz="0" w:space="0" w:color="auto"/>
        <w:right w:val="none" w:sz="0" w:space="0" w:color="auto"/>
      </w:divBdr>
      <w:divsChild>
        <w:div w:id="1554468261">
          <w:marLeft w:val="0"/>
          <w:marRight w:val="0"/>
          <w:marTop w:val="0"/>
          <w:marBottom w:val="0"/>
          <w:divBdr>
            <w:top w:val="none" w:sz="0" w:space="0" w:color="auto"/>
            <w:left w:val="none" w:sz="0" w:space="0" w:color="auto"/>
            <w:bottom w:val="none" w:sz="0" w:space="0" w:color="auto"/>
            <w:right w:val="none" w:sz="0" w:space="0" w:color="auto"/>
          </w:divBdr>
          <w:divsChild>
            <w:div w:id="1501434206">
              <w:marLeft w:val="0"/>
              <w:marRight w:val="0"/>
              <w:marTop w:val="0"/>
              <w:marBottom w:val="0"/>
              <w:divBdr>
                <w:top w:val="none" w:sz="0" w:space="0" w:color="auto"/>
                <w:left w:val="none" w:sz="0" w:space="0" w:color="auto"/>
                <w:bottom w:val="none" w:sz="0" w:space="0" w:color="auto"/>
                <w:right w:val="none" w:sz="0" w:space="0" w:color="auto"/>
              </w:divBdr>
              <w:divsChild>
                <w:div w:id="232551374">
                  <w:marLeft w:val="0"/>
                  <w:marRight w:val="0"/>
                  <w:marTop w:val="0"/>
                  <w:marBottom w:val="0"/>
                  <w:divBdr>
                    <w:top w:val="none" w:sz="0" w:space="0" w:color="auto"/>
                    <w:left w:val="none" w:sz="0" w:space="0" w:color="auto"/>
                    <w:bottom w:val="none" w:sz="0" w:space="0" w:color="auto"/>
                    <w:right w:val="none" w:sz="0" w:space="0" w:color="auto"/>
                  </w:divBdr>
                  <w:divsChild>
                    <w:div w:id="236595660">
                      <w:marLeft w:val="0"/>
                      <w:marRight w:val="0"/>
                      <w:marTop w:val="0"/>
                      <w:marBottom w:val="0"/>
                      <w:divBdr>
                        <w:top w:val="none" w:sz="0" w:space="0" w:color="auto"/>
                        <w:left w:val="none" w:sz="0" w:space="0" w:color="auto"/>
                        <w:bottom w:val="none" w:sz="0" w:space="0" w:color="auto"/>
                        <w:right w:val="none" w:sz="0" w:space="0" w:color="auto"/>
                      </w:divBdr>
                      <w:divsChild>
                        <w:div w:id="1042748736">
                          <w:marLeft w:val="150"/>
                          <w:marRight w:val="0"/>
                          <w:marTop w:val="0"/>
                          <w:marBottom w:val="0"/>
                          <w:divBdr>
                            <w:top w:val="none" w:sz="0" w:space="0" w:color="auto"/>
                            <w:left w:val="none" w:sz="0" w:space="0" w:color="auto"/>
                            <w:bottom w:val="none" w:sz="0" w:space="0" w:color="auto"/>
                            <w:right w:val="none" w:sz="0" w:space="0" w:color="auto"/>
                          </w:divBdr>
                          <w:divsChild>
                            <w:div w:id="519517266">
                              <w:marLeft w:val="0"/>
                              <w:marRight w:val="0"/>
                              <w:marTop w:val="0"/>
                              <w:marBottom w:val="0"/>
                              <w:divBdr>
                                <w:top w:val="none" w:sz="0" w:space="0" w:color="auto"/>
                                <w:left w:val="none" w:sz="0" w:space="0" w:color="auto"/>
                                <w:bottom w:val="none" w:sz="0" w:space="0" w:color="auto"/>
                                <w:right w:val="none" w:sz="0" w:space="0" w:color="auto"/>
                              </w:divBdr>
                              <w:divsChild>
                                <w:div w:id="884878190">
                                  <w:marLeft w:val="0"/>
                                  <w:marRight w:val="0"/>
                                  <w:marTop w:val="0"/>
                                  <w:marBottom w:val="0"/>
                                  <w:divBdr>
                                    <w:top w:val="none" w:sz="0" w:space="0" w:color="auto"/>
                                    <w:left w:val="none" w:sz="0" w:space="0" w:color="auto"/>
                                    <w:bottom w:val="none" w:sz="0" w:space="0" w:color="auto"/>
                                    <w:right w:val="none" w:sz="0" w:space="0" w:color="auto"/>
                                  </w:divBdr>
                                  <w:divsChild>
                                    <w:div w:id="1594389677">
                                      <w:marLeft w:val="0"/>
                                      <w:marRight w:val="0"/>
                                      <w:marTop w:val="0"/>
                                      <w:marBottom w:val="0"/>
                                      <w:divBdr>
                                        <w:top w:val="none" w:sz="0" w:space="0" w:color="auto"/>
                                        <w:left w:val="none" w:sz="0" w:space="0" w:color="auto"/>
                                        <w:bottom w:val="none" w:sz="0" w:space="0" w:color="auto"/>
                                        <w:right w:val="none" w:sz="0" w:space="0" w:color="auto"/>
                                      </w:divBdr>
                                      <w:divsChild>
                                        <w:div w:id="702562714">
                                          <w:marLeft w:val="0"/>
                                          <w:marRight w:val="0"/>
                                          <w:marTop w:val="0"/>
                                          <w:marBottom w:val="0"/>
                                          <w:divBdr>
                                            <w:top w:val="none" w:sz="0" w:space="0" w:color="auto"/>
                                            <w:left w:val="none" w:sz="0" w:space="0" w:color="auto"/>
                                            <w:bottom w:val="none" w:sz="0" w:space="0" w:color="auto"/>
                                            <w:right w:val="none" w:sz="0" w:space="0" w:color="auto"/>
                                          </w:divBdr>
                                          <w:divsChild>
                                            <w:div w:id="1045642609">
                                              <w:marLeft w:val="0"/>
                                              <w:marRight w:val="270"/>
                                              <w:marTop w:val="0"/>
                                              <w:marBottom w:val="0"/>
                                              <w:divBdr>
                                                <w:top w:val="none" w:sz="0" w:space="0" w:color="auto"/>
                                                <w:left w:val="none" w:sz="0" w:space="0" w:color="auto"/>
                                                <w:bottom w:val="none" w:sz="0" w:space="0" w:color="auto"/>
                                                <w:right w:val="none" w:sz="0" w:space="0" w:color="auto"/>
                                              </w:divBdr>
                                              <w:divsChild>
                                                <w:div w:id="723604045">
                                                  <w:marLeft w:val="0"/>
                                                  <w:marRight w:val="0"/>
                                                  <w:marTop w:val="0"/>
                                                  <w:marBottom w:val="0"/>
                                                  <w:divBdr>
                                                    <w:top w:val="none" w:sz="0" w:space="0" w:color="auto"/>
                                                    <w:left w:val="none" w:sz="0" w:space="0" w:color="auto"/>
                                                    <w:bottom w:val="none" w:sz="0" w:space="0" w:color="auto"/>
                                                    <w:right w:val="none" w:sz="0" w:space="0" w:color="auto"/>
                                                  </w:divBdr>
                                                </w:div>
                                                <w:div w:id="1630083985">
                                                  <w:marLeft w:val="0"/>
                                                  <w:marRight w:val="0"/>
                                                  <w:marTop w:val="0"/>
                                                  <w:marBottom w:val="0"/>
                                                  <w:divBdr>
                                                    <w:top w:val="none" w:sz="0" w:space="0" w:color="auto"/>
                                                    <w:left w:val="none" w:sz="0" w:space="0" w:color="auto"/>
                                                    <w:bottom w:val="none" w:sz="0" w:space="0" w:color="auto"/>
                                                    <w:right w:val="none" w:sz="0" w:space="0" w:color="auto"/>
                                                  </w:divBdr>
                                                </w:div>
                                                <w:div w:id="1720590240">
                                                  <w:marLeft w:val="0"/>
                                                  <w:marRight w:val="0"/>
                                                  <w:marTop w:val="0"/>
                                                  <w:marBottom w:val="0"/>
                                                  <w:divBdr>
                                                    <w:top w:val="none" w:sz="0" w:space="0" w:color="auto"/>
                                                    <w:left w:val="none" w:sz="0" w:space="0" w:color="auto"/>
                                                    <w:bottom w:val="none" w:sz="0" w:space="0" w:color="auto"/>
                                                    <w:right w:val="none" w:sz="0" w:space="0" w:color="auto"/>
                                                  </w:divBdr>
                                                </w:div>
                                                <w:div w:id="20943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3444">
                          <w:marLeft w:val="0"/>
                          <w:marRight w:val="0"/>
                          <w:marTop w:val="0"/>
                          <w:marBottom w:val="0"/>
                          <w:divBdr>
                            <w:top w:val="none" w:sz="0" w:space="0" w:color="auto"/>
                            <w:left w:val="none" w:sz="0" w:space="0" w:color="auto"/>
                            <w:bottom w:val="none" w:sz="0" w:space="0" w:color="auto"/>
                            <w:right w:val="none" w:sz="0" w:space="0" w:color="auto"/>
                          </w:divBdr>
                          <w:divsChild>
                            <w:div w:id="9470055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078121">
      <w:bodyDiv w:val="1"/>
      <w:marLeft w:val="0"/>
      <w:marRight w:val="0"/>
      <w:marTop w:val="0"/>
      <w:marBottom w:val="0"/>
      <w:divBdr>
        <w:top w:val="none" w:sz="0" w:space="0" w:color="auto"/>
        <w:left w:val="none" w:sz="0" w:space="0" w:color="auto"/>
        <w:bottom w:val="none" w:sz="0" w:space="0" w:color="auto"/>
        <w:right w:val="none" w:sz="0" w:space="0" w:color="auto"/>
      </w:divBdr>
      <w:divsChild>
        <w:div w:id="269122148">
          <w:marLeft w:val="0"/>
          <w:marRight w:val="0"/>
          <w:marTop w:val="0"/>
          <w:marBottom w:val="0"/>
          <w:divBdr>
            <w:top w:val="none" w:sz="0" w:space="0" w:color="auto"/>
            <w:left w:val="none" w:sz="0" w:space="0" w:color="auto"/>
            <w:bottom w:val="none" w:sz="0" w:space="0" w:color="auto"/>
            <w:right w:val="none" w:sz="0" w:space="0" w:color="auto"/>
          </w:divBdr>
          <w:divsChild>
            <w:div w:id="388847282">
              <w:marLeft w:val="0"/>
              <w:marRight w:val="0"/>
              <w:marTop w:val="0"/>
              <w:marBottom w:val="0"/>
              <w:divBdr>
                <w:top w:val="none" w:sz="0" w:space="0" w:color="auto"/>
                <w:left w:val="none" w:sz="0" w:space="0" w:color="auto"/>
                <w:bottom w:val="none" w:sz="0" w:space="0" w:color="auto"/>
                <w:right w:val="none" w:sz="0" w:space="0" w:color="auto"/>
              </w:divBdr>
              <w:divsChild>
                <w:div w:id="841898334">
                  <w:marLeft w:val="0"/>
                  <w:marRight w:val="0"/>
                  <w:marTop w:val="0"/>
                  <w:marBottom w:val="0"/>
                  <w:divBdr>
                    <w:top w:val="none" w:sz="0" w:space="0" w:color="auto"/>
                    <w:left w:val="none" w:sz="0" w:space="0" w:color="auto"/>
                    <w:bottom w:val="none" w:sz="0" w:space="0" w:color="auto"/>
                    <w:right w:val="none" w:sz="0" w:space="0" w:color="auto"/>
                  </w:divBdr>
                  <w:divsChild>
                    <w:div w:id="649334649">
                      <w:marLeft w:val="0"/>
                      <w:marRight w:val="0"/>
                      <w:marTop w:val="0"/>
                      <w:marBottom w:val="0"/>
                      <w:divBdr>
                        <w:top w:val="none" w:sz="0" w:space="0" w:color="auto"/>
                        <w:left w:val="none" w:sz="0" w:space="0" w:color="auto"/>
                        <w:bottom w:val="none" w:sz="0" w:space="0" w:color="auto"/>
                        <w:right w:val="none" w:sz="0" w:space="0" w:color="auto"/>
                      </w:divBdr>
                      <w:divsChild>
                        <w:div w:id="1193542746">
                          <w:marLeft w:val="0"/>
                          <w:marRight w:val="0"/>
                          <w:marTop w:val="0"/>
                          <w:marBottom w:val="0"/>
                          <w:divBdr>
                            <w:top w:val="none" w:sz="0" w:space="0" w:color="auto"/>
                            <w:left w:val="none" w:sz="0" w:space="0" w:color="auto"/>
                            <w:bottom w:val="none" w:sz="0" w:space="0" w:color="auto"/>
                            <w:right w:val="none" w:sz="0" w:space="0" w:color="auto"/>
                          </w:divBdr>
                          <w:divsChild>
                            <w:div w:id="1679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64536">
      <w:bodyDiv w:val="1"/>
      <w:marLeft w:val="0"/>
      <w:marRight w:val="0"/>
      <w:marTop w:val="0"/>
      <w:marBottom w:val="0"/>
      <w:divBdr>
        <w:top w:val="none" w:sz="0" w:space="0" w:color="auto"/>
        <w:left w:val="none" w:sz="0" w:space="0" w:color="auto"/>
        <w:bottom w:val="none" w:sz="0" w:space="0" w:color="auto"/>
        <w:right w:val="none" w:sz="0" w:space="0" w:color="auto"/>
      </w:divBdr>
      <w:divsChild>
        <w:div w:id="1688216815">
          <w:marLeft w:val="0"/>
          <w:marRight w:val="0"/>
          <w:marTop w:val="0"/>
          <w:marBottom w:val="0"/>
          <w:divBdr>
            <w:top w:val="none" w:sz="0" w:space="0" w:color="auto"/>
            <w:left w:val="none" w:sz="0" w:space="0" w:color="auto"/>
            <w:bottom w:val="none" w:sz="0" w:space="0" w:color="auto"/>
            <w:right w:val="none" w:sz="0" w:space="0" w:color="auto"/>
          </w:divBdr>
          <w:divsChild>
            <w:div w:id="767384265">
              <w:marLeft w:val="0"/>
              <w:marRight w:val="0"/>
              <w:marTop w:val="0"/>
              <w:marBottom w:val="0"/>
              <w:divBdr>
                <w:top w:val="none" w:sz="0" w:space="0" w:color="auto"/>
                <w:left w:val="none" w:sz="0" w:space="0" w:color="auto"/>
                <w:bottom w:val="none" w:sz="0" w:space="0" w:color="auto"/>
                <w:right w:val="none" w:sz="0" w:space="0" w:color="auto"/>
              </w:divBdr>
              <w:divsChild>
                <w:div w:id="1170025036">
                  <w:marLeft w:val="0"/>
                  <w:marRight w:val="0"/>
                  <w:marTop w:val="0"/>
                  <w:marBottom w:val="0"/>
                  <w:divBdr>
                    <w:top w:val="none" w:sz="0" w:space="0" w:color="auto"/>
                    <w:left w:val="none" w:sz="0" w:space="0" w:color="auto"/>
                    <w:bottom w:val="none" w:sz="0" w:space="0" w:color="auto"/>
                    <w:right w:val="none" w:sz="0" w:space="0" w:color="auto"/>
                  </w:divBdr>
                  <w:divsChild>
                    <w:div w:id="1965883961">
                      <w:marLeft w:val="1"/>
                      <w:marRight w:val="1"/>
                      <w:marTop w:val="0"/>
                      <w:marBottom w:val="0"/>
                      <w:divBdr>
                        <w:top w:val="none" w:sz="0" w:space="0" w:color="auto"/>
                        <w:left w:val="none" w:sz="0" w:space="0" w:color="auto"/>
                        <w:bottom w:val="none" w:sz="0" w:space="0" w:color="auto"/>
                        <w:right w:val="none" w:sz="0" w:space="0" w:color="auto"/>
                      </w:divBdr>
                      <w:divsChild>
                        <w:div w:id="79563553">
                          <w:marLeft w:val="0"/>
                          <w:marRight w:val="0"/>
                          <w:marTop w:val="0"/>
                          <w:marBottom w:val="0"/>
                          <w:divBdr>
                            <w:top w:val="none" w:sz="0" w:space="0" w:color="auto"/>
                            <w:left w:val="none" w:sz="0" w:space="0" w:color="auto"/>
                            <w:bottom w:val="none" w:sz="0" w:space="0" w:color="auto"/>
                            <w:right w:val="none" w:sz="0" w:space="0" w:color="auto"/>
                          </w:divBdr>
                          <w:divsChild>
                            <w:div w:id="1635988020">
                              <w:marLeft w:val="0"/>
                              <w:marRight w:val="0"/>
                              <w:marTop w:val="0"/>
                              <w:marBottom w:val="360"/>
                              <w:divBdr>
                                <w:top w:val="none" w:sz="0" w:space="0" w:color="auto"/>
                                <w:left w:val="none" w:sz="0" w:space="0" w:color="auto"/>
                                <w:bottom w:val="none" w:sz="0" w:space="0" w:color="auto"/>
                                <w:right w:val="none" w:sz="0" w:space="0" w:color="auto"/>
                              </w:divBdr>
                              <w:divsChild>
                                <w:div w:id="1099175586">
                                  <w:marLeft w:val="0"/>
                                  <w:marRight w:val="0"/>
                                  <w:marTop w:val="0"/>
                                  <w:marBottom w:val="0"/>
                                  <w:divBdr>
                                    <w:top w:val="none" w:sz="0" w:space="0" w:color="auto"/>
                                    <w:left w:val="none" w:sz="0" w:space="0" w:color="auto"/>
                                    <w:bottom w:val="none" w:sz="0" w:space="0" w:color="auto"/>
                                    <w:right w:val="none" w:sz="0" w:space="0" w:color="auto"/>
                                  </w:divBdr>
                                  <w:divsChild>
                                    <w:div w:id="1817919668">
                                      <w:marLeft w:val="0"/>
                                      <w:marRight w:val="0"/>
                                      <w:marTop w:val="0"/>
                                      <w:marBottom w:val="0"/>
                                      <w:divBdr>
                                        <w:top w:val="none" w:sz="0" w:space="0" w:color="auto"/>
                                        <w:left w:val="none" w:sz="0" w:space="0" w:color="auto"/>
                                        <w:bottom w:val="none" w:sz="0" w:space="0" w:color="auto"/>
                                        <w:right w:val="none" w:sz="0" w:space="0" w:color="auto"/>
                                      </w:divBdr>
                                      <w:divsChild>
                                        <w:div w:id="8335193">
                                          <w:marLeft w:val="0"/>
                                          <w:marRight w:val="0"/>
                                          <w:marTop w:val="0"/>
                                          <w:marBottom w:val="0"/>
                                          <w:divBdr>
                                            <w:top w:val="none" w:sz="0" w:space="0" w:color="auto"/>
                                            <w:left w:val="none" w:sz="0" w:space="0" w:color="auto"/>
                                            <w:bottom w:val="none" w:sz="0" w:space="0" w:color="auto"/>
                                            <w:right w:val="none" w:sz="0" w:space="0" w:color="auto"/>
                                          </w:divBdr>
                                          <w:divsChild>
                                            <w:div w:id="2097283189">
                                              <w:marLeft w:val="0"/>
                                              <w:marRight w:val="0"/>
                                              <w:marTop w:val="0"/>
                                              <w:marBottom w:val="0"/>
                                              <w:divBdr>
                                                <w:top w:val="none" w:sz="0" w:space="0" w:color="auto"/>
                                                <w:left w:val="none" w:sz="0" w:space="0" w:color="auto"/>
                                                <w:bottom w:val="none" w:sz="0" w:space="0" w:color="auto"/>
                                                <w:right w:val="none" w:sz="0" w:space="0" w:color="auto"/>
                                              </w:divBdr>
                                              <w:divsChild>
                                                <w:div w:id="1590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ja.bundule@viaa.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LV/TXT/?uri=CELEX%3A32014R0651" TargetMode="External"/><Relationship Id="rId1" Type="http://schemas.openxmlformats.org/officeDocument/2006/relationships/hyperlink" Target="http://ec.europa.eu/research/participants/data/ref/h2020/legal_basis/rules_participation/h2020-rules-%20%20participation_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24BF-B14D-49D0-AFB1-3E4E3C0E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3387</Words>
  <Characters>22902</Characters>
  <Application>Microsoft Office Word</Application>
  <DocSecurity>0</DocSecurity>
  <Lines>1090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5</cp:revision>
  <cp:lastPrinted>2017-05-16T07:01:00Z</cp:lastPrinted>
  <dcterms:created xsi:type="dcterms:W3CDTF">2017-05-12T10:06:00Z</dcterms:created>
  <dcterms:modified xsi:type="dcterms:W3CDTF">2017-05-16T11:01:00Z</dcterms:modified>
</cp:coreProperties>
</file>