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5D" w:rsidRPr="00D33F22" w:rsidRDefault="008A5C5D" w:rsidP="008A5C5D">
      <w:pPr>
        <w:jc w:val="center"/>
        <w:rPr>
          <w:b/>
        </w:rPr>
      </w:pPr>
      <w:bookmarkStart w:id="0" w:name="_Hlk479968840"/>
      <w:r w:rsidRPr="00D33F22">
        <w:rPr>
          <w:b/>
        </w:rPr>
        <w:t xml:space="preserve">Ministru kabineta noteikumu projekta </w:t>
      </w:r>
    </w:p>
    <w:p w:rsidR="008A5C5D" w:rsidRPr="00D33F22" w:rsidRDefault="008A5C5D" w:rsidP="00C768B4">
      <w:pPr>
        <w:jc w:val="center"/>
        <w:rPr>
          <w:b/>
        </w:rPr>
      </w:pPr>
      <w:r w:rsidRPr="00D33F22">
        <w:rPr>
          <w:b/>
        </w:rPr>
        <w:t>„</w:t>
      </w:r>
      <w:r w:rsidR="00C768B4" w:rsidRPr="00D33F22">
        <w:rPr>
          <w:b/>
        </w:rPr>
        <w:t>Noteikumu par institūciju sadarbību bērnu tiesību aizsardzībā</w:t>
      </w:r>
      <w:r w:rsidRPr="00D33F22">
        <w:rPr>
          <w:b/>
        </w:rPr>
        <w:t xml:space="preserve">” </w:t>
      </w:r>
      <w:bookmarkEnd w:id="0"/>
      <w:r w:rsidRPr="00D33F22">
        <w:rPr>
          <w:b/>
        </w:rPr>
        <w:t xml:space="preserve">sākotnējās ietekmes novērtējuma </w:t>
      </w:r>
      <w:smartTag w:uri="schemas-tilde-lv/tildestengine" w:element="veidnes">
        <w:smartTagPr>
          <w:attr w:name="id" w:val="-1"/>
          <w:attr w:name="baseform" w:val="ziņojums"/>
          <w:attr w:name="text" w:val="ziņojums"/>
        </w:smartTagPr>
        <w:r w:rsidRPr="00D33F22">
          <w:rPr>
            <w:b/>
          </w:rPr>
          <w:t>ziņojums</w:t>
        </w:r>
      </w:smartTag>
      <w:r w:rsidRPr="00D33F22">
        <w:rPr>
          <w:b/>
        </w:rPr>
        <w:t xml:space="preserve"> (anotācija)</w:t>
      </w:r>
    </w:p>
    <w:p w:rsidR="008A5C5D" w:rsidRPr="00D33F22" w:rsidRDefault="008A5C5D" w:rsidP="008A5C5D">
      <w:pPr>
        <w:pStyle w:val="naislab"/>
        <w:spacing w:before="0" w:after="0"/>
        <w:jc w:val="center"/>
        <w:outlineLvl w:val="0"/>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37"/>
        <w:gridCol w:w="6264"/>
      </w:tblGrid>
      <w:tr w:rsidR="008A5C5D" w:rsidRPr="00D33F22" w:rsidTr="003D06EA">
        <w:trPr>
          <w:jc w:val="center"/>
        </w:trPr>
        <w:tc>
          <w:tcPr>
            <w:tcW w:w="9351" w:type="dxa"/>
            <w:gridSpan w:val="3"/>
            <w:vAlign w:val="center"/>
          </w:tcPr>
          <w:p w:rsidR="008A5C5D" w:rsidRPr="00D33F22" w:rsidRDefault="008A5C5D" w:rsidP="001A5A56">
            <w:pPr>
              <w:pStyle w:val="naisnod"/>
              <w:numPr>
                <w:ilvl w:val="0"/>
                <w:numId w:val="1"/>
              </w:numPr>
              <w:spacing w:before="0" w:after="0"/>
            </w:pPr>
            <w:r w:rsidRPr="00D33F22">
              <w:t>Tiesību akta projekta izstrādes nepieciešamība</w:t>
            </w:r>
          </w:p>
          <w:p w:rsidR="001A5A56" w:rsidRPr="00D33F22" w:rsidRDefault="001A5A56" w:rsidP="001A5A56">
            <w:pPr>
              <w:pStyle w:val="naisnod"/>
              <w:spacing w:before="0" w:after="0"/>
              <w:ind w:left="1080"/>
              <w:jc w:val="left"/>
            </w:pPr>
          </w:p>
        </w:tc>
      </w:tr>
      <w:tr w:rsidR="008A5C5D" w:rsidRPr="00D33F22" w:rsidTr="003D06EA">
        <w:trPr>
          <w:trHeight w:val="630"/>
          <w:jc w:val="center"/>
        </w:trPr>
        <w:tc>
          <w:tcPr>
            <w:tcW w:w="550" w:type="dxa"/>
          </w:tcPr>
          <w:p w:rsidR="008A5C5D" w:rsidRPr="00D33F22" w:rsidRDefault="008A5C5D" w:rsidP="002A0B32">
            <w:pPr>
              <w:pStyle w:val="naiskr"/>
              <w:spacing w:before="0" w:after="0"/>
            </w:pPr>
            <w:r w:rsidRPr="00D33F22">
              <w:t>1.</w:t>
            </w:r>
          </w:p>
        </w:tc>
        <w:tc>
          <w:tcPr>
            <w:tcW w:w="2537" w:type="dxa"/>
          </w:tcPr>
          <w:p w:rsidR="008A5C5D" w:rsidRPr="00D33F22" w:rsidRDefault="008A5C5D" w:rsidP="002A0B32">
            <w:pPr>
              <w:pStyle w:val="naiskr"/>
              <w:spacing w:before="0" w:after="0"/>
              <w:ind w:hanging="10"/>
            </w:pPr>
            <w:r w:rsidRPr="00D33F22">
              <w:t>Pamatojums</w:t>
            </w:r>
          </w:p>
        </w:tc>
        <w:tc>
          <w:tcPr>
            <w:tcW w:w="6264" w:type="dxa"/>
          </w:tcPr>
          <w:p w:rsidR="008A5C5D" w:rsidRPr="00D33F22" w:rsidRDefault="005C7F79" w:rsidP="00D41B94">
            <w:pPr>
              <w:pStyle w:val="Sarakstarindkopa"/>
              <w:spacing w:after="0" w:line="240" w:lineRule="auto"/>
              <w:ind w:left="28" w:right="91"/>
              <w:jc w:val="both"/>
              <w:rPr>
                <w:rFonts w:ascii="Times New Roman" w:hAnsi="Times New Roman"/>
                <w:sz w:val="24"/>
                <w:szCs w:val="24"/>
              </w:rPr>
            </w:pPr>
            <w:r w:rsidRPr="00D33F22">
              <w:rPr>
                <w:rFonts w:ascii="Times New Roman" w:hAnsi="Times New Roman"/>
                <w:sz w:val="24"/>
                <w:szCs w:val="24"/>
              </w:rPr>
              <w:t xml:space="preserve">Ministru kabineta noteikumu projekts “Noteikumu par institūciju sadarbību bērnu tiesību aizsardzībā” </w:t>
            </w:r>
            <w:r w:rsidR="003A56DB" w:rsidRPr="00D33F22">
              <w:rPr>
                <w:rFonts w:ascii="Times New Roman" w:hAnsi="Times New Roman"/>
                <w:sz w:val="24"/>
                <w:szCs w:val="24"/>
              </w:rPr>
              <w:t>(turpmāk - Noteikumu projekts)</w:t>
            </w:r>
            <w:r w:rsidR="003A56DB">
              <w:rPr>
                <w:rFonts w:ascii="Times New Roman" w:hAnsi="Times New Roman"/>
                <w:sz w:val="24"/>
                <w:szCs w:val="24"/>
              </w:rPr>
              <w:t xml:space="preserve"> </w:t>
            </w:r>
            <w:r w:rsidRPr="00D33F22">
              <w:rPr>
                <w:rFonts w:ascii="Times New Roman" w:hAnsi="Times New Roman"/>
                <w:sz w:val="24"/>
                <w:szCs w:val="24"/>
              </w:rPr>
              <w:t xml:space="preserve">izstrādāts atbilstoši </w:t>
            </w:r>
            <w:proofErr w:type="gramStart"/>
            <w:r w:rsidR="0012766F" w:rsidRPr="00D33F22">
              <w:rPr>
                <w:rFonts w:ascii="Times New Roman" w:hAnsi="Times New Roman"/>
                <w:sz w:val="24"/>
                <w:szCs w:val="24"/>
              </w:rPr>
              <w:t>2017.gada</w:t>
            </w:r>
            <w:proofErr w:type="gramEnd"/>
            <w:r w:rsidR="0012766F" w:rsidRPr="00D33F22">
              <w:rPr>
                <w:rFonts w:ascii="Times New Roman" w:hAnsi="Times New Roman"/>
                <w:sz w:val="24"/>
                <w:szCs w:val="24"/>
              </w:rPr>
              <w:t xml:space="preserve"> 2.marta </w:t>
            </w:r>
            <w:r w:rsidRPr="00D33F22">
              <w:rPr>
                <w:rFonts w:ascii="Times New Roman" w:hAnsi="Times New Roman"/>
                <w:sz w:val="24"/>
                <w:szCs w:val="24"/>
              </w:rPr>
              <w:t xml:space="preserve">grozījumiem Bērnu tiesību aizsardzības likuma </w:t>
            </w:r>
            <w:r w:rsidR="0012766F" w:rsidRPr="00D33F22">
              <w:rPr>
                <w:rFonts w:ascii="Times New Roman" w:hAnsi="Times New Roman"/>
                <w:sz w:val="24"/>
                <w:szCs w:val="24"/>
              </w:rPr>
              <w:t xml:space="preserve">6.panta trešajā daļā, kas uzdod Ministru kabinetam </w:t>
            </w:r>
            <w:r w:rsidR="00237B55" w:rsidRPr="00D33F22">
              <w:rPr>
                <w:rFonts w:ascii="Times New Roman" w:hAnsi="Times New Roman"/>
                <w:sz w:val="24"/>
                <w:szCs w:val="24"/>
              </w:rPr>
              <w:t>līdz 2017.</w:t>
            </w:r>
            <w:r w:rsidR="0012766F" w:rsidRPr="00D33F22">
              <w:rPr>
                <w:rFonts w:ascii="Times New Roman" w:hAnsi="Times New Roman"/>
                <w:sz w:val="24"/>
                <w:szCs w:val="24"/>
              </w:rPr>
              <w:t>gada</w:t>
            </w:r>
            <w:r w:rsidR="00237B55" w:rsidRPr="00D33F22">
              <w:rPr>
                <w:rFonts w:ascii="Times New Roman" w:hAnsi="Times New Roman"/>
                <w:sz w:val="24"/>
                <w:szCs w:val="24"/>
              </w:rPr>
              <w:t xml:space="preserve"> 31.</w:t>
            </w:r>
            <w:r w:rsidR="0012766F" w:rsidRPr="00D33F22">
              <w:rPr>
                <w:rFonts w:ascii="Times New Roman" w:hAnsi="Times New Roman"/>
                <w:sz w:val="24"/>
                <w:szCs w:val="24"/>
              </w:rPr>
              <w:t>jūlijam izdot noteikumus, kas nosaka institūciju sadarbības organizēšanu un kārtību, kādā īstenojama bērnu tiesību</w:t>
            </w:r>
            <w:r w:rsidR="003A56DB">
              <w:rPr>
                <w:rFonts w:ascii="Times New Roman" w:hAnsi="Times New Roman"/>
                <w:sz w:val="24"/>
                <w:szCs w:val="24"/>
              </w:rPr>
              <w:t xml:space="preserve"> </w:t>
            </w:r>
            <w:r w:rsidR="0012766F" w:rsidRPr="00D33F22">
              <w:rPr>
                <w:rFonts w:ascii="Times New Roman" w:hAnsi="Times New Roman"/>
                <w:sz w:val="24"/>
                <w:szCs w:val="24"/>
              </w:rPr>
              <w:t>aizsardz</w:t>
            </w:r>
            <w:r w:rsidR="00D41B94" w:rsidRPr="00D33F22">
              <w:rPr>
                <w:rFonts w:ascii="Times New Roman" w:hAnsi="Times New Roman"/>
                <w:sz w:val="24"/>
                <w:szCs w:val="24"/>
              </w:rPr>
              <w:t>ība .</w:t>
            </w:r>
          </w:p>
          <w:p w:rsidR="00047A1D" w:rsidRPr="00D33F22" w:rsidRDefault="00047A1D" w:rsidP="00D41B94">
            <w:pPr>
              <w:pStyle w:val="Sarakstarindkopa"/>
              <w:spacing w:after="0" w:line="240" w:lineRule="auto"/>
              <w:ind w:left="28" w:right="91"/>
              <w:jc w:val="both"/>
              <w:rPr>
                <w:rFonts w:ascii="Times New Roman" w:hAnsi="Times New Roman"/>
                <w:sz w:val="24"/>
                <w:szCs w:val="24"/>
              </w:rPr>
            </w:pPr>
          </w:p>
        </w:tc>
      </w:tr>
      <w:tr w:rsidR="008A5C5D" w:rsidRPr="00D33F22" w:rsidTr="003D06EA">
        <w:trPr>
          <w:trHeight w:val="472"/>
          <w:jc w:val="center"/>
        </w:trPr>
        <w:tc>
          <w:tcPr>
            <w:tcW w:w="550" w:type="dxa"/>
          </w:tcPr>
          <w:p w:rsidR="008A5C5D" w:rsidRPr="00D33F22" w:rsidRDefault="008A5C5D" w:rsidP="002A0B32">
            <w:pPr>
              <w:pStyle w:val="naiskr"/>
              <w:spacing w:before="0" w:after="0"/>
            </w:pPr>
            <w:r w:rsidRPr="00D33F22">
              <w:t>2.</w:t>
            </w:r>
          </w:p>
        </w:tc>
        <w:tc>
          <w:tcPr>
            <w:tcW w:w="2537" w:type="dxa"/>
          </w:tcPr>
          <w:p w:rsidR="008A5C5D" w:rsidRPr="00D33F22" w:rsidRDefault="008A5C5D" w:rsidP="002A0B32">
            <w:pPr>
              <w:pStyle w:val="naiskr"/>
              <w:tabs>
                <w:tab w:val="left" w:pos="170"/>
              </w:tabs>
              <w:spacing w:before="0" w:after="0"/>
            </w:pPr>
            <w:r w:rsidRPr="00D33F22">
              <w:t>Pašreizējā situācija un problēmas, kuru risināšanai tiesību akta projekts izstrādāts, tiesiskā regulējuma mērķis un būtība</w:t>
            </w:r>
          </w:p>
        </w:tc>
        <w:tc>
          <w:tcPr>
            <w:tcW w:w="6264" w:type="dxa"/>
          </w:tcPr>
          <w:p w:rsidR="00A11858" w:rsidRPr="00D33F22" w:rsidRDefault="007B58F6" w:rsidP="00E018D2">
            <w:pPr>
              <w:pStyle w:val="Sarakstarindkopa"/>
              <w:spacing w:after="0" w:line="240" w:lineRule="auto"/>
              <w:ind w:left="27" w:right="91"/>
              <w:jc w:val="both"/>
              <w:rPr>
                <w:rFonts w:ascii="Times New Roman" w:hAnsi="Times New Roman"/>
                <w:sz w:val="24"/>
                <w:szCs w:val="24"/>
              </w:rPr>
            </w:pPr>
            <w:r w:rsidRPr="00D33F22">
              <w:rPr>
                <w:rFonts w:ascii="Times New Roman" w:hAnsi="Times New Roman"/>
                <w:sz w:val="24"/>
                <w:szCs w:val="24"/>
              </w:rPr>
              <w:t xml:space="preserve">Normatīvais regulējums jau šobrīd paredz </w:t>
            </w:r>
            <w:r w:rsidR="00AF602A" w:rsidRPr="00D33F22">
              <w:rPr>
                <w:rFonts w:ascii="Times New Roman" w:hAnsi="Times New Roman"/>
                <w:sz w:val="24"/>
                <w:szCs w:val="24"/>
              </w:rPr>
              <w:t xml:space="preserve">tādu atbildīgo institūciju kā bāriņtiesu, pašvaldības sociālo dienestu, </w:t>
            </w:r>
            <w:r w:rsidR="00AF602A" w:rsidRPr="00D33F22">
              <w:rPr>
                <w:rFonts w:ascii="Times New Roman" w:eastAsia="Times New Roman" w:hAnsi="Times New Roman"/>
                <w:sz w:val="24"/>
                <w:szCs w:val="24"/>
                <w:lang w:eastAsia="ar-SA"/>
              </w:rPr>
              <w:t xml:space="preserve">pašvaldības policijas (vai Valsts policijas, ja pašvaldība nav izveidojusi pašvaldības policiju vai nav deleģējusi pašvaldības policijas uzdevumus citai pašvaldībai), izglītības iestāžu, bērnu aprūpes iestāžu, ārstniecības iestāžu un citu iesaistīto institūciju </w:t>
            </w:r>
            <w:r w:rsidR="00484B01" w:rsidRPr="00D33F22">
              <w:rPr>
                <w:rFonts w:ascii="Times New Roman" w:hAnsi="Times New Roman"/>
                <w:sz w:val="24"/>
                <w:szCs w:val="24"/>
              </w:rPr>
              <w:t xml:space="preserve">tiesības </w:t>
            </w:r>
            <w:r w:rsidR="00232A0E" w:rsidRPr="00D33F22">
              <w:rPr>
                <w:rFonts w:ascii="Times New Roman" w:hAnsi="Times New Roman"/>
                <w:sz w:val="24"/>
                <w:szCs w:val="24"/>
              </w:rPr>
              <w:t xml:space="preserve">un </w:t>
            </w:r>
            <w:r w:rsidR="00484B01" w:rsidRPr="00D33F22">
              <w:rPr>
                <w:rFonts w:ascii="Times New Roman" w:hAnsi="Times New Roman"/>
                <w:sz w:val="24"/>
                <w:szCs w:val="24"/>
              </w:rPr>
              <w:t xml:space="preserve">pat </w:t>
            </w:r>
            <w:r w:rsidR="00232A0E" w:rsidRPr="00D33F22">
              <w:rPr>
                <w:rFonts w:ascii="Times New Roman" w:hAnsi="Times New Roman"/>
                <w:sz w:val="24"/>
                <w:szCs w:val="24"/>
              </w:rPr>
              <w:t xml:space="preserve">pienākumu </w:t>
            </w:r>
            <w:r w:rsidRPr="00D33F22">
              <w:rPr>
                <w:rFonts w:ascii="Times New Roman" w:hAnsi="Times New Roman"/>
                <w:sz w:val="24"/>
                <w:szCs w:val="24"/>
              </w:rPr>
              <w:t>savstarpēji sadarboties</w:t>
            </w:r>
            <w:r w:rsidR="00970546" w:rsidRPr="00D33F22">
              <w:rPr>
                <w:rFonts w:ascii="Times New Roman" w:hAnsi="Times New Roman"/>
                <w:sz w:val="24"/>
                <w:szCs w:val="24"/>
              </w:rPr>
              <w:t>, īstenojot bērnu tiesību aizsardzību.</w:t>
            </w:r>
            <w:r w:rsidR="00E340B0" w:rsidRPr="00D33F22">
              <w:rPr>
                <w:rFonts w:ascii="Times New Roman" w:hAnsi="Times New Roman"/>
                <w:sz w:val="24"/>
                <w:szCs w:val="24"/>
              </w:rPr>
              <w:t xml:space="preserve"> Tas izriet gan no Bērnu tiesību aizsardzības likumā noteiktā, gan arī no attiecīgo institūciju darbību reglamentējošajiem normatīvajiem aktiem.</w:t>
            </w:r>
            <w:r w:rsidR="000A1BDD" w:rsidRPr="00D33F22">
              <w:rPr>
                <w:rFonts w:ascii="Times New Roman" w:hAnsi="Times New Roman"/>
                <w:sz w:val="24"/>
                <w:szCs w:val="24"/>
              </w:rPr>
              <w:t xml:space="preserve"> </w:t>
            </w:r>
          </w:p>
          <w:p w:rsidR="00A84F36" w:rsidRDefault="004654FB" w:rsidP="00A11858">
            <w:pPr>
              <w:pStyle w:val="Sarakstarindkopa"/>
              <w:spacing w:after="0" w:line="240" w:lineRule="auto"/>
              <w:ind w:left="27" w:right="91"/>
              <w:jc w:val="both"/>
              <w:rPr>
                <w:rFonts w:ascii="Times New Roman" w:hAnsi="Times New Roman"/>
                <w:sz w:val="24"/>
                <w:szCs w:val="24"/>
              </w:rPr>
            </w:pPr>
            <w:r w:rsidRPr="00D33F22">
              <w:rPr>
                <w:rFonts w:ascii="Times New Roman" w:hAnsi="Times New Roman"/>
                <w:sz w:val="24"/>
                <w:szCs w:val="24"/>
              </w:rPr>
              <w:t xml:space="preserve">Tomēr ne vienmēr šis sadarbības pienākums tiek izprasts un īstenots vienveidīgi un mērķēti, </w:t>
            </w:r>
            <w:r w:rsidR="00C51890" w:rsidRPr="00D33F22">
              <w:rPr>
                <w:rFonts w:ascii="Times New Roman" w:hAnsi="Times New Roman"/>
                <w:sz w:val="24"/>
                <w:szCs w:val="24"/>
              </w:rPr>
              <w:t xml:space="preserve">ne vienmēr visas iesaistītās institūcijas izprot to, ko dara citas institūcijas, kādas ir to nepieciešamības un vajadzības, lai tās pēc iespējas labāk, ar citu institūciju palīdzību, varētu izpildīt savā kompetencē esošos pienākumus </w:t>
            </w:r>
            <w:r w:rsidR="00727612" w:rsidRPr="00D33F22">
              <w:rPr>
                <w:rFonts w:ascii="Times New Roman" w:hAnsi="Times New Roman"/>
                <w:sz w:val="24"/>
                <w:szCs w:val="24"/>
              </w:rPr>
              <w:t>un uzdevumus bērnu tiesību aizsardzīb</w:t>
            </w:r>
            <w:r w:rsidR="00E018D2" w:rsidRPr="00D33F22">
              <w:rPr>
                <w:rFonts w:ascii="Times New Roman" w:hAnsi="Times New Roman"/>
                <w:sz w:val="24"/>
                <w:szCs w:val="24"/>
              </w:rPr>
              <w:t xml:space="preserve">ā. </w:t>
            </w:r>
          </w:p>
          <w:p w:rsidR="005B48C2" w:rsidRDefault="00E03E7A" w:rsidP="00A11858">
            <w:pPr>
              <w:pStyle w:val="Sarakstarindkopa"/>
              <w:spacing w:after="0" w:line="240" w:lineRule="auto"/>
              <w:ind w:left="27" w:right="91"/>
              <w:jc w:val="both"/>
              <w:rPr>
                <w:rFonts w:ascii="Times New Roman" w:hAnsi="Times New Roman"/>
                <w:color w:val="000000"/>
                <w:sz w:val="24"/>
                <w:szCs w:val="24"/>
              </w:rPr>
            </w:pPr>
            <w:r w:rsidRPr="00D33F22">
              <w:rPr>
                <w:rFonts w:ascii="Times New Roman" w:hAnsi="Times New Roman"/>
                <w:sz w:val="24"/>
                <w:szCs w:val="24"/>
              </w:rPr>
              <w:t>L</w:t>
            </w:r>
            <w:r w:rsidR="00E018D2" w:rsidRPr="00D33F22">
              <w:rPr>
                <w:rFonts w:ascii="Times New Roman" w:hAnsi="Times New Roman"/>
                <w:iCs/>
                <w:sz w:val="24"/>
                <w:szCs w:val="24"/>
              </w:rPr>
              <w:t>ai risinātu šo jautājumu</w:t>
            </w:r>
            <w:r w:rsidR="007A7C3E" w:rsidRPr="00D33F22">
              <w:rPr>
                <w:rFonts w:ascii="Times New Roman" w:hAnsi="Times New Roman"/>
                <w:iCs/>
                <w:sz w:val="24"/>
                <w:szCs w:val="24"/>
              </w:rPr>
              <w:t xml:space="preserve"> un </w:t>
            </w:r>
            <w:r w:rsidR="00E018D2" w:rsidRPr="00D33F22">
              <w:rPr>
                <w:rFonts w:ascii="Times New Roman" w:hAnsi="Times New Roman"/>
                <w:iCs/>
                <w:sz w:val="24"/>
                <w:szCs w:val="24"/>
              </w:rPr>
              <w:t>nodrošin</w:t>
            </w:r>
            <w:r w:rsidR="007A7C3E" w:rsidRPr="00D33F22">
              <w:rPr>
                <w:rFonts w:ascii="Times New Roman" w:hAnsi="Times New Roman"/>
                <w:iCs/>
                <w:sz w:val="24"/>
                <w:szCs w:val="24"/>
              </w:rPr>
              <w:t>ātu</w:t>
            </w:r>
            <w:r w:rsidR="00EA4193" w:rsidRPr="00D33F22">
              <w:rPr>
                <w:rFonts w:ascii="Times New Roman" w:hAnsi="Times New Roman"/>
                <w:iCs/>
                <w:sz w:val="24"/>
                <w:szCs w:val="24"/>
              </w:rPr>
              <w:t xml:space="preserve"> to, ka tiek ievērotas</w:t>
            </w:r>
            <w:r w:rsidR="00E018D2" w:rsidRPr="00D33F22">
              <w:rPr>
                <w:rFonts w:ascii="Times New Roman" w:hAnsi="Times New Roman"/>
                <w:iCs/>
                <w:sz w:val="24"/>
                <w:szCs w:val="24"/>
              </w:rPr>
              <w:t xml:space="preserve"> bērna labāk</w:t>
            </w:r>
            <w:r w:rsidR="00EA4193" w:rsidRPr="00D33F22">
              <w:rPr>
                <w:rFonts w:ascii="Times New Roman" w:hAnsi="Times New Roman"/>
                <w:iCs/>
                <w:sz w:val="24"/>
                <w:szCs w:val="24"/>
              </w:rPr>
              <w:t xml:space="preserve">ās intereses, ir jāizveido visu iesaistīto institūciju </w:t>
            </w:r>
            <w:r w:rsidR="00A84F36">
              <w:rPr>
                <w:rFonts w:ascii="Times New Roman" w:hAnsi="Times New Roman"/>
                <w:iCs/>
                <w:sz w:val="24"/>
                <w:szCs w:val="24"/>
              </w:rPr>
              <w:t xml:space="preserve">vienotas sadarbības </w:t>
            </w:r>
            <w:r w:rsidR="007A7C3E" w:rsidRPr="00D33F22">
              <w:rPr>
                <w:rFonts w:ascii="Times New Roman" w:hAnsi="Times New Roman"/>
                <w:iCs/>
                <w:sz w:val="24"/>
                <w:szCs w:val="24"/>
              </w:rPr>
              <w:t xml:space="preserve">mehānisms, jo īpaši šādu starpinstitucionālu sadarbību attīstot un stiprinot pašvaldību līmenī. </w:t>
            </w:r>
            <w:r w:rsidR="007C4605" w:rsidRPr="00D33F22">
              <w:rPr>
                <w:rFonts w:ascii="Times New Roman" w:hAnsi="Times New Roman"/>
                <w:sz w:val="24"/>
                <w:szCs w:val="24"/>
              </w:rPr>
              <w:t>Iesaistīto institūciju savstarpēja sadarbība, vienam otra pienākumu apzināšanās un vienota izpratne ir viens no galvenajiem priekšnoteikumiem,</w:t>
            </w:r>
            <w:r w:rsidR="007C4605" w:rsidRPr="00D33F22">
              <w:rPr>
                <w:rFonts w:ascii="Arial" w:hAnsi="Arial" w:cs="Arial"/>
                <w:color w:val="000000"/>
                <w:sz w:val="24"/>
                <w:szCs w:val="24"/>
              </w:rPr>
              <w:t xml:space="preserve"> </w:t>
            </w:r>
            <w:r w:rsidR="007C4605" w:rsidRPr="00D33F22">
              <w:rPr>
                <w:rFonts w:ascii="Times New Roman" w:hAnsi="Times New Roman"/>
                <w:color w:val="000000"/>
                <w:sz w:val="24"/>
                <w:szCs w:val="24"/>
              </w:rPr>
              <w:t>lai darbs ar bērnu un ģimeni tiktu uzsākts savlaicīgāk un maksimāli efektīvi, izmantojot iesaistīto institūciju rīcībā esošos resursus.</w:t>
            </w:r>
            <w:r w:rsidRPr="00D33F22">
              <w:rPr>
                <w:rFonts w:ascii="Times New Roman" w:hAnsi="Times New Roman"/>
                <w:color w:val="000000"/>
                <w:sz w:val="24"/>
                <w:szCs w:val="24"/>
              </w:rPr>
              <w:t xml:space="preserve"> </w:t>
            </w:r>
          </w:p>
          <w:p w:rsidR="00A84F36" w:rsidRPr="00D33F22" w:rsidRDefault="00A84F36" w:rsidP="00A11858">
            <w:pPr>
              <w:pStyle w:val="Sarakstarindkopa"/>
              <w:spacing w:after="0" w:line="240" w:lineRule="auto"/>
              <w:ind w:left="27" w:right="91"/>
              <w:jc w:val="both"/>
              <w:rPr>
                <w:rFonts w:ascii="Times New Roman" w:hAnsi="Times New Roman"/>
                <w:sz w:val="24"/>
                <w:szCs w:val="24"/>
              </w:rPr>
            </w:pPr>
          </w:p>
          <w:p w:rsidR="0035023D" w:rsidRPr="00D33F22" w:rsidRDefault="003D3A39" w:rsidP="00A84F36">
            <w:pPr>
              <w:pStyle w:val="Sarakstarindkopa"/>
              <w:spacing w:after="0" w:line="240" w:lineRule="auto"/>
              <w:ind w:left="27" w:right="91"/>
              <w:jc w:val="both"/>
              <w:rPr>
                <w:rFonts w:ascii="Times New Roman" w:hAnsi="Times New Roman"/>
                <w:iCs/>
                <w:sz w:val="24"/>
                <w:szCs w:val="24"/>
              </w:rPr>
            </w:pPr>
            <w:r w:rsidRPr="00D33F22">
              <w:rPr>
                <w:rFonts w:ascii="Times New Roman" w:hAnsi="Times New Roman"/>
                <w:color w:val="000000"/>
                <w:sz w:val="24"/>
                <w:szCs w:val="24"/>
              </w:rPr>
              <w:t>Ņemot vērā iepriekš minēto,</w:t>
            </w:r>
            <w:r w:rsidR="00833318" w:rsidRPr="00D33F22">
              <w:rPr>
                <w:rFonts w:ascii="Times New Roman" w:hAnsi="Times New Roman"/>
                <w:color w:val="000000"/>
                <w:sz w:val="24"/>
                <w:szCs w:val="24"/>
              </w:rPr>
              <w:t xml:space="preserve"> </w:t>
            </w:r>
            <w:r w:rsidR="00E03E7A" w:rsidRPr="00D33F22">
              <w:rPr>
                <w:rFonts w:ascii="Times New Roman" w:hAnsi="Times New Roman"/>
                <w:color w:val="000000"/>
                <w:sz w:val="24"/>
                <w:szCs w:val="24"/>
              </w:rPr>
              <w:t xml:space="preserve">ir izstrādāts </w:t>
            </w:r>
            <w:r w:rsidR="00E03E7A" w:rsidRPr="00D33F22">
              <w:rPr>
                <w:rFonts w:ascii="Times New Roman" w:hAnsi="Times New Roman"/>
                <w:iCs/>
                <w:sz w:val="24"/>
                <w:szCs w:val="24"/>
              </w:rPr>
              <w:t>Noteikumu projekts</w:t>
            </w:r>
            <w:r w:rsidR="00A84F36">
              <w:rPr>
                <w:rFonts w:ascii="Times New Roman" w:hAnsi="Times New Roman"/>
                <w:iCs/>
                <w:sz w:val="24"/>
                <w:szCs w:val="24"/>
              </w:rPr>
              <w:t xml:space="preserve">, ar kuru </w:t>
            </w:r>
            <w:r w:rsidR="00833318" w:rsidRPr="00D33F22">
              <w:rPr>
                <w:rFonts w:ascii="Times New Roman" w:hAnsi="Times New Roman"/>
                <w:iCs/>
                <w:sz w:val="24"/>
                <w:szCs w:val="24"/>
              </w:rPr>
              <w:t xml:space="preserve">ir paredzēts noteikt, ka </w:t>
            </w:r>
            <w:r w:rsidR="00833318" w:rsidRPr="00D33F22">
              <w:rPr>
                <w:rFonts w:ascii="Times New Roman" w:hAnsi="Times New Roman"/>
                <w:sz w:val="24"/>
                <w:szCs w:val="24"/>
              </w:rPr>
              <w:t>pašvaldību līmenī ir izveidojam</w:t>
            </w:r>
            <w:r w:rsidR="003A56DB">
              <w:rPr>
                <w:rFonts w:ascii="Times New Roman" w:hAnsi="Times New Roman"/>
                <w:sz w:val="24"/>
                <w:szCs w:val="24"/>
              </w:rPr>
              <w:t>a</w:t>
            </w:r>
            <w:r w:rsidR="00833318" w:rsidRPr="00D33F22">
              <w:rPr>
                <w:rFonts w:ascii="Times New Roman" w:hAnsi="Times New Roman"/>
                <w:sz w:val="24"/>
                <w:szCs w:val="24"/>
              </w:rPr>
              <w:t>s sadarbības grupas un organizēj</w:t>
            </w:r>
            <w:r w:rsidRPr="00D33F22">
              <w:rPr>
                <w:rFonts w:ascii="Times New Roman" w:hAnsi="Times New Roman"/>
                <w:sz w:val="24"/>
                <w:szCs w:val="24"/>
              </w:rPr>
              <w:t xml:space="preserve">amas </w:t>
            </w:r>
            <w:r w:rsidR="003A56DB">
              <w:rPr>
                <w:rFonts w:ascii="Times New Roman" w:hAnsi="Times New Roman"/>
                <w:sz w:val="24"/>
                <w:szCs w:val="24"/>
              </w:rPr>
              <w:t>grupu</w:t>
            </w:r>
            <w:r w:rsidRPr="00D33F22">
              <w:rPr>
                <w:rFonts w:ascii="Times New Roman" w:hAnsi="Times New Roman"/>
                <w:sz w:val="24"/>
                <w:szCs w:val="24"/>
              </w:rPr>
              <w:t xml:space="preserve"> sanāksmes, lai sekmētu </w:t>
            </w:r>
            <w:r w:rsidRPr="00D33F22">
              <w:rPr>
                <w:rFonts w:ascii="Times New Roman" w:hAnsi="Times New Roman"/>
                <w:iCs/>
                <w:sz w:val="24"/>
                <w:szCs w:val="24"/>
              </w:rPr>
              <w:t xml:space="preserve">efektīvu </w:t>
            </w:r>
            <w:r w:rsidR="00E949C8" w:rsidRPr="00D33F22">
              <w:rPr>
                <w:rFonts w:ascii="Times New Roman" w:hAnsi="Times New Roman"/>
                <w:iCs/>
                <w:sz w:val="24"/>
                <w:szCs w:val="24"/>
              </w:rPr>
              <w:t xml:space="preserve">institūciju </w:t>
            </w:r>
            <w:r w:rsidRPr="00D33F22">
              <w:rPr>
                <w:rFonts w:ascii="Times New Roman" w:hAnsi="Times New Roman"/>
                <w:iCs/>
                <w:sz w:val="24"/>
                <w:szCs w:val="24"/>
              </w:rPr>
              <w:t>sadarbību</w:t>
            </w:r>
            <w:r w:rsidR="0035023D" w:rsidRPr="00D33F22">
              <w:rPr>
                <w:rFonts w:ascii="Times New Roman" w:hAnsi="Times New Roman"/>
                <w:iCs/>
                <w:sz w:val="24"/>
                <w:szCs w:val="24"/>
              </w:rPr>
              <w:t xml:space="preserve"> un </w:t>
            </w:r>
            <w:r w:rsidR="0035023D" w:rsidRPr="00D33F22">
              <w:rPr>
                <w:rFonts w:ascii="Times New Roman" w:eastAsiaTheme="minorHAnsi" w:hAnsi="Times New Roman"/>
                <w:sz w:val="24"/>
                <w:szCs w:val="24"/>
              </w:rPr>
              <w:t xml:space="preserve">veidotu mērķētāku katras institūcijas rīcību, </w:t>
            </w:r>
            <w:r w:rsidR="00E949C8" w:rsidRPr="00D33F22">
              <w:rPr>
                <w:rFonts w:ascii="Times New Roman" w:eastAsiaTheme="minorHAnsi" w:hAnsi="Times New Roman"/>
                <w:sz w:val="24"/>
                <w:szCs w:val="24"/>
              </w:rPr>
              <w:t xml:space="preserve">tādējādi </w:t>
            </w:r>
            <w:r w:rsidR="0035023D" w:rsidRPr="00D33F22">
              <w:rPr>
                <w:rFonts w:ascii="Times New Roman" w:hAnsi="Times New Roman"/>
                <w:sz w:val="24"/>
                <w:szCs w:val="24"/>
              </w:rPr>
              <w:t>nodrošinot bērna tiesību un interešu vislabāko aizsardzību.</w:t>
            </w:r>
          </w:p>
          <w:p w:rsidR="00510C3A" w:rsidRPr="00510C3A" w:rsidRDefault="00510C3A" w:rsidP="00A84F36">
            <w:pPr>
              <w:ind w:left="27" w:right="142"/>
              <w:jc w:val="both"/>
              <w:rPr>
                <w:rFonts w:eastAsia="MS Mincho"/>
                <w:iCs/>
                <w:lang w:eastAsia="ja-JP"/>
              </w:rPr>
            </w:pPr>
            <w:r w:rsidRPr="00510C3A">
              <w:rPr>
                <w:rFonts w:eastAsia="MS Mincho"/>
                <w:lang w:eastAsia="ja-JP"/>
              </w:rPr>
              <w:t>S</w:t>
            </w:r>
            <w:r w:rsidRPr="00510C3A">
              <w:rPr>
                <w:lang w:eastAsia="ar-SA"/>
              </w:rPr>
              <w:t xml:space="preserve">adarbības grupa izskata individuālus gadījumus saistībā ar iespējamiem bērna tiesību pārkāpumiem, ja ir nepieciešama vairāku institūciju sadarbība un ir: </w:t>
            </w:r>
          </w:p>
          <w:p w:rsidR="00510C3A" w:rsidRPr="00510C3A" w:rsidRDefault="005B48C2" w:rsidP="00A84F36">
            <w:pPr>
              <w:numPr>
                <w:ilvl w:val="0"/>
                <w:numId w:val="2"/>
              </w:numPr>
              <w:suppressAutoHyphens/>
              <w:autoSpaceDN w:val="0"/>
              <w:ind w:left="27" w:right="142"/>
              <w:jc w:val="both"/>
              <w:textAlignment w:val="baseline"/>
              <w:rPr>
                <w:lang w:eastAsia="ar-SA"/>
              </w:rPr>
            </w:pPr>
            <w:r w:rsidRPr="00D33F22">
              <w:rPr>
                <w:lang w:eastAsia="ar-SA"/>
              </w:rPr>
              <w:t xml:space="preserve">- </w:t>
            </w:r>
            <w:r w:rsidR="00510C3A" w:rsidRPr="00510C3A">
              <w:rPr>
                <w:lang w:eastAsia="ar-SA"/>
              </w:rPr>
              <w:t>kritisks gadījums, kurā iesaistīts bērns, tai skaitā situācija, kurā nepieciešama ātra rīcība;</w:t>
            </w:r>
          </w:p>
          <w:p w:rsidR="00510C3A" w:rsidRPr="00510C3A" w:rsidRDefault="005B48C2" w:rsidP="00510C3A">
            <w:pPr>
              <w:numPr>
                <w:ilvl w:val="0"/>
                <w:numId w:val="2"/>
              </w:numPr>
              <w:suppressAutoHyphens/>
              <w:autoSpaceDN w:val="0"/>
              <w:ind w:left="169" w:right="142"/>
              <w:jc w:val="both"/>
              <w:textAlignment w:val="baseline"/>
              <w:rPr>
                <w:rFonts w:ascii="Calibri" w:eastAsia="Calibri" w:hAnsi="Calibri"/>
                <w:lang w:eastAsia="en-US"/>
              </w:rPr>
            </w:pPr>
            <w:r w:rsidRPr="00D33F22">
              <w:rPr>
                <w:lang w:eastAsia="ar-SA"/>
              </w:rPr>
              <w:lastRenderedPageBreak/>
              <w:t xml:space="preserve">- </w:t>
            </w:r>
            <w:r w:rsidR="00510C3A" w:rsidRPr="00510C3A">
              <w:rPr>
                <w:lang w:eastAsia="ar-SA"/>
              </w:rPr>
              <w:t>sarežģīts gadījums, kuru nav iespējams atrisināt vienas institūcijas ietvaros vai kuru nav izdevies atrisināt ilgstošā laika posmā;</w:t>
            </w:r>
          </w:p>
          <w:p w:rsidR="003A56DB" w:rsidRPr="00673918" w:rsidRDefault="005B48C2" w:rsidP="00510C3A">
            <w:pPr>
              <w:numPr>
                <w:ilvl w:val="0"/>
                <w:numId w:val="2"/>
              </w:numPr>
              <w:suppressAutoHyphens/>
              <w:autoSpaceDN w:val="0"/>
              <w:ind w:left="169" w:right="142"/>
              <w:jc w:val="both"/>
              <w:textAlignment w:val="baseline"/>
              <w:rPr>
                <w:rFonts w:ascii="Calibri" w:eastAsia="Calibri" w:hAnsi="Calibri"/>
                <w:lang w:eastAsia="en-US"/>
              </w:rPr>
            </w:pPr>
            <w:r w:rsidRPr="00D33F22">
              <w:rPr>
                <w:lang w:eastAsia="ar-SA"/>
              </w:rPr>
              <w:t xml:space="preserve">- </w:t>
            </w:r>
            <w:r w:rsidR="00510C3A" w:rsidRPr="00510C3A">
              <w:rPr>
                <w:lang w:eastAsia="ar-SA"/>
              </w:rPr>
              <w:t>nelaimes gadījums, kurā iesaistīts bērns, tai skaitā iestājusies bērna nāve</w:t>
            </w:r>
            <w:r w:rsidR="003A56DB">
              <w:rPr>
                <w:lang w:eastAsia="ar-SA"/>
              </w:rPr>
              <w:t>;</w:t>
            </w:r>
          </w:p>
          <w:p w:rsidR="00510C3A" w:rsidRPr="00510C3A" w:rsidRDefault="003A56DB" w:rsidP="00510C3A">
            <w:pPr>
              <w:numPr>
                <w:ilvl w:val="0"/>
                <w:numId w:val="2"/>
              </w:numPr>
              <w:suppressAutoHyphens/>
              <w:autoSpaceDN w:val="0"/>
              <w:ind w:left="169" w:right="142"/>
              <w:jc w:val="both"/>
              <w:textAlignment w:val="baseline"/>
              <w:rPr>
                <w:rFonts w:ascii="Calibri" w:eastAsia="Calibri" w:hAnsi="Calibri"/>
                <w:lang w:eastAsia="en-US"/>
              </w:rPr>
            </w:pPr>
            <w:r>
              <w:rPr>
                <w:lang w:eastAsia="ar-SA"/>
              </w:rPr>
              <w:t>-</w:t>
            </w:r>
            <w:r w:rsidR="00510C3A" w:rsidRPr="00510C3A">
              <w:rPr>
                <w:lang w:eastAsia="ar-SA"/>
              </w:rPr>
              <w:t xml:space="preserve"> </w:t>
            </w:r>
            <w:r>
              <w:rPr>
                <w:lang w:eastAsia="ar-SA"/>
              </w:rPr>
              <w:t xml:space="preserve">iestājušās </w:t>
            </w:r>
            <w:r w:rsidR="00510C3A" w:rsidRPr="00510C3A">
              <w:rPr>
                <w:lang w:eastAsia="ar-SA"/>
              </w:rPr>
              <w:t>smagas vai neatgriezeniskas sekas bērna attīstībai prettiesiskas darbības rezultātā;</w:t>
            </w:r>
          </w:p>
          <w:p w:rsidR="00510C3A" w:rsidRPr="00510C3A" w:rsidRDefault="005B48C2" w:rsidP="00510C3A">
            <w:pPr>
              <w:numPr>
                <w:ilvl w:val="0"/>
                <w:numId w:val="2"/>
              </w:numPr>
              <w:suppressAutoHyphens/>
              <w:autoSpaceDN w:val="0"/>
              <w:ind w:left="169" w:right="142"/>
              <w:jc w:val="both"/>
              <w:textAlignment w:val="baseline"/>
              <w:rPr>
                <w:rFonts w:ascii="Calibri" w:eastAsia="Calibri" w:hAnsi="Calibri"/>
                <w:lang w:eastAsia="en-US"/>
              </w:rPr>
            </w:pPr>
            <w:r w:rsidRPr="00D33F22">
              <w:rPr>
                <w:lang w:eastAsia="ar-SA"/>
              </w:rPr>
              <w:t xml:space="preserve">- </w:t>
            </w:r>
            <w:r w:rsidR="00510C3A" w:rsidRPr="00510C3A">
              <w:rPr>
                <w:lang w:eastAsia="ar-SA"/>
              </w:rPr>
              <w:t xml:space="preserve">cits </w:t>
            </w:r>
            <w:r w:rsidR="00A11858" w:rsidRPr="00D33F22">
              <w:rPr>
                <w:lang w:eastAsia="ar-SA"/>
              </w:rPr>
              <w:t>būtisks bērna tiesību pārkāpums.</w:t>
            </w:r>
          </w:p>
          <w:p w:rsidR="00510C3A" w:rsidRPr="00510C3A" w:rsidRDefault="00A11858" w:rsidP="00FB70C2">
            <w:pPr>
              <w:suppressAutoHyphens/>
              <w:autoSpaceDN w:val="0"/>
              <w:ind w:left="27" w:right="142"/>
              <w:jc w:val="both"/>
              <w:textAlignment w:val="baseline"/>
              <w:rPr>
                <w:rFonts w:ascii="Calibri" w:eastAsia="Calibri" w:hAnsi="Calibri"/>
                <w:lang w:eastAsia="en-US"/>
              </w:rPr>
            </w:pPr>
            <w:r w:rsidRPr="00D33F22">
              <w:rPr>
                <w:lang w:eastAsia="ar-SA"/>
              </w:rPr>
              <w:t>Atbilstoši Noteikumu projektā paredzētajam v</w:t>
            </w:r>
            <w:r w:rsidR="00510C3A" w:rsidRPr="00510C3A">
              <w:rPr>
                <w:lang w:eastAsia="ar-SA"/>
              </w:rPr>
              <w:t>ienā novadā vai republikas pilsētā var izveidot vairākas sadarbības grupas</w:t>
            </w:r>
            <w:r w:rsidR="003A56DB">
              <w:rPr>
                <w:lang w:eastAsia="ar-SA"/>
              </w:rPr>
              <w:t>. Tāpat</w:t>
            </w:r>
            <w:r w:rsidR="00510C3A" w:rsidRPr="00510C3A">
              <w:rPr>
                <w:lang w:eastAsia="ar-SA"/>
              </w:rPr>
              <w:t xml:space="preserve"> vairākas </w:t>
            </w:r>
            <w:r w:rsidR="003A56DB">
              <w:rPr>
                <w:lang w:eastAsia="ar-SA"/>
              </w:rPr>
              <w:t xml:space="preserve">mazākas </w:t>
            </w:r>
            <w:r w:rsidR="00510C3A" w:rsidRPr="00510C3A">
              <w:rPr>
                <w:lang w:eastAsia="ar-SA"/>
              </w:rPr>
              <w:t>pašvaldības</w:t>
            </w:r>
            <w:r w:rsidR="003A56DB">
              <w:rPr>
                <w:lang w:eastAsia="ar-SA"/>
              </w:rPr>
              <w:t>, kurās nav nepieciešams izveidot savu sadarbības grupu,</w:t>
            </w:r>
            <w:r w:rsidR="00510C3A" w:rsidRPr="00510C3A">
              <w:rPr>
                <w:lang w:eastAsia="ar-SA"/>
              </w:rPr>
              <w:t xml:space="preserve"> var izveidot vienu kopīgu sadarbības grupu. Šādos gadījumos nosakāma katras sadarbības grupas darbības teritorija.</w:t>
            </w:r>
          </w:p>
          <w:p w:rsidR="003D06EA" w:rsidRPr="003D06EA" w:rsidRDefault="00510C3A" w:rsidP="00C20CBE">
            <w:pPr>
              <w:pStyle w:val="ListParagraph"/>
              <w:numPr>
                <w:ilvl w:val="0"/>
                <w:numId w:val="3"/>
              </w:numPr>
              <w:suppressAutoHyphens/>
              <w:spacing w:after="0" w:line="240" w:lineRule="auto"/>
              <w:ind w:left="27" w:right="139"/>
              <w:jc w:val="both"/>
              <w:rPr>
                <w:rFonts w:ascii="Times New Roman" w:hAnsi="Times New Roman"/>
                <w:sz w:val="24"/>
                <w:szCs w:val="24"/>
              </w:rPr>
            </w:pPr>
            <w:r w:rsidRPr="00510C3A">
              <w:rPr>
                <w:rFonts w:ascii="Times New Roman" w:hAnsi="Times New Roman"/>
                <w:sz w:val="24"/>
                <w:szCs w:val="24"/>
                <w:lang w:eastAsia="ar-SA"/>
              </w:rPr>
              <w:t>Sadarbības grupas sastāvā iekļauj pārstāvjus no pašvaldības policijas vai Valsts policijas, ja pašvaldība nav izveidojusi pašvaldības policiju vai nav deleģējusi pašvaldības policijas uzdevumus citai pašvaldībai;</w:t>
            </w:r>
            <w:r w:rsidRPr="00510C3A">
              <w:rPr>
                <w:rFonts w:ascii="Times New Roman" w:hAnsi="Times New Roman"/>
                <w:sz w:val="24"/>
                <w:szCs w:val="24"/>
              </w:rPr>
              <w:t xml:space="preserve"> </w:t>
            </w:r>
            <w:r w:rsidRPr="00510C3A">
              <w:rPr>
                <w:rFonts w:ascii="Times New Roman" w:hAnsi="Times New Roman"/>
                <w:sz w:val="24"/>
                <w:szCs w:val="24"/>
                <w:lang w:eastAsia="ar-SA"/>
              </w:rPr>
              <w:t>pašvaldības sociālā dienesta;</w:t>
            </w:r>
            <w:r w:rsidRPr="00510C3A">
              <w:rPr>
                <w:rFonts w:ascii="Times New Roman" w:hAnsi="Times New Roman"/>
                <w:sz w:val="24"/>
                <w:szCs w:val="24"/>
              </w:rPr>
              <w:t xml:space="preserve"> </w:t>
            </w:r>
            <w:r w:rsidRPr="00510C3A">
              <w:rPr>
                <w:rFonts w:ascii="Times New Roman" w:hAnsi="Times New Roman"/>
                <w:sz w:val="24"/>
                <w:szCs w:val="24"/>
                <w:lang w:eastAsia="ar-SA"/>
              </w:rPr>
              <w:t>pašvaldības Izglītības pārvaldes</w:t>
            </w:r>
            <w:r w:rsidR="003A56DB">
              <w:rPr>
                <w:rFonts w:ascii="Times New Roman" w:hAnsi="Times New Roman"/>
                <w:sz w:val="24"/>
                <w:szCs w:val="24"/>
                <w:lang w:eastAsia="ar-SA"/>
              </w:rPr>
              <w:t>, bet ja šādas pārvaldes nav, tad</w:t>
            </w:r>
            <w:proofErr w:type="gramStart"/>
            <w:r w:rsidR="003A56DB">
              <w:rPr>
                <w:rFonts w:ascii="Times New Roman" w:hAnsi="Times New Roman"/>
                <w:sz w:val="24"/>
                <w:szCs w:val="24"/>
                <w:lang w:eastAsia="ar-SA"/>
              </w:rPr>
              <w:t xml:space="preserve"> </w:t>
            </w:r>
            <w:r w:rsidRPr="00510C3A">
              <w:rPr>
                <w:rFonts w:ascii="Times New Roman" w:hAnsi="Times New Roman"/>
                <w:sz w:val="24"/>
                <w:szCs w:val="24"/>
                <w:lang w:eastAsia="ar-SA"/>
              </w:rPr>
              <w:t xml:space="preserve"> </w:t>
            </w:r>
            <w:proofErr w:type="gramEnd"/>
            <w:r w:rsidRPr="00510C3A">
              <w:rPr>
                <w:rFonts w:ascii="Times New Roman" w:hAnsi="Times New Roman"/>
                <w:sz w:val="24"/>
                <w:szCs w:val="24"/>
                <w:lang w:eastAsia="ar-SA"/>
              </w:rPr>
              <w:t>izglītības speciālistu;</w:t>
            </w:r>
            <w:r w:rsidRPr="00510C3A">
              <w:rPr>
                <w:rFonts w:ascii="Times New Roman" w:hAnsi="Times New Roman"/>
                <w:sz w:val="24"/>
                <w:szCs w:val="24"/>
              </w:rPr>
              <w:t xml:space="preserve"> </w:t>
            </w:r>
            <w:r w:rsidR="003A56DB">
              <w:rPr>
                <w:rFonts w:ascii="Times New Roman" w:hAnsi="Times New Roman"/>
                <w:sz w:val="24"/>
                <w:szCs w:val="24"/>
              </w:rPr>
              <w:t xml:space="preserve">pārstāvjus no </w:t>
            </w:r>
            <w:r w:rsidRPr="00510C3A">
              <w:rPr>
                <w:rFonts w:ascii="Times New Roman" w:hAnsi="Times New Roman"/>
                <w:sz w:val="24"/>
                <w:szCs w:val="24"/>
                <w:lang w:eastAsia="ar-SA"/>
              </w:rPr>
              <w:t>bāriņtiesas.</w:t>
            </w:r>
            <w:r w:rsidR="003D06EA" w:rsidRPr="003D06EA">
              <w:rPr>
                <w:rFonts w:ascii="Times New Roman" w:hAnsi="Times New Roman"/>
                <w:sz w:val="24"/>
                <w:szCs w:val="24"/>
              </w:rPr>
              <w:t xml:space="preserve"> </w:t>
            </w:r>
            <w:r w:rsidRPr="00510C3A">
              <w:rPr>
                <w:rFonts w:ascii="Times New Roman" w:hAnsi="Times New Roman"/>
                <w:sz w:val="24"/>
                <w:szCs w:val="24"/>
                <w:lang w:eastAsia="ar-SA"/>
              </w:rPr>
              <w:t xml:space="preserve">Vienlaikus pēc pašvaldības iniciatīvas sadarbības grupas sastāvu var papildināt ar pārstāvjiem no izglītības iestādēm; bērnu aprūpes iestādēm; nevalstiskajām organizācijām u.c. </w:t>
            </w:r>
            <w:r w:rsidR="003D06EA" w:rsidRPr="003D06EA">
              <w:rPr>
                <w:rFonts w:ascii="Times New Roman" w:hAnsi="Times New Roman"/>
                <w:sz w:val="24"/>
                <w:szCs w:val="24"/>
                <w:lang w:eastAsia="ar-SA"/>
              </w:rPr>
              <w:t xml:space="preserve">Tāpat </w:t>
            </w:r>
            <w:r w:rsidR="003D06EA">
              <w:rPr>
                <w:rFonts w:ascii="Times New Roman" w:eastAsia="Times New Roman" w:hAnsi="Times New Roman"/>
                <w:color w:val="000000"/>
                <w:sz w:val="24"/>
                <w:szCs w:val="24"/>
                <w:lang w:eastAsia="ar-SA"/>
              </w:rPr>
              <w:t>i</w:t>
            </w:r>
            <w:r w:rsidR="003D06EA" w:rsidRPr="003D06EA">
              <w:rPr>
                <w:rFonts w:ascii="Times New Roman" w:eastAsia="Times New Roman" w:hAnsi="Times New Roman"/>
                <w:color w:val="000000"/>
                <w:sz w:val="24"/>
                <w:szCs w:val="24"/>
                <w:lang w:eastAsia="ar-SA"/>
              </w:rPr>
              <w:t xml:space="preserve">ndividuālu gadījumu izskatīšanai sadarbības grupa var pieaicināt citus speciālistus vai pieprasīt tiem sniegt nepieciešamo informāciju, kas varētu būt </w:t>
            </w:r>
            <w:r w:rsidR="003D06EA">
              <w:rPr>
                <w:rFonts w:ascii="Times New Roman" w:eastAsia="Times New Roman" w:hAnsi="Times New Roman"/>
                <w:color w:val="000000"/>
                <w:sz w:val="24"/>
                <w:szCs w:val="24"/>
                <w:lang w:eastAsia="ar-SA"/>
              </w:rPr>
              <w:t>būtiska sadarbības grupas darbā (piemēram, no ģimenes ārsta).</w:t>
            </w:r>
          </w:p>
          <w:p w:rsidR="00510C3A" w:rsidRPr="00D33F22" w:rsidRDefault="00510C3A" w:rsidP="00BC1614">
            <w:pPr>
              <w:pStyle w:val="Sarakstarindkopa"/>
              <w:spacing w:after="0" w:line="240" w:lineRule="auto"/>
              <w:ind w:left="27" w:right="142"/>
              <w:jc w:val="both"/>
              <w:rPr>
                <w:rFonts w:ascii="Times New Roman" w:hAnsi="Times New Roman"/>
                <w:color w:val="000000"/>
                <w:sz w:val="24"/>
                <w:szCs w:val="24"/>
              </w:rPr>
            </w:pPr>
            <w:r w:rsidRPr="00D33F22">
              <w:rPr>
                <w:rFonts w:ascii="Times New Roman" w:eastAsia="MS Mincho" w:hAnsi="Times New Roman"/>
                <w:iCs/>
                <w:sz w:val="24"/>
                <w:szCs w:val="24"/>
                <w:lang w:eastAsia="ja-JP"/>
              </w:rPr>
              <w:t xml:space="preserve">Noteikumu projektā paredzēts, ka sadarbības grupa </w:t>
            </w:r>
            <w:r w:rsidRPr="00D33F22">
              <w:rPr>
                <w:rFonts w:ascii="Times New Roman" w:eastAsia="Times New Roman" w:hAnsi="Times New Roman"/>
                <w:sz w:val="24"/>
                <w:szCs w:val="24"/>
                <w:lang w:eastAsia="ar-SA"/>
              </w:rPr>
              <w:t xml:space="preserve">analizē situāciju bērnu tiesību aizsardzības jomā un sniedz priekšlikumus pašvaldībai </w:t>
            </w:r>
            <w:r w:rsidRPr="00D33F22">
              <w:rPr>
                <w:rFonts w:ascii="Times New Roman" w:eastAsia="MS Mincho" w:hAnsi="Times New Roman"/>
                <w:sz w:val="24"/>
                <w:szCs w:val="24"/>
                <w:lang w:eastAsia="ja-JP"/>
              </w:rPr>
              <w:t xml:space="preserve">novada vai republikas pilsētas </w:t>
            </w:r>
            <w:r w:rsidRPr="00D33F22">
              <w:rPr>
                <w:rFonts w:ascii="Times New Roman" w:eastAsia="Times New Roman" w:hAnsi="Times New Roman"/>
                <w:sz w:val="24"/>
                <w:szCs w:val="24"/>
                <w:lang w:eastAsia="ar-SA"/>
              </w:rPr>
              <w:t xml:space="preserve">bērnu tiesību aizsardzības programmas izstrādei; </w:t>
            </w:r>
            <w:r w:rsidRPr="00D33F22">
              <w:rPr>
                <w:rFonts w:ascii="Times New Roman" w:eastAsia="MS Mincho" w:hAnsi="Times New Roman"/>
                <w:sz w:val="24"/>
                <w:szCs w:val="24"/>
                <w:lang w:eastAsia="ja-JP"/>
              </w:rPr>
              <w:t xml:space="preserve">sniedz </w:t>
            </w:r>
            <w:r w:rsidR="005E1468">
              <w:rPr>
                <w:rFonts w:ascii="Times New Roman" w:eastAsia="MS Mincho" w:hAnsi="Times New Roman"/>
                <w:sz w:val="24"/>
                <w:szCs w:val="24"/>
                <w:lang w:eastAsia="ja-JP"/>
              </w:rPr>
              <w:t xml:space="preserve">Labklājības ministrijai </w:t>
            </w:r>
            <w:r w:rsidRPr="00D33F22">
              <w:rPr>
                <w:rFonts w:ascii="Times New Roman" w:eastAsia="MS Mincho" w:hAnsi="Times New Roman"/>
                <w:sz w:val="24"/>
                <w:szCs w:val="24"/>
                <w:lang w:eastAsia="ja-JP"/>
              </w:rPr>
              <w:t xml:space="preserve">priekšlikumus </w:t>
            </w:r>
            <w:r w:rsidRPr="00D33F22">
              <w:rPr>
                <w:rFonts w:ascii="Times New Roman" w:eastAsia="MS Mincho" w:hAnsi="Times New Roman"/>
                <w:color w:val="000000"/>
                <w:sz w:val="24"/>
                <w:szCs w:val="24"/>
                <w:shd w:val="clear" w:color="auto" w:fill="FFFFFF"/>
                <w:lang w:eastAsia="ja-JP"/>
              </w:rPr>
              <w:t>normatīvo aktu pilnveidošanai bērnu tiesību aizsardzības jomā</w:t>
            </w:r>
            <w:r w:rsidR="00B36794">
              <w:rPr>
                <w:rFonts w:ascii="Times New Roman" w:eastAsia="MS Mincho" w:hAnsi="Times New Roman"/>
                <w:color w:val="000000"/>
                <w:sz w:val="24"/>
                <w:szCs w:val="24"/>
                <w:shd w:val="clear" w:color="auto" w:fill="FFFFFF"/>
                <w:lang w:eastAsia="ja-JP"/>
              </w:rPr>
              <w:t xml:space="preserve"> </w:t>
            </w:r>
            <w:r w:rsidR="00B36794" w:rsidRPr="004E0222">
              <w:rPr>
                <w:rFonts w:ascii="Times New Roman" w:eastAsia="MS Mincho" w:hAnsi="Times New Roman"/>
                <w:color w:val="000000"/>
                <w:sz w:val="24"/>
                <w:szCs w:val="24"/>
                <w:shd w:val="clear" w:color="auto" w:fill="FFFFFF"/>
                <w:lang w:eastAsia="ja-JP"/>
              </w:rPr>
              <w:t>(</w:t>
            </w:r>
            <w:r w:rsidR="0004340A" w:rsidRPr="004E0222">
              <w:rPr>
                <w:rFonts w:ascii="Times New Roman" w:eastAsia="MS Mincho" w:hAnsi="Times New Roman"/>
                <w:color w:val="000000"/>
                <w:sz w:val="24"/>
                <w:szCs w:val="24"/>
                <w:shd w:val="clear" w:color="auto" w:fill="FFFFFF"/>
                <w:lang w:eastAsia="ja-JP"/>
              </w:rPr>
              <w:t xml:space="preserve">savukārt Labklājības ministrija pēc šo priekšlikumu izvērtēšanas iesniedz tos </w:t>
            </w:r>
            <w:r w:rsidR="00775121" w:rsidRPr="004E0222">
              <w:rPr>
                <w:rFonts w:ascii="Times New Roman" w:eastAsia="MS Mincho" w:hAnsi="Times New Roman"/>
                <w:color w:val="000000"/>
                <w:sz w:val="24"/>
                <w:szCs w:val="24"/>
                <w:shd w:val="clear" w:color="auto" w:fill="FFFFFF"/>
                <w:lang w:eastAsia="ja-JP"/>
              </w:rPr>
              <w:t>Bērnu tiesību aizsardzības komisijai</w:t>
            </w:r>
            <w:r w:rsidR="00B36794" w:rsidRPr="004E0222">
              <w:rPr>
                <w:rFonts w:ascii="Times New Roman" w:eastAsia="MS Mincho" w:hAnsi="Times New Roman"/>
                <w:color w:val="000000"/>
                <w:sz w:val="24"/>
                <w:szCs w:val="24"/>
                <w:shd w:val="clear" w:color="auto" w:fill="FFFFFF"/>
                <w:lang w:eastAsia="ja-JP"/>
              </w:rPr>
              <w:t>)</w:t>
            </w:r>
            <w:r w:rsidRPr="004E0222">
              <w:rPr>
                <w:rFonts w:ascii="Times New Roman" w:eastAsia="MS Mincho" w:hAnsi="Times New Roman"/>
                <w:color w:val="000000"/>
                <w:sz w:val="24"/>
                <w:szCs w:val="24"/>
                <w:shd w:val="clear" w:color="auto" w:fill="FFFFFF"/>
                <w:lang w:eastAsia="ja-JP"/>
              </w:rPr>
              <w:t>;</w:t>
            </w:r>
            <w:bookmarkStart w:id="1" w:name="_GoBack"/>
            <w:bookmarkEnd w:id="1"/>
            <w:r w:rsidRPr="00D33F22">
              <w:rPr>
                <w:rFonts w:ascii="Times New Roman" w:eastAsia="MS Mincho" w:hAnsi="Times New Roman"/>
                <w:color w:val="000000"/>
                <w:sz w:val="24"/>
                <w:szCs w:val="24"/>
                <w:shd w:val="clear" w:color="auto" w:fill="FFFFFF"/>
                <w:lang w:eastAsia="ja-JP"/>
              </w:rPr>
              <w:t xml:space="preserve"> </w:t>
            </w:r>
            <w:r w:rsidRPr="00D33F22">
              <w:rPr>
                <w:rFonts w:ascii="Times New Roman" w:eastAsia="Times New Roman" w:hAnsi="Times New Roman"/>
                <w:sz w:val="24"/>
                <w:szCs w:val="24"/>
                <w:lang w:eastAsia="ar-SA"/>
              </w:rPr>
              <w:t>informē sabiedrību par aktuāliem bērnu tiesību aizsardzības jautājumiem; veicina valsts un pašvaldību institūciju, nevalstisko organizāciju un citu bērnu tiesību aizsardzības subjektu savstarpējo sadarbību.</w:t>
            </w:r>
          </w:p>
          <w:p w:rsidR="00510C3A" w:rsidRPr="00D33F22" w:rsidRDefault="00510C3A" w:rsidP="00BC1614">
            <w:pPr>
              <w:pStyle w:val="Sarakstarindkopa"/>
              <w:spacing w:after="0" w:line="240" w:lineRule="auto"/>
              <w:ind w:left="27" w:right="232"/>
              <w:jc w:val="both"/>
              <w:rPr>
                <w:rFonts w:ascii="Times New Roman" w:hAnsi="Times New Roman"/>
                <w:color w:val="000000"/>
                <w:sz w:val="24"/>
                <w:szCs w:val="24"/>
              </w:rPr>
            </w:pPr>
          </w:p>
          <w:p w:rsidR="00F633B4" w:rsidRPr="00B35D74" w:rsidRDefault="00833318" w:rsidP="009D673B">
            <w:pPr>
              <w:pStyle w:val="naiskr"/>
              <w:tabs>
                <w:tab w:val="left" w:pos="877"/>
              </w:tabs>
              <w:ind w:left="27" w:right="142"/>
              <w:jc w:val="both"/>
            </w:pPr>
            <w:r w:rsidRPr="00D33F22">
              <w:rPr>
                <w:iCs/>
              </w:rPr>
              <w:t xml:space="preserve">Pēc būtības ar </w:t>
            </w:r>
            <w:r w:rsidR="003A56DB">
              <w:rPr>
                <w:iCs/>
              </w:rPr>
              <w:t>N</w:t>
            </w:r>
            <w:r w:rsidRPr="00D33F22">
              <w:rPr>
                <w:iCs/>
              </w:rPr>
              <w:t>oteikum</w:t>
            </w:r>
            <w:r w:rsidR="003A56DB">
              <w:rPr>
                <w:iCs/>
              </w:rPr>
              <w:t>u projektu</w:t>
            </w:r>
            <w:r w:rsidRPr="00D33F22">
              <w:rPr>
                <w:iCs/>
              </w:rPr>
              <w:t xml:space="preserve"> netiek uzlikti </w:t>
            </w:r>
            <w:r w:rsidR="003D3A39" w:rsidRPr="00D33F22">
              <w:rPr>
                <w:iCs/>
              </w:rPr>
              <w:t>jauni</w:t>
            </w:r>
            <w:r w:rsidRPr="00D33F22">
              <w:rPr>
                <w:iCs/>
              </w:rPr>
              <w:t xml:space="preserve"> pienākumi</w:t>
            </w:r>
            <w:r w:rsidR="000E4C91">
              <w:rPr>
                <w:iCs/>
              </w:rPr>
              <w:t xml:space="preserve"> institūcijām</w:t>
            </w:r>
            <w:r w:rsidRPr="00D33F22">
              <w:rPr>
                <w:iCs/>
              </w:rPr>
              <w:t>, bet tiek</w:t>
            </w:r>
            <w:r w:rsidR="000E4C91">
              <w:rPr>
                <w:iCs/>
              </w:rPr>
              <w:t xml:space="preserve"> </w:t>
            </w:r>
            <w:r w:rsidR="003D3A39" w:rsidRPr="00D33F22">
              <w:rPr>
                <w:iCs/>
              </w:rPr>
              <w:t xml:space="preserve">noteikta vienota kārtība, kādā īstenojama </w:t>
            </w:r>
            <w:r w:rsidR="000E4C91">
              <w:rPr>
                <w:iCs/>
              </w:rPr>
              <w:t xml:space="preserve">sadarbība bērnu tiesību aizsardzībā. </w:t>
            </w:r>
            <w:r w:rsidR="00B35D74" w:rsidRPr="00D33F22">
              <w:rPr>
                <w:rFonts w:eastAsiaTheme="minorHAnsi"/>
                <w:color w:val="000000"/>
                <w:lang w:eastAsia="en-US"/>
              </w:rPr>
              <w:t xml:space="preserve">Tādejādi katra institūcija piedalās esošās kompetences ietvaros un šis kopīgais </w:t>
            </w:r>
            <w:r w:rsidR="00B35D74" w:rsidRPr="00B35D74">
              <w:rPr>
                <w:rFonts w:eastAsiaTheme="minorHAnsi"/>
                <w:color w:val="000000"/>
                <w:lang w:eastAsia="en-US"/>
              </w:rPr>
              <w:t>darbs veido mērķētāku katras i</w:t>
            </w:r>
            <w:r w:rsidR="003A56DB">
              <w:rPr>
                <w:rFonts w:eastAsiaTheme="minorHAnsi"/>
                <w:color w:val="000000"/>
                <w:lang w:eastAsia="en-US"/>
              </w:rPr>
              <w:t>nstitūcijas</w:t>
            </w:r>
            <w:r w:rsidR="00B35D74" w:rsidRPr="00B35D74">
              <w:rPr>
                <w:rFonts w:eastAsiaTheme="minorHAnsi"/>
                <w:color w:val="000000"/>
                <w:lang w:eastAsia="en-US"/>
              </w:rPr>
              <w:t xml:space="preserve"> rīcību ar b</w:t>
            </w:r>
            <w:r w:rsidR="00B35D74">
              <w:rPr>
                <w:rFonts w:eastAsiaTheme="minorHAnsi"/>
                <w:color w:val="000000"/>
                <w:lang w:eastAsia="en-US"/>
              </w:rPr>
              <w:t>ērnu un ģimeni</w:t>
            </w:r>
            <w:r w:rsidR="00B35D74" w:rsidRPr="00D33F22">
              <w:rPr>
                <w:rFonts w:eastAsiaTheme="minorHAnsi"/>
                <w:color w:val="000000"/>
                <w:lang w:eastAsia="en-US"/>
              </w:rPr>
              <w:t xml:space="preserve">, kā rezultātā veidojas visu institūciju rīcības sinerģija.  </w:t>
            </w:r>
            <w:r w:rsidR="00E949C8" w:rsidRPr="00D33F22">
              <w:rPr>
                <w:iCs/>
              </w:rPr>
              <w:t>Turkl</w:t>
            </w:r>
            <w:r w:rsidR="00F633B4" w:rsidRPr="00D33F22">
              <w:rPr>
                <w:iCs/>
              </w:rPr>
              <w:t xml:space="preserve">āt, ja </w:t>
            </w:r>
            <w:r w:rsidR="00F633B4" w:rsidRPr="00D33F22">
              <w:rPr>
                <w:lang w:eastAsia="ar-SA"/>
              </w:rPr>
              <w:t xml:space="preserve">pašvaldībā jau pastāv </w:t>
            </w:r>
            <w:r w:rsidR="00AD223D">
              <w:rPr>
                <w:lang w:eastAsia="ar-SA"/>
              </w:rPr>
              <w:t>kāda koleģiāla institūcija, kas darbojas</w:t>
            </w:r>
            <w:r w:rsidR="00F633B4" w:rsidRPr="00D33F22">
              <w:rPr>
                <w:lang w:eastAsia="ar-SA"/>
              </w:rPr>
              <w:t xml:space="preserve"> bērnu tiesību aizsardzības jomā, tad </w:t>
            </w:r>
            <w:r w:rsidR="000E4C91">
              <w:rPr>
                <w:lang w:eastAsia="ar-SA"/>
              </w:rPr>
              <w:t xml:space="preserve">atbilstoši Noteikumu projektā noteiktajam </w:t>
            </w:r>
            <w:r w:rsidR="00F633B4" w:rsidRPr="00D33F22">
              <w:rPr>
                <w:lang w:eastAsia="ar-SA"/>
              </w:rPr>
              <w:t>nav jāizveido vēl jauna</w:t>
            </w:r>
            <w:r w:rsidR="000E4C91">
              <w:rPr>
                <w:lang w:eastAsia="ar-SA"/>
              </w:rPr>
              <w:t xml:space="preserve"> sadarbības grupa</w:t>
            </w:r>
            <w:r w:rsidR="00F633B4" w:rsidRPr="00D33F22">
              <w:rPr>
                <w:lang w:eastAsia="ar-SA"/>
              </w:rPr>
              <w:t>, bet jau esošā var turpināt savu darbību pie nosacījuma, ka tiek ievērot</w:t>
            </w:r>
            <w:r w:rsidR="00AD223D">
              <w:rPr>
                <w:lang w:eastAsia="ar-SA"/>
              </w:rPr>
              <w:t>as</w:t>
            </w:r>
            <w:r w:rsidR="00F633B4" w:rsidRPr="00D33F22">
              <w:rPr>
                <w:lang w:eastAsia="ar-SA"/>
              </w:rPr>
              <w:t xml:space="preserve"> šajā Noteikumu projektā minētās prasības. </w:t>
            </w:r>
          </w:p>
          <w:p w:rsidR="008A5C5D" w:rsidRPr="00D33F22" w:rsidRDefault="008A5C5D" w:rsidP="002A0B32">
            <w:pPr>
              <w:pStyle w:val="naiskr"/>
              <w:tabs>
                <w:tab w:val="left" w:pos="877"/>
              </w:tabs>
              <w:spacing w:before="0" w:after="0"/>
              <w:jc w:val="both"/>
            </w:pPr>
          </w:p>
        </w:tc>
      </w:tr>
      <w:tr w:rsidR="008A5C5D" w:rsidRPr="00D33F22" w:rsidTr="003D06EA">
        <w:trPr>
          <w:trHeight w:val="635"/>
          <w:jc w:val="center"/>
        </w:trPr>
        <w:tc>
          <w:tcPr>
            <w:tcW w:w="550" w:type="dxa"/>
          </w:tcPr>
          <w:p w:rsidR="008A5C5D" w:rsidRPr="00D33F22" w:rsidRDefault="008A5C5D" w:rsidP="002A0B32">
            <w:pPr>
              <w:pStyle w:val="naiskr"/>
              <w:spacing w:before="0" w:after="0"/>
            </w:pPr>
            <w:r w:rsidRPr="00D33F22">
              <w:lastRenderedPageBreak/>
              <w:t>3.</w:t>
            </w:r>
          </w:p>
        </w:tc>
        <w:tc>
          <w:tcPr>
            <w:tcW w:w="2537" w:type="dxa"/>
          </w:tcPr>
          <w:p w:rsidR="008A5C5D" w:rsidRPr="00D33F22" w:rsidRDefault="008A5C5D" w:rsidP="002A0B32">
            <w:pPr>
              <w:pStyle w:val="naiskr"/>
              <w:spacing w:before="0" w:after="0"/>
            </w:pPr>
            <w:r w:rsidRPr="00D33F22">
              <w:t>Projekta izstrādē iesaistītās institūcijas</w:t>
            </w:r>
          </w:p>
        </w:tc>
        <w:tc>
          <w:tcPr>
            <w:tcW w:w="6264" w:type="dxa"/>
          </w:tcPr>
          <w:p w:rsidR="008A5C5D" w:rsidRPr="00D33F22" w:rsidRDefault="00AD223D" w:rsidP="00AD223D">
            <w:pPr>
              <w:pStyle w:val="FootnoteText"/>
              <w:ind w:left="27" w:right="142"/>
              <w:jc w:val="both"/>
              <w:rPr>
                <w:sz w:val="24"/>
                <w:szCs w:val="24"/>
              </w:rPr>
            </w:pPr>
            <w:r>
              <w:rPr>
                <w:sz w:val="24"/>
                <w:szCs w:val="24"/>
              </w:rPr>
              <w:t>Noteikumu p</w:t>
            </w:r>
            <w:r w:rsidR="008A5C5D" w:rsidRPr="00D33F22">
              <w:rPr>
                <w:sz w:val="24"/>
                <w:szCs w:val="24"/>
              </w:rPr>
              <w:t xml:space="preserve">rojektu izstrādāja darba grupa (Labklājības ministra </w:t>
            </w:r>
            <w:proofErr w:type="gramStart"/>
            <w:r w:rsidR="008A5C5D" w:rsidRPr="00D33F22">
              <w:rPr>
                <w:sz w:val="24"/>
                <w:szCs w:val="24"/>
              </w:rPr>
              <w:t>2017.gada</w:t>
            </w:r>
            <w:proofErr w:type="gramEnd"/>
            <w:r w:rsidR="008A5C5D" w:rsidRPr="00D33F22">
              <w:rPr>
                <w:sz w:val="24"/>
                <w:szCs w:val="24"/>
              </w:rPr>
              <w:t xml:space="preserve"> 21.februāra rīkojums Nr. 28 “Par darba grupas izveidi”), kuras sastāvā bija pārstāvji no Valsts bērnu tiesību aizsardzības inspekcijas, Labklājības ministrijas, </w:t>
            </w:r>
            <w:r w:rsidR="00376E6A" w:rsidRPr="00D33F22">
              <w:rPr>
                <w:sz w:val="24"/>
                <w:szCs w:val="24"/>
              </w:rPr>
              <w:t xml:space="preserve">Tieslietu ministrijas, </w:t>
            </w:r>
            <w:r w:rsidR="008A5C5D" w:rsidRPr="00D33F22">
              <w:rPr>
                <w:sz w:val="24"/>
                <w:szCs w:val="24"/>
              </w:rPr>
              <w:t>Iekšlietu ministrijas, Veselības ministrijas, Valsts policijas, Izglītības valsts kvalitātes dienesta, Izg</w:t>
            </w:r>
            <w:r w:rsidR="00376E6A" w:rsidRPr="00D33F22">
              <w:rPr>
                <w:sz w:val="24"/>
                <w:szCs w:val="24"/>
              </w:rPr>
              <w:t xml:space="preserve">lītības un zinātnes ministrijas, </w:t>
            </w:r>
            <w:r w:rsidR="009B6408" w:rsidRPr="00D33F22">
              <w:rPr>
                <w:sz w:val="24"/>
                <w:szCs w:val="24"/>
              </w:rPr>
              <w:t xml:space="preserve">Latvijas Pašvaldību savienības, </w:t>
            </w:r>
            <w:r w:rsidR="00376E6A" w:rsidRPr="00D33F22">
              <w:rPr>
                <w:sz w:val="24"/>
                <w:szCs w:val="24"/>
              </w:rPr>
              <w:t>nodibinājuma “Centrs Dardedze”, biedrības “Latvijas sociā</w:t>
            </w:r>
            <w:r w:rsidR="00CF6850" w:rsidRPr="00D33F22">
              <w:rPr>
                <w:sz w:val="24"/>
                <w:szCs w:val="24"/>
              </w:rPr>
              <w:t>lo dienestu vadītāju apvienība”, Latvijas Bāriņtiesu darbinieku asociācijas.</w:t>
            </w:r>
          </w:p>
        </w:tc>
      </w:tr>
      <w:tr w:rsidR="008A5C5D" w:rsidRPr="00D33F22" w:rsidTr="003D06EA">
        <w:trPr>
          <w:trHeight w:val="261"/>
          <w:jc w:val="center"/>
        </w:trPr>
        <w:tc>
          <w:tcPr>
            <w:tcW w:w="550" w:type="dxa"/>
          </w:tcPr>
          <w:p w:rsidR="008A5C5D" w:rsidRPr="00D33F22" w:rsidRDefault="008A5C5D" w:rsidP="002A0B32">
            <w:pPr>
              <w:pStyle w:val="naiskr"/>
              <w:spacing w:before="0" w:after="0"/>
            </w:pPr>
            <w:r w:rsidRPr="00D33F22">
              <w:t>4.</w:t>
            </w:r>
          </w:p>
        </w:tc>
        <w:tc>
          <w:tcPr>
            <w:tcW w:w="2537" w:type="dxa"/>
          </w:tcPr>
          <w:p w:rsidR="008A5C5D" w:rsidRPr="00D33F22" w:rsidRDefault="008A5C5D" w:rsidP="002A0B32">
            <w:pPr>
              <w:jc w:val="both"/>
            </w:pPr>
            <w:r w:rsidRPr="00D33F22">
              <w:t>Cita informācija</w:t>
            </w:r>
          </w:p>
        </w:tc>
        <w:tc>
          <w:tcPr>
            <w:tcW w:w="6264" w:type="dxa"/>
          </w:tcPr>
          <w:p w:rsidR="008A5C5D" w:rsidRPr="00D33F22" w:rsidRDefault="008A5C5D" w:rsidP="002A0B32">
            <w:pPr>
              <w:ind w:left="310"/>
              <w:jc w:val="both"/>
            </w:pPr>
            <w:r w:rsidRPr="00D33F22">
              <w:t xml:space="preserve">Nav. </w:t>
            </w:r>
          </w:p>
        </w:tc>
      </w:tr>
      <w:tr w:rsidR="008A5C5D" w:rsidRPr="00D33F22" w:rsidTr="003D06EA">
        <w:trPr>
          <w:trHeight w:val="384"/>
          <w:jc w:val="center"/>
        </w:trPr>
        <w:tc>
          <w:tcPr>
            <w:tcW w:w="9351" w:type="dxa"/>
            <w:gridSpan w:val="3"/>
          </w:tcPr>
          <w:p w:rsidR="008A5C5D" w:rsidRPr="00D33F22" w:rsidRDefault="008A5C5D" w:rsidP="002A0B32">
            <w:pPr>
              <w:ind w:left="310"/>
              <w:jc w:val="center"/>
            </w:pPr>
            <w:r w:rsidRPr="00D33F22">
              <w:rPr>
                <w:b/>
                <w:bCs/>
              </w:rPr>
              <w:t>II. Tiesību akta projekta ietekme uz sabiedrību, tautsaimniecības attīstību un administratīvo slogu</w:t>
            </w: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1.</w:t>
            </w:r>
          </w:p>
        </w:tc>
        <w:tc>
          <w:tcPr>
            <w:tcW w:w="2537" w:type="dxa"/>
          </w:tcPr>
          <w:p w:rsidR="008A5C5D" w:rsidRPr="00D33F22" w:rsidRDefault="008A5C5D" w:rsidP="002A0B32">
            <w:r w:rsidRPr="00D33F22">
              <w:t>Sabiedrības mērķgrupas, kuras tiesiskais regulējums ietekmē vai varētu ietekmēt</w:t>
            </w:r>
          </w:p>
        </w:tc>
        <w:tc>
          <w:tcPr>
            <w:tcW w:w="6264" w:type="dxa"/>
          </w:tcPr>
          <w:p w:rsidR="008A5C5D" w:rsidRPr="00D33F22" w:rsidRDefault="00794586" w:rsidP="008436C2">
            <w:pPr>
              <w:jc w:val="both"/>
            </w:pPr>
            <w:r w:rsidRPr="00D33F22">
              <w:t xml:space="preserve">Bērni, kā arī </w:t>
            </w:r>
            <w:r w:rsidRPr="00D33F22">
              <w:rPr>
                <w:rStyle w:val="Noklusjumarindkopasfonts"/>
                <w:lang w:eastAsia="ar-SA"/>
              </w:rPr>
              <w:t>b</w:t>
            </w:r>
            <w:r w:rsidR="008436C2" w:rsidRPr="00D33F22">
              <w:rPr>
                <w:rStyle w:val="Noklusjumarindkopasfonts"/>
                <w:lang w:eastAsia="ar-SA"/>
              </w:rPr>
              <w:t>ērna tiesību aizsardzībā iesaistītās valsts un pašvaldību institūcijas, nevalstiskās organizācijas</w:t>
            </w:r>
            <w:r w:rsidR="000A4709" w:rsidRPr="00D33F22">
              <w:rPr>
                <w:rStyle w:val="Noklusjumarindkopasfonts"/>
                <w:lang w:eastAsia="ar-SA"/>
              </w:rPr>
              <w:t>, kuras būs pārstāvētas sadarbības grupās.</w:t>
            </w: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2.</w:t>
            </w:r>
          </w:p>
        </w:tc>
        <w:tc>
          <w:tcPr>
            <w:tcW w:w="2537" w:type="dxa"/>
          </w:tcPr>
          <w:p w:rsidR="008A5C5D" w:rsidRPr="00D33F22" w:rsidRDefault="008A5C5D" w:rsidP="002A0B32">
            <w:r w:rsidRPr="00D33F22">
              <w:t>Tiesiskā regulējuma ietekme uz tautsaimniecību un administratīvo slogu</w:t>
            </w:r>
          </w:p>
        </w:tc>
        <w:tc>
          <w:tcPr>
            <w:tcW w:w="6264" w:type="dxa"/>
          </w:tcPr>
          <w:p w:rsidR="00D23112" w:rsidRDefault="00AD223D" w:rsidP="00503253">
            <w:pPr>
              <w:ind w:left="27" w:right="142"/>
              <w:jc w:val="both"/>
            </w:pPr>
            <w:r>
              <w:t xml:space="preserve">Institūciju </w:t>
            </w:r>
            <w:r w:rsidRPr="00D33F22">
              <w:t>savstarpējās sadarbības pienākums jau šobrīd ir noteikts Bērnu tiesību aizsardzības likumā</w:t>
            </w:r>
            <w:r>
              <w:t>, tāpēc t</w:t>
            </w:r>
            <w:r w:rsidR="003B049A" w:rsidRPr="00D33F22">
              <w:t xml:space="preserve">iesiskais regulējums </w:t>
            </w:r>
            <w:r w:rsidR="0014403F" w:rsidRPr="00D33F22">
              <w:t xml:space="preserve">pēc būtības nemaina pienākumus, kā arī veicamās darbības un tādējādi </w:t>
            </w:r>
            <w:r w:rsidR="003B049A" w:rsidRPr="00D33F22">
              <w:t xml:space="preserve">neradīs papildu administratīvo slogu tām institūcijām, </w:t>
            </w:r>
            <w:r w:rsidR="00376E6A" w:rsidRPr="00D33F22">
              <w:t>kuras ir paredzēts iekļaut sadarbības grupā</w:t>
            </w:r>
            <w:r>
              <w:t>. Vienlaikus projekts</w:t>
            </w:r>
            <w:r w:rsidR="00884522" w:rsidRPr="00D33F22">
              <w:t xml:space="preserve"> efektīvāk ļaus izmantot </w:t>
            </w:r>
            <w:r>
              <w:t>institūciju</w:t>
            </w:r>
            <w:r w:rsidR="00884522" w:rsidRPr="00D33F22">
              <w:t xml:space="preserve"> rīcībā esošos resursus, prioritāri nodrošinot bērna tiesības un intereses.</w:t>
            </w:r>
            <w:r w:rsidR="00825103" w:rsidRPr="00D33F22">
              <w:t xml:space="preserve"> </w:t>
            </w:r>
          </w:p>
          <w:p w:rsidR="00D94991" w:rsidRPr="00D33F22" w:rsidRDefault="00D94991" w:rsidP="00503253">
            <w:pPr>
              <w:ind w:left="27" w:right="142"/>
              <w:jc w:val="both"/>
              <w:rPr>
                <w:highlight w:val="green"/>
              </w:rPr>
            </w:pP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3.</w:t>
            </w:r>
          </w:p>
        </w:tc>
        <w:tc>
          <w:tcPr>
            <w:tcW w:w="2537" w:type="dxa"/>
          </w:tcPr>
          <w:p w:rsidR="008A5C5D" w:rsidRPr="00D33F22" w:rsidRDefault="008A5C5D" w:rsidP="002A0B32">
            <w:r w:rsidRPr="00D33F22">
              <w:t>Administratīvo izmaksu monetārs novērtējums</w:t>
            </w:r>
          </w:p>
        </w:tc>
        <w:tc>
          <w:tcPr>
            <w:tcW w:w="6264" w:type="dxa"/>
          </w:tcPr>
          <w:p w:rsidR="008A5C5D" w:rsidRDefault="00B52E86" w:rsidP="002A0B32">
            <w:pPr>
              <w:ind w:left="27"/>
              <w:jc w:val="both"/>
            </w:pPr>
            <w:r w:rsidRPr="00D33F22">
              <w:t>Noteikumu projekts šo jomu neskar.</w:t>
            </w:r>
          </w:p>
          <w:p w:rsidR="00D94991" w:rsidRDefault="00D94991" w:rsidP="002A0B32">
            <w:pPr>
              <w:ind w:left="27"/>
              <w:jc w:val="both"/>
            </w:pPr>
          </w:p>
          <w:p w:rsidR="00D94991" w:rsidRPr="00D33F22" w:rsidRDefault="00D94991" w:rsidP="002A0B32">
            <w:pPr>
              <w:ind w:left="27"/>
              <w:jc w:val="both"/>
              <w:rPr>
                <w:highlight w:val="green"/>
              </w:rPr>
            </w:pPr>
          </w:p>
        </w:tc>
      </w:tr>
      <w:tr w:rsidR="008A5C5D" w:rsidRPr="00D33F22" w:rsidTr="003D06EA">
        <w:trPr>
          <w:trHeight w:val="334"/>
          <w:jc w:val="center"/>
        </w:trPr>
        <w:tc>
          <w:tcPr>
            <w:tcW w:w="550" w:type="dxa"/>
          </w:tcPr>
          <w:p w:rsidR="008A5C5D" w:rsidRPr="00D33F22" w:rsidRDefault="008A5C5D" w:rsidP="002A0B32">
            <w:pPr>
              <w:pStyle w:val="naiskr"/>
              <w:spacing w:before="0" w:after="0"/>
            </w:pPr>
            <w:r w:rsidRPr="00D33F22">
              <w:t>4.</w:t>
            </w:r>
          </w:p>
        </w:tc>
        <w:tc>
          <w:tcPr>
            <w:tcW w:w="2537" w:type="dxa"/>
          </w:tcPr>
          <w:p w:rsidR="008A5C5D" w:rsidRPr="00D33F22" w:rsidRDefault="008A5C5D" w:rsidP="002A0B32">
            <w:r w:rsidRPr="00D33F22">
              <w:t>Cita informācija</w:t>
            </w:r>
          </w:p>
        </w:tc>
        <w:tc>
          <w:tcPr>
            <w:tcW w:w="6264" w:type="dxa"/>
          </w:tcPr>
          <w:p w:rsidR="008A5C5D" w:rsidRPr="00D33F22" w:rsidRDefault="008A5C5D" w:rsidP="002A0B32">
            <w:pPr>
              <w:ind w:left="27" w:firstLine="425"/>
              <w:jc w:val="both"/>
            </w:pPr>
            <w:r w:rsidRPr="00D33F22">
              <w:t xml:space="preserve">Nav. </w:t>
            </w:r>
          </w:p>
        </w:tc>
      </w:tr>
      <w:tr w:rsidR="008A5C5D" w:rsidRPr="00D33F22" w:rsidTr="003D06EA">
        <w:trPr>
          <w:trHeight w:val="384"/>
          <w:jc w:val="center"/>
        </w:trPr>
        <w:tc>
          <w:tcPr>
            <w:tcW w:w="9351" w:type="dxa"/>
            <w:gridSpan w:val="3"/>
          </w:tcPr>
          <w:p w:rsidR="001E7EA4" w:rsidRDefault="001E7EA4" w:rsidP="002A0B32">
            <w:pPr>
              <w:ind w:left="310"/>
              <w:jc w:val="center"/>
              <w:rPr>
                <w:b/>
                <w:bCs/>
              </w:rPr>
            </w:pPr>
          </w:p>
          <w:p w:rsidR="008A5C5D" w:rsidRDefault="008A5C5D" w:rsidP="002A0B32">
            <w:pPr>
              <w:ind w:left="310"/>
              <w:jc w:val="center"/>
              <w:rPr>
                <w:b/>
                <w:bCs/>
              </w:rPr>
            </w:pPr>
            <w:r w:rsidRPr="00D33F22">
              <w:rPr>
                <w:b/>
                <w:bCs/>
              </w:rPr>
              <w:t>VI. Sabiedrības līdzdalība un komunikācijas aktivitātes</w:t>
            </w:r>
          </w:p>
          <w:p w:rsidR="00EB3FF5" w:rsidRPr="00D33F22" w:rsidRDefault="00EB3FF5" w:rsidP="002A0B32">
            <w:pPr>
              <w:ind w:left="310"/>
              <w:jc w:val="center"/>
            </w:pP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1.</w:t>
            </w:r>
          </w:p>
        </w:tc>
        <w:tc>
          <w:tcPr>
            <w:tcW w:w="2537" w:type="dxa"/>
          </w:tcPr>
          <w:p w:rsidR="008A5C5D" w:rsidRPr="00D33F22" w:rsidRDefault="008A5C5D" w:rsidP="002A0B32">
            <w:r w:rsidRPr="00D33F22">
              <w:t>Plānotās sabiedrības līdzdalības un komunikācijas aktivitātes saistībā ar projektu</w:t>
            </w:r>
          </w:p>
        </w:tc>
        <w:tc>
          <w:tcPr>
            <w:tcW w:w="6264" w:type="dxa"/>
          </w:tcPr>
          <w:p w:rsidR="008A5C5D" w:rsidRDefault="00203653" w:rsidP="009D673B">
            <w:pPr>
              <w:ind w:left="27" w:right="142"/>
              <w:jc w:val="both"/>
            </w:pPr>
            <w:r>
              <w:t>Noteikumu p</w:t>
            </w:r>
            <w:r w:rsidR="007D7EC0" w:rsidRPr="00D33F22">
              <w:t>rojekts</w:t>
            </w:r>
            <w:r w:rsidR="008A5C5D" w:rsidRPr="00D33F22">
              <w:t xml:space="preserve"> publicēts Labklājības ministrijas </w:t>
            </w:r>
            <w:r w:rsidR="007D7EC0" w:rsidRPr="00D33F22">
              <w:t xml:space="preserve">tīmekļa vietnē sadaļā </w:t>
            </w:r>
            <w:r w:rsidR="008A5C5D" w:rsidRPr="00D33F22">
              <w:t>“</w:t>
            </w:r>
            <w:r w:rsidR="00725D47" w:rsidRPr="00D33F22">
              <w:t>LM dokumentu projekti</w:t>
            </w:r>
            <w:r w:rsidR="008A5C5D" w:rsidRPr="00D33F22">
              <w:t xml:space="preserve">”, </w:t>
            </w:r>
            <w:r w:rsidR="00725D47" w:rsidRPr="00D33F22">
              <w:t xml:space="preserve">kā arī </w:t>
            </w:r>
            <w:r w:rsidR="007C3C04" w:rsidRPr="00D33F22">
              <w:t xml:space="preserve">Ministru kabineta tīmekļa vietnē sadaļā “Sabiedrības līdzdalība”, tādējādi dodot iespēju sabiedrībai līdzdarboties </w:t>
            </w:r>
            <w:r w:rsidR="009378BF" w:rsidRPr="00D33F22">
              <w:t>noteikumu projekta</w:t>
            </w:r>
            <w:r w:rsidR="007C3C04" w:rsidRPr="00D33F22">
              <w:t xml:space="preserve"> izstrādes procesā.</w:t>
            </w:r>
          </w:p>
          <w:p w:rsidR="000F0984" w:rsidRPr="00D33F22" w:rsidRDefault="000F0984" w:rsidP="009378BF">
            <w:pPr>
              <w:ind w:left="27"/>
              <w:jc w:val="both"/>
            </w:pP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2.</w:t>
            </w:r>
          </w:p>
        </w:tc>
        <w:tc>
          <w:tcPr>
            <w:tcW w:w="2537" w:type="dxa"/>
          </w:tcPr>
          <w:p w:rsidR="008A5C5D" w:rsidRPr="00D33F22" w:rsidRDefault="008A5C5D" w:rsidP="002A0B32">
            <w:r w:rsidRPr="00D33F22">
              <w:t>Sabiedrības līdzdalība projekta izstrādē</w:t>
            </w:r>
          </w:p>
        </w:tc>
        <w:tc>
          <w:tcPr>
            <w:tcW w:w="6264" w:type="dxa"/>
          </w:tcPr>
          <w:p w:rsidR="009C4D4E" w:rsidRPr="00D33F22" w:rsidRDefault="009378BF" w:rsidP="001B1F04">
            <w:pPr>
              <w:ind w:left="27" w:right="142"/>
              <w:jc w:val="both"/>
            </w:pPr>
            <w:r w:rsidRPr="00D33F22">
              <w:t>Lai informētu</w:t>
            </w:r>
            <w:r w:rsidR="00067E42" w:rsidRPr="00D33F22">
              <w:t xml:space="preserve"> sabiedrību par noteikumu projektu un dotu iespēju izteikt par to viedokļus, Noteikumu projekts </w:t>
            </w:r>
            <w:proofErr w:type="gramStart"/>
            <w:r w:rsidR="00067E42" w:rsidRPr="00D33F22">
              <w:t>2017.gada</w:t>
            </w:r>
            <w:proofErr w:type="gramEnd"/>
            <w:r w:rsidR="00067E42" w:rsidRPr="00D33F22">
              <w:t xml:space="preserve"> 17.maijā ievietots Labklājības ministrijas tīmekļa vietnē,  kā arī Ministru kabineta tīmekļa vietn</w:t>
            </w:r>
            <w:r w:rsidR="00365A20" w:rsidRPr="00D33F22">
              <w:t>ē un termiņš viedokļa izteikšanai tika noteikts 2017.gada 31.maijs.</w:t>
            </w:r>
          </w:p>
          <w:p w:rsidR="008A5C5D" w:rsidRDefault="00BF6F23" w:rsidP="001B1F04">
            <w:pPr>
              <w:ind w:left="27" w:right="142"/>
              <w:jc w:val="both"/>
            </w:pPr>
            <w:r w:rsidRPr="00D33F22">
              <w:t>Noteikumu p</w:t>
            </w:r>
            <w:r w:rsidR="008A5C5D" w:rsidRPr="00D33F22">
              <w:t xml:space="preserve">rojekta izstrādes darba grupā piedalījās </w:t>
            </w:r>
            <w:r w:rsidRPr="00D33F22">
              <w:t>pārstāvji no nevalstiskām organizācijām</w:t>
            </w:r>
            <w:r w:rsidR="008A5C5D" w:rsidRPr="00D33F22">
              <w:t>: nodibinājums “Centrs Dardedze”, biedrība “Latvijas sociālo dienestu</w:t>
            </w:r>
            <w:r w:rsidRPr="00D33F22">
              <w:t xml:space="preserve"> vadītāju apvienība”, Latvijas B</w:t>
            </w:r>
            <w:r w:rsidR="008A5C5D" w:rsidRPr="00D33F22">
              <w:t>āriņtiesu d</w:t>
            </w:r>
            <w:r w:rsidRPr="00D33F22">
              <w:t>arbinieku asociācija.</w:t>
            </w:r>
          </w:p>
          <w:p w:rsidR="000F0984" w:rsidRPr="00D33F22" w:rsidRDefault="000F0984" w:rsidP="00BF6F23">
            <w:pPr>
              <w:jc w:val="both"/>
            </w:pP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3.</w:t>
            </w:r>
          </w:p>
        </w:tc>
        <w:tc>
          <w:tcPr>
            <w:tcW w:w="2537" w:type="dxa"/>
          </w:tcPr>
          <w:p w:rsidR="008A5C5D" w:rsidRPr="00D33F22" w:rsidRDefault="008A5C5D" w:rsidP="002A0B32">
            <w:r w:rsidRPr="00D33F22">
              <w:t>Sabiedrības līdzdalības rezultāti</w:t>
            </w:r>
          </w:p>
        </w:tc>
        <w:tc>
          <w:tcPr>
            <w:tcW w:w="6264" w:type="dxa"/>
          </w:tcPr>
          <w:p w:rsidR="008A5C5D" w:rsidRDefault="00203653" w:rsidP="00E650D9">
            <w:pPr>
              <w:ind w:left="27" w:right="142"/>
              <w:jc w:val="both"/>
            </w:pPr>
            <w:r>
              <w:t>Priekšlikumi un iebildumi par N</w:t>
            </w:r>
            <w:r w:rsidR="007C0EE4" w:rsidRPr="00D33F22">
              <w:t>oteikumu projektu līdz 2017.gada 31.maijam nav saņemti.</w:t>
            </w:r>
          </w:p>
          <w:p w:rsidR="000F0984" w:rsidRPr="00D33F22" w:rsidRDefault="000F0984" w:rsidP="002A0B32">
            <w:pPr>
              <w:jc w:val="both"/>
            </w:pP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lastRenderedPageBreak/>
              <w:t>4.</w:t>
            </w:r>
          </w:p>
        </w:tc>
        <w:tc>
          <w:tcPr>
            <w:tcW w:w="2537" w:type="dxa"/>
          </w:tcPr>
          <w:p w:rsidR="008A5C5D" w:rsidRPr="00D33F22" w:rsidRDefault="008A5C5D" w:rsidP="002A0B32">
            <w:r w:rsidRPr="00D33F22">
              <w:t>Cita informācija</w:t>
            </w:r>
          </w:p>
        </w:tc>
        <w:tc>
          <w:tcPr>
            <w:tcW w:w="6264" w:type="dxa"/>
          </w:tcPr>
          <w:p w:rsidR="008A5C5D" w:rsidRPr="00D33F22" w:rsidRDefault="008A5C5D" w:rsidP="002A0B32">
            <w:pPr>
              <w:jc w:val="both"/>
            </w:pPr>
            <w:r w:rsidRPr="00D33F22">
              <w:t xml:space="preserve">Nav </w:t>
            </w:r>
          </w:p>
          <w:p w:rsidR="00D040D2" w:rsidRPr="00D33F22" w:rsidRDefault="00D040D2" w:rsidP="002A0B32">
            <w:pPr>
              <w:jc w:val="both"/>
            </w:pPr>
          </w:p>
          <w:p w:rsidR="00D040D2" w:rsidRPr="00D33F22" w:rsidRDefault="00D040D2" w:rsidP="002A0B32">
            <w:pPr>
              <w:jc w:val="both"/>
            </w:pPr>
          </w:p>
        </w:tc>
      </w:tr>
      <w:tr w:rsidR="008A5C5D" w:rsidRPr="00D33F22" w:rsidTr="003D06EA">
        <w:trPr>
          <w:trHeight w:val="384"/>
          <w:jc w:val="center"/>
        </w:trPr>
        <w:tc>
          <w:tcPr>
            <w:tcW w:w="9351" w:type="dxa"/>
            <w:gridSpan w:val="3"/>
          </w:tcPr>
          <w:p w:rsidR="008A5C5D" w:rsidRPr="00D33F22" w:rsidRDefault="008A5C5D" w:rsidP="002A0B32">
            <w:pPr>
              <w:ind w:left="27" w:firstLine="425"/>
              <w:jc w:val="center"/>
            </w:pPr>
            <w:r w:rsidRPr="00D33F22">
              <w:rPr>
                <w:b/>
                <w:color w:val="000000"/>
              </w:rPr>
              <w:t>VII. Tiesību akta projekta izpildes nodrošināšana un tās ietekme uz institūcijām</w:t>
            </w: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1.</w:t>
            </w:r>
          </w:p>
        </w:tc>
        <w:tc>
          <w:tcPr>
            <w:tcW w:w="2537" w:type="dxa"/>
          </w:tcPr>
          <w:p w:rsidR="008A5C5D" w:rsidRPr="00D33F22" w:rsidRDefault="008A5C5D" w:rsidP="002A0B32">
            <w:r w:rsidRPr="00D33F22">
              <w:rPr>
                <w:color w:val="000000"/>
              </w:rPr>
              <w:t>Projekta izpildē iesaistītās institūcijas</w:t>
            </w:r>
          </w:p>
        </w:tc>
        <w:tc>
          <w:tcPr>
            <w:tcW w:w="6264" w:type="dxa"/>
          </w:tcPr>
          <w:p w:rsidR="003D06EA" w:rsidRPr="003D06EA" w:rsidRDefault="000D6D05" w:rsidP="003D06EA">
            <w:pPr>
              <w:pStyle w:val="Sarakstarindkopa"/>
              <w:numPr>
                <w:ilvl w:val="1"/>
                <w:numId w:val="3"/>
              </w:numPr>
              <w:spacing w:after="0" w:line="240" w:lineRule="auto"/>
              <w:ind w:left="169" w:hanging="1402"/>
              <w:jc w:val="both"/>
              <w:rPr>
                <w:rFonts w:ascii="Times New Roman" w:eastAsia="Times New Roman" w:hAnsi="Times New Roman"/>
                <w:sz w:val="24"/>
                <w:szCs w:val="24"/>
                <w:lang w:eastAsia="ar-SA"/>
              </w:rPr>
            </w:pPr>
            <w:r>
              <w:rPr>
                <w:rFonts w:ascii="Times New Roman" w:hAnsi="Times New Roman"/>
                <w:color w:val="000000"/>
                <w:sz w:val="24"/>
                <w:szCs w:val="24"/>
              </w:rPr>
              <w:t>P</w:t>
            </w:r>
            <w:r w:rsidR="003D06EA" w:rsidRPr="003D06EA">
              <w:rPr>
                <w:rFonts w:ascii="Times New Roman" w:hAnsi="Times New Roman"/>
                <w:color w:val="000000"/>
                <w:sz w:val="24"/>
                <w:szCs w:val="24"/>
              </w:rPr>
              <w:t>ašvald</w:t>
            </w:r>
            <w:r w:rsidR="003D06EA">
              <w:rPr>
                <w:rFonts w:ascii="Times New Roman" w:hAnsi="Times New Roman"/>
                <w:color w:val="000000"/>
                <w:sz w:val="24"/>
                <w:szCs w:val="24"/>
              </w:rPr>
              <w:t xml:space="preserve">ības, </w:t>
            </w:r>
            <w:r w:rsidR="003D06EA" w:rsidRPr="003D06EA">
              <w:rPr>
                <w:rFonts w:ascii="Times New Roman" w:hAnsi="Times New Roman"/>
                <w:color w:val="000000"/>
                <w:sz w:val="24"/>
                <w:szCs w:val="24"/>
              </w:rPr>
              <w:t>sociāl</w:t>
            </w:r>
            <w:r w:rsidR="00AD223D">
              <w:rPr>
                <w:rFonts w:ascii="Times New Roman" w:hAnsi="Times New Roman"/>
                <w:color w:val="000000"/>
                <w:sz w:val="24"/>
                <w:szCs w:val="24"/>
              </w:rPr>
              <w:t>ie</w:t>
            </w:r>
            <w:r w:rsidR="003D06EA" w:rsidRPr="003D06EA">
              <w:rPr>
                <w:rFonts w:ascii="Times New Roman" w:hAnsi="Times New Roman"/>
                <w:color w:val="000000"/>
                <w:sz w:val="24"/>
                <w:szCs w:val="24"/>
              </w:rPr>
              <w:t xml:space="preserve"> dienest</w:t>
            </w:r>
            <w:r w:rsidR="00AD223D">
              <w:rPr>
                <w:rFonts w:ascii="Times New Roman" w:hAnsi="Times New Roman"/>
                <w:color w:val="000000"/>
                <w:sz w:val="24"/>
                <w:szCs w:val="24"/>
              </w:rPr>
              <w:t>i</w:t>
            </w:r>
            <w:r w:rsidR="003D06EA" w:rsidRPr="003D06EA">
              <w:rPr>
                <w:rFonts w:ascii="Times New Roman" w:hAnsi="Times New Roman"/>
                <w:color w:val="000000"/>
                <w:sz w:val="24"/>
                <w:szCs w:val="24"/>
              </w:rPr>
              <w:t>, bāriņtiesa</w:t>
            </w:r>
            <w:r w:rsidR="00AD223D">
              <w:rPr>
                <w:rFonts w:ascii="Times New Roman" w:hAnsi="Times New Roman"/>
                <w:color w:val="000000"/>
                <w:sz w:val="24"/>
                <w:szCs w:val="24"/>
              </w:rPr>
              <w:t>s</w:t>
            </w:r>
            <w:r w:rsidR="003D06EA" w:rsidRPr="003D06EA">
              <w:rPr>
                <w:rFonts w:ascii="Times New Roman" w:hAnsi="Times New Roman"/>
                <w:color w:val="000000"/>
                <w:sz w:val="24"/>
                <w:szCs w:val="24"/>
              </w:rPr>
              <w:t xml:space="preserve">, </w:t>
            </w:r>
            <w:r w:rsidR="003D06EA" w:rsidRPr="003D06EA">
              <w:rPr>
                <w:rFonts w:ascii="Times New Roman" w:eastAsia="Times New Roman" w:hAnsi="Times New Roman"/>
                <w:sz w:val="24"/>
                <w:szCs w:val="24"/>
                <w:lang w:eastAsia="ar-SA"/>
              </w:rPr>
              <w:t>pašvaldības policija vai Valsts policija, ja pašvaldība nav izveidojusi pašvaldības policiju</w:t>
            </w:r>
            <w:proofErr w:type="gramStart"/>
            <w:r w:rsidR="003D06EA" w:rsidRPr="003D06EA">
              <w:rPr>
                <w:rFonts w:ascii="Times New Roman" w:eastAsia="Times New Roman" w:hAnsi="Times New Roman"/>
                <w:sz w:val="24"/>
                <w:szCs w:val="24"/>
                <w:lang w:eastAsia="ar-SA"/>
              </w:rPr>
              <w:t xml:space="preserve"> vai nav deleģējusi pašvaldības polici</w:t>
            </w:r>
            <w:r w:rsidR="003D06EA">
              <w:rPr>
                <w:rFonts w:ascii="Times New Roman" w:eastAsia="Times New Roman" w:hAnsi="Times New Roman"/>
                <w:sz w:val="24"/>
                <w:szCs w:val="24"/>
                <w:lang w:eastAsia="ar-SA"/>
              </w:rPr>
              <w:t xml:space="preserve">jas uzdevumus citai pašvaldībai, </w:t>
            </w:r>
            <w:r w:rsidR="003D06EA" w:rsidRPr="003D06EA">
              <w:rPr>
                <w:rFonts w:ascii="Times New Roman" w:eastAsia="Times New Roman" w:hAnsi="Times New Roman"/>
                <w:sz w:val="24"/>
                <w:szCs w:val="24"/>
                <w:lang w:eastAsia="ar-SA"/>
              </w:rPr>
              <w:t>pašvaldīb</w:t>
            </w:r>
            <w:r w:rsidR="00AD223D">
              <w:rPr>
                <w:rFonts w:ascii="Times New Roman" w:eastAsia="Times New Roman" w:hAnsi="Times New Roman"/>
                <w:sz w:val="24"/>
                <w:szCs w:val="24"/>
                <w:lang w:eastAsia="ar-SA"/>
              </w:rPr>
              <w:t>u</w:t>
            </w:r>
            <w:r w:rsidR="003D06EA" w:rsidRPr="003D06EA">
              <w:rPr>
                <w:rFonts w:ascii="Times New Roman" w:eastAsia="Times New Roman" w:hAnsi="Times New Roman"/>
                <w:sz w:val="24"/>
                <w:szCs w:val="24"/>
                <w:lang w:eastAsia="ar-SA"/>
              </w:rPr>
              <w:t xml:space="preserve"> Izglītības pārvaldes</w:t>
            </w:r>
            <w:r w:rsidR="003D06EA">
              <w:rPr>
                <w:rFonts w:ascii="Times New Roman" w:eastAsia="Times New Roman" w:hAnsi="Times New Roman"/>
                <w:sz w:val="24"/>
                <w:szCs w:val="24"/>
                <w:lang w:eastAsia="ar-SA"/>
              </w:rPr>
              <w:t>,</w:t>
            </w:r>
            <w:r w:rsidR="003D06EA">
              <w:rPr>
                <w:sz w:val="28"/>
                <w:szCs w:val="28"/>
                <w:lang w:eastAsia="ar-SA"/>
              </w:rPr>
              <w:t xml:space="preserve"> </w:t>
            </w:r>
            <w:r w:rsidR="003D06EA">
              <w:rPr>
                <w:rFonts w:ascii="Times New Roman" w:eastAsia="Times New Roman" w:hAnsi="Times New Roman"/>
                <w:sz w:val="24"/>
                <w:szCs w:val="24"/>
                <w:lang w:eastAsia="ar-SA"/>
              </w:rPr>
              <w:t xml:space="preserve">bērnu aprūpes iestādes, </w:t>
            </w:r>
            <w:r w:rsidR="003D75EC">
              <w:rPr>
                <w:rFonts w:ascii="Times New Roman" w:eastAsia="Times New Roman" w:hAnsi="Times New Roman"/>
                <w:sz w:val="24"/>
                <w:szCs w:val="24"/>
                <w:lang w:eastAsia="ar-SA"/>
              </w:rPr>
              <w:t>Valsts probācijas dienests</w:t>
            </w:r>
            <w:proofErr w:type="gramEnd"/>
            <w:r w:rsidR="003D75EC">
              <w:rPr>
                <w:rFonts w:ascii="Times New Roman" w:eastAsia="Times New Roman" w:hAnsi="Times New Roman"/>
                <w:sz w:val="24"/>
                <w:szCs w:val="24"/>
                <w:lang w:eastAsia="ar-SA"/>
              </w:rPr>
              <w:t xml:space="preserve">, </w:t>
            </w:r>
            <w:r>
              <w:rPr>
                <w:rFonts w:ascii="Times New Roman" w:hAnsi="Times New Roman"/>
                <w:color w:val="000000"/>
                <w:sz w:val="24"/>
                <w:szCs w:val="24"/>
              </w:rPr>
              <w:t xml:space="preserve">Valsts bērnu tiesību aizsardzības inspekcija, Labklājības ministrija, </w:t>
            </w:r>
            <w:r w:rsidR="003D06EA">
              <w:rPr>
                <w:rFonts w:ascii="Times New Roman" w:eastAsia="Times New Roman" w:hAnsi="Times New Roman"/>
                <w:sz w:val="24"/>
                <w:szCs w:val="24"/>
                <w:lang w:eastAsia="ar-SA"/>
              </w:rPr>
              <w:t xml:space="preserve">ārstniecības iestādes, </w:t>
            </w:r>
            <w:r w:rsidR="00553642">
              <w:rPr>
                <w:rFonts w:ascii="Times New Roman" w:eastAsia="Times New Roman" w:hAnsi="Times New Roman"/>
                <w:sz w:val="24"/>
                <w:szCs w:val="24"/>
                <w:lang w:eastAsia="ar-SA"/>
              </w:rPr>
              <w:t>ģimenes ārsti, nevalstiskās organizācijas.</w:t>
            </w:r>
          </w:p>
          <w:p w:rsidR="000F0984" w:rsidRPr="00D33F22" w:rsidRDefault="000F0984" w:rsidP="00553642">
            <w:pPr>
              <w:ind w:right="142"/>
              <w:jc w:val="both"/>
              <w:rPr>
                <w:color w:val="000000"/>
              </w:rPr>
            </w:pP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2.</w:t>
            </w:r>
          </w:p>
        </w:tc>
        <w:tc>
          <w:tcPr>
            <w:tcW w:w="2537" w:type="dxa"/>
          </w:tcPr>
          <w:p w:rsidR="008A5C5D" w:rsidRPr="00D33F22" w:rsidRDefault="008A5C5D" w:rsidP="002A0B32">
            <w:pPr>
              <w:pStyle w:val="naisf"/>
              <w:ind w:firstLine="0"/>
              <w:jc w:val="left"/>
              <w:rPr>
                <w:color w:val="000000"/>
              </w:rPr>
            </w:pPr>
            <w:r w:rsidRPr="00D33F22">
              <w:rPr>
                <w:color w:val="000000"/>
              </w:rPr>
              <w:t xml:space="preserve">Projekta izpildes ietekme uz pārvaldes funkcijām un institucionālo struktūru. </w:t>
            </w:r>
          </w:p>
          <w:p w:rsidR="008A5C5D" w:rsidRPr="00D33F22" w:rsidRDefault="008A5C5D" w:rsidP="002A0B32">
            <w:r w:rsidRPr="00D33F22">
              <w:rPr>
                <w:color w:val="000000"/>
              </w:rPr>
              <w:t>Jaunu institūciju izveide, esošu institūciju likvidācija vai reorganizācija, to ietekme uz institūcijas cilvēkresursiem</w:t>
            </w:r>
          </w:p>
        </w:tc>
        <w:tc>
          <w:tcPr>
            <w:tcW w:w="6264" w:type="dxa"/>
          </w:tcPr>
          <w:p w:rsidR="008A5C5D" w:rsidRPr="00D33F22" w:rsidRDefault="00794586" w:rsidP="00E650D9">
            <w:pPr>
              <w:pStyle w:val="naisf"/>
              <w:spacing w:before="0" w:after="0"/>
              <w:ind w:left="169" w:right="142" w:firstLine="0"/>
              <w:rPr>
                <w:color w:val="000000"/>
              </w:rPr>
            </w:pPr>
            <w:r w:rsidRPr="00D33F22">
              <w:rPr>
                <w:color w:val="000000"/>
              </w:rPr>
              <w:t>Noteikumu projekts neparedz jaunu institūciju veidošanu, kā arī neparedz esošo institūciju funkciju paplašināšanu.</w:t>
            </w:r>
          </w:p>
          <w:p w:rsidR="008A5C5D" w:rsidRPr="00D33F22" w:rsidRDefault="008A5C5D" w:rsidP="002A0B32">
            <w:pPr>
              <w:pStyle w:val="naisf"/>
              <w:spacing w:before="0" w:after="0"/>
              <w:ind w:firstLine="452"/>
              <w:rPr>
                <w:color w:val="000000"/>
              </w:rPr>
            </w:pPr>
          </w:p>
        </w:tc>
      </w:tr>
      <w:tr w:rsidR="008A5C5D" w:rsidRPr="00D33F22" w:rsidTr="003D06EA">
        <w:trPr>
          <w:trHeight w:val="384"/>
          <w:jc w:val="center"/>
        </w:trPr>
        <w:tc>
          <w:tcPr>
            <w:tcW w:w="550" w:type="dxa"/>
          </w:tcPr>
          <w:p w:rsidR="008A5C5D" w:rsidRPr="00D33F22" w:rsidRDefault="008A5C5D" w:rsidP="002A0B32">
            <w:pPr>
              <w:pStyle w:val="naiskr"/>
              <w:spacing w:before="0" w:after="0"/>
            </w:pPr>
            <w:r w:rsidRPr="00D33F22">
              <w:t>3.</w:t>
            </w:r>
          </w:p>
        </w:tc>
        <w:tc>
          <w:tcPr>
            <w:tcW w:w="2537" w:type="dxa"/>
          </w:tcPr>
          <w:p w:rsidR="008A5C5D" w:rsidRPr="00D33F22" w:rsidRDefault="008A5C5D" w:rsidP="002A0B32">
            <w:r w:rsidRPr="00D33F22">
              <w:rPr>
                <w:color w:val="000000"/>
              </w:rPr>
              <w:t>Cita informācija</w:t>
            </w:r>
          </w:p>
        </w:tc>
        <w:tc>
          <w:tcPr>
            <w:tcW w:w="6264" w:type="dxa"/>
          </w:tcPr>
          <w:p w:rsidR="008A5C5D" w:rsidRPr="00D33F22" w:rsidRDefault="008A5C5D" w:rsidP="002A0B32">
            <w:pPr>
              <w:ind w:left="27" w:firstLine="425"/>
              <w:jc w:val="both"/>
            </w:pPr>
            <w:r w:rsidRPr="00D33F22">
              <w:t>Nav.</w:t>
            </w:r>
          </w:p>
        </w:tc>
      </w:tr>
    </w:tbl>
    <w:p w:rsidR="008A5C5D" w:rsidRPr="00D33F22" w:rsidRDefault="008A5C5D" w:rsidP="008A5C5D">
      <w:pPr>
        <w:pStyle w:val="naisf"/>
        <w:spacing w:before="0" w:after="0"/>
        <w:ind w:firstLine="0"/>
        <w:rPr>
          <w:color w:val="000000"/>
        </w:rPr>
      </w:pPr>
    </w:p>
    <w:p w:rsidR="008A5C5D" w:rsidRPr="00D33F22" w:rsidRDefault="008A5C5D" w:rsidP="008A5C5D">
      <w:pPr>
        <w:pStyle w:val="naisf"/>
        <w:spacing w:before="0" w:after="0"/>
        <w:ind w:firstLine="0"/>
      </w:pPr>
      <w:r w:rsidRPr="00D33F22">
        <w:rPr>
          <w:color w:val="000000"/>
        </w:rPr>
        <w:t xml:space="preserve">Anotācijas III, IV un V sadaļa – </w:t>
      </w:r>
      <w:r w:rsidRPr="00D33F22">
        <w:rPr>
          <w:iCs/>
        </w:rPr>
        <w:t>projekts šīs jomas neskar.</w:t>
      </w:r>
    </w:p>
    <w:p w:rsidR="008A5C5D" w:rsidRPr="00D33F22" w:rsidRDefault="008A5C5D" w:rsidP="008A5C5D">
      <w:pPr>
        <w:pStyle w:val="naisf"/>
        <w:spacing w:before="0" w:after="0"/>
        <w:ind w:firstLine="0"/>
      </w:pPr>
    </w:p>
    <w:p w:rsidR="008A5C5D" w:rsidRPr="00D33F22" w:rsidRDefault="008A5C5D" w:rsidP="008A5C5D">
      <w:pPr>
        <w:pStyle w:val="naisf"/>
        <w:spacing w:before="0" w:after="0"/>
        <w:ind w:firstLine="0"/>
      </w:pPr>
    </w:p>
    <w:p w:rsidR="008A5C5D" w:rsidRPr="00D33F22" w:rsidRDefault="008A5C5D" w:rsidP="008A5C5D">
      <w:pPr>
        <w:pStyle w:val="naisf"/>
        <w:spacing w:before="0" w:after="0"/>
        <w:ind w:firstLine="0"/>
      </w:pPr>
    </w:p>
    <w:p w:rsidR="008A5C5D" w:rsidRPr="00D33F22" w:rsidRDefault="008A5C5D" w:rsidP="008A5C5D">
      <w:pPr>
        <w:jc w:val="both"/>
      </w:pPr>
      <w:r w:rsidRPr="00D33F22">
        <w:t>Labklājības ministrs</w:t>
      </w:r>
      <w:r w:rsidRPr="00D33F22">
        <w:tab/>
      </w:r>
      <w:r w:rsidRPr="00D33F22">
        <w:tab/>
      </w:r>
      <w:r w:rsidRPr="00D33F22">
        <w:tab/>
      </w:r>
      <w:r w:rsidRPr="00D33F22">
        <w:tab/>
      </w:r>
      <w:r w:rsidRPr="00D33F22">
        <w:tab/>
      </w:r>
      <w:r w:rsidRPr="00D33F22">
        <w:tab/>
      </w:r>
      <w:r w:rsidRPr="00D33F22">
        <w:tab/>
      </w:r>
      <w:proofErr w:type="gramStart"/>
      <w:r w:rsidR="00595CE5" w:rsidRPr="00D33F22">
        <w:t xml:space="preserve">       </w:t>
      </w:r>
      <w:r w:rsidR="001B1125" w:rsidRPr="00D33F22">
        <w:t xml:space="preserve">   </w:t>
      </w:r>
      <w:r w:rsidR="00DD6306">
        <w:t xml:space="preserve">    </w:t>
      </w:r>
      <w:r w:rsidR="005C38C1">
        <w:t xml:space="preserve">       </w:t>
      </w:r>
      <w:r w:rsidR="00DD6306">
        <w:t xml:space="preserve">  </w:t>
      </w:r>
      <w:r w:rsidR="001B1125" w:rsidRPr="00D33F22">
        <w:t xml:space="preserve"> </w:t>
      </w:r>
      <w:proofErr w:type="gramEnd"/>
      <w:r w:rsidRPr="00D33F22">
        <w:t>J.Reirs</w:t>
      </w:r>
    </w:p>
    <w:p w:rsidR="008A5C5D" w:rsidRPr="00D33F22" w:rsidRDefault="008A5C5D" w:rsidP="008A5C5D">
      <w:pPr>
        <w:tabs>
          <w:tab w:val="center" w:pos="-142"/>
          <w:tab w:val="left" w:pos="7088"/>
        </w:tabs>
      </w:pPr>
    </w:p>
    <w:p w:rsidR="003D06EA" w:rsidRDefault="003D06EA" w:rsidP="008A5C5D">
      <w:pPr>
        <w:tabs>
          <w:tab w:val="center" w:pos="-142"/>
          <w:tab w:val="left" w:pos="3720"/>
        </w:tabs>
        <w:rPr>
          <w:color w:val="000000"/>
        </w:rPr>
      </w:pPr>
    </w:p>
    <w:p w:rsidR="003D06EA" w:rsidRDefault="003D06EA" w:rsidP="008A5C5D">
      <w:pPr>
        <w:tabs>
          <w:tab w:val="center" w:pos="-142"/>
          <w:tab w:val="left" w:pos="3720"/>
        </w:tabs>
        <w:rPr>
          <w:color w:val="000000"/>
        </w:rPr>
      </w:pPr>
    </w:p>
    <w:p w:rsidR="003D06EA" w:rsidRDefault="003D06EA" w:rsidP="008A5C5D">
      <w:pPr>
        <w:tabs>
          <w:tab w:val="center" w:pos="-142"/>
          <w:tab w:val="left" w:pos="3720"/>
        </w:tabs>
        <w:rPr>
          <w:color w:val="000000"/>
        </w:rPr>
      </w:pPr>
    </w:p>
    <w:p w:rsidR="003D06EA" w:rsidRDefault="003D06EA" w:rsidP="008A5C5D">
      <w:pPr>
        <w:tabs>
          <w:tab w:val="center" w:pos="-142"/>
          <w:tab w:val="left" w:pos="3720"/>
        </w:tabs>
        <w:rPr>
          <w:color w:val="000000"/>
        </w:rPr>
      </w:pPr>
    </w:p>
    <w:p w:rsidR="003D06EA" w:rsidRDefault="003D06EA" w:rsidP="008A5C5D">
      <w:pPr>
        <w:tabs>
          <w:tab w:val="center" w:pos="-142"/>
          <w:tab w:val="left" w:pos="3720"/>
        </w:tabs>
        <w:rPr>
          <w:color w:val="000000"/>
        </w:rPr>
      </w:pPr>
    </w:p>
    <w:p w:rsidR="003D06EA" w:rsidRDefault="003D06EA" w:rsidP="008A5C5D">
      <w:pPr>
        <w:tabs>
          <w:tab w:val="center" w:pos="-142"/>
          <w:tab w:val="left" w:pos="3720"/>
        </w:tabs>
        <w:rPr>
          <w:color w:val="000000"/>
        </w:rPr>
      </w:pPr>
    </w:p>
    <w:p w:rsidR="003D06EA" w:rsidRDefault="003D06EA" w:rsidP="008A5C5D">
      <w:pPr>
        <w:tabs>
          <w:tab w:val="center" w:pos="-142"/>
          <w:tab w:val="left" w:pos="3720"/>
        </w:tabs>
        <w:rPr>
          <w:color w:val="000000"/>
        </w:rPr>
      </w:pPr>
    </w:p>
    <w:p w:rsidR="005C38C1" w:rsidRPr="00D33F22" w:rsidRDefault="005C38C1" w:rsidP="008A5C5D">
      <w:pPr>
        <w:tabs>
          <w:tab w:val="center" w:pos="-142"/>
          <w:tab w:val="left" w:pos="3720"/>
        </w:tabs>
        <w:rPr>
          <w:color w:val="000000"/>
        </w:rPr>
      </w:pPr>
    </w:p>
    <w:p w:rsidR="008A5C5D" w:rsidRPr="00D33F22" w:rsidRDefault="008A5C5D" w:rsidP="008A5C5D">
      <w:pPr>
        <w:tabs>
          <w:tab w:val="center" w:pos="-142"/>
          <w:tab w:val="left" w:pos="3720"/>
        </w:tabs>
        <w:rPr>
          <w:color w:val="000000"/>
        </w:rPr>
      </w:pPr>
    </w:p>
    <w:p w:rsidR="008A5C5D" w:rsidRPr="00D33F22" w:rsidRDefault="0087495E" w:rsidP="008A5C5D">
      <w:pPr>
        <w:suppressAutoHyphens/>
        <w:rPr>
          <w:sz w:val="20"/>
          <w:szCs w:val="20"/>
          <w:lang w:eastAsia="ar-SA"/>
        </w:rPr>
      </w:pPr>
      <w:r>
        <w:rPr>
          <w:sz w:val="20"/>
          <w:szCs w:val="20"/>
          <w:lang w:eastAsia="ar-SA"/>
        </w:rPr>
        <w:t>31</w:t>
      </w:r>
      <w:r w:rsidR="00133D73" w:rsidRPr="00D33F22">
        <w:rPr>
          <w:sz w:val="20"/>
          <w:szCs w:val="20"/>
          <w:lang w:eastAsia="ar-SA"/>
        </w:rPr>
        <w:t>.05</w:t>
      </w:r>
      <w:r w:rsidR="008A5C5D" w:rsidRPr="00D33F22">
        <w:rPr>
          <w:sz w:val="20"/>
          <w:szCs w:val="20"/>
          <w:lang w:eastAsia="ar-SA"/>
        </w:rPr>
        <w:t xml:space="preserve">.2017. </w:t>
      </w:r>
    </w:p>
    <w:p w:rsidR="008A5C5D" w:rsidRPr="00D33F22" w:rsidRDefault="008A5C5D" w:rsidP="008A5C5D">
      <w:pPr>
        <w:tabs>
          <w:tab w:val="center" w:pos="4394"/>
        </w:tabs>
        <w:ind w:right="-483"/>
        <w:jc w:val="both"/>
        <w:rPr>
          <w:sz w:val="20"/>
          <w:szCs w:val="20"/>
        </w:rPr>
      </w:pPr>
      <w:r w:rsidRPr="00D33F22">
        <w:rPr>
          <w:sz w:val="20"/>
          <w:szCs w:val="20"/>
          <w:lang w:eastAsia="ar-SA"/>
        </w:rPr>
        <w:t>K.Venta-</w:t>
      </w:r>
      <w:proofErr w:type="spellStart"/>
      <w:r w:rsidRPr="00D33F22">
        <w:rPr>
          <w:sz w:val="20"/>
          <w:szCs w:val="20"/>
          <w:lang w:eastAsia="ar-SA"/>
        </w:rPr>
        <w:t>Kittele</w:t>
      </w:r>
      <w:proofErr w:type="spellEnd"/>
      <w:r w:rsidRPr="00D33F22">
        <w:rPr>
          <w:sz w:val="20"/>
          <w:szCs w:val="20"/>
        </w:rPr>
        <w:t xml:space="preserve">, </w:t>
      </w:r>
      <w:r w:rsidRPr="00D33F22">
        <w:rPr>
          <w:sz w:val="20"/>
          <w:szCs w:val="20"/>
          <w:lang w:eastAsia="ar-SA"/>
        </w:rPr>
        <w:t>67021610</w:t>
      </w:r>
    </w:p>
    <w:p w:rsidR="008A5C5D" w:rsidRPr="00D33F22" w:rsidRDefault="008A5C5D" w:rsidP="008A5C5D">
      <w:pPr>
        <w:tabs>
          <w:tab w:val="center" w:pos="4394"/>
        </w:tabs>
        <w:ind w:right="-483"/>
        <w:jc w:val="both"/>
        <w:rPr>
          <w:sz w:val="20"/>
          <w:szCs w:val="20"/>
        </w:rPr>
      </w:pPr>
      <w:r w:rsidRPr="00D33F22">
        <w:rPr>
          <w:color w:val="0000FF"/>
          <w:sz w:val="20"/>
          <w:szCs w:val="20"/>
          <w:u w:val="single"/>
          <w:lang w:eastAsia="ar-SA"/>
        </w:rPr>
        <w:t>kristine.venta-kittele@lm.gov.lv</w:t>
      </w:r>
    </w:p>
    <w:p w:rsidR="00BD7E01" w:rsidRPr="00D33F22" w:rsidRDefault="00BD7E01"/>
    <w:sectPr w:rsidR="00BD7E01" w:rsidRPr="00D33F22" w:rsidSect="001B0509">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87" w:rsidRDefault="00A81C87" w:rsidP="001506F1">
      <w:r>
        <w:separator/>
      </w:r>
    </w:p>
  </w:endnote>
  <w:endnote w:type="continuationSeparator" w:id="0">
    <w:p w:rsidR="00A81C87" w:rsidRDefault="00A81C87" w:rsidP="0015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676C52" w:rsidRDefault="00D16889" w:rsidP="00136C29">
    <w:pPr>
      <w:pStyle w:val="Footer"/>
      <w:jc w:val="both"/>
    </w:pPr>
    <w:r>
      <w:rPr>
        <w:sz w:val="20"/>
        <w:szCs w:val="20"/>
      </w:rPr>
      <w:t>LMAnot_</w:t>
    </w:r>
    <w:r w:rsidR="00B36794">
      <w:rPr>
        <w:sz w:val="20"/>
        <w:szCs w:val="20"/>
      </w:rPr>
      <w:t>31</w:t>
    </w:r>
    <w:r w:rsidR="001506F1">
      <w:rPr>
        <w:sz w:val="20"/>
        <w:szCs w:val="20"/>
      </w:rPr>
      <w:t>05</w:t>
    </w:r>
    <w:r>
      <w:rPr>
        <w:sz w:val="20"/>
        <w:szCs w:val="20"/>
      </w:rPr>
      <w:t>17</w:t>
    </w:r>
    <w:r w:rsidR="00E70CAC">
      <w:rPr>
        <w:sz w:val="20"/>
        <w:szCs w:val="20"/>
      </w:rPr>
      <w:t>_sadarb_bta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E4" w:rsidRPr="00676C52" w:rsidRDefault="003A5A94" w:rsidP="00F762E4">
    <w:pPr>
      <w:pStyle w:val="Footer"/>
      <w:jc w:val="both"/>
    </w:pPr>
    <w:r>
      <w:rPr>
        <w:sz w:val="20"/>
        <w:szCs w:val="20"/>
      </w:rPr>
      <w:t>LMAnot_31</w:t>
    </w:r>
    <w:r w:rsidR="00F762E4">
      <w:rPr>
        <w:sz w:val="20"/>
        <w:szCs w:val="20"/>
      </w:rPr>
      <w:t>0517</w:t>
    </w:r>
    <w:r w:rsidR="00E70CAC">
      <w:rPr>
        <w:sz w:val="20"/>
        <w:szCs w:val="20"/>
      </w:rPr>
      <w:t>_sadarb_bta</w:t>
    </w:r>
  </w:p>
  <w:p w:rsidR="0039309F" w:rsidRPr="00F762E4" w:rsidRDefault="00A81C87" w:rsidP="00F7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87" w:rsidRDefault="00A81C87" w:rsidP="001506F1">
      <w:r>
        <w:separator/>
      </w:r>
    </w:p>
  </w:footnote>
  <w:footnote w:type="continuationSeparator" w:id="0">
    <w:p w:rsidR="00A81C87" w:rsidRDefault="00A81C87" w:rsidP="00150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D1688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09F" w:rsidRDefault="00A81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D1688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222">
      <w:rPr>
        <w:rStyle w:val="PageNumber"/>
        <w:noProof/>
      </w:rPr>
      <w:t>4</w:t>
    </w:r>
    <w:r>
      <w:rPr>
        <w:rStyle w:val="PageNumber"/>
      </w:rPr>
      <w:fldChar w:fldCharType="end"/>
    </w:r>
  </w:p>
  <w:p w:rsidR="0039309F" w:rsidRDefault="00A81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45E7C"/>
    <w:multiLevelType w:val="hybridMultilevel"/>
    <w:tmpl w:val="99F850B8"/>
    <w:lvl w:ilvl="0" w:tplc="699AD9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D222AC"/>
    <w:multiLevelType w:val="multilevel"/>
    <w:tmpl w:val="C5E8DBA6"/>
    <w:lvl w:ilvl="0">
      <w:start w:val="1"/>
      <w:numFmt w:val="decimal"/>
      <w:lvlText w:val="%1."/>
      <w:lvlJc w:val="left"/>
      <w:pPr>
        <w:ind w:left="644" w:hanging="360"/>
      </w:pPr>
      <w:rPr>
        <w:rFonts w:ascii="Times New Roman" w:hAnsi="Times New Roman" w:cs="Times New Roman"/>
        <w:b w:val="0"/>
        <w:sz w:val="28"/>
        <w:szCs w:val="28"/>
      </w:rPr>
    </w:lvl>
    <w:lvl w:ilvl="1">
      <w:start w:val="1"/>
      <w:numFmt w:val="decimal"/>
      <w:lvlText w:val="%1.%2."/>
      <w:lvlJc w:val="left"/>
      <w:pPr>
        <w:ind w:left="1571" w:hanging="720"/>
      </w:pPr>
      <w:rPr>
        <w:rFonts w:ascii="Times New Roman" w:hAnsi="Times New Roman" w:cs="Times New Roman"/>
        <w:sz w:val="28"/>
        <w:szCs w:val="28"/>
      </w:rPr>
    </w:lvl>
    <w:lvl w:ilvl="2">
      <w:start w:val="1"/>
      <w:numFmt w:val="decimal"/>
      <w:lvlText w:val="%1.%2.%3."/>
      <w:lvlJc w:val="left"/>
      <w:pPr>
        <w:ind w:left="1080" w:hanging="720"/>
      </w:pPr>
      <w:rPr>
        <w:rFonts w:ascii="Times New Roman" w:hAnsi="Times New Roman" w:cs="Times New Roman"/>
        <w:sz w:val="28"/>
        <w:szCs w:val="28"/>
      </w:rPr>
    </w:lvl>
    <w:lvl w:ilvl="3">
      <w:start w:val="1"/>
      <w:numFmt w:val="decimal"/>
      <w:lvlText w:val="%1.%2.%3.%4."/>
      <w:lvlJc w:val="left"/>
      <w:pPr>
        <w:ind w:left="1440" w:hanging="1080"/>
      </w:pPr>
      <w:rPr>
        <w:rFonts w:ascii="Times New Roman" w:hAnsi="Times New Roman" w:cs="Times New Roman"/>
        <w:sz w:val="28"/>
        <w:szCs w:val="28"/>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4D476C89"/>
    <w:multiLevelType w:val="hybridMultilevel"/>
    <w:tmpl w:val="1ECAB512"/>
    <w:lvl w:ilvl="0" w:tplc="8E0490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D"/>
    <w:rsid w:val="00004738"/>
    <w:rsid w:val="00006312"/>
    <w:rsid w:val="000333D4"/>
    <w:rsid w:val="0004340A"/>
    <w:rsid w:val="0004414A"/>
    <w:rsid w:val="00047A1D"/>
    <w:rsid w:val="0006541E"/>
    <w:rsid w:val="00067E42"/>
    <w:rsid w:val="000874E7"/>
    <w:rsid w:val="000A1BDD"/>
    <w:rsid w:val="000A4709"/>
    <w:rsid w:val="000C69D2"/>
    <w:rsid w:val="000D4AD7"/>
    <w:rsid w:val="000D6D05"/>
    <w:rsid w:val="000E4C91"/>
    <w:rsid w:val="000E668A"/>
    <w:rsid w:val="000F0984"/>
    <w:rsid w:val="00120298"/>
    <w:rsid w:val="0012766F"/>
    <w:rsid w:val="00133D73"/>
    <w:rsid w:val="001414CD"/>
    <w:rsid w:val="0014403F"/>
    <w:rsid w:val="00145D12"/>
    <w:rsid w:val="001506F1"/>
    <w:rsid w:val="001927BA"/>
    <w:rsid w:val="001A5A56"/>
    <w:rsid w:val="001B1125"/>
    <w:rsid w:val="001B1F04"/>
    <w:rsid w:val="001E7EA4"/>
    <w:rsid w:val="001F54BA"/>
    <w:rsid w:val="00203653"/>
    <w:rsid w:val="00232A0E"/>
    <w:rsid w:val="00237B55"/>
    <w:rsid w:val="003136D7"/>
    <w:rsid w:val="0035023D"/>
    <w:rsid w:val="00365A20"/>
    <w:rsid w:val="00366D55"/>
    <w:rsid w:val="00376E6A"/>
    <w:rsid w:val="003A56DB"/>
    <w:rsid w:val="003A5A94"/>
    <w:rsid w:val="003B049A"/>
    <w:rsid w:val="003D06EA"/>
    <w:rsid w:val="003D3A39"/>
    <w:rsid w:val="003D5D33"/>
    <w:rsid w:val="003D75EC"/>
    <w:rsid w:val="00410B99"/>
    <w:rsid w:val="004654FB"/>
    <w:rsid w:val="00484B01"/>
    <w:rsid w:val="0049389A"/>
    <w:rsid w:val="004E0222"/>
    <w:rsid w:val="00503253"/>
    <w:rsid w:val="00510C3A"/>
    <w:rsid w:val="00536F97"/>
    <w:rsid w:val="005410CC"/>
    <w:rsid w:val="00545974"/>
    <w:rsid w:val="00553642"/>
    <w:rsid w:val="00554B38"/>
    <w:rsid w:val="00595CE5"/>
    <w:rsid w:val="005A7A00"/>
    <w:rsid w:val="005B48C2"/>
    <w:rsid w:val="005C38C1"/>
    <w:rsid w:val="005C7F79"/>
    <w:rsid w:val="005D0E20"/>
    <w:rsid w:val="005E1468"/>
    <w:rsid w:val="0061556C"/>
    <w:rsid w:val="0061773C"/>
    <w:rsid w:val="0062576D"/>
    <w:rsid w:val="006379E3"/>
    <w:rsid w:val="00641D5C"/>
    <w:rsid w:val="00661BF5"/>
    <w:rsid w:val="00673918"/>
    <w:rsid w:val="006B2635"/>
    <w:rsid w:val="006B449A"/>
    <w:rsid w:val="006F289E"/>
    <w:rsid w:val="006F773D"/>
    <w:rsid w:val="0070665C"/>
    <w:rsid w:val="00723A19"/>
    <w:rsid w:val="00725D47"/>
    <w:rsid w:val="00727612"/>
    <w:rsid w:val="00742460"/>
    <w:rsid w:val="007525FA"/>
    <w:rsid w:val="00775121"/>
    <w:rsid w:val="00794586"/>
    <w:rsid w:val="007A4B63"/>
    <w:rsid w:val="007A7C3E"/>
    <w:rsid w:val="007B4F06"/>
    <w:rsid w:val="007B58F6"/>
    <w:rsid w:val="007C0EE4"/>
    <w:rsid w:val="007C3C04"/>
    <w:rsid w:val="007C4605"/>
    <w:rsid w:val="007D7EC0"/>
    <w:rsid w:val="007E2459"/>
    <w:rsid w:val="00825103"/>
    <w:rsid w:val="00833318"/>
    <w:rsid w:val="008436C2"/>
    <w:rsid w:val="008672B4"/>
    <w:rsid w:val="0087495E"/>
    <w:rsid w:val="0087526A"/>
    <w:rsid w:val="00884522"/>
    <w:rsid w:val="008A5C5D"/>
    <w:rsid w:val="008B325A"/>
    <w:rsid w:val="00900946"/>
    <w:rsid w:val="00933618"/>
    <w:rsid w:val="00937385"/>
    <w:rsid w:val="009378BF"/>
    <w:rsid w:val="00970546"/>
    <w:rsid w:val="00993554"/>
    <w:rsid w:val="009B6408"/>
    <w:rsid w:val="009C4D4E"/>
    <w:rsid w:val="009D673B"/>
    <w:rsid w:val="00A01CF5"/>
    <w:rsid w:val="00A11858"/>
    <w:rsid w:val="00A44143"/>
    <w:rsid w:val="00A81C87"/>
    <w:rsid w:val="00A84F36"/>
    <w:rsid w:val="00A93496"/>
    <w:rsid w:val="00AD223D"/>
    <w:rsid w:val="00AE1DFE"/>
    <w:rsid w:val="00AE37E6"/>
    <w:rsid w:val="00AF602A"/>
    <w:rsid w:val="00B03732"/>
    <w:rsid w:val="00B03E36"/>
    <w:rsid w:val="00B31DE4"/>
    <w:rsid w:val="00B35532"/>
    <w:rsid w:val="00B35D74"/>
    <w:rsid w:val="00B36794"/>
    <w:rsid w:val="00B4444C"/>
    <w:rsid w:val="00B52E86"/>
    <w:rsid w:val="00B914CE"/>
    <w:rsid w:val="00BC1614"/>
    <w:rsid w:val="00BD5AB5"/>
    <w:rsid w:val="00BD7E01"/>
    <w:rsid w:val="00BF6F23"/>
    <w:rsid w:val="00C20CBE"/>
    <w:rsid w:val="00C51890"/>
    <w:rsid w:val="00C539B1"/>
    <w:rsid w:val="00C65E44"/>
    <w:rsid w:val="00C768B4"/>
    <w:rsid w:val="00CF6850"/>
    <w:rsid w:val="00CF6A26"/>
    <w:rsid w:val="00D040D2"/>
    <w:rsid w:val="00D053B5"/>
    <w:rsid w:val="00D16889"/>
    <w:rsid w:val="00D23112"/>
    <w:rsid w:val="00D33F22"/>
    <w:rsid w:val="00D37C3C"/>
    <w:rsid w:val="00D41B94"/>
    <w:rsid w:val="00D94991"/>
    <w:rsid w:val="00DC1C4E"/>
    <w:rsid w:val="00DD6306"/>
    <w:rsid w:val="00E018D2"/>
    <w:rsid w:val="00E01B5D"/>
    <w:rsid w:val="00E03E7A"/>
    <w:rsid w:val="00E340B0"/>
    <w:rsid w:val="00E369E5"/>
    <w:rsid w:val="00E650D9"/>
    <w:rsid w:val="00E70CAC"/>
    <w:rsid w:val="00E83634"/>
    <w:rsid w:val="00E949C8"/>
    <w:rsid w:val="00EA4193"/>
    <w:rsid w:val="00EB3FF5"/>
    <w:rsid w:val="00ED3A83"/>
    <w:rsid w:val="00EE7A29"/>
    <w:rsid w:val="00EF28C1"/>
    <w:rsid w:val="00F36285"/>
    <w:rsid w:val="00F633B4"/>
    <w:rsid w:val="00F762E4"/>
    <w:rsid w:val="00FB70C2"/>
    <w:rsid w:val="00FF0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42896CE-C4DD-451B-A30B-A96C2AEA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5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C5D"/>
    <w:pPr>
      <w:tabs>
        <w:tab w:val="center" w:pos="4153"/>
        <w:tab w:val="right" w:pos="8306"/>
      </w:tabs>
    </w:pPr>
  </w:style>
  <w:style w:type="character" w:customStyle="1" w:styleId="HeaderChar">
    <w:name w:val="Header Char"/>
    <w:basedOn w:val="DefaultParagraphFont"/>
    <w:link w:val="Header"/>
    <w:uiPriority w:val="99"/>
    <w:rsid w:val="008A5C5D"/>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8A5C5D"/>
    <w:rPr>
      <w:rFonts w:cs="Times New Roman"/>
    </w:rPr>
  </w:style>
  <w:style w:type="paragraph" w:customStyle="1" w:styleId="naisf">
    <w:name w:val="naisf"/>
    <w:basedOn w:val="Normal"/>
    <w:uiPriority w:val="99"/>
    <w:rsid w:val="008A5C5D"/>
    <w:pPr>
      <w:spacing w:before="75" w:after="75"/>
      <w:ind w:firstLine="375"/>
      <w:jc w:val="both"/>
    </w:pPr>
  </w:style>
  <w:style w:type="paragraph" w:customStyle="1" w:styleId="naisnod">
    <w:name w:val="naisnod"/>
    <w:basedOn w:val="Normal"/>
    <w:uiPriority w:val="99"/>
    <w:rsid w:val="008A5C5D"/>
    <w:pPr>
      <w:spacing w:before="150" w:after="150"/>
      <w:jc w:val="center"/>
    </w:pPr>
    <w:rPr>
      <w:b/>
      <w:bCs/>
    </w:rPr>
  </w:style>
  <w:style w:type="paragraph" w:customStyle="1" w:styleId="naislab">
    <w:name w:val="naislab"/>
    <w:basedOn w:val="Normal"/>
    <w:uiPriority w:val="99"/>
    <w:rsid w:val="008A5C5D"/>
    <w:pPr>
      <w:spacing w:before="75" w:after="75"/>
      <w:jc w:val="right"/>
    </w:pPr>
  </w:style>
  <w:style w:type="paragraph" w:customStyle="1" w:styleId="naiskr">
    <w:name w:val="naiskr"/>
    <w:basedOn w:val="Normal"/>
    <w:uiPriority w:val="99"/>
    <w:rsid w:val="008A5C5D"/>
    <w:pPr>
      <w:spacing w:before="75" w:after="75"/>
    </w:pPr>
  </w:style>
  <w:style w:type="paragraph" w:styleId="FootnoteText">
    <w:name w:val="footnote text"/>
    <w:basedOn w:val="Normal"/>
    <w:link w:val="FootnoteTextChar"/>
    <w:uiPriority w:val="99"/>
    <w:semiHidden/>
    <w:rsid w:val="008A5C5D"/>
    <w:rPr>
      <w:sz w:val="20"/>
      <w:szCs w:val="20"/>
    </w:rPr>
  </w:style>
  <w:style w:type="character" w:customStyle="1" w:styleId="FootnoteTextChar">
    <w:name w:val="Footnote Text Char"/>
    <w:basedOn w:val="DefaultParagraphFont"/>
    <w:link w:val="FootnoteText"/>
    <w:uiPriority w:val="99"/>
    <w:semiHidden/>
    <w:rsid w:val="008A5C5D"/>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A5C5D"/>
    <w:pPr>
      <w:tabs>
        <w:tab w:val="center" w:pos="4153"/>
        <w:tab w:val="right" w:pos="8306"/>
      </w:tabs>
    </w:pPr>
  </w:style>
  <w:style w:type="character" w:customStyle="1" w:styleId="FooterChar">
    <w:name w:val="Footer Char"/>
    <w:basedOn w:val="DefaultParagraphFont"/>
    <w:link w:val="Footer"/>
    <w:uiPriority w:val="99"/>
    <w:rsid w:val="008A5C5D"/>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A5C5D"/>
    <w:rPr>
      <w:rFonts w:cs="Times New Roman"/>
      <w:color w:val="0000FF"/>
      <w:u w:val="single"/>
    </w:rPr>
  </w:style>
  <w:style w:type="character" w:customStyle="1" w:styleId="Noklusjumarindkopasfonts">
    <w:name w:val="Noklusējuma rindkopas fonts"/>
    <w:rsid w:val="008436C2"/>
  </w:style>
  <w:style w:type="paragraph" w:customStyle="1" w:styleId="Sarakstarindkopa">
    <w:name w:val="Saraksta rindkopa"/>
    <w:basedOn w:val="Normal"/>
    <w:rsid w:val="00AF602A"/>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apple-converted-space">
    <w:name w:val="apple-converted-space"/>
    <w:basedOn w:val="DefaultParagraphFont"/>
    <w:rsid w:val="00366D55"/>
  </w:style>
  <w:style w:type="paragraph" w:styleId="BalloonText">
    <w:name w:val="Balloon Text"/>
    <w:basedOn w:val="Normal"/>
    <w:link w:val="BalloonTextChar"/>
    <w:uiPriority w:val="99"/>
    <w:semiHidden/>
    <w:unhideWhenUsed/>
    <w:rsid w:val="00FF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8F"/>
    <w:rPr>
      <w:rFonts w:ascii="Segoe UI" w:eastAsia="Times New Roman" w:hAnsi="Segoe UI" w:cs="Segoe UI"/>
      <w:sz w:val="18"/>
      <w:szCs w:val="18"/>
      <w:lang w:eastAsia="lv-LV"/>
    </w:rPr>
  </w:style>
  <w:style w:type="paragraph" w:styleId="ListParagraph">
    <w:name w:val="List Paragraph"/>
    <w:basedOn w:val="Normal"/>
    <w:rsid w:val="003D06EA"/>
    <w:pPr>
      <w:autoSpaceDN w:val="0"/>
      <w:spacing w:after="200" w:line="276"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4</Pages>
  <Words>6023</Words>
  <Characters>3434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147</cp:revision>
  <cp:lastPrinted>2017-05-30T13:05:00Z</cp:lastPrinted>
  <dcterms:created xsi:type="dcterms:W3CDTF">2017-05-25T10:29:00Z</dcterms:created>
  <dcterms:modified xsi:type="dcterms:W3CDTF">2017-06-02T10:54:00Z</dcterms:modified>
</cp:coreProperties>
</file>