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36" w:rsidRPr="00703936" w:rsidRDefault="00703936" w:rsidP="00703936">
      <w:pPr>
        <w:ind w:left="9214" w:firstLine="567"/>
        <w:jc w:val="right"/>
        <w:rPr>
          <w:rFonts w:eastAsia="Times New Roman"/>
          <w:color w:val="000000"/>
          <w:sz w:val="20"/>
          <w:szCs w:val="20"/>
          <w:lang w:eastAsia="lv-LV"/>
        </w:rPr>
      </w:pPr>
      <w:r w:rsidRPr="00B2141A">
        <w:rPr>
          <w:rFonts w:eastAsia="Times New Roman"/>
          <w:color w:val="000000"/>
          <w:lang w:eastAsia="lv-LV"/>
        </w:rPr>
        <w:t xml:space="preserve">3.pielikums </w:t>
      </w:r>
      <w:r w:rsidRPr="00B2141A">
        <w:rPr>
          <w:rFonts w:eastAsia="Times New Roman"/>
          <w:color w:val="000000"/>
          <w:lang w:eastAsia="lv-LV"/>
        </w:rPr>
        <w:br/>
        <w:t>Ministru kabineta rīkojuma projekta "Par finanšu līdzekļu piešķiršanu no valsts budžeta programmas "Līdzekļi neparedzētiem gadījumiem"" sākotnējās ietekmes novērtējuma</w:t>
      </w:r>
      <w:r w:rsidRPr="00703936">
        <w:rPr>
          <w:rFonts w:eastAsia="Times New Roman"/>
          <w:color w:val="000000"/>
          <w:sz w:val="20"/>
          <w:szCs w:val="20"/>
          <w:lang w:eastAsia="lv-LV"/>
        </w:rPr>
        <w:t xml:space="preserve"> </w:t>
      </w:r>
      <w:r w:rsidRPr="00B2141A">
        <w:rPr>
          <w:rFonts w:eastAsia="Times New Roman"/>
          <w:color w:val="000000"/>
          <w:lang w:eastAsia="lv-LV"/>
        </w:rPr>
        <w:t>ziņojumam (anotācijai)</w:t>
      </w:r>
    </w:p>
    <w:tbl>
      <w:tblPr>
        <w:tblW w:w="0" w:type="auto"/>
        <w:tblLook w:val="04A0" w:firstRow="1" w:lastRow="0" w:firstColumn="1" w:lastColumn="0" w:noHBand="0" w:noVBand="1"/>
      </w:tblPr>
      <w:tblGrid>
        <w:gridCol w:w="2197"/>
        <w:gridCol w:w="1252"/>
        <w:gridCol w:w="753"/>
        <w:gridCol w:w="845"/>
        <w:gridCol w:w="805"/>
        <w:gridCol w:w="1131"/>
        <w:gridCol w:w="748"/>
        <w:gridCol w:w="725"/>
        <w:gridCol w:w="771"/>
        <w:gridCol w:w="787"/>
        <w:gridCol w:w="943"/>
        <w:gridCol w:w="942"/>
        <w:gridCol w:w="942"/>
        <w:gridCol w:w="787"/>
        <w:gridCol w:w="942"/>
      </w:tblGrid>
      <w:tr w:rsidR="00703936" w:rsidRPr="00703936" w:rsidTr="00703936">
        <w:trPr>
          <w:trHeight w:val="315"/>
        </w:trPr>
        <w:tc>
          <w:tcPr>
            <w:tcW w:w="0" w:type="auto"/>
            <w:gridSpan w:val="15"/>
            <w:tcBorders>
              <w:top w:val="nil"/>
              <w:left w:val="nil"/>
              <w:bottom w:val="nil"/>
              <w:right w:val="nil"/>
            </w:tcBorders>
            <w:shd w:val="clear" w:color="000000" w:fill="auto"/>
            <w:vAlign w:val="center"/>
            <w:hideMark/>
          </w:tcPr>
          <w:p w:rsidR="00703936" w:rsidRPr="00B2141A" w:rsidRDefault="00703936" w:rsidP="00703936">
            <w:pPr>
              <w:jc w:val="center"/>
              <w:rPr>
                <w:rFonts w:eastAsia="Times New Roman"/>
                <w:b/>
                <w:bCs/>
                <w:lang w:eastAsia="lv-LV"/>
              </w:rPr>
            </w:pPr>
            <w:r w:rsidRPr="00B2141A">
              <w:rPr>
                <w:rFonts w:eastAsia="Times New Roman"/>
                <w:b/>
                <w:bCs/>
                <w:lang w:eastAsia="lv-LV"/>
              </w:rPr>
              <w:t>Lokālā tāme Nr. 1</w:t>
            </w:r>
          </w:p>
        </w:tc>
      </w:tr>
      <w:tr w:rsidR="00703936" w:rsidRPr="00703936" w:rsidTr="00703936">
        <w:trPr>
          <w:trHeight w:val="300"/>
        </w:trPr>
        <w:tc>
          <w:tcPr>
            <w:tcW w:w="0" w:type="auto"/>
            <w:gridSpan w:val="15"/>
            <w:tcBorders>
              <w:top w:val="nil"/>
              <w:left w:val="nil"/>
              <w:bottom w:val="nil"/>
              <w:right w:val="nil"/>
            </w:tcBorders>
            <w:shd w:val="clear" w:color="000000" w:fill="auto"/>
            <w:vAlign w:val="center"/>
            <w:hideMark/>
          </w:tcPr>
          <w:p w:rsidR="00703936" w:rsidRPr="00B2141A" w:rsidRDefault="00703936" w:rsidP="00703936">
            <w:pPr>
              <w:jc w:val="center"/>
              <w:rPr>
                <w:rFonts w:eastAsia="Times New Roman"/>
                <w:b/>
                <w:bCs/>
                <w:lang w:eastAsia="lv-LV"/>
              </w:rPr>
            </w:pPr>
            <w:r w:rsidRPr="00B2141A">
              <w:rPr>
                <w:rFonts w:eastAsia="Times New Roman"/>
                <w:b/>
                <w:bCs/>
                <w:lang w:eastAsia="lv-LV"/>
              </w:rPr>
              <w:t>Telpu remonts</w:t>
            </w:r>
          </w:p>
        </w:tc>
      </w:tr>
      <w:tr w:rsidR="00703936" w:rsidRPr="00703936" w:rsidTr="00703936">
        <w:trPr>
          <w:trHeight w:val="255"/>
        </w:trPr>
        <w:tc>
          <w:tcPr>
            <w:tcW w:w="0" w:type="auto"/>
            <w:gridSpan w:val="15"/>
            <w:tcBorders>
              <w:top w:val="nil"/>
              <w:left w:val="nil"/>
              <w:bottom w:val="nil"/>
              <w:right w:val="nil"/>
            </w:tcBorders>
            <w:shd w:val="clear" w:color="000000" w:fill="auto"/>
            <w:hideMark/>
          </w:tcPr>
          <w:p w:rsidR="00703936" w:rsidRPr="00B2141A" w:rsidRDefault="00703936" w:rsidP="00703936">
            <w:pPr>
              <w:jc w:val="center"/>
              <w:rPr>
                <w:rFonts w:eastAsia="Times New Roman"/>
                <w:sz w:val="16"/>
                <w:szCs w:val="12"/>
                <w:lang w:eastAsia="lv-LV"/>
              </w:rPr>
            </w:pPr>
            <w:r w:rsidRPr="00B2141A">
              <w:rPr>
                <w:rFonts w:eastAsia="Times New Roman"/>
                <w:sz w:val="16"/>
                <w:szCs w:val="12"/>
                <w:lang w:eastAsia="lv-LV"/>
              </w:rPr>
              <w:t>(darba veids vai konstruktīvā elementa nosaukums)</w:t>
            </w:r>
          </w:p>
        </w:tc>
      </w:tr>
      <w:tr w:rsidR="00703936" w:rsidRPr="00703936" w:rsidTr="00703936">
        <w:trPr>
          <w:trHeight w:val="255"/>
        </w:trPr>
        <w:tc>
          <w:tcPr>
            <w:tcW w:w="0" w:type="auto"/>
            <w:tcBorders>
              <w:top w:val="nil"/>
              <w:left w:val="nil"/>
              <w:bottom w:val="nil"/>
              <w:right w:val="nil"/>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Objekta nosaukums</w:t>
            </w:r>
          </w:p>
        </w:tc>
        <w:tc>
          <w:tcPr>
            <w:tcW w:w="0" w:type="auto"/>
            <w:gridSpan w:val="14"/>
            <w:tcBorders>
              <w:top w:val="nil"/>
              <w:left w:val="nil"/>
              <w:bottom w:val="nil"/>
              <w:right w:val="nil"/>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Valsts tiesu ekspertīžu birojs</w:t>
            </w:r>
          </w:p>
        </w:tc>
      </w:tr>
      <w:tr w:rsidR="00703936" w:rsidRPr="00703936" w:rsidTr="00703936">
        <w:trPr>
          <w:trHeight w:val="255"/>
        </w:trPr>
        <w:tc>
          <w:tcPr>
            <w:tcW w:w="0" w:type="auto"/>
            <w:tcBorders>
              <w:top w:val="nil"/>
              <w:left w:val="nil"/>
              <w:bottom w:val="nil"/>
              <w:right w:val="nil"/>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Objekta adrese</w:t>
            </w:r>
          </w:p>
        </w:tc>
        <w:tc>
          <w:tcPr>
            <w:tcW w:w="0" w:type="auto"/>
            <w:gridSpan w:val="14"/>
            <w:tcBorders>
              <w:top w:val="nil"/>
              <w:left w:val="nil"/>
              <w:bottom w:val="nil"/>
              <w:right w:val="nil"/>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Rīga, Upes iela 1</w:t>
            </w:r>
          </w:p>
        </w:tc>
      </w:tr>
      <w:tr w:rsidR="00703936" w:rsidRPr="00703936" w:rsidTr="00703936">
        <w:trPr>
          <w:trHeight w:val="255"/>
        </w:trPr>
        <w:tc>
          <w:tcPr>
            <w:tcW w:w="0" w:type="auto"/>
            <w:gridSpan w:val="15"/>
            <w:tcBorders>
              <w:top w:val="nil"/>
              <w:left w:val="nil"/>
              <w:bottom w:val="nil"/>
              <w:right w:val="nil"/>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Sastādīta 2015. gada tirgus cenās.</w:t>
            </w:r>
          </w:p>
        </w:tc>
      </w:tr>
      <w:tr w:rsidR="00703936" w:rsidRPr="00703936" w:rsidTr="00703936">
        <w:trPr>
          <w:trHeight w:val="930"/>
        </w:trPr>
        <w:tc>
          <w:tcPr>
            <w:tcW w:w="0" w:type="auto"/>
            <w:tcBorders>
              <w:top w:val="nil"/>
              <w:left w:val="nil"/>
              <w:bottom w:val="nil"/>
              <w:right w:val="nil"/>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Komentārs</w:t>
            </w:r>
          </w:p>
        </w:tc>
        <w:tc>
          <w:tcPr>
            <w:tcW w:w="0" w:type="auto"/>
            <w:gridSpan w:val="14"/>
            <w:tcBorders>
              <w:top w:val="nil"/>
              <w:left w:val="nil"/>
              <w:bottom w:val="nil"/>
              <w:right w:val="nil"/>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 xml:space="preserve">Būvuzņēmējam jāievērtē darba apjomā minēto darbu veikšanai nepieciešamie materiāli un papildus darbi, kas nav minēti šajā sarakstā, bet bez kuriem nebūtu iespējama būvdarbu tehnoloģiski pareiza un esošajiem normatīviem atbilstoša veikšana pilnā apmērā. Darbu apjomu sarakstu skatīt kopā ar rasējumiem un specifikācījām. Gadījumā ja darbu apjomi nesakrīt, par pareiziem jāuzskata rasējumos esošie darbu apjomi. Videi kaitīgie </w:t>
            </w:r>
            <w:r>
              <w:rPr>
                <w:rFonts w:eastAsia="Times New Roman"/>
                <w:sz w:val="20"/>
                <w:szCs w:val="20"/>
                <w:lang w:eastAsia="lv-LV"/>
              </w:rPr>
              <w:t xml:space="preserve">atkritumi jāutilizē atbilstoši </w:t>
            </w:r>
            <w:r w:rsidRPr="00703936">
              <w:rPr>
                <w:rFonts w:eastAsia="Times New Roman"/>
                <w:sz w:val="20"/>
                <w:szCs w:val="20"/>
                <w:lang w:eastAsia="lv-LV"/>
              </w:rPr>
              <w:t>Atkritumu apsaimniekošanas likumam.  Visi koka elementi antiseptējami un apstrādājami ar antipirēniem atbilstoši LBN 201-98 prasībām.</w:t>
            </w:r>
          </w:p>
        </w:tc>
      </w:tr>
      <w:tr w:rsidR="00703936" w:rsidRPr="00703936" w:rsidTr="00703936">
        <w:trPr>
          <w:trHeight w:val="255"/>
        </w:trPr>
        <w:tc>
          <w:tcPr>
            <w:tcW w:w="0" w:type="auto"/>
            <w:gridSpan w:val="14"/>
            <w:tcBorders>
              <w:top w:val="nil"/>
              <w:left w:val="nil"/>
              <w:bottom w:val="single" w:sz="4" w:space="0" w:color="auto"/>
              <w:right w:val="nil"/>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Tāmes izmaksas 7 499,23 €</w:t>
            </w:r>
          </w:p>
        </w:tc>
        <w:tc>
          <w:tcPr>
            <w:tcW w:w="0" w:type="auto"/>
            <w:tcBorders>
              <w:top w:val="nil"/>
              <w:left w:val="nil"/>
              <w:bottom w:val="nil"/>
              <w:right w:val="nil"/>
            </w:tcBorders>
            <w:shd w:val="clear" w:color="000000" w:fill="auto"/>
            <w:vAlign w:val="center"/>
            <w:hideMark/>
          </w:tcPr>
          <w:p w:rsidR="00703936" w:rsidRPr="00703936" w:rsidRDefault="00703936" w:rsidP="00703936">
            <w:pPr>
              <w:jc w:val="right"/>
              <w:rPr>
                <w:rFonts w:eastAsia="Times New Roman"/>
                <w:sz w:val="20"/>
                <w:szCs w:val="20"/>
                <w:lang w:eastAsia="lv-LV"/>
              </w:rPr>
            </w:pPr>
          </w:p>
        </w:tc>
      </w:tr>
      <w:tr w:rsidR="00703936" w:rsidRPr="00703936" w:rsidTr="00703936">
        <w:trPr>
          <w:trHeight w:val="255"/>
        </w:trPr>
        <w:tc>
          <w:tcPr>
            <w:tcW w:w="0" w:type="auto"/>
            <w:tcBorders>
              <w:top w:val="nil"/>
              <w:left w:val="single" w:sz="4" w:space="0" w:color="auto"/>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Darba nosaukums</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Pamat.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Mērv.</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Daudz.</w:t>
            </w:r>
          </w:p>
        </w:tc>
        <w:tc>
          <w:tcPr>
            <w:tcW w:w="0" w:type="auto"/>
            <w:gridSpan w:val="6"/>
            <w:tcBorders>
              <w:top w:val="single" w:sz="4" w:space="0" w:color="auto"/>
              <w:left w:val="nil"/>
              <w:bottom w:val="single" w:sz="4" w:space="0" w:color="auto"/>
              <w:right w:val="single" w:sz="4" w:space="0" w:color="000000"/>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Vienības izmaksas</w:t>
            </w:r>
          </w:p>
        </w:tc>
        <w:tc>
          <w:tcPr>
            <w:tcW w:w="0" w:type="auto"/>
            <w:gridSpan w:val="5"/>
            <w:tcBorders>
              <w:top w:val="single" w:sz="4" w:space="0" w:color="auto"/>
              <w:left w:val="nil"/>
              <w:bottom w:val="single" w:sz="4" w:space="0" w:color="auto"/>
              <w:right w:val="single" w:sz="4" w:space="0" w:color="000000"/>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Kopā uz visu apjomu</w:t>
            </w:r>
          </w:p>
        </w:tc>
      </w:tr>
      <w:tr w:rsidR="00703936" w:rsidRPr="00703936" w:rsidTr="00703936">
        <w:trPr>
          <w:trHeight w:val="1230"/>
        </w:trPr>
        <w:tc>
          <w:tcPr>
            <w:tcW w:w="0" w:type="auto"/>
            <w:tcBorders>
              <w:top w:val="nil"/>
              <w:left w:val="single" w:sz="4" w:space="0" w:color="auto"/>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 </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 </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 </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 </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laika</w:t>
            </w:r>
            <w:r w:rsidRPr="00703936">
              <w:rPr>
                <w:rFonts w:eastAsia="Times New Roman"/>
                <w:b/>
                <w:bCs/>
                <w:sz w:val="20"/>
                <w:szCs w:val="20"/>
                <w:lang w:eastAsia="lv-LV"/>
              </w:rPr>
              <w:br/>
              <w:t>norma</w:t>
            </w:r>
            <w:r w:rsidRPr="00703936">
              <w:rPr>
                <w:rFonts w:eastAsia="Times New Roman"/>
                <w:b/>
                <w:bCs/>
                <w:sz w:val="20"/>
                <w:szCs w:val="20"/>
                <w:lang w:eastAsia="lv-LV"/>
              </w:rPr>
              <w:br/>
              <w:t>(c/h)</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darba samaksas likme (€/h)</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darba</w:t>
            </w:r>
            <w:r w:rsidRPr="00703936">
              <w:rPr>
                <w:rFonts w:eastAsia="Times New Roman"/>
                <w:b/>
                <w:bCs/>
                <w:sz w:val="20"/>
                <w:szCs w:val="20"/>
                <w:lang w:eastAsia="lv-LV"/>
              </w:rPr>
              <w:br/>
              <w:t>alga</w:t>
            </w:r>
            <w:r w:rsidRPr="00703936">
              <w:rPr>
                <w:rFonts w:eastAsia="Times New Roman"/>
                <w:b/>
                <w:bCs/>
                <w:sz w:val="20"/>
                <w:szCs w:val="20"/>
                <w:lang w:eastAsia="lv-LV"/>
              </w:rPr>
              <w:br/>
              <w: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mate-</w:t>
            </w:r>
            <w:r w:rsidRPr="00703936">
              <w:rPr>
                <w:rFonts w:eastAsia="Times New Roman"/>
                <w:b/>
                <w:bCs/>
                <w:sz w:val="20"/>
                <w:szCs w:val="20"/>
                <w:lang w:eastAsia="lv-LV"/>
              </w:rPr>
              <w:br/>
              <w:t>riāli</w:t>
            </w:r>
            <w:r w:rsidRPr="00703936">
              <w:rPr>
                <w:rFonts w:eastAsia="Times New Roman"/>
                <w:b/>
                <w:bCs/>
                <w:sz w:val="20"/>
                <w:szCs w:val="20"/>
                <w:lang w:eastAsia="lv-LV"/>
              </w:rPr>
              <w:br/>
              <w: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mehā-</w:t>
            </w:r>
            <w:r w:rsidRPr="00703936">
              <w:rPr>
                <w:rFonts w:eastAsia="Times New Roman"/>
                <w:b/>
                <w:bCs/>
                <w:sz w:val="20"/>
                <w:szCs w:val="20"/>
                <w:lang w:eastAsia="lv-LV"/>
              </w:rPr>
              <w:br/>
              <w:t>nismi</w:t>
            </w:r>
            <w:r w:rsidRPr="00703936">
              <w:rPr>
                <w:rFonts w:eastAsia="Times New Roman"/>
                <w:b/>
                <w:bCs/>
                <w:sz w:val="20"/>
                <w:szCs w:val="20"/>
                <w:lang w:eastAsia="lv-LV"/>
              </w:rPr>
              <w:br/>
              <w: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kopā</w:t>
            </w:r>
            <w:r w:rsidRPr="00703936">
              <w:rPr>
                <w:rFonts w:eastAsia="Times New Roman"/>
                <w:b/>
                <w:bCs/>
                <w:sz w:val="20"/>
                <w:szCs w:val="20"/>
                <w:lang w:eastAsia="lv-LV"/>
              </w:rPr>
              <w:br/>
              <w: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darb-</w:t>
            </w:r>
            <w:r w:rsidRPr="00703936">
              <w:rPr>
                <w:rFonts w:eastAsia="Times New Roman"/>
                <w:b/>
                <w:bCs/>
                <w:sz w:val="20"/>
                <w:szCs w:val="20"/>
                <w:lang w:eastAsia="lv-LV"/>
              </w:rPr>
              <w:br/>
              <w:t>ietilpība</w:t>
            </w:r>
            <w:r w:rsidRPr="00703936">
              <w:rPr>
                <w:rFonts w:eastAsia="Times New Roman"/>
                <w:b/>
                <w:bCs/>
                <w:sz w:val="20"/>
                <w:szCs w:val="20"/>
                <w:lang w:eastAsia="lv-LV"/>
              </w:rPr>
              <w:br/>
              <w:t>(c/h)</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darba</w:t>
            </w:r>
            <w:r w:rsidRPr="00703936">
              <w:rPr>
                <w:rFonts w:eastAsia="Times New Roman"/>
                <w:b/>
                <w:bCs/>
                <w:sz w:val="20"/>
                <w:szCs w:val="20"/>
                <w:lang w:eastAsia="lv-LV"/>
              </w:rPr>
              <w:br/>
              <w:t>alga</w:t>
            </w:r>
            <w:r w:rsidRPr="00703936">
              <w:rPr>
                <w:rFonts w:eastAsia="Times New Roman"/>
                <w:b/>
                <w:bCs/>
                <w:sz w:val="20"/>
                <w:szCs w:val="20"/>
                <w:lang w:eastAsia="lv-LV"/>
              </w:rPr>
              <w:br/>
              <w: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mate-</w:t>
            </w:r>
            <w:r w:rsidRPr="00703936">
              <w:rPr>
                <w:rFonts w:eastAsia="Times New Roman"/>
                <w:b/>
                <w:bCs/>
                <w:sz w:val="20"/>
                <w:szCs w:val="20"/>
                <w:lang w:eastAsia="lv-LV"/>
              </w:rPr>
              <w:br/>
              <w:t>riāli</w:t>
            </w:r>
            <w:r w:rsidRPr="00703936">
              <w:rPr>
                <w:rFonts w:eastAsia="Times New Roman"/>
                <w:b/>
                <w:bCs/>
                <w:sz w:val="20"/>
                <w:szCs w:val="20"/>
                <w:lang w:eastAsia="lv-LV"/>
              </w:rPr>
              <w:br/>
              <w: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mehā-</w:t>
            </w:r>
            <w:r w:rsidRPr="00703936">
              <w:rPr>
                <w:rFonts w:eastAsia="Times New Roman"/>
                <w:b/>
                <w:bCs/>
                <w:sz w:val="20"/>
                <w:szCs w:val="20"/>
                <w:lang w:eastAsia="lv-LV"/>
              </w:rPr>
              <w:br/>
              <w:t>nismi</w:t>
            </w:r>
            <w:r w:rsidRPr="00703936">
              <w:rPr>
                <w:rFonts w:eastAsia="Times New Roman"/>
                <w:b/>
                <w:bCs/>
                <w:sz w:val="20"/>
                <w:szCs w:val="20"/>
                <w:lang w:eastAsia="lv-LV"/>
              </w:rPr>
              <w:br/>
              <w:t>(€)</w:t>
            </w:r>
          </w:p>
        </w:tc>
        <w:tc>
          <w:tcPr>
            <w:tcW w:w="0" w:type="auto"/>
            <w:tcBorders>
              <w:top w:val="nil"/>
              <w:left w:val="nil"/>
              <w:bottom w:val="single" w:sz="4"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summa</w:t>
            </w:r>
            <w:r w:rsidRPr="00703936">
              <w:rPr>
                <w:rFonts w:eastAsia="Times New Roman"/>
                <w:b/>
                <w:bCs/>
                <w:sz w:val="20"/>
                <w:szCs w:val="20"/>
                <w:lang w:eastAsia="lv-LV"/>
              </w:rPr>
              <w:br/>
              <w:t>(€)</w:t>
            </w:r>
          </w:p>
        </w:tc>
      </w:tr>
      <w:tr w:rsidR="00703936" w:rsidRPr="00703936" w:rsidTr="00703936">
        <w:trPr>
          <w:trHeight w:val="270"/>
        </w:trPr>
        <w:tc>
          <w:tcPr>
            <w:tcW w:w="0" w:type="auto"/>
            <w:tcBorders>
              <w:top w:val="nil"/>
              <w:left w:val="single" w:sz="4" w:space="0" w:color="auto"/>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1</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2</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3</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4</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5</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6</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7</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8</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9</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10</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11</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12</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13</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14</w:t>
            </w:r>
          </w:p>
        </w:tc>
        <w:tc>
          <w:tcPr>
            <w:tcW w:w="0" w:type="auto"/>
            <w:tcBorders>
              <w:top w:val="nil"/>
              <w:left w:val="nil"/>
              <w:bottom w:val="double" w:sz="6" w:space="0" w:color="auto"/>
              <w:right w:val="single" w:sz="4" w:space="0" w:color="auto"/>
            </w:tcBorders>
            <w:shd w:val="clear" w:color="000000" w:fill="969696"/>
            <w:vAlign w:val="center"/>
            <w:hideMark/>
          </w:tcPr>
          <w:p w:rsidR="00703936" w:rsidRPr="00703936" w:rsidRDefault="00703936" w:rsidP="00703936">
            <w:pPr>
              <w:jc w:val="center"/>
              <w:rPr>
                <w:rFonts w:eastAsia="Times New Roman"/>
                <w:b/>
                <w:bCs/>
                <w:sz w:val="20"/>
                <w:szCs w:val="20"/>
                <w:lang w:eastAsia="lv-LV"/>
              </w:rPr>
            </w:pPr>
            <w:r w:rsidRPr="00703936">
              <w:rPr>
                <w:rFonts w:eastAsia="Times New Roman"/>
                <w:b/>
                <w:bCs/>
                <w:sz w:val="20"/>
                <w:szCs w:val="20"/>
                <w:lang w:eastAsia="lv-LV"/>
              </w:rPr>
              <w:t>15</w:t>
            </w:r>
          </w:p>
        </w:tc>
      </w:tr>
      <w:tr w:rsidR="00703936" w:rsidRPr="00703936" w:rsidTr="00703936">
        <w:trPr>
          <w:trHeight w:val="270"/>
        </w:trPr>
        <w:tc>
          <w:tcPr>
            <w:tcW w:w="0" w:type="auto"/>
            <w:gridSpan w:val="10"/>
            <w:tcBorders>
              <w:top w:val="double" w:sz="6"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1. Gaitenis 7;11</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305,26</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1 984,80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1 042,51</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57,71</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3 085,02</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1.1. Sienas</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238,28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1 549,46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436,63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15,46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2 001,55</w:t>
            </w:r>
          </w:p>
        </w:tc>
      </w:tr>
      <w:tr w:rsidR="00703936" w:rsidRPr="00703936" w:rsidTr="00703936">
        <w:trPr>
          <w:trHeight w:val="255"/>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1.1.1. Siernu attīrīšana un gruntēšana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līgumcena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128,8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2,14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32,20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209,94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64,40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1,29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275,63</w:t>
            </w:r>
          </w:p>
        </w:tc>
      </w:tr>
      <w:tr w:rsidR="00703936" w:rsidRPr="00703936" w:rsidTr="00703936">
        <w:trPr>
          <w:trHeight w:val="510"/>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 xml:space="preserve">1.1.2. Augstvērtīgs krāsojums iekšējām sienām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 xml:space="preserve"> 9-64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128,8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10,40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2,89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0,11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13,40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206,08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1 339,52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372,23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14,17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1 725,92</w:t>
            </w:r>
          </w:p>
        </w:tc>
      </w:tr>
      <w:tr w:rsidR="00703936" w:rsidRPr="00703936" w:rsidTr="00B2141A">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1.2. Grīdas</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66,98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435,34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605,88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42,25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1 083,47</w:t>
            </w:r>
          </w:p>
        </w:tc>
      </w:tr>
      <w:tr w:rsidR="00703936" w:rsidRPr="00703936" w:rsidTr="00B2141A">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Pr>
                <w:rFonts w:eastAsia="Times New Roman"/>
                <w:sz w:val="20"/>
                <w:szCs w:val="20"/>
                <w:lang w:eastAsia="lv-LV"/>
              </w:rPr>
              <w:t xml:space="preserve">1.2.1. Esošā </w:t>
            </w:r>
            <w:r w:rsidRPr="00703936">
              <w:rPr>
                <w:rFonts w:eastAsia="Times New Roman"/>
                <w:sz w:val="20"/>
                <w:szCs w:val="20"/>
                <w:lang w:eastAsia="lv-LV"/>
              </w:rPr>
              <w:t xml:space="preserve">grīdas seguma demontāža un </w:t>
            </w:r>
            <w:r w:rsidRPr="00703936">
              <w:rPr>
                <w:rFonts w:eastAsia="Times New Roman"/>
                <w:sz w:val="20"/>
                <w:szCs w:val="20"/>
                <w:lang w:eastAsia="lv-LV"/>
              </w:rPr>
              <w:lastRenderedPageBreak/>
              <w:t>pamatojuma attīrīšana, utilizācija</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lastRenderedPageBreak/>
              <w:t>līgumcena</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51,52</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0,50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3,25</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0,71</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3,96</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25,76</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167,44</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36,58</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204,02</w:t>
            </w:r>
          </w:p>
        </w:tc>
      </w:tr>
      <w:tr w:rsidR="00703936" w:rsidRPr="00703936" w:rsidTr="00B2141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Pr>
                <w:rFonts w:eastAsia="Times New Roman"/>
                <w:sz w:val="20"/>
                <w:szCs w:val="20"/>
                <w:lang w:eastAsia="lv-LV"/>
              </w:rPr>
              <w:t xml:space="preserve">1.2.2. Grīdu lamināta segums </w:t>
            </w:r>
            <w:r w:rsidRPr="00703936">
              <w:rPr>
                <w:rFonts w:eastAsia="Times New Roman"/>
                <w:sz w:val="20"/>
                <w:szCs w:val="20"/>
                <w:lang w:eastAsia="lv-LV"/>
              </w:rPr>
              <w:t xml:space="preserve">(ieskaitot grīdlīstu montāžu) </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 xml:space="preserve"> 7-33</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51,52</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0,80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5,20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11,76</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0,11</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17,07</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41,22</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267,90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605,88</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5,67</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879,45</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2. Kabinets 113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69,40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451,23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221,42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11,90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684,55</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2.1. Sienas</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56,33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366,31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103,23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3,65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473,19</w:t>
            </w:r>
          </w:p>
        </w:tc>
      </w:tr>
      <w:tr w:rsidR="00703936" w:rsidRPr="00703936" w:rsidTr="00703936">
        <w:trPr>
          <w:trHeight w:val="255"/>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2.1.1. Siernu attīrīšana un gruntēšana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līgumcena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30,45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2,14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7,61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49,63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15,23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0,30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65,16</w:t>
            </w:r>
          </w:p>
        </w:tc>
      </w:tr>
      <w:tr w:rsidR="00703936" w:rsidRPr="00703936" w:rsidTr="00703936">
        <w:trPr>
          <w:trHeight w:val="510"/>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 xml:space="preserve">2.1.2. Augstvērtīgs krāsojums iekšējām sienām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 xml:space="preserve"> 9-64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30,45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10,40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2,89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0,11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13,40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48,72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316,68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88,00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3,35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408,03</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2.2. Grīdas</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13,07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84,92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118,19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8,25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211,36</w:t>
            </w:r>
          </w:p>
        </w:tc>
      </w:tr>
      <w:tr w:rsidR="00703936" w:rsidRPr="00703936" w:rsidTr="00703936">
        <w:trPr>
          <w:trHeight w:val="765"/>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2.2.1. Esošā  grīdas seguma demontāža un pamatojuma attīrīšana, utilizācija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līgumcena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10,05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0,71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3,96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5,03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32,66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7,14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39,80</w:t>
            </w:r>
          </w:p>
        </w:tc>
      </w:tr>
      <w:tr w:rsidR="00703936" w:rsidRPr="00703936" w:rsidTr="00703936">
        <w:trPr>
          <w:trHeight w:val="510"/>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 xml:space="preserve">2.2.2. Grīdu lamināta segums  (ieskaitot grīdlīstu montāžu)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 xml:space="preserve"> 7-33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10,05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0,80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5,20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11,76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0,11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17,07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8,04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52,26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118,19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1,11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171,56</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3. Kabinets 114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66,13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429,99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211,21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11,36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652,56</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3.1. Sienas</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53,65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348,87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98,31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3,48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450,66</w:t>
            </w:r>
          </w:p>
        </w:tc>
      </w:tr>
      <w:tr w:rsidR="00703936" w:rsidRPr="00703936" w:rsidTr="00703936">
        <w:trPr>
          <w:trHeight w:val="255"/>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3.1.1. Siernu attīrīšana un gruntēšana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līgumcena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29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2,14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47,27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14,50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0,29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62,06</w:t>
            </w:r>
          </w:p>
        </w:tc>
      </w:tr>
      <w:tr w:rsidR="00703936" w:rsidRPr="00703936" w:rsidTr="00703936">
        <w:trPr>
          <w:trHeight w:val="510"/>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 xml:space="preserve">3.1.2. Augstvērtīgs krāsojums iekšējām sienām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 xml:space="preserve"> 9-64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29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10,40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2,89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0,11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13,40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46,40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301,60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83,81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3,19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388,60</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3.2. Grīdas</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12,48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81,12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112,90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7,88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201,90</w:t>
            </w:r>
          </w:p>
        </w:tc>
      </w:tr>
      <w:tr w:rsidR="00703936" w:rsidRPr="00703936" w:rsidTr="00703936">
        <w:trPr>
          <w:trHeight w:val="765"/>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3.2.1. Esošā  grīdas seguma demontāža un pamatojuma attīrīšana, utilizācija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līgumcena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m2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9,6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3,25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0,71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3,96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4,80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31,20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6,82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38,02</w:t>
            </w:r>
          </w:p>
        </w:tc>
      </w:tr>
      <w:tr w:rsidR="00703936" w:rsidRPr="00703936" w:rsidTr="00703936">
        <w:trPr>
          <w:trHeight w:val="510"/>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 xml:space="preserve">3.2.2. Grīdu lamināta segums  (ieskaitot grīdlīstu montāžu)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 xml:space="preserve"> 7-33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9,6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0,80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5,20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11,76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0,11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17,07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7,68</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49,92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112,90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1,06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163,88</w:t>
            </w:r>
          </w:p>
        </w:tc>
      </w:tr>
      <w:tr w:rsidR="00703936" w:rsidRPr="00703936" w:rsidTr="00B2141A">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left"/>
              <w:rPr>
                <w:rFonts w:eastAsia="Times New Roman"/>
                <w:b/>
                <w:bCs/>
                <w:sz w:val="20"/>
                <w:szCs w:val="20"/>
                <w:lang w:eastAsia="lv-LV"/>
              </w:rPr>
            </w:pPr>
            <w:r w:rsidRPr="00703936">
              <w:rPr>
                <w:rFonts w:eastAsia="Times New Roman"/>
                <w:b/>
                <w:bCs/>
                <w:sz w:val="20"/>
                <w:szCs w:val="20"/>
                <w:lang w:eastAsia="lv-LV"/>
              </w:rPr>
              <w:t>4. Dažādi</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24,00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156,00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8,00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68,00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232,00</w:t>
            </w:r>
          </w:p>
        </w:tc>
      </w:tr>
      <w:tr w:rsidR="00703936" w:rsidRPr="00703936" w:rsidTr="00B2141A">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lastRenderedPageBreak/>
              <w:t>4.1. Telpu sagatavošana remontdarbiem un pēcremonta telpu uzkopšana</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līgumcena</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kpl.</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1</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12,00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78,00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94,00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12,00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78,00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8,00</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94,00</w:t>
            </w:r>
          </w:p>
        </w:tc>
      </w:tr>
      <w:tr w:rsidR="00703936" w:rsidRPr="00703936" w:rsidTr="00703936">
        <w:trPr>
          <w:trHeight w:val="270"/>
        </w:trPr>
        <w:tc>
          <w:tcPr>
            <w:tcW w:w="0" w:type="auto"/>
            <w:tcBorders>
              <w:top w:val="nil"/>
              <w:left w:val="single" w:sz="4" w:space="0" w:color="auto"/>
              <w:bottom w:val="single" w:sz="4" w:space="0" w:color="auto"/>
              <w:right w:val="single" w:sz="4" w:space="0" w:color="auto"/>
            </w:tcBorders>
            <w:shd w:val="clear" w:color="000000" w:fill="auto"/>
            <w:vAlign w:val="center"/>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4.2. Būvgružu iznešana un utilizācija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līgumcena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kpl.</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center"/>
              <w:rPr>
                <w:rFonts w:eastAsia="Times New Roman"/>
                <w:sz w:val="20"/>
                <w:szCs w:val="20"/>
                <w:lang w:eastAsia="lv-LV"/>
              </w:rPr>
            </w:pPr>
            <w:r w:rsidRPr="00703936">
              <w:rPr>
                <w:rFonts w:eastAsia="Times New Roman"/>
                <w:sz w:val="20"/>
                <w:szCs w:val="20"/>
                <w:lang w:eastAsia="lv-LV"/>
              </w:rPr>
              <w:t>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12,00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6,50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78,00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138,00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12,00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78,00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60,00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138,00</w:t>
            </w:r>
          </w:p>
        </w:tc>
      </w:tr>
      <w:tr w:rsidR="00703936" w:rsidRPr="00703936" w:rsidTr="00703936">
        <w:trPr>
          <w:trHeight w:val="270"/>
        </w:trPr>
        <w:tc>
          <w:tcPr>
            <w:tcW w:w="0" w:type="auto"/>
            <w:gridSpan w:val="10"/>
            <w:tcBorders>
              <w:top w:val="double" w:sz="6"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Kopā</w:t>
            </w:r>
          </w:p>
        </w:tc>
        <w:tc>
          <w:tcPr>
            <w:tcW w:w="0" w:type="auto"/>
            <w:tcBorders>
              <w:top w:val="double" w:sz="6"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464,79</w:t>
            </w:r>
          </w:p>
        </w:tc>
        <w:tc>
          <w:tcPr>
            <w:tcW w:w="0" w:type="auto"/>
            <w:tcBorders>
              <w:top w:val="double" w:sz="6"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3 022,02</w:t>
            </w:r>
          </w:p>
        </w:tc>
        <w:tc>
          <w:tcPr>
            <w:tcW w:w="0" w:type="auto"/>
            <w:tcBorders>
              <w:top w:val="double" w:sz="6"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1 483,14</w:t>
            </w:r>
          </w:p>
        </w:tc>
        <w:tc>
          <w:tcPr>
            <w:tcW w:w="0" w:type="auto"/>
            <w:tcBorders>
              <w:top w:val="double" w:sz="6"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148,97</w:t>
            </w:r>
          </w:p>
        </w:tc>
        <w:tc>
          <w:tcPr>
            <w:tcW w:w="0" w:type="auto"/>
            <w:tcBorders>
              <w:top w:val="double" w:sz="6" w:space="0" w:color="auto"/>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4 654,13</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Materiālu, grunts apmaiņas un būvgružu transporta izdevumi  (5%)</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 xml:space="preserve">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74,16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0,00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74,16</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Starpsumma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3 022,02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1 557,30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148,97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4 728,29</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Virsizdevumi (t. sk. darba drošība) (10%)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302,20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155,73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14,90</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472,83</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Peļņa (6%)</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181,32</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93,44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8,94</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283,70</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Sociālais nodoklis (23,59%)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712,89</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 xml:space="preserve">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 xml:space="preserve">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712,89</w:t>
            </w:r>
          </w:p>
        </w:tc>
      </w:tr>
      <w:tr w:rsidR="00703936" w:rsidRPr="00703936" w:rsidTr="00703936">
        <w:trPr>
          <w:trHeight w:val="255"/>
        </w:trPr>
        <w:tc>
          <w:tcPr>
            <w:tcW w:w="0" w:type="auto"/>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Starpsumma</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 </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4 218,43</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1 806,47</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172,81</w:t>
            </w:r>
          </w:p>
        </w:tc>
        <w:tc>
          <w:tcPr>
            <w:tcW w:w="0" w:type="auto"/>
            <w:tcBorders>
              <w:top w:val="nil"/>
              <w:left w:val="nil"/>
              <w:bottom w:val="single" w:sz="4" w:space="0" w:color="auto"/>
              <w:right w:val="single" w:sz="4" w:space="0" w:color="auto"/>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6 197,71</w:t>
            </w:r>
          </w:p>
        </w:tc>
      </w:tr>
      <w:tr w:rsidR="00703936" w:rsidRPr="00703936" w:rsidTr="00703936">
        <w:trPr>
          <w:trHeight w:val="270"/>
        </w:trPr>
        <w:tc>
          <w:tcPr>
            <w:tcW w:w="0" w:type="auto"/>
            <w:gridSpan w:val="10"/>
            <w:tcBorders>
              <w:top w:val="single" w:sz="4" w:space="0" w:color="auto"/>
              <w:left w:val="single" w:sz="4" w:space="0" w:color="auto"/>
              <w:bottom w:val="double" w:sz="6" w:space="0" w:color="auto"/>
              <w:right w:val="single" w:sz="4" w:space="0" w:color="000000"/>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PVN (21%)</w:t>
            </w:r>
          </w:p>
        </w:tc>
        <w:tc>
          <w:tcPr>
            <w:tcW w:w="0" w:type="auto"/>
            <w:gridSpan w:val="5"/>
            <w:tcBorders>
              <w:top w:val="single" w:sz="4" w:space="0" w:color="auto"/>
              <w:left w:val="nil"/>
              <w:bottom w:val="double" w:sz="6" w:space="0" w:color="auto"/>
              <w:right w:val="single" w:sz="4" w:space="0" w:color="000000"/>
            </w:tcBorders>
            <w:shd w:val="clear" w:color="000000" w:fill="auto"/>
            <w:vAlign w:val="center"/>
            <w:hideMark/>
          </w:tcPr>
          <w:p w:rsidR="00703936" w:rsidRPr="00703936" w:rsidRDefault="00703936" w:rsidP="00703936">
            <w:pPr>
              <w:jc w:val="right"/>
              <w:rPr>
                <w:rFonts w:eastAsia="Times New Roman"/>
                <w:sz w:val="20"/>
                <w:szCs w:val="20"/>
                <w:lang w:eastAsia="lv-LV"/>
              </w:rPr>
            </w:pPr>
            <w:r w:rsidRPr="00703936">
              <w:rPr>
                <w:rFonts w:eastAsia="Times New Roman"/>
                <w:sz w:val="20"/>
                <w:szCs w:val="20"/>
                <w:lang w:eastAsia="lv-LV"/>
              </w:rPr>
              <w:t>1 301,52</w:t>
            </w:r>
          </w:p>
        </w:tc>
      </w:tr>
      <w:tr w:rsidR="00703936" w:rsidRPr="00703936" w:rsidTr="00703936">
        <w:trPr>
          <w:trHeight w:val="270"/>
        </w:trPr>
        <w:tc>
          <w:tcPr>
            <w:tcW w:w="0" w:type="auto"/>
            <w:gridSpan w:val="10"/>
            <w:tcBorders>
              <w:top w:val="double" w:sz="6" w:space="0" w:color="auto"/>
              <w:left w:val="single" w:sz="4" w:space="0" w:color="auto"/>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Pavisam kopā</w:t>
            </w:r>
          </w:p>
        </w:tc>
        <w:tc>
          <w:tcPr>
            <w:tcW w:w="0" w:type="auto"/>
            <w:gridSpan w:val="5"/>
            <w:tcBorders>
              <w:top w:val="double" w:sz="6" w:space="0" w:color="auto"/>
              <w:left w:val="nil"/>
              <w:bottom w:val="single" w:sz="4" w:space="0" w:color="auto"/>
              <w:right w:val="single" w:sz="4" w:space="0" w:color="000000"/>
            </w:tcBorders>
            <w:shd w:val="clear" w:color="000000" w:fill="auto"/>
            <w:vAlign w:val="center"/>
            <w:hideMark/>
          </w:tcPr>
          <w:p w:rsidR="00703936" w:rsidRPr="00703936" w:rsidRDefault="00703936" w:rsidP="00703936">
            <w:pPr>
              <w:jc w:val="right"/>
              <w:rPr>
                <w:rFonts w:eastAsia="Times New Roman"/>
                <w:b/>
                <w:bCs/>
                <w:sz w:val="20"/>
                <w:szCs w:val="20"/>
                <w:lang w:eastAsia="lv-LV"/>
              </w:rPr>
            </w:pPr>
            <w:r w:rsidRPr="00703936">
              <w:rPr>
                <w:rFonts w:eastAsia="Times New Roman"/>
                <w:b/>
                <w:bCs/>
                <w:sz w:val="20"/>
                <w:szCs w:val="20"/>
                <w:lang w:eastAsia="lv-LV"/>
              </w:rPr>
              <w:t>7 499,23</w:t>
            </w:r>
          </w:p>
        </w:tc>
      </w:tr>
      <w:tr w:rsidR="00703936" w:rsidRPr="00703936" w:rsidTr="00703936">
        <w:trPr>
          <w:trHeight w:val="1002"/>
        </w:trPr>
        <w:tc>
          <w:tcPr>
            <w:tcW w:w="0" w:type="auto"/>
            <w:gridSpan w:val="2"/>
            <w:tcBorders>
              <w:top w:val="single" w:sz="4" w:space="0" w:color="auto"/>
              <w:left w:val="nil"/>
              <w:bottom w:val="nil"/>
              <w:right w:val="nil"/>
            </w:tcBorders>
            <w:shd w:val="clear" w:color="000000" w:fill="auto"/>
            <w:vAlign w:val="bottom"/>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Sastādīja________________________</w:t>
            </w:r>
          </w:p>
        </w:tc>
        <w:tc>
          <w:tcPr>
            <w:tcW w:w="0" w:type="auto"/>
            <w:gridSpan w:val="9"/>
            <w:tcBorders>
              <w:top w:val="single" w:sz="4" w:space="0" w:color="auto"/>
              <w:left w:val="nil"/>
              <w:bottom w:val="nil"/>
              <w:right w:val="nil"/>
            </w:tcBorders>
            <w:shd w:val="clear" w:color="000000" w:fill="auto"/>
            <w:vAlign w:val="bottom"/>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Uldis Bērziņš sert.Nr. 20-5687</w:t>
            </w:r>
          </w:p>
        </w:tc>
        <w:tc>
          <w:tcPr>
            <w:tcW w:w="0" w:type="auto"/>
            <w:gridSpan w:val="4"/>
            <w:tcBorders>
              <w:top w:val="single" w:sz="4" w:space="0" w:color="auto"/>
              <w:left w:val="nil"/>
              <w:bottom w:val="nil"/>
              <w:right w:val="nil"/>
            </w:tcBorders>
            <w:shd w:val="clear" w:color="000000" w:fill="auto"/>
            <w:vAlign w:val="bottom"/>
            <w:hideMark/>
          </w:tcPr>
          <w:p w:rsidR="00703936" w:rsidRPr="00703936" w:rsidRDefault="00703936" w:rsidP="00703936">
            <w:pPr>
              <w:jc w:val="left"/>
              <w:rPr>
                <w:rFonts w:eastAsia="Times New Roman"/>
                <w:sz w:val="20"/>
                <w:szCs w:val="20"/>
                <w:lang w:eastAsia="lv-LV"/>
              </w:rPr>
            </w:pPr>
            <w:r w:rsidRPr="00703936">
              <w:rPr>
                <w:rFonts w:eastAsia="Times New Roman"/>
                <w:sz w:val="20"/>
                <w:szCs w:val="20"/>
                <w:lang w:eastAsia="lv-LV"/>
              </w:rPr>
              <w:t> </w:t>
            </w:r>
          </w:p>
        </w:tc>
      </w:tr>
      <w:tr w:rsidR="00703936" w:rsidRPr="00703936" w:rsidTr="00703936">
        <w:trPr>
          <w:trHeight w:val="255"/>
        </w:trPr>
        <w:tc>
          <w:tcPr>
            <w:tcW w:w="0" w:type="auto"/>
            <w:gridSpan w:val="2"/>
            <w:tcBorders>
              <w:top w:val="nil"/>
              <w:left w:val="nil"/>
              <w:bottom w:val="nil"/>
              <w:right w:val="nil"/>
            </w:tcBorders>
            <w:shd w:val="clear" w:color="000000" w:fill="auto"/>
            <w:hideMark/>
          </w:tcPr>
          <w:p w:rsidR="00703936" w:rsidRPr="00703936" w:rsidRDefault="00703936" w:rsidP="00703936">
            <w:pPr>
              <w:jc w:val="center"/>
              <w:rPr>
                <w:rFonts w:eastAsia="Times New Roman"/>
                <w:sz w:val="18"/>
                <w:szCs w:val="18"/>
                <w:lang w:eastAsia="lv-LV"/>
              </w:rPr>
            </w:pPr>
            <w:r w:rsidRPr="00703936">
              <w:rPr>
                <w:rFonts w:eastAsia="Times New Roman"/>
                <w:sz w:val="18"/>
                <w:szCs w:val="18"/>
                <w:lang w:eastAsia="lv-LV"/>
              </w:rPr>
              <w:t>(paraksts)</w:t>
            </w:r>
          </w:p>
        </w:tc>
        <w:tc>
          <w:tcPr>
            <w:tcW w:w="0" w:type="auto"/>
            <w:gridSpan w:val="9"/>
            <w:tcBorders>
              <w:top w:val="nil"/>
              <w:left w:val="nil"/>
              <w:bottom w:val="nil"/>
              <w:right w:val="nil"/>
            </w:tcBorders>
            <w:shd w:val="clear" w:color="000000" w:fill="auto"/>
            <w:hideMark/>
          </w:tcPr>
          <w:p w:rsidR="00703936" w:rsidRPr="00703936" w:rsidRDefault="00703936" w:rsidP="00703936">
            <w:pPr>
              <w:jc w:val="center"/>
              <w:rPr>
                <w:rFonts w:eastAsia="Times New Roman"/>
                <w:sz w:val="18"/>
                <w:szCs w:val="18"/>
                <w:lang w:eastAsia="lv-LV"/>
              </w:rPr>
            </w:pPr>
          </w:p>
        </w:tc>
        <w:tc>
          <w:tcPr>
            <w:tcW w:w="0" w:type="auto"/>
            <w:gridSpan w:val="4"/>
            <w:tcBorders>
              <w:top w:val="nil"/>
              <w:left w:val="nil"/>
              <w:bottom w:val="nil"/>
              <w:right w:val="nil"/>
            </w:tcBorders>
            <w:shd w:val="clear" w:color="000000" w:fill="auto"/>
            <w:hideMark/>
          </w:tcPr>
          <w:p w:rsidR="00703936" w:rsidRPr="00703936" w:rsidRDefault="00703936" w:rsidP="00703936">
            <w:pPr>
              <w:jc w:val="center"/>
              <w:rPr>
                <w:rFonts w:eastAsia="Times New Roman"/>
                <w:sz w:val="20"/>
                <w:szCs w:val="20"/>
                <w:lang w:eastAsia="lv-LV"/>
              </w:rPr>
            </w:pPr>
          </w:p>
        </w:tc>
      </w:tr>
    </w:tbl>
    <w:p w:rsidR="00644703" w:rsidRDefault="00644703"/>
    <w:p w:rsidR="00703936" w:rsidRDefault="00703936"/>
    <w:p w:rsidR="00703936" w:rsidRDefault="00703936">
      <w:r>
        <w:t>Iesniedzējs:</w:t>
      </w:r>
    </w:p>
    <w:p w:rsidR="00703936" w:rsidRDefault="00703936">
      <w:r>
        <w:t>tieslietu ministrs</w:t>
      </w:r>
      <w:r>
        <w:tab/>
      </w:r>
      <w:r>
        <w:tab/>
      </w:r>
      <w:r>
        <w:tab/>
      </w:r>
      <w:r>
        <w:tab/>
      </w:r>
      <w:r>
        <w:tab/>
      </w:r>
      <w:r>
        <w:tab/>
      </w:r>
      <w:r>
        <w:tab/>
      </w:r>
      <w:r>
        <w:tab/>
      </w:r>
      <w:r>
        <w:tab/>
      </w:r>
      <w:r>
        <w:tab/>
      </w:r>
      <w:r>
        <w:tab/>
      </w:r>
      <w:r>
        <w:tab/>
      </w:r>
      <w:r>
        <w:tab/>
      </w:r>
      <w:r>
        <w:tab/>
        <w:t>Dzintars Rasnačs</w:t>
      </w:r>
    </w:p>
    <w:p w:rsidR="00703936" w:rsidRDefault="00703936"/>
    <w:p w:rsidR="00703936" w:rsidRDefault="00703936"/>
    <w:p w:rsidR="00703936" w:rsidRDefault="00703936"/>
    <w:p w:rsidR="00703936" w:rsidRDefault="00703936"/>
    <w:p w:rsidR="00703936" w:rsidRDefault="00703936"/>
    <w:p w:rsidR="00703936" w:rsidRDefault="00703936"/>
    <w:p w:rsidR="00703936" w:rsidRPr="00703936" w:rsidRDefault="00703936">
      <w:pPr>
        <w:rPr>
          <w:sz w:val="20"/>
        </w:rPr>
      </w:pPr>
      <w:bookmarkStart w:id="0" w:name="_GoBack"/>
      <w:bookmarkEnd w:id="0"/>
      <w:r w:rsidRPr="00703936">
        <w:rPr>
          <w:sz w:val="20"/>
        </w:rPr>
        <w:t>Hanova-Akuļecka</w:t>
      </w:r>
    </w:p>
    <w:p w:rsidR="00703936" w:rsidRPr="00703936" w:rsidRDefault="00703936">
      <w:pPr>
        <w:rPr>
          <w:sz w:val="20"/>
        </w:rPr>
      </w:pPr>
      <w:r w:rsidRPr="00703936">
        <w:rPr>
          <w:sz w:val="20"/>
        </w:rPr>
        <w:t>67517733, tatjana.hanova-akulecka@vteb.gov.lv</w:t>
      </w:r>
    </w:p>
    <w:sectPr w:rsidR="00703936" w:rsidRPr="00703936" w:rsidSect="00C873BB">
      <w:headerReference w:type="default" r:id="rId6"/>
      <w:footerReference w:type="default" r:id="rId7"/>
      <w:footerReference w:type="first" r:id="rId8"/>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BC" w:rsidRDefault="000F75BC" w:rsidP="00703936">
      <w:r>
        <w:separator/>
      </w:r>
    </w:p>
  </w:endnote>
  <w:endnote w:type="continuationSeparator" w:id="0">
    <w:p w:rsidR="000F75BC" w:rsidRDefault="000F75BC" w:rsidP="0070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36" w:rsidRPr="00703936" w:rsidRDefault="00F12F50">
    <w:pPr>
      <w:pStyle w:val="Kjene"/>
      <w:rPr>
        <w:sz w:val="20"/>
      </w:rPr>
    </w:pPr>
    <w:r>
      <w:rPr>
        <w:sz w:val="20"/>
      </w:rPr>
      <w:t>TManotp3_0206</w:t>
    </w:r>
    <w:r w:rsidR="00703936" w:rsidRPr="00703936">
      <w:rPr>
        <w:sz w:val="20"/>
      </w:rPr>
      <w:t>17_VTEB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BB" w:rsidRPr="00C873BB" w:rsidRDefault="00C873BB">
    <w:pPr>
      <w:pStyle w:val="Kjene"/>
      <w:rPr>
        <w:sz w:val="20"/>
      </w:rPr>
    </w:pPr>
    <w:r>
      <w:rPr>
        <w:sz w:val="20"/>
      </w:rPr>
      <w:t>TManotp3_0206</w:t>
    </w:r>
    <w:r w:rsidRPr="00703936">
      <w:rPr>
        <w:sz w:val="20"/>
      </w:rPr>
      <w:t>17_VTEB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BC" w:rsidRDefault="000F75BC" w:rsidP="00703936">
      <w:r>
        <w:separator/>
      </w:r>
    </w:p>
  </w:footnote>
  <w:footnote w:type="continuationSeparator" w:id="0">
    <w:p w:rsidR="000F75BC" w:rsidRDefault="000F75BC" w:rsidP="0070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2719"/>
      <w:docPartObj>
        <w:docPartGallery w:val="Page Numbers (Top of Page)"/>
        <w:docPartUnique/>
      </w:docPartObj>
    </w:sdtPr>
    <w:sdtContent>
      <w:p w:rsidR="00C873BB" w:rsidRDefault="00C873BB">
        <w:pPr>
          <w:pStyle w:val="Galvene"/>
          <w:jc w:val="center"/>
        </w:pPr>
        <w:r>
          <w:fldChar w:fldCharType="begin"/>
        </w:r>
        <w:r>
          <w:instrText>PAGE   \* MERGEFORMAT</w:instrText>
        </w:r>
        <w:r>
          <w:fldChar w:fldCharType="separate"/>
        </w:r>
        <w:r>
          <w:rPr>
            <w:noProof/>
          </w:rPr>
          <w:t>3</w:t>
        </w:r>
        <w:r>
          <w:fldChar w:fldCharType="end"/>
        </w:r>
      </w:p>
    </w:sdtContent>
  </w:sdt>
  <w:p w:rsidR="00F12F50" w:rsidRDefault="00F12F5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36"/>
    <w:rsid w:val="000F75BC"/>
    <w:rsid w:val="00644703"/>
    <w:rsid w:val="00703936"/>
    <w:rsid w:val="007F256B"/>
    <w:rsid w:val="00B2141A"/>
    <w:rsid w:val="00C873BB"/>
    <w:rsid w:val="00F12F50"/>
    <w:rsid w:val="00F95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D60C"/>
  <w15:chartTrackingRefBased/>
  <w15:docId w15:val="{B5295646-F5B3-41A4-9AF4-5C3FCBF7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03936"/>
    <w:pPr>
      <w:tabs>
        <w:tab w:val="center" w:pos="4153"/>
        <w:tab w:val="right" w:pos="8306"/>
      </w:tabs>
    </w:pPr>
  </w:style>
  <w:style w:type="character" w:customStyle="1" w:styleId="GalveneRakstz">
    <w:name w:val="Galvene Rakstz."/>
    <w:basedOn w:val="Noklusjumarindkopasfonts"/>
    <w:link w:val="Galvene"/>
    <w:uiPriority w:val="99"/>
    <w:rsid w:val="00703936"/>
  </w:style>
  <w:style w:type="paragraph" w:styleId="Kjene">
    <w:name w:val="footer"/>
    <w:basedOn w:val="Parasts"/>
    <w:link w:val="KjeneRakstz"/>
    <w:uiPriority w:val="99"/>
    <w:unhideWhenUsed/>
    <w:rsid w:val="00703936"/>
    <w:pPr>
      <w:tabs>
        <w:tab w:val="center" w:pos="4153"/>
        <w:tab w:val="right" w:pos="8306"/>
      </w:tabs>
    </w:pPr>
  </w:style>
  <w:style w:type="character" w:customStyle="1" w:styleId="KjeneRakstz">
    <w:name w:val="Kājene Rakstz."/>
    <w:basedOn w:val="Noklusjumarindkopasfonts"/>
    <w:link w:val="Kjene"/>
    <w:uiPriority w:val="99"/>
    <w:rsid w:val="0070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5312">
      <w:bodyDiv w:val="1"/>
      <w:marLeft w:val="0"/>
      <w:marRight w:val="0"/>
      <w:marTop w:val="0"/>
      <w:marBottom w:val="0"/>
      <w:divBdr>
        <w:top w:val="none" w:sz="0" w:space="0" w:color="auto"/>
        <w:left w:val="none" w:sz="0" w:space="0" w:color="auto"/>
        <w:bottom w:val="none" w:sz="0" w:space="0" w:color="auto"/>
        <w:right w:val="none" w:sz="0" w:space="0" w:color="auto"/>
      </w:divBdr>
    </w:div>
    <w:div w:id="926696491">
      <w:bodyDiv w:val="1"/>
      <w:marLeft w:val="0"/>
      <w:marRight w:val="0"/>
      <w:marTop w:val="0"/>
      <w:marBottom w:val="0"/>
      <w:divBdr>
        <w:top w:val="none" w:sz="0" w:space="0" w:color="auto"/>
        <w:left w:val="none" w:sz="0" w:space="0" w:color="auto"/>
        <w:bottom w:val="none" w:sz="0" w:space="0" w:color="auto"/>
        <w:right w:val="none" w:sz="0" w:space="0" w:color="auto"/>
      </w:divBdr>
    </w:div>
    <w:div w:id="1389263709">
      <w:bodyDiv w:val="1"/>
      <w:marLeft w:val="0"/>
      <w:marRight w:val="0"/>
      <w:marTop w:val="0"/>
      <w:marBottom w:val="0"/>
      <w:divBdr>
        <w:top w:val="none" w:sz="0" w:space="0" w:color="auto"/>
        <w:left w:val="none" w:sz="0" w:space="0" w:color="auto"/>
        <w:bottom w:val="none" w:sz="0" w:space="0" w:color="auto"/>
        <w:right w:val="none" w:sz="0" w:space="0" w:color="auto"/>
      </w:divBdr>
    </w:div>
    <w:div w:id="17412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2762</Words>
  <Characters>1575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Lokālā tāme Nr.1 (Telpu remonts)</vt:lpstr>
      <vt:lpstr/>
    </vt:vector>
  </TitlesOfParts>
  <Company>Tieslietu ministrija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Lokālā tāme Nr.1 (Telpu remonts)</dc:title>
  <dc:subject>Anotācijas pielikums</dc:subject>
  <dc:creator>Tatjana Hanova-Akuļecka</dc:creator>
  <cp:keywords/>
  <dc:description>67517733, tatjana.hanova-akulecka@vteb.gov.lv</dc:description>
  <cp:lastModifiedBy>Lelde Stepanova</cp:lastModifiedBy>
  <cp:revision>5</cp:revision>
  <dcterms:created xsi:type="dcterms:W3CDTF">2017-06-02T12:21:00Z</dcterms:created>
  <dcterms:modified xsi:type="dcterms:W3CDTF">2017-06-05T08:05:00Z</dcterms:modified>
</cp:coreProperties>
</file>