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7C165A" w:rsidRPr="00671A71" w:rsidP="00380EC2" w14:paraId="32FB8531" w14:textId="77777777">
      <w:pPr>
        <w:spacing w:after="0"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Ministru kabineta noteikumu projekta "</w:t>
      </w:r>
      <w:r w:rsidRPr="00671A71" w:rsidR="006D7201">
        <w:rPr>
          <w:rFonts w:ascii="Times New Roman" w:hAnsi="Times New Roman"/>
          <w:b/>
          <w:color w:val="000000"/>
          <w:sz w:val="24"/>
          <w:szCs w:val="24"/>
        </w:rPr>
        <w:t>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w:t>
      </w:r>
      <w:r w:rsidRPr="00671A71">
        <w:rPr>
          <w:rFonts w:ascii="Times New Roman" w:hAnsi="Times New Roman"/>
          <w:b/>
          <w:color w:val="000000"/>
          <w:sz w:val="24"/>
          <w:szCs w:val="24"/>
        </w:rPr>
        <w:t>" sākotnējās ietekmes novērtējuma ziņojums (anotācija)</w:t>
      </w:r>
    </w:p>
    <w:p w:rsidR="00E23EDA" w:rsidRPr="00671A71" w:rsidP="00940621" w14:paraId="76318137" w14:textId="77777777">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1836"/>
        <w:gridCol w:w="7366"/>
      </w:tblGrid>
      <w:tr w14:paraId="2D4957CB" w14:textId="77777777" w:rsidTr="00766699">
        <w:tblPrEx>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69"/>
        </w:trPr>
        <w:tc>
          <w:tcPr>
            <w:tcW w:w="5000" w:type="pct"/>
            <w:gridSpan w:val="3"/>
            <w:vAlign w:val="center"/>
          </w:tcPr>
          <w:p w:rsidR="00CC1A56" w:rsidRPr="00671A71" w:rsidP="00231489" w14:paraId="643701B5" w14:textId="77777777">
            <w:pPr>
              <w:pStyle w:val="naisnod"/>
              <w:spacing w:before="0" w:beforeAutospacing="0" w:after="0" w:afterAutospacing="0"/>
              <w:ind w:left="57" w:right="57"/>
              <w:jc w:val="center"/>
              <w:rPr>
                <w:b/>
                <w:spacing w:val="-2"/>
              </w:rPr>
            </w:pPr>
            <w:r w:rsidRPr="00671A71">
              <w:rPr>
                <w:b/>
                <w:spacing w:val="-2"/>
              </w:rPr>
              <w:t>I.</w:t>
            </w:r>
            <w:r w:rsidRPr="00671A71" w:rsidR="00F01597">
              <w:rPr>
                <w:b/>
                <w:spacing w:val="-2"/>
              </w:rPr>
              <w:t xml:space="preserve"> </w:t>
            </w:r>
            <w:r w:rsidRPr="00671A71">
              <w:rPr>
                <w:b/>
                <w:spacing w:val="-2"/>
              </w:rPr>
              <w:t>Tiesību</w:t>
            </w:r>
            <w:r w:rsidRPr="00671A71" w:rsidR="00F01597">
              <w:rPr>
                <w:b/>
                <w:spacing w:val="-2"/>
              </w:rPr>
              <w:t xml:space="preserve"> </w:t>
            </w:r>
            <w:r w:rsidRPr="00671A71">
              <w:rPr>
                <w:b/>
                <w:spacing w:val="-2"/>
              </w:rPr>
              <w:t>akta</w:t>
            </w:r>
            <w:r w:rsidRPr="00671A71" w:rsidR="00F01597">
              <w:rPr>
                <w:b/>
                <w:spacing w:val="-2"/>
              </w:rPr>
              <w:t xml:space="preserve"> </w:t>
            </w:r>
            <w:r w:rsidRPr="00671A71">
              <w:rPr>
                <w:b/>
                <w:spacing w:val="-2"/>
              </w:rPr>
              <w:t>projekta</w:t>
            </w:r>
            <w:r w:rsidRPr="00671A71" w:rsidR="00F01597">
              <w:rPr>
                <w:b/>
                <w:spacing w:val="-2"/>
              </w:rPr>
              <w:t xml:space="preserve"> </w:t>
            </w:r>
            <w:r w:rsidRPr="00671A71">
              <w:rPr>
                <w:b/>
                <w:spacing w:val="-2"/>
              </w:rPr>
              <w:t>izstrādes</w:t>
            </w:r>
            <w:r w:rsidRPr="00671A71" w:rsidR="00F01597">
              <w:rPr>
                <w:b/>
                <w:spacing w:val="-2"/>
              </w:rPr>
              <w:t xml:space="preserve"> </w:t>
            </w:r>
            <w:r w:rsidRPr="00671A71">
              <w:rPr>
                <w:b/>
                <w:spacing w:val="-2"/>
              </w:rPr>
              <w:t>nepieciešamība</w:t>
            </w:r>
          </w:p>
        </w:tc>
      </w:tr>
      <w:tr w14:paraId="18BF1CAA" w14:textId="77777777" w:rsidTr="00AF7B33">
        <w:tblPrEx>
          <w:tblW w:w="5316" w:type="pct"/>
          <w:tblCellMar>
            <w:left w:w="0" w:type="dxa"/>
            <w:right w:w="0" w:type="dxa"/>
          </w:tblCellMar>
          <w:tblLook w:val="0000"/>
        </w:tblPrEx>
        <w:trPr>
          <w:trHeight w:val="415"/>
        </w:trPr>
        <w:tc>
          <w:tcPr>
            <w:tcW w:w="224" w:type="pct"/>
          </w:tcPr>
          <w:p w:rsidR="00CC1A56" w:rsidRPr="00671A71" w:rsidP="00231489" w14:paraId="71B9D4D2" w14:textId="77777777">
            <w:pPr>
              <w:pStyle w:val="naiskr"/>
              <w:spacing w:before="0" w:beforeAutospacing="0" w:after="0" w:afterAutospacing="0"/>
              <w:ind w:left="57" w:right="57"/>
              <w:rPr>
                <w:spacing w:val="-2"/>
              </w:rPr>
            </w:pPr>
            <w:r w:rsidRPr="00671A71">
              <w:rPr>
                <w:spacing w:val="-2"/>
              </w:rPr>
              <w:t>1.</w:t>
            </w:r>
          </w:p>
        </w:tc>
        <w:tc>
          <w:tcPr>
            <w:tcW w:w="953" w:type="pct"/>
          </w:tcPr>
          <w:p w:rsidR="006B022B" w:rsidRPr="00671A71" w:rsidP="00231489" w14:paraId="01266079" w14:textId="77777777">
            <w:pPr>
              <w:pStyle w:val="naiskr"/>
              <w:spacing w:before="0" w:beforeAutospacing="0" w:after="0" w:afterAutospacing="0"/>
              <w:ind w:left="57" w:right="57"/>
              <w:rPr>
                <w:spacing w:val="-2"/>
              </w:rPr>
            </w:pPr>
            <w:r w:rsidRPr="00671A71">
              <w:rPr>
                <w:rFonts w:eastAsia="Calibri"/>
                <w:spacing w:val="-2"/>
                <w:lang w:eastAsia="en-US"/>
              </w:rPr>
              <w:t>Pamatojums</w:t>
            </w:r>
          </w:p>
          <w:p w:rsidR="006B022B" w:rsidRPr="00671A71" w:rsidP="00231489" w14:paraId="384FAFE4" w14:textId="77777777">
            <w:pPr>
              <w:spacing w:line="240" w:lineRule="auto"/>
              <w:rPr>
                <w:lang w:eastAsia="lv-LV"/>
              </w:rPr>
            </w:pPr>
          </w:p>
          <w:p w:rsidR="006B022B" w:rsidRPr="00671A71" w:rsidP="00231489" w14:paraId="641B7E91" w14:textId="77777777">
            <w:pPr>
              <w:spacing w:line="240" w:lineRule="auto"/>
              <w:rPr>
                <w:lang w:eastAsia="lv-LV"/>
              </w:rPr>
            </w:pPr>
          </w:p>
          <w:p w:rsidR="006B022B" w:rsidRPr="00671A71" w:rsidP="00231489" w14:paraId="0DD36396" w14:textId="77777777">
            <w:pPr>
              <w:spacing w:line="240" w:lineRule="auto"/>
              <w:rPr>
                <w:lang w:eastAsia="lv-LV"/>
              </w:rPr>
            </w:pPr>
          </w:p>
          <w:p w:rsidR="006B022B" w:rsidRPr="00671A71" w:rsidP="00231489" w14:paraId="01A01BFB" w14:textId="77777777">
            <w:pPr>
              <w:spacing w:line="240" w:lineRule="auto"/>
              <w:rPr>
                <w:lang w:eastAsia="lv-LV"/>
              </w:rPr>
            </w:pPr>
          </w:p>
          <w:p w:rsidR="006B022B" w:rsidRPr="00671A71" w:rsidP="00231489" w14:paraId="765E1F48" w14:textId="77777777">
            <w:pPr>
              <w:spacing w:line="240" w:lineRule="auto"/>
              <w:rPr>
                <w:lang w:eastAsia="lv-LV"/>
              </w:rPr>
            </w:pPr>
          </w:p>
          <w:p w:rsidR="006B022B" w:rsidRPr="00671A71" w:rsidP="00231489" w14:paraId="13E308B8" w14:textId="77777777">
            <w:pPr>
              <w:spacing w:line="240" w:lineRule="auto"/>
              <w:rPr>
                <w:lang w:eastAsia="lv-LV"/>
              </w:rPr>
            </w:pPr>
          </w:p>
          <w:p w:rsidR="00CC1A56" w:rsidRPr="00671A71" w:rsidP="00231489" w14:paraId="07D227BB" w14:textId="77777777">
            <w:pPr>
              <w:spacing w:line="240" w:lineRule="auto"/>
              <w:jc w:val="center"/>
              <w:rPr>
                <w:lang w:eastAsia="lv-LV"/>
              </w:rPr>
            </w:pPr>
          </w:p>
        </w:tc>
        <w:tc>
          <w:tcPr>
            <w:tcW w:w="3823" w:type="pct"/>
            <w:shd w:val="clear" w:color="auto" w:fill="auto"/>
          </w:tcPr>
          <w:p w:rsidR="000565BC" w:rsidRPr="004665A6" w:rsidP="00231489" w14:paraId="244ADCD8" w14:textId="77777777">
            <w:pPr>
              <w:spacing w:after="100" w:afterAutospacing="1" w:line="240" w:lineRule="auto"/>
              <w:ind w:right="62"/>
              <w:jc w:val="both"/>
              <w:rPr>
                <w:rFonts w:ascii="Times New Roman" w:hAnsi="Times New Roman"/>
                <w:sz w:val="24"/>
                <w:szCs w:val="24"/>
              </w:rPr>
            </w:pPr>
            <w:r w:rsidRPr="004665A6">
              <w:rPr>
                <w:rFonts w:ascii="Times New Roman" w:hAnsi="Times New Roman"/>
                <w:sz w:val="24"/>
                <w:szCs w:val="24"/>
              </w:rPr>
              <w:t>Ministru kabineta (turpmāk – MK) noteikumu projekts "Grozījumi</w:t>
            </w:r>
            <w:r w:rsidRPr="004665A6">
              <w:rPr>
                <w:rFonts w:ascii="Times New Roman" w:hAnsi="Times New Roman"/>
                <w:bCs/>
                <w:color w:val="000000"/>
                <w:sz w:val="24"/>
                <w:szCs w:val="24"/>
              </w:rPr>
              <w:t xml:space="preserve"> </w:t>
            </w:r>
            <w:r w:rsidRPr="004665A6">
              <w:rPr>
                <w:rFonts w:ascii="Times New Roman" w:hAnsi="Times New Roman"/>
                <w:sz w:val="24"/>
                <w:szCs w:val="24"/>
              </w:rPr>
              <w:t xml:space="preserve">Ministru kabineta 2015. gada </w:t>
            </w:r>
            <w:r w:rsidRPr="004665A6" w:rsidR="00AF7B33">
              <w:rPr>
                <w:rFonts w:ascii="Times New Roman" w:hAnsi="Times New Roman"/>
                <w:sz w:val="24"/>
                <w:szCs w:val="24"/>
              </w:rPr>
              <w:t>10. novembra</w:t>
            </w:r>
            <w:r w:rsidRPr="004665A6">
              <w:rPr>
                <w:rFonts w:ascii="Times New Roman" w:hAnsi="Times New Roman"/>
                <w:sz w:val="24"/>
                <w:szCs w:val="24"/>
              </w:rPr>
              <w:t xml:space="preserve"> </w:t>
            </w:r>
            <w:r w:rsidRPr="004665A6">
              <w:rPr>
                <w:rFonts w:ascii="Times New Roman" w:hAnsi="Times New Roman"/>
                <w:bCs/>
                <w:sz w:val="24"/>
                <w:szCs w:val="24"/>
              </w:rPr>
              <w:t>noteikumos Nr. </w:t>
            </w:r>
            <w:r w:rsidRPr="004665A6" w:rsidR="00AF7B33">
              <w:rPr>
                <w:rFonts w:ascii="Times New Roman" w:hAnsi="Times New Roman"/>
                <w:bCs/>
                <w:sz w:val="24"/>
                <w:szCs w:val="24"/>
              </w:rPr>
              <w:t>645</w:t>
            </w:r>
            <w:r w:rsidRPr="004665A6">
              <w:rPr>
                <w:rFonts w:ascii="Times New Roman" w:hAnsi="Times New Roman"/>
                <w:bCs/>
                <w:sz w:val="24"/>
                <w:szCs w:val="24"/>
              </w:rPr>
              <w:t xml:space="preserve"> </w:t>
            </w:r>
            <w:r w:rsidRPr="004665A6">
              <w:rPr>
                <w:rFonts w:ascii="Times New Roman" w:hAnsi="Times New Roman"/>
                <w:spacing w:val="-3"/>
                <w:sz w:val="24"/>
                <w:szCs w:val="24"/>
              </w:rPr>
              <w:t>"</w:t>
            </w:r>
            <w:r w:rsidRPr="004665A6">
              <w:rPr>
                <w:rFonts w:ascii="Times New Roman" w:hAnsi="Times New Roman"/>
                <w:bCs/>
                <w:sz w:val="24"/>
                <w:szCs w:val="24"/>
                <w:shd w:val="clear" w:color="auto" w:fill="FFFFFF"/>
              </w:rPr>
              <w:t xml:space="preserve">Darbības programmas </w:t>
            </w:r>
            <w:r w:rsidRPr="004665A6">
              <w:rPr>
                <w:rFonts w:ascii="Times New Roman" w:hAnsi="Times New Roman"/>
                <w:spacing w:val="-3"/>
                <w:sz w:val="24"/>
                <w:szCs w:val="24"/>
              </w:rPr>
              <w:t>"</w:t>
            </w:r>
            <w:r w:rsidRPr="004665A6">
              <w:rPr>
                <w:rFonts w:ascii="Times New Roman" w:hAnsi="Times New Roman"/>
                <w:bCs/>
                <w:sz w:val="24"/>
                <w:szCs w:val="24"/>
                <w:shd w:val="clear" w:color="auto" w:fill="FFFFFF"/>
              </w:rPr>
              <w:t>Izaugsme un nodarbinātība</w:t>
            </w:r>
            <w:r w:rsidRPr="004665A6">
              <w:rPr>
                <w:rFonts w:ascii="Times New Roman" w:hAnsi="Times New Roman"/>
                <w:spacing w:val="-3"/>
                <w:sz w:val="24"/>
                <w:szCs w:val="24"/>
              </w:rPr>
              <w:t>"</w:t>
            </w:r>
            <w:r w:rsidRPr="004665A6">
              <w:rPr>
                <w:rFonts w:ascii="Times New Roman" w:hAnsi="Times New Roman"/>
                <w:bCs/>
                <w:sz w:val="24"/>
                <w:szCs w:val="24"/>
                <w:shd w:val="clear" w:color="auto" w:fill="FFFFFF"/>
              </w:rPr>
              <w:t xml:space="preserve"> </w:t>
            </w:r>
            <w:r w:rsidRPr="004665A6" w:rsidR="00AF7B33">
              <w:rPr>
                <w:rFonts w:ascii="Times New Roman" w:hAnsi="Times New Roman"/>
                <w:bCs/>
                <w:sz w:val="24"/>
                <w:szCs w:val="24"/>
                <w:shd w:val="clear" w:color="auto" w:fill="FFFFFF"/>
              </w:rPr>
              <w:t>5.6.2</w:t>
            </w:r>
            <w:r w:rsidRPr="004665A6">
              <w:rPr>
                <w:rFonts w:ascii="Times New Roman" w:hAnsi="Times New Roman"/>
                <w:bCs/>
                <w:sz w:val="24"/>
                <w:szCs w:val="24"/>
                <w:shd w:val="clear" w:color="auto" w:fill="FFFFFF"/>
              </w:rPr>
              <w:t xml:space="preserve">. specifiskā atbalsta mērķa </w:t>
            </w:r>
            <w:r w:rsidRPr="004665A6">
              <w:rPr>
                <w:rFonts w:ascii="Times New Roman" w:hAnsi="Times New Roman"/>
                <w:spacing w:val="-3"/>
                <w:sz w:val="24"/>
                <w:szCs w:val="24"/>
              </w:rPr>
              <w:t>"</w:t>
            </w:r>
            <w:r w:rsidRPr="004665A6" w:rsidR="00AF7B33">
              <w:rPr>
                <w:rFonts w:ascii="Times New Roman" w:hAnsi="Times New Roman"/>
                <w:bCs/>
                <w:sz w:val="24"/>
                <w:szCs w:val="24"/>
                <w:shd w:val="clear" w:color="auto" w:fill="FFFFFF"/>
              </w:rPr>
              <w:t>Teritoriju revitalizācija, reģenerējot degradētās teritorijas atbilstoši pašvaldību integrētajām attīstības programmām</w:t>
            </w:r>
            <w:r w:rsidRPr="004665A6">
              <w:rPr>
                <w:rFonts w:ascii="Times New Roman" w:hAnsi="Times New Roman"/>
                <w:spacing w:val="-3"/>
                <w:sz w:val="24"/>
                <w:szCs w:val="24"/>
              </w:rPr>
              <w:t>"</w:t>
            </w:r>
            <w:r w:rsidRPr="004665A6">
              <w:rPr>
                <w:rFonts w:ascii="Times New Roman" w:hAnsi="Times New Roman"/>
                <w:bCs/>
                <w:sz w:val="24"/>
                <w:szCs w:val="24"/>
                <w:shd w:val="clear" w:color="auto" w:fill="FFFFFF"/>
              </w:rPr>
              <w:t xml:space="preserve"> īstenošanas noteikumi</w:t>
            </w:r>
            <w:r w:rsidRPr="004665A6">
              <w:rPr>
                <w:rFonts w:ascii="Times New Roman" w:hAnsi="Times New Roman"/>
                <w:spacing w:val="-3"/>
                <w:sz w:val="24"/>
                <w:szCs w:val="24"/>
              </w:rPr>
              <w:t>""</w:t>
            </w:r>
            <w:r w:rsidRPr="004665A6">
              <w:rPr>
                <w:rFonts w:ascii="Times New Roman" w:hAnsi="Times New Roman"/>
                <w:bCs/>
                <w:sz w:val="24"/>
                <w:szCs w:val="24"/>
              </w:rPr>
              <w:t xml:space="preserve"> </w:t>
            </w:r>
            <w:r w:rsidRPr="004665A6">
              <w:rPr>
                <w:rFonts w:ascii="Times New Roman" w:hAnsi="Times New Roman"/>
                <w:sz w:val="24"/>
                <w:szCs w:val="24"/>
              </w:rPr>
              <w:t xml:space="preserve">(turpmāk – </w:t>
            </w:r>
            <w:r w:rsidRPr="004665A6" w:rsidR="00EE24D1">
              <w:rPr>
                <w:rFonts w:ascii="Times New Roman" w:hAnsi="Times New Roman"/>
                <w:sz w:val="24"/>
                <w:szCs w:val="24"/>
              </w:rPr>
              <w:t xml:space="preserve">MK </w:t>
            </w:r>
            <w:r w:rsidRPr="004665A6">
              <w:rPr>
                <w:rFonts w:ascii="Times New Roman" w:hAnsi="Times New Roman"/>
                <w:sz w:val="24"/>
                <w:szCs w:val="24"/>
              </w:rPr>
              <w:t>noteikumu projekts) izstrādāts pamatojoties uz:</w:t>
            </w:r>
          </w:p>
          <w:p w:rsidR="00E63315" w:rsidRPr="004665A6" w:rsidP="00231489" w14:paraId="67070EE0" w14:textId="77777777">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4665A6">
              <w:rPr>
                <w:rFonts w:ascii="Times New Roman" w:hAnsi="Times New Roman"/>
                <w:iCs/>
                <w:sz w:val="24"/>
                <w:szCs w:val="24"/>
                <w:shd w:val="clear" w:color="auto" w:fill="FFFFFF"/>
              </w:rPr>
              <w:t>Komisijas 2014. gada 3. </w:t>
            </w:r>
            <w:r w:rsidRPr="004665A6">
              <w:rPr>
                <w:rFonts w:ascii="Times New Roman" w:hAnsi="Times New Roman"/>
                <w:iCs/>
                <w:sz w:val="24"/>
                <w:szCs w:val="24"/>
                <w:shd w:val="clear" w:color="auto" w:fill="FFFFFF"/>
              </w:rPr>
              <w:t xml:space="preserve">marta </w:t>
            </w:r>
            <w:r w:rsidRPr="004665A6" w:rsidR="00C2353E">
              <w:rPr>
                <w:rFonts w:ascii="Times New Roman" w:hAnsi="Times New Roman"/>
                <w:iCs/>
                <w:sz w:val="24"/>
                <w:szCs w:val="24"/>
                <w:shd w:val="clear" w:color="auto" w:fill="FFFFFF"/>
              </w:rPr>
              <w:t xml:space="preserve">deleģētās </w:t>
            </w:r>
            <w:r w:rsidRPr="004665A6">
              <w:rPr>
                <w:rFonts w:ascii="Times New Roman" w:hAnsi="Times New Roman"/>
                <w:iCs/>
                <w:sz w:val="24"/>
                <w:szCs w:val="24"/>
                <w:shd w:val="clear" w:color="auto" w:fill="FFFFFF"/>
              </w:rPr>
              <w:t xml:space="preserve">Regulas </w:t>
            </w:r>
            <w:r w:rsidRPr="004665A6" w:rsidR="00C2353E">
              <w:rPr>
                <w:rFonts w:ascii="Times New Roman" w:hAnsi="Times New Roman"/>
                <w:iCs/>
                <w:sz w:val="24"/>
                <w:szCs w:val="24"/>
                <w:shd w:val="clear" w:color="auto" w:fill="FFFFFF"/>
              </w:rPr>
              <w:t xml:space="preserve">(ES) </w:t>
            </w:r>
            <w:r w:rsidRPr="004665A6">
              <w:rPr>
                <w:rFonts w:ascii="Times New Roman" w:hAnsi="Times New Roman"/>
                <w:iCs/>
                <w:sz w:val="24"/>
                <w:szCs w:val="24"/>
                <w:shd w:val="clear" w:color="auto" w:fill="FFFFFF"/>
              </w:rPr>
              <w:t>Nr. </w:t>
            </w:r>
            <w:r>
              <w:fldChar w:fldCharType="begin"/>
            </w:r>
            <w:r>
              <w:instrText xml:space="preserve"> HYPERLINK "http://eur-lex.europa.eu/eli/reg/2014/480/oj/?locale=LV" \t "_blank" </w:instrText>
            </w:r>
            <w:r>
              <w:fldChar w:fldCharType="separate"/>
            </w:r>
            <w:r w:rsidRPr="004665A6">
              <w:rPr>
                <w:rFonts w:ascii="Times New Roman" w:hAnsi="Times New Roman"/>
                <w:iCs/>
                <w:sz w:val="24"/>
                <w:szCs w:val="24"/>
                <w:shd w:val="clear" w:color="auto" w:fill="FFFFFF"/>
              </w:rPr>
              <w:t>480/2014</w:t>
            </w:r>
            <w:r>
              <w:fldChar w:fldCharType="end"/>
            </w:r>
            <w:r w:rsidRPr="004665A6">
              <w:rPr>
                <w:rFonts w:ascii="Times New Roman" w:hAnsi="Times New Roman"/>
                <w:iCs/>
                <w:sz w:val="24"/>
                <w:szCs w:val="24"/>
                <w:shd w:val="clear" w:color="auto" w:fill="FFFFFF"/>
              </w:rPr>
              <w:t xml:space="preserve"> </w:t>
            </w:r>
            <w:r w:rsidRPr="004665A6">
              <w:rPr>
                <w:rFonts w:ascii="Times New Roman" w:hAnsi="Times New Roman"/>
                <w:i/>
                <w:iCs/>
                <w:sz w:val="24"/>
                <w:szCs w:val="24"/>
                <w:shd w:val="clear" w:color="auto" w:fill="FFFFFF"/>
              </w:rPr>
              <w:t>ar kuru papildina Eiropas Parlamenta un Padomes Regulu (ES) Nr. </w:t>
            </w:r>
            <w:r>
              <w:fldChar w:fldCharType="begin"/>
            </w:r>
            <w:r>
              <w:instrText xml:space="preserve"> HYPERLINK "http://eur-lex.europa.eu/eli/reg/2013/1303/oj/?locale=LV" \t "_blank" </w:instrText>
            </w:r>
            <w:r>
              <w:fldChar w:fldCharType="separate"/>
            </w:r>
            <w:r w:rsidRPr="004665A6">
              <w:rPr>
                <w:rFonts w:ascii="Times New Roman" w:hAnsi="Times New Roman"/>
                <w:i/>
                <w:iCs/>
                <w:sz w:val="24"/>
                <w:szCs w:val="24"/>
                <w:shd w:val="clear" w:color="auto" w:fill="FFFFFF"/>
              </w:rPr>
              <w:t>1303/2013</w:t>
            </w:r>
            <w:r>
              <w:fldChar w:fldCharType="end"/>
            </w:r>
            <w:r w:rsidRPr="004665A6">
              <w:rPr>
                <w:rFonts w:ascii="Times New Roman" w:hAnsi="Times New Roman"/>
                <w:i/>
                <w:iCs/>
                <w:sz w:val="24"/>
                <w:szCs w:val="24"/>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Pr="004665A6">
              <w:rPr>
                <w:rFonts w:ascii="Times New Roman" w:hAnsi="Times New Roman"/>
                <w:iCs/>
                <w:sz w:val="24"/>
                <w:szCs w:val="24"/>
                <w:shd w:val="clear" w:color="auto" w:fill="FFFFFF"/>
              </w:rPr>
              <w:t xml:space="preserve"> (turpmāk – Komisijas regula Nr.</w:t>
            </w:r>
            <w:r w:rsidRPr="004665A6" w:rsidR="008019EF">
              <w:rPr>
                <w:rFonts w:ascii="Times New Roman" w:hAnsi="Times New Roman"/>
                <w:iCs/>
                <w:sz w:val="24"/>
                <w:szCs w:val="24"/>
                <w:shd w:val="clear" w:color="auto" w:fill="FFFFFF"/>
              </w:rPr>
              <w:t> </w:t>
            </w:r>
            <w:r w:rsidRPr="004665A6">
              <w:rPr>
                <w:rFonts w:ascii="Times New Roman" w:hAnsi="Times New Roman"/>
                <w:iCs/>
                <w:sz w:val="24"/>
                <w:szCs w:val="24"/>
                <w:shd w:val="clear" w:color="auto" w:fill="FFFFFF"/>
              </w:rPr>
              <w:t>480/2014) 15. panta 2. punktu un 1. pielikumu;</w:t>
            </w:r>
          </w:p>
          <w:p w:rsidR="00E63315" w:rsidRPr="004665A6" w:rsidP="00231489" w14:paraId="14D2A15C" w14:textId="77777777">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sz w:val="24"/>
                <w:szCs w:val="24"/>
              </w:rPr>
              <w:t>Komisijas 2014. gada 17. jūnija Regulas (ES) Nr. </w:t>
            </w:r>
            <w:r>
              <w:fldChar w:fldCharType="begin"/>
            </w:r>
            <w:r>
              <w:instrText xml:space="preserve"> HYPERLINK "http://eur-lex.europa.eu/eli/reg/2014/651/oj/?locale=LV" \t "_blank" </w:instrText>
            </w:r>
            <w:r>
              <w:fldChar w:fldCharType="separate"/>
            </w:r>
            <w:r w:rsidRPr="004665A6">
              <w:rPr>
                <w:rFonts w:ascii="Times New Roman" w:hAnsi="Times New Roman"/>
                <w:sz w:val="24"/>
                <w:szCs w:val="24"/>
              </w:rPr>
              <w:t>651/2014</w:t>
            </w:r>
            <w:r>
              <w:fldChar w:fldCharType="end"/>
            </w:r>
            <w:r w:rsidRPr="004665A6">
              <w:rPr>
                <w:rFonts w:ascii="Times New Roman" w:hAnsi="Times New Roman"/>
                <w:sz w:val="24"/>
                <w:szCs w:val="24"/>
              </w:rPr>
              <w:t xml:space="preserve">, </w:t>
            </w:r>
            <w:r w:rsidRPr="004665A6">
              <w:rPr>
                <w:rFonts w:ascii="Times New Roman" w:hAnsi="Times New Roman"/>
                <w:i/>
                <w:sz w:val="24"/>
                <w:szCs w:val="24"/>
              </w:rPr>
              <w:t>ar ko noteiktas atbalsta kategorijas atzīst par saderīgām ar iekšējo tirgu,</w:t>
            </w:r>
            <w:r w:rsidRPr="004665A6" w:rsidR="008269B6">
              <w:rPr>
                <w:rFonts w:ascii="Times New Roman" w:hAnsi="Times New Roman"/>
                <w:i/>
                <w:sz w:val="24"/>
                <w:szCs w:val="24"/>
              </w:rPr>
              <w:t xml:space="preserve"> piemērojot Līguma 107. un 108. </w:t>
            </w:r>
            <w:r w:rsidRPr="004665A6">
              <w:rPr>
                <w:rFonts w:ascii="Times New Roman" w:hAnsi="Times New Roman"/>
                <w:i/>
                <w:sz w:val="24"/>
                <w:szCs w:val="24"/>
              </w:rPr>
              <w:t>pantu</w:t>
            </w:r>
            <w:r w:rsidRPr="004665A6">
              <w:rPr>
                <w:rFonts w:ascii="Times New Roman" w:hAnsi="Times New Roman"/>
                <w:sz w:val="24"/>
                <w:szCs w:val="24"/>
              </w:rPr>
              <w:t xml:space="preserve"> (turpmāk – Komisijas regula Nr. </w:t>
            </w:r>
            <w:r>
              <w:fldChar w:fldCharType="begin"/>
            </w:r>
            <w:r>
              <w:instrText xml:space="preserve"> HYPERLINK "http://eur-lex.europa.eu/eli/reg/2014/651/oj/?locale=LV" \t "_blank" </w:instrText>
            </w:r>
            <w:r>
              <w:fldChar w:fldCharType="separate"/>
            </w:r>
            <w:r w:rsidRPr="004665A6">
              <w:rPr>
                <w:rFonts w:ascii="Times New Roman" w:hAnsi="Times New Roman"/>
                <w:sz w:val="24"/>
                <w:szCs w:val="24"/>
              </w:rPr>
              <w:t>651/2014</w:t>
            </w:r>
            <w:r>
              <w:fldChar w:fldCharType="end"/>
            </w:r>
            <w:r w:rsidRPr="004665A6">
              <w:rPr>
                <w:rFonts w:ascii="Times New Roman" w:hAnsi="Times New Roman"/>
                <w:sz w:val="24"/>
                <w:szCs w:val="24"/>
              </w:rPr>
              <w:t xml:space="preserve">) 2. panta 23. punktu, 9. pantu, </w:t>
            </w:r>
            <w:r w:rsidRPr="004665A6">
              <w:rPr>
                <w:rFonts w:ascii="Times New Roman" w:hAnsi="Times New Roman"/>
                <w:bCs/>
                <w:sz w:val="24"/>
                <w:szCs w:val="24"/>
                <w:shd w:val="clear" w:color="auto" w:fill="FFFFFF"/>
              </w:rPr>
              <w:t>48. panta 5. punktu un 56. panta 6. punktu</w:t>
            </w:r>
            <w:r w:rsidRPr="004665A6">
              <w:rPr>
                <w:rFonts w:ascii="Times New Roman" w:hAnsi="Times New Roman"/>
                <w:sz w:val="24"/>
                <w:szCs w:val="24"/>
              </w:rPr>
              <w:t>;</w:t>
            </w:r>
          </w:p>
          <w:p w:rsidR="00B10031" w:rsidRPr="004665A6" w:rsidP="00231489" w14:paraId="6F85152B" w14:textId="77777777">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4665A6">
              <w:rPr>
                <w:rFonts w:ascii="Times New Roman" w:hAnsi="Times New Roman"/>
                <w:bCs/>
                <w:sz w:val="24"/>
                <w:szCs w:val="24"/>
                <w:shd w:val="clear" w:color="auto" w:fill="FFFFFF"/>
              </w:rPr>
              <w:t>Komisijas 2014. gada 25. jūnija Regulas (ES) Nr. </w:t>
            </w:r>
            <w:r>
              <w:fldChar w:fldCharType="begin"/>
            </w:r>
            <w:r>
              <w:instrText xml:space="preserve"> HYPERLINK "http://eur-lex.europa.eu/eli/reg/2014/702/oj/?locale=LV" \t "_blank" </w:instrText>
            </w:r>
            <w:r>
              <w:fldChar w:fldCharType="separate"/>
            </w:r>
            <w:r w:rsidRPr="004665A6">
              <w:rPr>
                <w:rFonts w:ascii="Times New Roman" w:hAnsi="Times New Roman"/>
                <w:bCs/>
                <w:sz w:val="24"/>
                <w:szCs w:val="24"/>
                <w:shd w:val="clear" w:color="auto" w:fill="FFFFFF"/>
              </w:rPr>
              <w:t>702/2014</w:t>
            </w:r>
            <w:r>
              <w:fldChar w:fldCharType="end"/>
            </w:r>
            <w:r w:rsidRPr="004665A6">
              <w:rPr>
                <w:rFonts w:ascii="Times New Roman" w:hAnsi="Times New Roman"/>
                <w:bCs/>
                <w:sz w:val="24"/>
                <w:szCs w:val="24"/>
                <w:shd w:val="clear" w:color="auto" w:fill="FFFFFF"/>
              </w:rPr>
              <w:t xml:space="preserve">, </w:t>
            </w:r>
            <w:r w:rsidRPr="004665A6">
              <w:rPr>
                <w:rFonts w:ascii="Times New Roman" w:hAnsi="Times New Roman"/>
                <w:bCs/>
                <w:i/>
                <w:sz w:val="24"/>
                <w:szCs w:val="24"/>
                <w:shd w:val="clear" w:color="auto" w:fill="FFFFFF"/>
              </w:rPr>
              <w:t xml:space="preserve">ar kuru konkrētas atbalsta kategorijas lauksaimniecības un mežsaimniecības nozarē un lauku apvidos atzīst par saderīgām ar iekšējo tirgu, piemērojot Līguma par Eiropas </w:t>
            </w:r>
            <w:r w:rsidRPr="004665A6" w:rsidR="001332A6">
              <w:rPr>
                <w:rFonts w:ascii="Times New Roman" w:hAnsi="Times New Roman"/>
                <w:bCs/>
                <w:i/>
                <w:sz w:val="24"/>
                <w:szCs w:val="24"/>
                <w:shd w:val="clear" w:color="auto" w:fill="FFFFFF"/>
              </w:rPr>
              <w:t>Savienības darbību 107. un 108. </w:t>
            </w:r>
            <w:r w:rsidRPr="004665A6">
              <w:rPr>
                <w:rFonts w:ascii="Times New Roman" w:hAnsi="Times New Roman"/>
                <w:bCs/>
                <w:i/>
                <w:sz w:val="24"/>
                <w:szCs w:val="24"/>
                <w:shd w:val="clear" w:color="auto" w:fill="FFFFFF"/>
              </w:rPr>
              <w:t xml:space="preserve">pantu </w:t>
            </w:r>
            <w:r w:rsidRPr="004665A6">
              <w:rPr>
                <w:rFonts w:ascii="Times New Roman" w:hAnsi="Times New Roman"/>
                <w:bCs/>
                <w:sz w:val="24"/>
                <w:szCs w:val="24"/>
                <w:shd w:val="clear" w:color="auto" w:fill="FFFFFF"/>
              </w:rPr>
              <w:t>(turpmāk – Komisijas regula Nr. </w:t>
            </w:r>
            <w:r>
              <w:fldChar w:fldCharType="begin"/>
            </w:r>
            <w:r>
              <w:instrText xml:space="preserve"> HYPERLINK "http://eur-lex.europa.eu/eli/reg/2014/702/oj/?locale=LV" \t "_blank" </w:instrText>
            </w:r>
            <w:r>
              <w:fldChar w:fldCharType="separate"/>
            </w:r>
            <w:r w:rsidRPr="004665A6">
              <w:rPr>
                <w:rFonts w:ascii="Times New Roman" w:hAnsi="Times New Roman"/>
                <w:bCs/>
                <w:sz w:val="24"/>
                <w:szCs w:val="24"/>
                <w:shd w:val="clear" w:color="auto" w:fill="FFFFFF"/>
              </w:rPr>
              <w:t>702/2014</w:t>
            </w:r>
            <w:r>
              <w:fldChar w:fldCharType="end"/>
            </w:r>
            <w:r w:rsidRPr="004665A6">
              <w:rPr>
                <w:rFonts w:ascii="Times New Roman" w:hAnsi="Times New Roman"/>
                <w:bCs/>
                <w:sz w:val="24"/>
                <w:szCs w:val="24"/>
                <w:shd w:val="clear" w:color="auto" w:fill="FFFFFF"/>
              </w:rPr>
              <w:t>) 9.</w:t>
            </w:r>
            <w:r w:rsidRPr="004665A6" w:rsidR="00550214">
              <w:rPr>
                <w:rFonts w:ascii="Times New Roman" w:hAnsi="Times New Roman"/>
                <w:bCs/>
                <w:sz w:val="24"/>
                <w:szCs w:val="24"/>
                <w:shd w:val="clear" w:color="auto" w:fill="FFFFFF"/>
              </w:rPr>
              <w:t> </w:t>
            </w:r>
            <w:r w:rsidRPr="004665A6">
              <w:rPr>
                <w:rFonts w:ascii="Times New Roman" w:hAnsi="Times New Roman"/>
                <w:bCs/>
                <w:sz w:val="24"/>
                <w:szCs w:val="24"/>
                <w:shd w:val="clear" w:color="auto" w:fill="FFFFFF"/>
              </w:rPr>
              <w:t>pantu</w:t>
            </w:r>
            <w:r w:rsidRPr="004665A6">
              <w:rPr>
                <w:rFonts w:ascii="Times New Roman" w:hAnsi="Times New Roman"/>
                <w:bCs/>
                <w:sz w:val="24"/>
                <w:szCs w:val="24"/>
                <w:shd w:val="clear" w:color="auto" w:fill="FFFFFF"/>
              </w:rPr>
              <w:t>;</w:t>
            </w:r>
          </w:p>
          <w:p w:rsidR="0067132E" w:rsidRPr="004665A6" w:rsidP="00231489" w14:paraId="5F8A0F26" w14:textId="77777777">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4665A6">
              <w:rPr>
                <w:rFonts w:ascii="Times New Roman" w:hAnsi="Times New Roman"/>
                <w:bCs/>
                <w:sz w:val="24"/>
                <w:szCs w:val="24"/>
                <w:shd w:val="clear" w:color="auto" w:fill="FFFFFF"/>
              </w:rPr>
              <w:t>Komisijas 2014. gada 16. decembra Regulas (ES) Nr. </w:t>
            </w:r>
            <w:r>
              <w:fldChar w:fldCharType="begin"/>
            </w:r>
            <w:r>
              <w:instrText xml:space="preserve"> HYPERLINK "http://eur-lex.europa.eu/eli/reg/2014/1388/oj/?locale=LV" \t "_blank" </w:instrText>
            </w:r>
            <w:r>
              <w:fldChar w:fldCharType="separate"/>
            </w:r>
            <w:r w:rsidRPr="004665A6">
              <w:rPr>
                <w:rFonts w:ascii="Times New Roman" w:hAnsi="Times New Roman"/>
                <w:bCs/>
                <w:sz w:val="24"/>
                <w:szCs w:val="24"/>
                <w:shd w:val="clear" w:color="auto" w:fill="FFFFFF"/>
              </w:rPr>
              <w:t>1388/2014</w:t>
            </w:r>
            <w:r>
              <w:fldChar w:fldCharType="end"/>
            </w:r>
            <w:r w:rsidRPr="004665A6">
              <w:rPr>
                <w:rFonts w:ascii="Times New Roman" w:hAnsi="Times New Roman"/>
                <w:bCs/>
                <w:sz w:val="24"/>
                <w:szCs w:val="24"/>
                <w:shd w:val="clear" w:color="auto" w:fill="FFFFFF"/>
              </w:rPr>
              <w:t xml:space="preserve">, </w:t>
            </w:r>
            <w:r w:rsidRPr="004665A6">
              <w:rPr>
                <w:rFonts w:ascii="Times New Roman" w:hAnsi="Times New Roman"/>
                <w:bCs/>
                <w:i/>
                <w:sz w:val="24"/>
                <w:szCs w:val="24"/>
                <w:shd w:val="clear" w:color="auto" w:fill="FFFFFF"/>
              </w:rPr>
              <w:t xml:space="preserve">ar ko konkrētas atbalsta kategorijas uzņēmumiem, kuri nodarbojas ar zvejas un akvakultūras produktu ražošanu, apstrādi un tirdzniecību, atzīst par saderīgām ar iekšējo tirgu, piemērojot Līguma par Eiropas </w:t>
            </w:r>
            <w:r w:rsidRPr="004665A6" w:rsidR="00B83DDE">
              <w:rPr>
                <w:rFonts w:ascii="Times New Roman" w:hAnsi="Times New Roman"/>
                <w:bCs/>
                <w:i/>
                <w:sz w:val="24"/>
                <w:szCs w:val="24"/>
                <w:shd w:val="clear" w:color="auto" w:fill="FFFFFF"/>
              </w:rPr>
              <w:t>Savienības darbību 107. un 108. </w:t>
            </w:r>
            <w:r w:rsidRPr="004665A6">
              <w:rPr>
                <w:rFonts w:ascii="Times New Roman" w:hAnsi="Times New Roman"/>
                <w:bCs/>
                <w:i/>
                <w:sz w:val="24"/>
                <w:szCs w:val="24"/>
                <w:shd w:val="clear" w:color="auto" w:fill="FFFFFF"/>
              </w:rPr>
              <w:t>pantu</w:t>
            </w:r>
            <w:r w:rsidRPr="004665A6">
              <w:rPr>
                <w:rFonts w:ascii="Times New Roman" w:hAnsi="Times New Roman"/>
                <w:bCs/>
                <w:sz w:val="24"/>
                <w:szCs w:val="24"/>
                <w:shd w:val="clear" w:color="auto" w:fill="FFFFFF"/>
              </w:rPr>
              <w:t xml:space="preserve"> (turpmāk – Komisijas regula Nr.</w:t>
            </w:r>
            <w:r w:rsidRPr="004665A6" w:rsidR="00B83DDE">
              <w:rPr>
                <w:rFonts w:ascii="Times New Roman" w:hAnsi="Times New Roman"/>
                <w:bCs/>
                <w:sz w:val="24"/>
                <w:szCs w:val="24"/>
                <w:shd w:val="clear" w:color="auto" w:fill="FFFFFF"/>
              </w:rPr>
              <w:t> </w:t>
            </w:r>
            <w:r>
              <w:fldChar w:fldCharType="begin"/>
            </w:r>
            <w:r>
              <w:instrText xml:space="preserve"> HYPERLINK "http://eur-lex.europa.eu/eli/reg/2014/1388/oj/?locale=LV" \t "_blank" </w:instrText>
            </w:r>
            <w:r>
              <w:fldChar w:fldCharType="separate"/>
            </w:r>
            <w:r w:rsidRPr="004665A6">
              <w:rPr>
                <w:rFonts w:ascii="Times New Roman" w:hAnsi="Times New Roman"/>
                <w:bCs/>
                <w:sz w:val="24"/>
                <w:szCs w:val="24"/>
                <w:shd w:val="clear" w:color="auto" w:fill="FFFFFF"/>
              </w:rPr>
              <w:t>1388/2014</w:t>
            </w:r>
            <w:r>
              <w:fldChar w:fldCharType="end"/>
            </w:r>
            <w:r w:rsidRPr="004665A6">
              <w:rPr>
                <w:rFonts w:ascii="Times New Roman" w:hAnsi="Times New Roman"/>
                <w:bCs/>
                <w:sz w:val="24"/>
                <w:szCs w:val="24"/>
                <w:shd w:val="clear" w:color="auto" w:fill="FFFFFF"/>
              </w:rPr>
              <w:t>) 9. pantu;</w:t>
            </w:r>
          </w:p>
          <w:p w:rsidR="0067132E" w:rsidRPr="004665A6" w:rsidP="00231489" w14:paraId="4E7420CF" w14:textId="77777777">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sz w:val="24"/>
                <w:szCs w:val="24"/>
              </w:rPr>
              <w:t>Darbības programmas "Izaugsme un nodarbinātība" papildinājuma 2.</w:t>
            </w:r>
            <w:r w:rsidRPr="004665A6" w:rsidR="005F2AAD">
              <w:rPr>
                <w:rFonts w:ascii="Times New Roman" w:hAnsi="Times New Roman"/>
                <w:sz w:val="24"/>
                <w:szCs w:val="24"/>
              </w:rPr>
              <w:t> </w:t>
            </w:r>
            <w:r w:rsidRPr="004665A6">
              <w:rPr>
                <w:rFonts w:ascii="Times New Roman" w:hAnsi="Times New Roman"/>
                <w:sz w:val="24"/>
                <w:szCs w:val="24"/>
              </w:rPr>
              <w:t>pielikuma "Rādītāju saraksts" sadaļu "Eiropas Savienības Kohēzijas politikas fondu 2</w:t>
            </w:r>
            <w:r w:rsidRPr="004665A6" w:rsidR="005F2AAD">
              <w:rPr>
                <w:rFonts w:ascii="Times New Roman" w:hAnsi="Times New Roman"/>
                <w:sz w:val="24"/>
                <w:szCs w:val="24"/>
              </w:rPr>
              <w:t>014. - 2020. </w:t>
            </w:r>
            <w:r w:rsidRPr="004665A6">
              <w:rPr>
                <w:rFonts w:ascii="Times New Roman" w:hAnsi="Times New Roman"/>
                <w:sz w:val="24"/>
                <w:szCs w:val="24"/>
              </w:rPr>
              <w:t>gada plānošanas perioda darbības programmas "Izaugsme un nodarbinātība" un tās papildinājuma horizontālo principu rādītāju piemērošanas saraksts" (turpmāk – DPP 2.</w:t>
            </w:r>
            <w:r w:rsidRPr="004665A6" w:rsidR="005F2AAD">
              <w:rPr>
                <w:rFonts w:ascii="Times New Roman" w:hAnsi="Times New Roman"/>
                <w:sz w:val="24"/>
                <w:szCs w:val="24"/>
              </w:rPr>
              <w:t> </w:t>
            </w:r>
            <w:r w:rsidRPr="004665A6">
              <w:rPr>
                <w:rFonts w:ascii="Times New Roman" w:hAnsi="Times New Roman"/>
                <w:sz w:val="24"/>
                <w:szCs w:val="24"/>
              </w:rPr>
              <w:t>pielikums);</w:t>
            </w:r>
          </w:p>
          <w:p w:rsidR="000565BC" w:rsidRPr="004665A6" w:rsidP="00231489" w14:paraId="581B96A4" w14:textId="77777777">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iCs/>
                <w:sz w:val="24"/>
                <w:szCs w:val="24"/>
                <w:shd w:val="clear" w:color="auto" w:fill="FFFFFF"/>
              </w:rPr>
              <w:t>Eiropas Savienības struktūrfondu un Kohēzijas fonda 2014.–2020. </w:t>
            </w:r>
            <w:r w:rsidRPr="004665A6">
              <w:rPr>
                <w:rFonts w:ascii="Times New Roman" w:hAnsi="Times New Roman"/>
                <w:sz w:val="24"/>
                <w:szCs w:val="24"/>
              </w:rPr>
              <w:t>gada plānošanas perioda vadības likuma 20. panta 6. un 13. punktu;</w:t>
            </w:r>
          </w:p>
          <w:p w:rsidR="0067132E" w:rsidRPr="004665A6" w:rsidP="00231489" w14:paraId="356EEB91" w14:textId="77777777">
            <w:pPr>
              <w:pStyle w:val="ListParagraph"/>
              <w:numPr>
                <w:ilvl w:val="0"/>
                <w:numId w:val="26"/>
              </w:numPr>
              <w:spacing w:after="100" w:afterAutospacing="1" w:line="240" w:lineRule="auto"/>
              <w:ind w:right="62"/>
              <w:contextualSpacing w:val="0"/>
              <w:jc w:val="both"/>
              <w:rPr>
                <w:rFonts w:ascii="Times New Roman" w:hAnsi="Times New Roman"/>
                <w:iCs/>
                <w:sz w:val="24"/>
                <w:szCs w:val="24"/>
                <w:shd w:val="clear" w:color="auto" w:fill="FFFFFF"/>
              </w:rPr>
            </w:pPr>
            <w:r w:rsidRPr="004665A6">
              <w:rPr>
                <w:rFonts w:ascii="Times New Roman" w:hAnsi="Times New Roman"/>
                <w:bCs/>
                <w:sz w:val="24"/>
                <w:szCs w:val="24"/>
                <w:shd w:val="clear" w:color="auto" w:fill="FFFFFF"/>
              </w:rPr>
              <w:t xml:space="preserve">Civillikuma trešās daļas </w:t>
            </w:r>
            <w:r w:rsidRPr="004665A6">
              <w:rPr>
                <w:rFonts w:ascii="Times New Roman" w:hAnsi="Times New Roman"/>
                <w:spacing w:val="-3"/>
                <w:sz w:val="24"/>
                <w:szCs w:val="24"/>
              </w:rPr>
              <w:t>"</w:t>
            </w:r>
            <w:r w:rsidRPr="004665A6">
              <w:rPr>
                <w:rFonts w:ascii="Times New Roman" w:hAnsi="Times New Roman"/>
                <w:bCs/>
                <w:sz w:val="24"/>
                <w:szCs w:val="24"/>
                <w:shd w:val="clear" w:color="auto" w:fill="FFFFFF"/>
              </w:rPr>
              <w:t>Lietu tiesības</w:t>
            </w:r>
            <w:r w:rsidRPr="004665A6">
              <w:rPr>
                <w:rFonts w:ascii="Times New Roman" w:hAnsi="Times New Roman"/>
                <w:spacing w:val="-3"/>
                <w:sz w:val="24"/>
                <w:szCs w:val="24"/>
              </w:rPr>
              <w:t>"</w:t>
            </w:r>
            <w:r w:rsidRPr="004665A6">
              <w:rPr>
                <w:rFonts w:ascii="Times New Roman" w:hAnsi="Times New Roman"/>
                <w:bCs/>
                <w:sz w:val="24"/>
                <w:szCs w:val="24"/>
                <w:shd w:val="clear" w:color="auto" w:fill="FFFFFF"/>
              </w:rPr>
              <w:t xml:space="preserve"> Trešo A nodaļu </w:t>
            </w:r>
            <w:r w:rsidRPr="004665A6">
              <w:rPr>
                <w:rFonts w:ascii="Times New Roman" w:hAnsi="Times New Roman"/>
                <w:spacing w:val="-3"/>
                <w:sz w:val="24"/>
                <w:szCs w:val="24"/>
              </w:rPr>
              <w:t>"</w:t>
            </w:r>
            <w:r w:rsidRPr="004665A6">
              <w:rPr>
                <w:rFonts w:ascii="Times New Roman" w:hAnsi="Times New Roman"/>
                <w:bCs/>
                <w:sz w:val="24"/>
                <w:szCs w:val="24"/>
                <w:shd w:val="clear" w:color="auto" w:fill="FFFFFF"/>
              </w:rPr>
              <w:t>Apbūves tiesība</w:t>
            </w:r>
            <w:r w:rsidRPr="004665A6">
              <w:rPr>
                <w:rFonts w:ascii="Times New Roman" w:hAnsi="Times New Roman"/>
                <w:spacing w:val="-3"/>
                <w:sz w:val="24"/>
                <w:szCs w:val="24"/>
              </w:rPr>
              <w:t>";</w:t>
            </w:r>
          </w:p>
          <w:p w:rsidR="0067132E" w:rsidRPr="004665A6" w:rsidP="00231489" w14:paraId="7B4FF948" w14:textId="77777777">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sz w:val="24"/>
                <w:szCs w:val="24"/>
              </w:rPr>
              <w:t>Energoefektivitātes likuma 15. panta t</w:t>
            </w:r>
            <w:r w:rsidRPr="004665A6" w:rsidR="00627A7B">
              <w:rPr>
                <w:rFonts w:ascii="Times New Roman" w:hAnsi="Times New Roman"/>
                <w:sz w:val="24"/>
                <w:szCs w:val="24"/>
              </w:rPr>
              <w:t xml:space="preserve">rešo </w:t>
            </w:r>
            <w:r w:rsidRPr="004665A6">
              <w:rPr>
                <w:rFonts w:ascii="Times New Roman" w:hAnsi="Times New Roman"/>
                <w:sz w:val="24"/>
                <w:szCs w:val="24"/>
              </w:rPr>
              <w:t>un ceturto daļu;</w:t>
            </w:r>
          </w:p>
          <w:p w:rsidR="00D30EA8" w:rsidRPr="004665A6" w:rsidP="00231489" w14:paraId="461B36AB" w14:textId="77777777">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sz w:val="24"/>
                <w:szCs w:val="24"/>
              </w:rPr>
              <w:t xml:space="preserve">MK 2015. gada 27. janvāra noteikumu Nr. 42 </w:t>
            </w:r>
            <w:r w:rsidRPr="004665A6">
              <w:rPr>
                <w:rFonts w:ascii="Times New Roman" w:hAnsi="Times New Roman"/>
                <w:spacing w:val="-3"/>
                <w:sz w:val="24"/>
                <w:szCs w:val="24"/>
              </w:rPr>
              <w:t>"Noteikumi par kritērijiem un kārtību valsts budžeta dotācijas piešķiršanai pašvaldībām Eiropas Savienības struktūrfondu un Kohēzijas fonda 2014.-2020. gada plānošanas periodā līdzfinansēto projektu īstenošanai" (turpmāk – MK noteikumi Nr. 42) 2.</w:t>
            </w:r>
            <w:r w:rsidRPr="004665A6" w:rsidR="00741372">
              <w:rPr>
                <w:rFonts w:ascii="Times New Roman" w:hAnsi="Times New Roman"/>
                <w:spacing w:val="-3"/>
                <w:sz w:val="24"/>
                <w:szCs w:val="24"/>
              </w:rPr>
              <w:t> </w:t>
            </w:r>
            <w:r w:rsidRPr="004665A6">
              <w:rPr>
                <w:rFonts w:ascii="Times New Roman" w:hAnsi="Times New Roman"/>
                <w:spacing w:val="-3"/>
                <w:sz w:val="24"/>
                <w:szCs w:val="24"/>
              </w:rPr>
              <w:t>punktu</w:t>
            </w:r>
            <w:r w:rsidRPr="004665A6">
              <w:rPr>
                <w:rFonts w:ascii="Times New Roman" w:hAnsi="Times New Roman"/>
                <w:spacing w:val="-3"/>
                <w:sz w:val="24"/>
                <w:szCs w:val="24"/>
              </w:rPr>
              <w:t>;</w:t>
            </w:r>
          </w:p>
          <w:p w:rsidR="00941618" w:rsidRPr="004665A6" w:rsidP="00231489" w14:paraId="1D0D0D2C" w14:textId="77777777">
            <w:pPr>
              <w:pStyle w:val="ListParagraph"/>
              <w:numPr>
                <w:ilvl w:val="0"/>
                <w:numId w:val="26"/>
              </w:numPr>
              <w:spacing w:after="100" w:afterAutospacing="1" w:line="240" w:lineRule="auto"/>
              <w:ind w:right="62"/>
              <w:contextualSpacing w:val="0"/>
              <w:jc w:val="both"/>
              <w:rPr>
                <w:rFonts w:ascii="Times New Roman" w:hAnsi="Times New Roman"/>
                <w:sz w:val="24"/>
                <w:szCs w:val="24"/>
              </w:rPr>
            </w:pPr>
            <w:r w:rsidRPr="004665A6">
              <w:rPr>
                <w:rFonts w:ascii="Times New Roman" w:hAnsi="Times New Roman"/>
                <w:spacing w:val="-3"/>
                <w:sz w:val="24"/>
                <w:szCs w:val="24"/>
              </w:rPr>
              <w:t>MK 2017. gada 14. marta sēdes protokollēmuma "Informatīvais ziņojums "Par Eiropas Savienības struktūrfondu un Kohēzijas fonda, Eiropas Ekonomikas zonas finanšu instrumenta, Norvēģijas finanšu instrumenta un Latvijas un Šveices sadarbības programmas investīciju progresu līdz 2016.</w:t>
            </w:r>
            <w:r w:rsidRPr="004665A6" w:rsidR="00D25E99">
              <w:rPr>
                <w:rFonts w:ascii="Times New Roman" w:hAnsi="Times New Roman"/>
                <w:spacing w:val="-3"/>
                <w:sz w:val="24"/>
                <w:szCs w:val="24"/>
              </w:rPr>
              <w:t> </w:t>
            </w:r>
            <w:r w:rsidRPr="004665A6">
              <w:rPr>
                <w:rFonts w:ascii="Times New Roman" w:hAnsi="Times New Roman"/>
                <w:spacing w:val="-3"/>
                <w:sz w:val="24"/>
                <w:szCs w:val="24"/>
              </w:rPr>
              <w:t>gada 31.</w:t>
            </w:r>
            <w:r w:rsidRPr="004665A6" w:rsidR="00D25E99">
              <w:rPr>
                <w:rFonts w:ascii="Times New Roman" w:hAnsi="Times New Roman"/>
                <w:spacing w:val="-3"/>
                <w:sz w:val="24"/>
                <w:szCs w:val="24"/>
              </w:rPr>
              <w:t> </w:t>
            </w:r>
            <w:r w:rsidRPr="004665A6">
              <w:rPr>
                <w:rFonts w:ascii="Times New Roman" w:hAnsi="Times New Roman"/>
                <w:spacing w:val="-3"/>
                <w:sz w:val="24"/>
                <w:szCs w:val="24"/>
              </w:rPr>
              <w:t>decembrim"" (prot. Nr. 12, 43.§) 5.1. apakšpunktu.</w:t>
            </w:r>
          </w:p>
        </w:tc>
      </w:tr>
      <w:tr w14:paraId="2AB5D339" w14:textId="77777777" w:rsidTr="00B35439">
        <w:tblPrEx>
          <w:tblW w:w="5316" w:type="pct"/>
          <w:tblCellMar>
            <w:left w:w="0" w:type="dxa"/>
            <w:right w:w="0" w:type="dxa"/>
          </w:tblCellMar>
          <w:tblLook w:val="0000"/>
        </w:tblPrEx>
        <w:trPr>
          <w:trHeight w:val="273"/>
        </w:trPr>
        <w:tc>
          <w:tcPr>
            <w:tcW w:w="224" w:type="pct"/>
          </w:tcPr>
          <w:p w:rsidR="00CC1A56" w:rsidRPr="00671A71" w:rsidP="00231489" w14:paraId="76BB6AC4" w14:textId="77777777">
            <w:pPr>
              <w:pStyle w:val="naiskr"/>
              <w:spacing w:before="0" w:beforeAutospacing="0" w:after="0" w:afterAutospacing="0"/>
              <w:ind w:left="57" w:right="57"/>
              <w:rPr>
                <w:spacing w:val="-2"/>
              </w:rPr>
            </w:pPr>
            <w:r w:rsidRPr="00671A71">
              <w:rPr>
                <w:spacing w:val="-2"/>
              </w:rPr>
              <w:t>2.</w:t>
            </w:r>
          </w:p>
        </w:tc>
        <w:tc>
          <w:tcPr>
            <w:tcW w:w="953" w:type="pct"/>
          </w:tcPr>
          <w:p w:rsidR="00CC1A56" w:rsidRPr="00671A71" w:rsidP="00231489" w14:paraId="0EFBC636" w14:textId="77777777">
            <w:pPr>
              <w:pStyle w:val="naiskr"/>
              <w:tabs>
                <w:tab w:val="left" w:pos="170"/>
              </w:tabs>
              <w:spacing w:before="0" w:beforeAutospacing="0" w:after="0" w:afterAutospacing="0"/>
              <w:ind w:left="57" w:right="57"/>
              <w:rPr>
                <w:spacing w:val="-2"/>
              </w:rPr>
            </w:pPr>
            <w:r w:rsidRPr="00671A71">
              <w:rPr>
                <w:spacing w:val="-2"/>
              </w:rPr>
              <w:t>Pašreizējā</w:t>
            </w:r>
            <w:r w:rsidRPr="00671A71" w:rsidR="00F01597">
              <w:rPr>
                <w:spacing w:val="-2"/>
              </w:rPr>
              <w:t xml:space="preserve"> </w:t>
            </w:r>
            <w:r w:rsidRPr="00671A71">
              <w:rPr>
                <w:spacing w:val="-2"/>
              </w:rPr>
              <w:t>situācija</w:t>
            </w:r>
            <w:r w:rsidRPr="00671A71" w:rsidR="00F01597">
              <w:rPr>
                <w:spacing w:val="-2"/>
              </w:rPr>
              <w:t xml:space="preserve"> </w:t>
            </w:r>
            <w:r w:rsidRPr="00671A71">
              <w:rPr>
                <w:spacing w:val="-2"/>
              </w:rPr>
              <w:t>un</w:t>
            </w:r>
            <w:r w:rsidRPr="00671A71" w:rsidR="00F01597">
              <w:rPr>
                <w:spacing w:val="-2"/>
              </w:rPr>
              <w:t xml:space="preserve"> </w:t>
            </w:r>
            <w:r w:rsidRPr="00671A71">
              <w:rPr>
                <w:spacing w:val="-2"/>
              </w:rPr>
              <w:t>problēmas,</w:t>
            </w:r>
            <w:r w:rsidRPr="00671A71" w:rsidR="00F01597">
              <w:rPr>
                <w:spacing w:val="-2"/>
              </w:rPr>
              <w:t xml:space="preserve"> </w:t>
            </w:r>
            <w:r w:rsidRPr="00671A71">
              <w:rPr>
                <w:spacing w:val="-2"/>
              </w:rPr>
              <w:t>kuru</w:t>
            </w:r>
            <w:r w:rsidRPr="00671A71" w:rsidR="00F01597">
              <w:rPr>
                <w:spacing w:val="-2"/>
              </w:rPr>
              <w:t xml:space="preserve"> </w:t>
            </w:r>
            <w:r w:rsidRPr="00671A71">
              <w:rPr>
                <w:spacing w:val="-2"/>
              </w:rPr>
              <w:t>risināšanai</w:t>
            </w:r>
            <w:r w:rsidRPr="00671A71" w:rsidR="00F01597">
              <w:rPr>
                <w:spacing w:val="-2"/>
              </w:rPr>
              <w:t xml:space="preserve"> </w:t>
            </w:r>
            <w:r w:rsidRPr="00671A71">
              <w:rPr>
                <w:spacing w:val="-2"/>
              </w:rPr>
              <w:t>tiesību</w:t>
            </w:r>
            <w:r w:rsidRPr="00671A71" w:rsidR="00F01597">
              <w:rPr>
                <w:spacing w:val="-2"/>
              </w:rPr>
              <w:t xml:space="preserve"> </w:t>
            </w:r>
            <w:r w:rsidRPr="00671A71">
              <w:rPr>
                <w:spacing w:val="-2"/>
              </w:rPr>
              <w:t>akta</w:t>
            </w:r>
            <w:r w:rsidRPr="00671A71" w:rsidR="00F01597">
              <w:rPr>
                <w:spacing w:val="-2"/>
              </w:rPr>
              <w:t xml:space="preserve"> </w:t>
            </w:r>
            <w:r w:rsidRPr="00671A71">
              <w:rPr>
                <w:spacing w:val="-2"/>
              </w:rPr>
              <w:t>projekts</w:t>
            </w:r>
            <w:r w:rsidRPr="00671A71" w:rsidR="00F01597">
              <w:rPr>
                <w:spacing w:val="-2"/>
              </w:rPr>
              <w:t xml:space="preserve"> </w:t>
            </w:r>
            <w:r w:rsidRPr="00671A71">
              <w:rPr>
                <w:spacing w:val="-2"/>
              </w:rPr>
              <w:t>izstrādāts,</w:t>
            </w:r>
            <w:r w:rsidRPr="00671A71" w:rsidR="00F01597">
              <w:rPr>
                <w:spacing w:val="-2"/>
              </w:rPr>
              <w:t xml:space="preserve"> </w:t>
            </w:r>
            <w:r w:rsidRPr="00671A71">
              <w:rPr>
                <w:spacing w:val="-2"/>
              </w:rPr>
              <w:t>tiesiskā</w:t>
            </w:r>
            <w:r w:rsidRPr="00671A71" w:rsidR="00F01597">
              <w:rPr>
                <w:spacing w:val="-2"/>
              </w:rPr>
              <w:t xml:space="preserve"> </w:t>
            </w:r>
            <w:r w:rsidRPr="00671A71">
              <w:rPr>
                <w:spacing w:val="-2"/>
              </w:rPr>
              <w:t>regulējuma</w:t>
            </w:r>
            <w:r w:rsidRPr="00671A71" w:rsidR="00F01597">
              <w:rPr>
                <w:spacing w:val="-2"/>
              </w:rPr>
              <w:t xml:space="preserve"> </w:t>
            </w:r>
            <w:r w:rsidRPr="00671A71">
              <w:rPr>
                <w:spacing w:val="-2"/>
              </w:rPr>
              <w:t>mērķis</w:t>
            </w:r>
            <w:r w:rsidRPr="00671A71" w:rsidR="00F01597">
              <w:rPr>
                <w:spacing w:val="-2"/>
              </w:rPr>
              <w:t xml:space="preserve"> </w:t>
            </w:r>
            <w:r w:rsidRPr="00671A71">
              <w:rPr>
                <w:spacing w:val="-2"/>
              </w:rPr>
              <w:t>un</w:t>
            </w:r>
            <w:r w:rsidRPr="00671A71" w:rsidR="00F01597">
              <w:rPr>
                <w:spacing w:val="-2"/>
              </w:rPr>
              <w:t xml:space="preserve"> </w:t>
            </w:r>
            <w:r w:rsidRPr="00671A71">
              <w:rPr>
                <w:spacing w:val="-2"/>
              </w:rPr>
              <w:t>būtība</w:t>
            </w:r>
          </w:p>
        </w:tc>
        <w:tc>
          <w:tcPr>
            <w:tcW w:w="3823" w:type="pct"/>
            <w:shd w:val="clear" w:color="auto" w:fill="auto"/>
          </w:tcPr>
          <w:p w:rsidR="00135C5F" w:rsidRPr="00231489" w:rsidP="00231489" w14:paraId="6BEFB365" w14:textId="7777777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671A71">
              <w:rPr>
                <w:rFonts w:ascii="Times New Roman" w:hAnsi="Times New Roman"/>
                <w:bCs/>
                <w:sz w:val="24"/>
                <w:szCs w:val="24"/>
              </w:rPr>
              <w:t>1. </w:t>
            </w:r>
            <w:r w:rsidRPr="00231489">
              <w:rPr>
                <w:rFonts w:ascii="Times New Roman" w:hAnsi="Times New Roman"/>
                <w:spacing w:val="-3"/>
                <w:sz w:val="24"/>
                <w:szCs w:val="24"/>
              </w:rPr>
              <w:t>Eiro</w:t>
            </w:r>
            <w:r w:rsidRPr="00231489" w:rsidR="0095184D">
              <w:rPr>
                <w:rFonts w:ascii="Times New Roman" w:hAnsi="Times New Roman"/>
                <w:spacing w:val="-3"/>
                <w:sz w:val="24"/>
                <w:szCs w:val="24"/>
              </w:rPr>
              <w:t>pas Parlamenta un Padomes 2013. gada 17. </w:t>
            </w:r>
            <w:r w:rsidRPr="00231489">
              <w:rPr>
                <w:rFonts w:ascii="Times New Roman" w:hAnsi="Times New Roman"/>
                <w:spacing w:val="-3"/>
                <w:sz w:val="24"/>
                <w:szCs w:val="24"/>
              </w:rPr>
              <w:t>decembra Regulas (ES) Nr. </w:t>
            </w:r>
            <w:r>
              <w:fldChar w:fldCharType="begin"/>
            </w:r>
            <w:r>
              <w:instrText xml:space="preserve"> HYPERLINK "http://eur-lex.europa.eu/eli/reg/2013/1303/oj/?locale=LV" \t "_blank" </w:instrText>
            </w:r>
            <w:r>
              <w:fldChar w:fldCharType="separate"/>
            </w:r>
            <w:r w:rsidRPr="00231489">
              <w:rPr>
                <w:rFonts w:ascii="Times New Roman" w:hAnsi="Times New Roman"/>
                <w:spacing w:val="-3"/>
                <w:sz w:val="24"/>
                <w:szCs w:val="24"/>
              </w:rPr>
              <w:t>1303/2013</w:t>
            </w:r>
            <w:r>
              <w:fldChar w:fldCharType="end"/>
            </w:r>
            <w:r w:rsidRPr="00231489">
              <w:rPr>
                <w:rFonts w:ascii="Times New Roman" w:hAnsi="Times New Roman"/>
                <w:spacing w:val="-3"/>
                <w:sz w:val="24"/>
                <w:szCs w:val="24"/>
              </w:rPr>
              <w:t xml:space="preserve">, </w:t>
            </w:r>
            <w:r w:rsidRPr="00231489">
              <w:rPr>
                <w:rFonts w:ascii="Times New Roman" w:hAnsi="Times New Roman"/>
                <w:i/>
                <w:spacing w:val="-3"/>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r>
              <w:fldChar w:fldCharType="begin"/>
            </w:r>
            <w:r>
              <w:instrText xml:space="preserve"> HYPERLINK "http://eur-lex.europa.eu/eli/reg/2006/1083/oj/?locale=LV" \t "_blank" </w:instrText>
            </w:r>
            <w:r>
              <w:fldChar w:fldCharType="separate"/>
            </w:r>
            <w:r w:rsidRPr="00231489">
              <w:rPr>
                <w:rFonts w:ascii="Times New Roman" w:hAnsi="Times New Roman"/>
                <w:i/>
                <w:spacing w:val="-3"/>
                <w:sz w:val="24"/>
                <w:szCs w:val="24"/>
              </w:rPr>
              <w:t>1083/2006</w:t>
            </w:r>
            <w:r>
              <w:fldChar w:fldCharType="end"/>
            </w:r>
            <w:r w:rsidRPr="00231489">
              <w:rPr>
                <w:rFonts w:ascii="Times New Roman" w:hAnsi="Times New Roman"/>
                <w:spacing w:val="-3"/>
                <w:sz w:val="24"/>
                <w:szCs w:val="24"/>
              </w:rPr>
              <w:t xml:space="preserve"> 71. pants </w:t>
            </w:r>
            <w:r w:rsidRPr="00231489" w:rsidR="007D050F">
              <w:rPr>
                <w:rFonts w:ascii="Times New Roman" w:hAnsi="Times New Roman"/>
                <w:spacing w:val="-3"/>
                <w:sz w:val="24"/>
                <w:szCs w:val="24"/>
              </w:rPr>
              <w:t>nosaka</w:t>
            </w:r>
            <w:r w:rsidRPr="00231489">
              <w:rPr>
                <w:rFonts w:ascii="Times New Roman" w:hAnsi="Times New Roman"/>
                <w:spacing w:val="-3"/>
                <w:sz w:val="24"/>
                <w:szCs w:val="24"/>
              </w:rPr>
              <w:t>, ka projekta pēcuzraudzības periods ir piecu gadu periods, kas sākas pēc noslēguma maksājuma veikšanas finansējuma saņēmējam. Eiropas Savienības struktūrfondu un Kohēzijas fonda 2014.</w:t>
            </w:r>
            <w:r w:rsidRPr="00231489" w:rsidR="00434C6B">
              <w:rPr>
                <w:rFonts w:ascii="Times New Roman" w:hAnsi="Times New Roman"/>
                <w:spacing w:val="-3"/>
                <w:sz w:val="24"/>
                <w:szCs w:val="24"/>
              </w:rPr>
              <w:t>–</w:t>
            </w:r>
            <w:r w:rsidRPr="00231489">
              <w:rPr>
                <w:rFonts w:ascii="Times New Roman" w:hAnsi="Times New Roman"/>
                <w:spacing w:val="-3"/>
                <w:sz w:val="24"/>
                <w:szCs w:val="24"/>
              </w:rPr>
              <w:t xml:space="preserve">2020. gada plānošanas perioda vadības likuma 12. panta trešās daļas 9. punkts nosaka </w:t>
            </w:r>
            <w:r w:rsidRPr="00231489" w:rsidR="00E36054">
              <w:rPr>
                <w:rFonts w:ascii="Times New Roman" w:hAnsi="Times New Roman"/>
                <w:spacing w:val="-3"/>
                <w:sz w:val="24"/>
                <w:szCs w:val="24"/>
              </w:rPr>
              <w:t xml:space="preserve">sadarbības iestādei, t.i., </w:t>
            </w:r>
            <w:r w:rsidRPr="00231489" w:rsidR="00F6464C">
              <w:rPr>
                <w:rFonts w:ascii="Times New Roman" w:hAnsi="Times New Roman"/>
                <w:sz w:val="24"/>
                <w:szCs w:val="24"/>
              </w:rPr>
              <w:t>Centrālai finanšu un līgumu aģentūrai (turpmāk – CFLA)</w:t>
            </w:r>
            <w:r w:rsidRPr="00231489">
              <w:rPr>
                <w:rFonts w:ascii="Times New Roman" w:hAnsi="Times New Roman"/>
                <w:spacing w:val="-3"/>
                <w:sz w:val="24"/>
                <w:szCs w:val="24"/>
              </w:rPr>
              <w:t xml:space="preserve"> pienākumu nodrošināt projektu īstenošanas uzraudzību un kontroli un projektu mērķu un iznākuma rādītāju sasniegšanas uzraudzību. Komisijas regulas Nr.</w:t>
            </w:r>
            <w:r w:rsidRPr="00231489" w:rsidR="004D7B84">
              <w:rPr>
                <w:rFonts w:ascii="Times New Roman" w:hAnsi="Times New Roman"/>
                <w:spacing w:val="-3"/>
                <w:sz w:val="24"/>
                <w:szCs w:val="24"/>
              </w:rPr>
              <w:t> </w:t>
            </w:r>
            <w:r w:rsidRPr="00231489">
              <w:rPr>
                <w:rFonts w:ascii="Times New Roman" w:hAnsi="Times New Roman"/>
                <w:spacing w:val="-3"/>
                <w:sz w:val="24"/>
                <w:szCs w:val="24"/>
              </w:rPr>
              <w:t>480/2014 1.</w:t>
            </w:r>
            <w:r w:rsidRPr="00231489" w:rsidR="004D7B84">
              <w:rPr>
                <w:rFonts w:ascii="Times New Roman" w:hAnsi="Times New Roman"/>
                <w:spacing w:val="-3"/>
                <w:sz w:val="24"/>
                <w:szCs w:val="24"/>
              </w:rPr>
              <w:t> </w:t>
            </w:r>
            <w:r w:rsidRPr="00231489">
              <w:rPr>
                <w:rFonts w:ascii="Times New Roman" w:hAnsi="Times New Roman"/>
                <w:spacing w:val="-3"/>
                <w:sz w:val="24"/>
                <w:szCs w:val="24"/>
              </w:rPr>
              <w:t>pielikums nosaka projekta pārskata periodu (projekta dzīves ciklu) atkarībā no nozares (līdz 25 gadiem). Savukārt Komisijas regulas Nr. </w:t>
            </w:r>
            <w:r>
              <w:fldChar w:fldCharType="begin"/>
            </w:r>
            <w:r>
              <w:instrText xml:space="preserve"> HYPERLINK "http://eur-lex.europa.eu/eli/reg/2014/651/oj/?locale=LV" \t "_blank" </w:instrText>
            </w:r>
            <w:r>
              <w:fldChar w:fldCharType="separate"/>
            </w:r>
            <w:r w:rsidRPr="00231489">
              <w:rPr>
                <w:rFonts w:ascii="Times New Roman" w:hAnsi="Times New Roman"/>
                <w:spacing w:val="-3"/>
                <w:sz w:val="24"/>
                <w:szCs w:val="24"/>
              </w:rPr>
              <w:t>651/2014</w:t>
            </w:r>
            <w:r>
              <w:fldChar w:fldCharType="end"/>
            </w:r>
            <w:r w:rsidRPr="00231489">
              <w:rPr>
                <w:rFonts w:ascii="Times New Roman" w:hAnsi="Times New Roman"/>
                <w:spacing w:val="-3"/>
                <w:sz w:val="24"/>
                <w:szCs w:val="24"/>
              </w:rPr>
              <w:t xml:space="preserve"> 48. panta 5. punkts un 56. panta 6. punkts nosaka </w:t>
            </w:r>
            <w:r w:rsidRPr="00231489" w:rsidR="00EE24D1">
              <w:rPr>
                <w:rFonts w:ascii="Times New Roman" w:hAnsi="Times New Roman"/>
                <w:spacing w:val="-3"/>
                <w:sz w:val="24"/>
                <w:szCs w:val="24"/>
              </w:rPr>
              <w:t xml:space="preserve">pamatdarbības peļņas </w:t>
            </w:r>
            <w:r w:rsidRPr="00231489">
              <w:rPr>
                <w:rFonts w:ascii="Times New Roman" w:hAnsi="Times New Roman"/>
                <w:spacing w:val="-3"/>
                <w:sz w:val="24"/>
                <w:szCs w:val="24"/>
              </w:rPr>
              <w:t>atgūšanas mehānisma pienākumu.</w:t>
            </w:r>
          </w:p>
          <w:p w:rsidR="00135C5F" w:rsidRPr="00231489" w:rsidP="00231489" w14:paraId="65C22938" w14:textId="7E8001A2">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231489">
              <w:rPr>
                <w:rFonts w:ascii="Times New Roman" w:hAnsi="Times New Roman"/>
                <w:iCs/>
                <w:sz w:val="24"/>
                <w:szCs w:val="24"/>
                <w:shd w:val="clear" w:color="auto" w:fill="FFFFFF"/>
              </w:rPr>
              <w:t xml:space="preserve">Vides aizsardzības un reģionālās attīstības ministrija (turpmāk – VARAM) </w:t>
            </w:r>
            <w:r w:rsidRPr="00231489">
              <w:rPr>
                <w:rFonts w:ascii="Times New Roman" w:hAnsi="Times New Roman"/>
                <w:bCs/>
                <w:sz w:val="24"/>
                <w:szCs w:val="24"/>
                <w:shd w:val="clear" w:color="auto" w:fill="FFFFFF"/>
              </w:rPr>
              <w:t xml:space="preserve"> ir panākusi vienošanos ar Finanšu ministriju (turpmāk – FM) un CFLA, ka CFLA veiks Komisijas regulas Nr. </w:t>
            </w:r>
            <w:r>
              <w:fldChar w:fldCharType="begin"/>
            </w:r>
            <w:r>
              <w:instrText xml:space="preserve"> HYPERLINK "http://eur-lex.europa.eu/eli/reg/2014/651/oj/?locale=LV" \t "_blank" </w:instrText>
            </w:r>
            <w:r>
              <w:fldChar w:fldCharType="separate"/>
            </w:r>
            <w:r w:rsidRPr="00231489">
              <w:rPr>
                <w:rFonts w:ascii="Times New Roman" w:hAnsi="Times New Roman"/>
                <w:bCs/>
                <w:sz w:val="24"/>
                <w:szCs w:val="24"/>
                <w:shd w:val="clear" w:color="auto" w:fill="FFFFFF"/>
              </w:rPr>
              <w:t>651/2014</w:t>
            </w:r>
            <w:r>
              <w:fldChar w:fldCharType="end"/>
            </w:r>
            <w:r w:rsidRPr="00231489">
              <w:rPr>
                <w:rFonts w:ascii="Times New Roman" w:hAnsi="Times New Roman"/>
                <w:bCs/>
                <w:sz w:val="24"/>
                <w:szCs w:val="24"/>
                <w:shd w:val="clear" w:color="auto" w:fill="FFFFFF"/>
              </w:rPr>
              <w:t xml:space="preserve"> 48. un 56. panta valsts atbalsta projektu uzraudzību visā to dzīves ciklā (arī pēc piecu gadu pēcuzraudzības perioda beigām), ja to paredzēs </w:t>
            </w:r>
            <w:r w:rsidRPr="00231489" w:rsidR="00EB2EDC">
              <w:rPr>
                <w:rFonts w:ascii="Times New Roman" w:hAnsi="Times New Roman"/>
                <w:bCs/>
                <w:sz w:val="24"/>
                <w:szCs w:val="24"/>
              </w:rPr>
              <w:t>MK 2015.</w:t>
            </w:r>
            <w:r w:rsidRPr="00231489" w:rsidR="001E540A">
              <w:rPr>
                <w:rFonts w:ascii="Times New Roman" w:hAnsi="Times New Roman"/>
                <w:bCs/>
                <w:sz w:val="24"/>
                <w:szCs w:val="24"/>
              </w:rPr>
              <w:t> </w:t>
            </w:r>
            <w:r w:rsidRPr="00231489" w:rsidR="00EB2EDC">
              <w:rPr>
                <w:rFonts w:ascii="Times New Roman" w:hAnsi="Times New Roman"/>
                <w:bCs/>
                <w:sz w:val="24"/>
                <w:szCs w:val="24"/>
              </w:rPr>
              <w:t xml:space="preserve">gada </w:t>
            </w:r>
            <w:r w:rsidRPr="00231489" w:rsidR="008B6D81">
              <w:rPr>
                <w:rFonts w:ascii="Times New Roman" w:hAnsi="Times New Roman"/>
                <w:bCs/>
                <w:sz w:val="24"/>
                <w:szCs w:val="24"/>
              </w:rPr>
              <w:t>10. novembra</w:t>
            </w:r>
            <w:r w:rsidRPr="00231489" w:rsidR="00EB2EDC">
              <w:rPr>
                <w:rFonts w:ascii="Times New Roman" w:hAnsi="Times New Roman"/>
                <w:bCs/>
                <w:sz w:val="24"/>
                <w:szCs w:val="24"/>
              </w:rPr>
              <w:t xml:space="preserve"> </w:t>
            </w:r>
            <w:r w:rsidRPr="00231489" w:rsidR="006E5809">
              <w:rPr>
                <w:rFonts w:ascii="Times New Roman" w:hAnsi="Times New Roman"/>
                <w:bCs/>
                <w:sz w:val="24"/>
                <w:szCs w:val="24"/>
              </w:rPr>
              <w:t xml:space="preserve">noteikumi </w:t>
            </w:r>
            <w:r w:rsidRPr="00231489" w:rsidR="00EB2EDC">
              <w:rPr>
                <w:rFonts w:ascii="Times New Roman" w:hAnsi="Times New Roman"/>
                <w:bCs/>
                <w:sz w:val="24"/>
                <w:szCs w:val="24"/>
              </w:rPr>
              <w:t>Nr. </w:t>
            </w:r>
            <w:r w:rsidRPr="00231489" w:rsidR="008B6D81">
              <w:rPr>
                <w:rFonts w:ascii="Times New Roman" w:hAnsi="Times New Roman"/>
                <w:bCs/>
                <w:sz w:val="24"/>
                <w:szCs w:val="24"/>
              </w:rPr>
              <w:t>645</w:t>
            </w:r>
            <w:r w:rsidRPr="00231489" w:rsidR="00EB2EDC">
              <w:rPr>
                <w:rFonts w:ascii="Times New Roman" w:hAnsi="Times New Roman"/>
                <w:bCs/>
                <w:sz w:val="24"/>
                <w:szCs w:val="24"/>
              </w:rPr>
              <w:t xml:space="preserve"> </w:t>
            </w:r>
            <w:r w:rsidRPr="00231489" w:rsidR="00EB2EDC">
              <w:rPr>
                <w:rFonts w:ascii="Times New Roman" w:hAnsi="Times New Roman"/>
                <w:spacing w:val="-3"/>
                <w:sz w:val="24"/>
                <w:szCs w:val="24"/>
              </w:rPr>
              <w:t>"</w:t>
            </w:r>
            <w:r w:rsidRPr="00231489" w:rsidR="00EB2EDC">
              <w:rPr>
                <w:rFonts w:ascii="Times New Roman" w:hAnsi="Times New Roman"/>
                <w:bCs/>
                <w:sz w:val="24"/>
                <w:szCs w:val="24"/>
                <w:shd w:val="clear" w:color="auto" w:fill="FFFFFF"/>
              </w:rPr>
              <w:t xml:space="preserve">Darbības programmas </w:t>
            </w:r>
            <w:r w:rsidRPr="00231489" w:rsidR="00EB2EDC">
              <w:rPr>
                <w:rFonts w:ascii="Times New Roman" w:hAnsi="Times New Roman"/>
                <w:spacing w:val="-3"/>
                <w:sz w:val="24"/>
                <w:szCs w:val="24"/>
              </w:rPr>
              <w:t>"</w:t>
            </w:r>
            <w:r w:rsidRPr="00231489" w:rsidR="00EB2EDC">
              <w:rPr>
                <w:rFonts w:ascii="Times New Roman" w:hAnsi="Times New Roman"/>
                <w:bCs/>
                <w:sz w:val="24"/>
                <w:szCs w:val="24"/>
                <w:shd w:val="clear" w:color="auto" w:fill="FFFFFF"/>
              </w:rPr>
              <w:t>Izaugsme un nodarbinātība</w:t>
            </w:r>
            <w:r w:rsidRPr="00231489" w:rsidR="00EB2EDC">
              <w:rPr>
                <w:rFonts w:ascii="Times New Roman" w:hAnsi="Times New Roman"/>
                <w:spacing w:val="-3"/>
                <w:sz w:val="24"/>
                <w:szCs w:val="24"/>
              </w:rPr>
              <w:t>"</w:t>
            </w:r>
            <w:r w:rsidRPr="00231489" w:rsidR="008B6D81">
              <w:rPr>
                <w:rFonts w:ascii="Times New Roman" w:hAnsi="Times New Roman"/>
                <w:bCs/>
                <w:sz w:val="24"/>
                <w:szCs w:val="24"/>
                <w:shd w:val="clear" w:color="auto" w:fill="FFFFFF"/>
              </w:rPr>
              <w:t xml:space="preserve"> 5.6.2</w:t>
            </w:r>
            <w:r w:rsidRPr="00231489" w:rsidR="00EB2EDC">
              <w:rPr>
                <w:rFonts w:ascii="Times New Roman" w:hAnsi="Times New Roman"/>
                <w:bCs/>
                <w:sz w:val="24"/>
                <w:szCs w:val="24"/>
                <w:shd w:val="clear" w:color="auto" w:fill="FFFFFF"/>
              </w:rPr>
              <w:t>.</w:t>
            </w:r>
            <w:r w:rsidRPr="00231489" w:rsidR="001E540A">
              <w:rPr>
                <w:rFonts w:ascii="Times New Roman" w:hAnsi="Times New Roman"/>
                <w:bCs/>
                <w:sz w:val="24"/>
                <w:szCs w:val="24"/>
                <w:shd w:val="clear" w:color="auto" w:fill="FFFFFF"/>
              </w:rPr>
              <w:t> </w:t>
            </w:r>
            <w:r w:rsidRPr="00231489" w:rsidR="00EB2EDC">
              <w:rPr>
                <w:rFonts w:ascii="Times New Roman" w:hAnsi="Times New Roman"/>
                <w:bCs/>
                <w:sz w:val="24"/>
                <w:szCs w:val="24"/>
                <w:shd w:val="clear" w:color="auto" w:fill="FFFFFF"/>
              </w:rPr>
              <w:t xml:space="preserve">specifiskā atbalsta mērķa </w:t>
            </w:r>
            <w:r w:rsidRPr="00231489" w:rsidR="00EB2EDC">
              <w:rPr>
                <w:rFonts w:ascii="Times New Roman" w:hAnsi="Times New Roman"/>
                <w:spacing w:val="-3"/>
                <w:sz w:val="24"/>
                <w:szCs w:val="24"/>
              </w:rPr>
              <w:t>"</w:t>
            </w:r>
            <w:r w:rsidRPr="00231489" w:rsidR="008B6D81">
              <w:rPr>
                <w:rFonts w:ascii="Times New Roman" w:hAnsi="Times New Roman"/>
                <w:bCs/>
                <w:sz w:val="24"/>
                <w:szCs w:val="24"/>
                <w:shd w:val="clear" w:color="auto" w:fill="FFFFFF"/>
              </w:rPr>
              <w:t>Teritoriju revitalizācija, reģenerējot degradētās teritorijas atbilstoši pašvaldību integrētajām attīstības programmām</w:t>
            </w:r>
            <w:r w:rsidRPr="00231489" w:rsidR="00EB2EDC">
              <w:rPr>
                <w:rFonts w:ascii="Times New Roman" w:hAnsi="Times New Roman"/>
                <w:spacing w:val="-3"/>
                <w:sz w:val="24"/>
                <w:szCs w:val="24"/>
              </w:rPr>
              <w:t>"</w:t>
            </w:r>
            <w:r w:rsidRPr="00231489" w:rsidR="00EB2EDC">
              <w:rPr>
                <w:rFonts w:ascii="Times New Roman" w:hAnsi="Times New Roman"/>
                <w:bCs/>
                <w:sz w:val="24"/>
                <w:szCs w:val="24"/>
                <w:shd w:val="clear" w:color="auto" w:fill="FFFFFF"/>
              </w:rPr>
              <w:t xml:space="preserve"> īstenošanas noteikumi</w:t>
            </w:r>
            <w:r w:rsidRPr="00231489" w:rsidR="00EB2EDC">
              <w:rPr>
                <w:rFonts w:ascii="Times New Roman" w:hAnsi="Times New Roman"/>
                <w:spacing w:val="-3"/>
                <w:sz w:val="24"/>
                <w:szCs w:val="24"/>
              </w:rPr>
              <w:t>"</w:t>
            </w:r>
            <w:r w:rsidRPr="00231489" w:rsidR="00EB2EDC">
              <w:rPr>
                <w:rFonts w:ascii="Times New Roman" w:hAnsi="Times New Roman"/>
                <w:bCs/>
                <w:sz w:val="24"/>
                <w:szCs w:val="24"/>
                <w:shd w:val="clear" w:color="auto" w:fill="FFFFFF"/>
              </w:rPr>
              <w:t xml:space="preserve"> </w:t>
            </w:r>
            <w:r w:rsidRPr="00231489" w:rsidR="00EB2EDC">
              <w:rPr>
                <w:rFonts w:ascii="Times New Roman" w:hAnsi="Times New Roman"/>
                <w:bCs/>
                <w:sz w:val="24"/>
                <w:szCs w:val="24"/>
              </w:rPr>
              <w:t>(turpmāk – MK noteikumi Nr.</w:t>
            </w:r>
            <w:r w:rsidRPr="00231489" w:rsidR="004D7B84">
              <w:rPr>
                <w:rFonts w:ascii="Times New Roman" w:hAnsi="Times New Roman"/>
                <w:bCs/>
                <w:sz w:val="24"/>
                <w:szCs w:val="24"/>
              </w:rPr>
              <w:t> </w:t>
            </w:r>
            <w:r w:rsidRPr="00231489" w:rsidR="008B6D81">
              <w:rPr>
                <w:rFonts w:ascii="Times New Roman" w:hAnsi="Times New Roman"/>
                <w:bCs/>
                <w:sz w:val="24"/>
                <w:szCs w:val="24"/>
              </w:rPr>
              <w:t>645</w:t>
            </w:r>
            <w:r w:rsidRPr="00231489" w:rsidR="00EB2EDC">
              <w:rPr>
                <w:rFonts w:ascii="Times New Roman" w:hAnsi="Times New Roman"/>
                <w:bCs/>
                <w:sz w:val="24"/>
                <w:szCs w:val="24"/>
              </w:rPr>
              <w:t>)</w:t>
            </w:r>
            <w:r w:rsidRPr="00231489">
              <w:rPr>
                <w:rFonts w:ascii="Times New Roman" w:hAnsi="Times New Roman"/>
                <w:bCs/>
                <w:sz w:val="24"/>
                <w:szCs w:val="24"/>
                <w:shd w:val="clear" w:color="auto" w:fill="FFFFFF"/>
              </w:rPr>
              <w:t xml:space="preserve">. Attiecīgi </w:t>
            </w:r>
            <w:r w:rsidRPr="00231489" w:rsidR="00A06C49">
              <w:rPr>
                <w:rFonts w:ascii="Times New Roman" w:hAnsi="Times New Roman"/>
                <w:bCs/>
                <w:sz w:val="24"/>
                <w:szCs w:val="24"/>
                <w:shd w:val="clear" w:color="auto" w:fill="FFFFFF"/>
              </w:rPr>
              <w:t>MK noteikumi Nr. </w:t>
            </w:r>
            <w:r w:rsidRPr="00231489" w:rsidR="008B6D81">
              <w:rPr>
                <w:rFonts w:ascii="Times New Roman" w:hAnsi="Times New Roman"/>
                <w:bCs/>
                <w:sz w:val="24"/>
                <w:szCs w:val="24"/>
                <w:shd w:val="clear" w:color="auto" w:fill="FFFFFF"/>
              </w:rPr>
              <w:t>645</w:t>
            </w:r>
            <w:r w:rsidRPr="00231489" w:rsidR="00A06C49">
              <w:rPr>
                <w:rFonts w:ascii="Times New Roman" w:hAnsi="Times New Roman"/>
                <w:bCs/>
                <w:sz w:val="24"/>
                <w:szCs w:val="24"/>
                <w:shd w:val="clear" w:color="auto" w:fill="FFFFFF"/>
              </w:rPr>
              <w:t xml:space="preserve"> tiek papildināti ar jaunu punktu, kas nosaka</w:t>
            </w:r>
            <w:r w:rsidRPr="00231489">
              <w:rPr>
                <w:rFonts w:ascii="Times New Roman" w:hAnsi="Times New Roman"/>
                <w:bCs/>
                <w:sz w:val="24"/>
                <w:szCs w:val="24"/>
                <w:shd w:val="clear" w:color="auto" w:fill="FFFFFF"/>
              </w:rPr>
              <w:t xml:space="preserve"> CFLA pienākumu uzraudzīt projektu, kurā paredzēts valsts atbalsts, visā tā dzīves cikla laikā (līdz 25 gadiem), ja </w:t>
            </w:r>
            <w:r w:rsidRPr="00231489" w:rsidR="007D050F">
              <w:rPr>
                <w:rFonts w:ascii="Times New Roman" w:hAnsi="Times New Roman"/>
                <w:bCs/>
                <w:sz w:val="24"/>
                <w:szCs w:val="24"/>
                <w:shd w:val="clear" w:color="auto" w:fill="FFFFFF"/>
              </w:rPr>
              <w:t xml:space="preserve">projekta ietvaros </w:t>
            </w:r>
            <w:r w:rsidRPr="00231489">
              <w:rPr>
                <w:rFonts w:ascii="Times New Roman" w:hAnsi="Times New Roman"/>
                <w:bCs/>
                <w:sz w:val="24"/>
                <w:szCs w:val="24"/>
                <w:shd w:val="clear" w:color="auto" w:fill="FFFFFF"/>
              </w:rPr>
              <w:t>veikti ieguldījumi ēkā vai teritorijā, kuru iznomā komersantam saimnieciskās darbības veikšanai</w:t>
            </w:r>
            <w:r w:rsidRPr="00231489" w:rsidR="001F5752">
              <w:rPr>
                <w:rFonts w:ascii="Times New Roman" w:hAnsi="Times New Roman"/>
                <w:bCs/>
                <w:sz w:val="24"/>
                <w:szCs w:val="24"/>
                <w:shd w:val="clear" w:color="auto" w:fill="FFFFFF"/>
              </w:rPr>
              <w:t xml:space="preserve"> (</w:t>
            </w:r>
            <w:r w:rsidRPr="00231489" w:rsidR="00EE24D1">
              <w:rPr>
                <w:rFonts w:ascii="Times New Roman" w:hAnsi="Times New Roman"/>
                <w:bCs/>
                <w:sz w:val="24"/>
                <w:szCs w:val="24"/>
                <w:shd w:val="clear" w:color="auto" w:fill="FFFFFF"/>
              </w:rPr>
              <w:t xml:space="preserve">MK </w:t>
            </w:r>
            <w:r w:rsidRPr="00231489" w:rsidR="009676B0">
              <w:rPr>
                <w:rFonts w:ascii="Times New Roman" w:hAnsi="Times New Roman"/>
                <w:bCs/>
                <w:sz w:val="24"/>
                <w:szCs w:val="24"/>
                <w:shd w:val="clear" w:color="auto" w:fill="FFFFFF"/>
              </w:rPr>
              <w:t>noteikumu</w:t>
            </w:r>
            <w:r w:rsidRPr="00231489" w:rsidR="00A06C49">
              <w:rPr>
                <w:rFonts w:ascii="Times New Roman" w:hAnsi="Times New Roman"/>
                <w:bCs/>
                <w:sz w:val="24"/>
                <w:szCs w:val="24"/>
                <w:shd w:val="clear" w:color="auto" w:fill="FFFFFF"/>
              </w:rPr>
              <w:t xml:space="preserve"> projekta</w:t>
            </w:r>
            <w:r w:rsidRPr="00231489" w:rsidR="001E540A">
              <w:rPr>
                <w:rFonts w:ascii="Times New Roman" w:hAnsi="Times New Roman"/>
                <w:bCs/>
                <w:sz w:val="24"/>
                <w:szCs w:val="24"/>
                <w:shd w:val="clear" w:color="auto" w:fill="FFFFFF"/>
              </w:rPr>
              <w:t xml:space="preserve"> </w:t>
            </w:r>
            <w:r w:rsidRPr="00231489" w:rsidR="00341856">
              <w:rPr>
                <w:rFonts w:ascii="Times New Roman" w:hAnsi="Times New Roman"/>
                <w:bCs/>
                <w:sz w:val="24"/>
                <w:szCs w:val="24"/>
              </w:rPr>
              <w:t>2</w:t>
            </w:r>
            <w:r w:rsidRPr="00231489" w:rsidR="00AF4DB1">
              <w:rPr>
                <w:rFonts w:ascii="Times New Roman" w:hAnsi="Times New Roman"/>
                <w:bCs/>
                <w:sz w:val="24"/>
                <w:szCs w:val="24"/>
              </w:rPr>
              <w:t>4</w:t>
            </w:r>
            <w:r w:rsidRPr="00231489" w:rsidR="003D497B">
              <w:rPr>
                <w:rFonts w:ascii="Times New Roman" w:hAnsi="Times New Roman"/>
                <w:bCs/>
                <w:sz w:val="24"/>
                <w:szCs w:val="24"/>
              </w:rPr>
              <w:t>.</w:t>
            </w:r>
            <w:r w:rsidRPr="00231489" w:rsidR="001C59FC">
              <w:rPr>
                <w:rFonts w:ascii="Times New Roman" w:hAnsi="Times New Roman"/>
                <w:bCs/>
                <w:sz w:val="24"/>
                <w:szCs w:val="24"/>
              </w:rPr>
              <w:t> </w:t>
            </w:r>
            <w:r w:rsidRPr="00231489" w:rsidR="003D497B">
              <w:rPr>
                <w:rFonts w:ascii="Times New Roman" w:hAnsi="Times New Roman"/>
                <w:bCs/>
                <w:sz w:val="24"/>
                <w:szCs w:val="24"/>
              </w:rPr>
              <w:t>punkts</w:t>
            </w:r>
            <w:r w:rsidRPr="00231489" w:rsidR="001F5752">
              <w:rPr>
                <w:rFonts w:ascii="Times New Roman" w:hAnsi="Times New Roman"/>
                <w:bCs/>
                <w:sz w:val="24"/>
                <w:szCs w:val="24"/>
              </w:rPr>
              <w:t>)</w:t>
            </w:r>
            <w:r w:rsidRPr="00231489">
              <w:rPr>
                <w:rFonts w:ascii="Times New Roman" w:hAnsi="Times New Roman"/>
                <w:bCs/>
                <w:sz w:val="24"/>
                <w:szCs w:val="24"/>
                <w:shd w:val="clear" w:color="auto" w:fill="FFFFFF"/>
              </w:rPr>
              <w:t xml:space="preserve">. Papildus tam </w:t>
            </w:r>
            <w:r w:rsidRPr="00231489" w:rsidR="005566E3">
              <w:rPr>
                <w:rFonts w:ascii="Times New Roman" w:hAnsi="Times New Roman"/>
                <w:bCs/>
                <w:sz w:val="24"/>
                <w:szCs w:val="24"/>
                <w:shd w:val="clear" w:color="auto" w:fill="FFFFFF"/>
              </w:rPr>
              <w:t>MK noteikumi</w:t>
            </w:r>
            <w:r w:rsidRPr="00231489">
              <w:rPr>
                <w:rFonts w:ascii="Times New Roman" w:hAnsi="Times New Roman"/>
                <w:bCs/>
                <w:sz w:val="24"/>
                <w:szCs w:val="24"/>
                <w:shd w:val="clear" w:color="auto" w:fill="FFFFFF"/>
              </w:rPr>
              <w:t xml:space="preserve"> </w:t>
            </w:r>
            <w:r w:rsidRPr="00231489" w:rsidR="005566E3">
              <w:rPr>
                <w:rFonts w:ascii="Times New Roman" w:hAnsi="Times New Roman"/>
                <w:bCs/>
                <w:sz w:val="24"/>
                <w:szCs w:val="24"/>
                <w:shd w:val="clear" w:color="auto" w:fill="FFFFFF"/>
              </w:rPr>
              <w:t xml:space="preserve"> Nr. </w:t>
            </w:r>
            <w:r w:rsidRPr="00231489" w:rsidR="008B6D81">
              <w:rPr>
                <w:rFonts w:ascii="Times New Roman" w:hAnsi="Times New Roman"/>
                <w:bCs/>
                <w:sz w:val="24"/>
                <w:szCs w:val="24"/>
                <w:shd w:val="clear" w:color="auto" w:fill="FFFFFF"/>
              </w:rPr>
              <w:t>645</w:t>
            </w:r>
            <w:r w:rsidRPr="00231489" w:rsidR="005566E3">
              <w:rPr>
                <w:rFonts w:ascii="Times New Roman" w:hAnsi="Times New Roman"/>
                <w:bCs/>
                <w:sz w:val="24"/>
                <w:szCs w:val="24"/>
                <w:shd w:val="clear" w:color="auto" w:fill="FFFFFF"/>
              </w:rPr>
              <w:t xml:space="preserve"> tiek papildināti ar jaunu punktu, kas nosaka, </w:t>
            </w:r>
            <w:r w:rsidRPr="00231489">
              <w:rPr>
                <w:rFonts w:ascii="Times New Roman" w:hAnsi="Times New Roman"/>
                <w:bCs/>
                <w:sz w:val="24"/>
                <w:szCs w:val="24"/>
                <w:shd w:val="clear" w:color="auto" w:fill="FFFFFF"/>
              </w:rPr>
              <w:t>ka, ja valsts atbalstu komercdarbībai sniedz s</w:t>
            </w:r>
            <w:r w:rsidRPr="00231489" w:rsidR="001E540A">
              <w:rPr>
                <w:rFonts w:ascii="Times New Roman" w:hAnsi="Times New Roman"/>
                <w:bCs/>
                <w:sz w:val="24"/>
                <w:szCs w:val="24"/>
                <w:shd w:val="clear" w:color="auto" w:fill="FFFFFF"/>
              </w:rPr>
              <w:t>askaņa ar Komisijas regulas Nr. </w:t>
            </w:r>
            <w:r w:rsidRPr="00231489" w:rsidR="002E175B">
              <w:rPr>
                <w:rFonts w:ascii="Times New Roman" w:hAnsi="Times New Roman"/>
                <w:bCs/>
                <w:sz w:val="24"/>
                <w:szCs w:val="24"/>
                <w:shd w:val="clear" w:color="auto" w:fill="FFFFFF"/>
              </w:rPr>
              <w:t>651/2014 48. un 56. </w:t>
            </w:r>
            <w:r w:rsidRPr="00231489" w:rsidR="003222CC">
              <w:rPr>
                <w:rFonts w:ascii="Times New Roman" w:hAnsi="Times New Roman"/>
                <w:bCs/>
                <w:sz w:val="24"/>
                <w:szCs w:val="24"/>
                <w:shd w:val="clear" w:color="auto" w:fill="FFFFFF"/>
              </w:rPr>
              <w:t xml:space="preserve">pantu, </w:t>
            </w:r>
            <w:r w:rsidRPr="00231489">
              <w:rPr>
                <w:rFonts w:ascii="Times New Roman" w:hAnsi="Times New Roman"/>
                <w:bCs/>
                <w:sz w:val="24"/>
                <w:szCs w:val="24"/>
                <w:shd w:val="clear" w:color="auto" w:fill="FFFFFF"/>
              </w:rPr>
              <w:t>finansējuma saņēmējam jāveic atbalsta likmes pārrēķinu projekta dzīves cikla beigās un jāatmaksā</w:t>
            </w:r>
            <w:r w:rsidRPr="00231489" w:rsidR="00EE24D1">
              <w:rPr>
                <w:rFonts w:ascii="Times New Roman" w:hAnsi="Times New Roman"/>
                <w:bCs/>
                <w:sz w:val="24"/>
                <w:szCs w:val="24"/>
                <w:shd w:val="clear" w:color="auto" w:fill="FFFFFF"/>
              </w:rPr>
              <w:t xml:space="preserve"> CFLA </w:t>
            </w:r>
            <w:r w:rsidRPr="00231489">
              <w:rPr>
                <w:rFonts w:ascii="Times New Roman" w:hAnsi="Times New Roman"/>
                <w:bCs/>
                <w:sz w:val="24"/>
                <w:szCs w:val="24"/>
                <w:shd w:val="clear" w:color="auto" w:fill="FFFFFF"/>
              </w:rPr>
              <w:t xml:space="preserve">starpību starp faktisko peļņu no </w:t>
            </w:r>
            <w:r w:rsidRPr="00231489">
              <w:rPr>
                <w:rFonts w:ascii="Times New Roman" w:hAnsi="Times New Roman"/>
                <w:bCs/>
                <w:sz w:val="24"/>
                <w:szCs w:val="24"/>
                <w:shd w:val="clear" w:color="auto" w:fill="FFFFFF"/>
              </w:rPr>
              <w:t>pamatdarbības un plānoto pelņu no pamatdarbības, kā arī tiek noteikts, ka šādu projektu dokumentāciju glabā atbilstoši Komisijas regulas Nr. 480/2014 1.</w:t>
            </w:r>
            <w:r w:rsidRPr="00231489" w:rsidR="003222CC">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pielikumā noteiktajam projekta pārskata periodam (projekta dzīves ciklam)</w:t>
            </w:r>
            <w:r w:rsidRPr="00231489" w:rsidR="001F5752">
              <w:rPr>
                <w:rFonts w:ascii="Times New Roman" w:hAnsi="Times New Roman"/>
                <w:bCs/>
                <w:sz w:val="24"/>
                <w:szCs w:val="24"/>
                <w:shd w:val="clear" w:color="auto" w:fill="FFFFFF"/>
              </w:rPr>
              <w:t xml:space="preserve"> (</w:t>
            </w:r>
            <w:r w:rsidRPr="00231489" w:rsidR="00EE24D1">
              <w:rPr>
                <w:rFonts w:ascii="Times New Roman" w:hAnsi="Times New Roman"/>
                <w:bCs/>
                <w:sz w:val="24"/>
                <w:szCs w:val="24"/>
                <w:shd w:val="clear" w:color="auto" w:fill="FFFFFF"/>
              </w:rPr>
              <w:t xml:space="preserve">MK </w:t>
            </w:r>
            <w:r w:rsidRPr="00231489" w:rsidR="00FF23FC">
              <w:rPr>
                <w:rFonts w:ascii="Times New Roman" w:hAnsi="Times New Roman"/>
                <w:bCs/>
                <w:sz w:val="24"/>
                <w:szCs w:val="24"/>
                <w:shd w:val="clear" w:color="auto" w:fill="FFFFFF"/>
              </w:rPr>
              <w:t>noteikumu projekta</w:t>
            </w:r>
            <w:r w:rsidRPr="00231489" w:rsidR="001E540A">
              <w:rPr>
                <w:rFonts w:ascii="Times New Roman" w:hAnsi="Times New Roman"/>
                <w:bCs/>
                <w:sz w:val="24"/>
                <w:szCs w:val="24"/>
                <w:shd w:val="clear" w:color="auto" w:fill="FFFFFF"/>
              </w:rPr>
              <w:t xml:space="preserve"> </w:t>
            </w:r>
            <w:r w:rsidRPr="00231489" w:rsidR="00E06CA3">
              <w:rPr>
                <w:rFonts w:ascii="Times New Roman" w:hAnsi="Times New Roman"/>
                <w:bCs/>
                <w:sz w:val="24"/>
                <w:szCs w:val="24"/>
              </w:rPr>
              <w:t>1</w:t>
            </w:r>
            <w:r w:rsidRPr="00231489" w:rsidR="00AF4DB1">
              <w:rPr>
                <w:rFonts w:ascii="Times New Roman" w:hAnsi="Times New Roman"/>
                <w:bCs/>
                <w:sz w:val="24"/>
                <w:szCs w:val="24"/>
              </w:rPr>
              <w:t>4</w:t>
            </w:r>
            <w:r w:rsidRPr="00231489" w:rsidR="00E06CA3">
              <w:rPr>
                <w:rFonts w:ascii="Times New Roman" w:hAnsi="Times New Roman"/>
                <w:bCs/>
                <w:sz w:val="24"/>
                <w:szCs w:val="24"/>
              </w:rPr>
              <w:t>.</w:t>
            </w:r>
            <w:r w:rsidRPr="00231489" w:rsidR="00AF4DB1">
              <w:rPr>
                <w:rFonts w:ascii="Times New Roman" w:hAnsi="Times New Roman"/>
                <w:bCs/>
                <w:sz w:val="24"/>
                <w:szCs w:val="24"/>
              </w:rPr>
              <w:t> un 17</w:t>
            </w:r>
            <w:r w:rsidRPr="00231489" w:rsidR="00FF23FC">
              <w:rPr>
                <w:rFonts w:ascii="Times New Roman" w:hAnsi="Times New Roman"/>
                <w:bCs/>
                <w:sz w:val="24"/>
                <w:szCs w:val="24"/>
              </w:rPr>
              <w:t>. </w:t>
            </w:r>
            <w:r w:rsidRPr="00231489" w:rsidR="00D351D6">
              <w:rPr>
                <w:rFonts w:ascii="Times New Roman" w:hAnsi="Times New Roman"/>
                <w:bCs/>
                <w:sz w:val="24"/>
                <w:szCs w:val="24"/>
              </w:rPr>
              <w:t>punkts</w:t>
            </w:r>
            <w:r w:rsidRPr="00231489" w:rsidR="001F5752">
              <w:rPr>
                <w:rFonts w:ascii="Times New Roman" w:hAnsi="Times New Roman"/>
                <w:bCs/>
                <w:sz w:val="24"/>
                <w:szCs w:val="24"/>
              </w:rPr>
              <w:t>)</w:t>
            </w:r>
            <w:r w:rsidRPr="00231489">
              <w:rPr>
                <w:rFonts w:ascii="Times New Roman" w:hAnsi="Times New Roman"/>
                <w:bCs/>
                <w:sz w:val="24"/>
                <w:szCs w:val="24"/>
                <w:shd w:val="clear" w:color="auto" w:fill="FFFFFF"/>
              </w:rPr>
              <w:t>.</w:t>
            </w:r>
          </w:p>
          <w:p w:rsidR="009B6E6E" w:rsidRPr="00231489" w:rsidP="00231489" w14:paraId="6E9C8966" w14:textId="27DCCDAC">
            <w:pPr>
              <w:pStyle w:val="NormalWeb"/>
              <w:spacing w:before="0" w:beforeAutospacing="0" w:after="120" w:afterAutospacing="0"/>
              <w:jc w:val="both"/>
              <w:rPr>
                <w:rFonts w:eastAsia="Calibri"/>
              </w:rPr>
            </w:pPr>
            <w:r w:rsidRPr="00231489">
              <w:t>Skaidroj</w:t>
            </w:r>
            <w:r w:rsidRPr="00231489" w:rsidR="00A44DE1">
              <w:t>am, ka projekta pārskata periodu (projekta dzīves ciklu</w:t>
            </w:r>
            <w:r w:rsidRPr="00231489">
              <w:t>)</w:t>
            </w:r>
            <w:r w:rsidRPr="00231489" w:rsidR="00A44DE1">
              <w:t xml:space="preserve"> nosaka projekta iesniedzējs un projekta pārskata perioda (projekta dzīves cikla)</w:t>
            </w:r>
            <w:r w:rsidRPr="00231489">
              <w:t xml:space="preserve"> beigas ir uzskatāmas par brīdi, kurā projekta ietvaros izveidotā infrastruktūra vairs netiek izmantota atbilstoši specifiskā atbalsta mērķim vai arī sadarbības iestādei zūd tiesiskais pamats </w:t>
            </w:r>
            <w:r w:rsidRPr="00231489">
              <w:rPr>
                <w:rFonts w:eastAsia="Calibri"/>
              </w:rPr>
              <w:t>nodrošināt projekta uzraudzību (piemēram, īpašumtiesību maiņa, projekta īstenotāja tiesiskās darbības izbeigšanās u.tml.).</w:t>
            </w:r>
            <w:r w:rsidRPr="00231489" w:rsidR="00403F8C">
              <w:rPr>
                <w:rFonts w:eastAsia="Calibri"/>
              </w:rPr>
              <w:t xml:space="preserve"> </w:t>
            </w:r>
            <w:r w:rsidRPr="00231489">
              <w:t>Šādi apstākļi objektīvi var iestāties ātrāk, nekā Komisijas regulas Nr. 480/2014 1. pielikumā noteiktajā projekta pārskata perioda (projekta dzīves cikla) maksimālajā termiņā, tāpēc šādu apstākļu iestāšanās</w:t>
            </w:r>
            <w:r w:rsidRPr="00231489" w:rsidR="00A037AB">
              <w:t xml:space="preserve"> arī</w:t>
            </w:r>
            <w:r w:rsidRPr="00231489">
              <w:t xml:space="preserve"> ir uzskatāma p</w:t>
            </w:r>
            <w:r w:rsidRPr="00231489" w:rsidR="00843A40">
              <w:t>ar projekta dzīves cikla beigām,  pēc kura CFLA turpmāko projekta uzraudzību neveic. Piemēram, ja, iesniedzot projektu, kura ietvaros plānota teritorijas labiekārtošana saimnieciskās darbības veikšanai tajā (</w:t>
            </w:r>
            <w:r w:rsidRPr="00231489" w:rsidR="00843A40">
              <w:rPr>
                <w:spacing w:val="-3"/>
              </w:rPr>
              <w:t>Komisijas regulas Nr. </w:t>
            </w:r>
            <w:r>
              <w:fldChar w:fldCharType="begin"/>
            </w:r>
            <w:r>
              <w:instrText xml:space="preserve"> HYPERLINK "http://eur-lex.europa.eu/eli/reg/2014/651/oj/?locale=LV" \t "_blank" </w:instrText>
            </w:r>
            <w:r>
              <w:fldChar w:fldCharType="separate"/>
            </w:r>
            <w:r w:rsidRPr="00231489" w:rsidR="00843A40">
              <w:rPr>
                <w:spacing w:val="-3"/>
              </w:rPr>
              <w:t>651/2014</w:t>
            </w:r>
            <w:r>
              <w:fldChar w:fldCharType="end"/>
            </w:r>
            <w:r w:rsidRPr="00231489" w:rsidR="00843A40">
              <w:rPr>
                <w:spacing w:val="-3"/>
              </w:rPr>
              <w:t xml:space="preserve"> 56. pants),</w:t>
            </w:r>
            <w:r w:rsidRPr="00231489" w:rsidR="00BA05B1">
              <w:rPr>
                <w:spacing w:val="-3"/>
              </w:rPr>
              <w:t xml:space="preserve"> un</w:t>
            </w:r>
            <w:r w:rsidRPr="00231489" w:rsidR="00843A40">
              <w:rPr>
                <w:spacing w:val="-3"/>
              </w:rPr>
              <w:t xml:space="preserve"> projekta iesniedzējs izmaksu un ieguvumu analīzē norāda 10 gadu projekta pārskata periodu (projekta dzīves ciklu), tad pēc iepriekš minētā perioda beigām CFLA turpmāko projekta uzraudzību neveic. Projektā var paredzēt vairākas darbības ar atšķirīgiem pārskata periodiem (dzīves cikliem), piemēram, </w:t>
            </w:r>
            <w:r w:rsidRPr="00231489" w:rsidR="00843A40">
              <w:t>teritorijas labiekārtošana saimnieciskās darbības veikšanai tajā (</w:t>
            </w:r>
            <w:r w:rsidRPr="00231489" w:rsidR="00843A40">
              <w:rPr>
                <w:spacing w:val="-3"/>
              </w:rPr>
              <w:t>Komisijas regulas Nr. </w:t>
            </w:r>
            <w:r>
              <w:fldChar w:fldCharType="begin"/>
            </w:r>
            <w:r>
              <w:instrText xml:space="preserve"> HYPERLINK "http://eur-lex.europa.eu/eli/reg/2014/651/oj/?locale=LV" \t "_blank" </w:instrText>
            </w:r>
            <w:r>
              <w:fldChar w:fldCharType="separate"/>
            </w:r>
            <w:r w:rsidRPr="00231489" w:rsidR="00843A40">
              <w:rPr>
                <w:spacing w:val="-3"/>
              </w:rPr>
              <w:t>651/2014</w:t>
            </w:r>
            <w:r>
              <w:fldChar w:fldCharType="end"/>
            </w:r>
            <w:r w:rsidRPr="00231489" w:rsidR="00843A40">
              <w:rPr>
                <w:spacing w:val="-3"/>
              </w:rPr>
              <w:t xml:space="preserve"> 56. pants, projekta iesniedzējs nosaka 10 - 15</w:t>
            </w:r>
            <w:r w:rsidRPr="00231489" w:rsidR="00843A40">
              <w:t xml:space="preserve"> gadu pārskata periodu (dzīves ciklu)) un elektroenerģijas pieslēguma izbūve (</w:t>
            </w:r>
            <w:r w:rsidRPr="00231489" w:rsidR="00843A40">
              <w:rPr>
                <w:spacing w:val="-3"/>
              </w:rPr>
              <w:t>Komisijas regulas Nr. </w:t>
            </w:r>
            <w:r>
              <w:fldChar w:fldCharType="begin"/>
            </w:r>
            <w:r>
              <w:instrText xml:space="preserve"> HYPERLINK "http://eur-lex.europa.eu/eli/reg/2014/651/oj/?locale=LV" \t "_blank" </w:instrText>
            </w:r>
            <w:r>
              <w:fldChar w:fldCharType="separate"/>
            </w:r>
            <w:r w:rsidRPr="00231489" w:rsidR="00843A40">
              <w:rPr>
                <w:spacing w:val="-3"/>
              </w:rPr>
              <w:t>651/2014</w:t>
            </w:r>
            <w:r>
              <w:fldChar w:fldCharType="end"/>
            </w:r>
            <w:r w:rsidRPr="00231489" w:rsidR="00843A40">
              <w:rPr>
                <w:spacing w:val="-3"/>
              </w:rPr>
              <w:t xml:space="preserve"> 48. pants, projekta iesniedzējs nosaka 15 – 25 gadu</w:t>
            </w:r>
            <w:r w:rsidRPr="00231489" w:rsidR="00843A40">
              <w:t xml:space="preserve"> pārskata periodu (dzīves ciklu)).</w:t>
            </w:r>
            <w:r w:rsidRPr="00231489" w:rsidR="00BA05B1">
              <w:t xml:space="preserve"> Šādā gadījumā kopējais projekta dzīves cikls būs vienāds ar tās darbības projekta dzīves ciklu, kurš ir visgarākais. </w:t>
            </w:r>
          </w:p>
          <w:p w:rsidR="00FC3566" w:rsidRPr="00231489" w:rsidP="00231489" w14:paraId="064FF708" w14:textId="0366EA10">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2. </w:t>
            </w:r>
            <w:r w:rsidRPr="00231489">
              <w:rPr>
                <w:rFonts w:ascii="Times New Roman" w:hAnsi="Times New Roman"/>
                <w:bCs/>
                <w:sz w:val="24"/>
                <w:szCs w:val="24"/>
                <w:shd w:val="clear" w:color="auto" w:fill="FFFFFF"/>
              </w:rPr>
              <w:t>2016. gada jūlijā Eiropas Komisija ieviesa informācijas sistēmu (</w:t>
            </w:r>
            <w:r w:rsidRPr="00231489">
              <w:rPr>
                <w:rFonts w:ascii="Times New Roman" w:hAnsi="Times New Roman"/>
                <w:bCs/>
                <w:i/>
                <w:sz w:val="24"/>
                <w:szCs w:val="24"/>
                <w:shd w:val="clear" w:color="auto" w:fill="FFFFFF"/>
              </w:rPr>
              <w:t>State Aid Award System</w:t>
            </w:r>
            <w:r w:rsidRPr="00231489" w:rsidR="000F5602">
              <w:rPr>
                <w:rFonts w:ascii="Times New Roman" w:hAnsi="Times New Roman"/>
                <w:bCs/>
                <w:sz w:val="24"/>
                <w:szCs w:val="24"/>
                <w:shd w:val="clear" w:color="auto" w:fill="FFFFFF"/>
              </w:rPr>
              <w:t xml:space="preserve">), kurā Eiropas Savienības </w:t>
            </w:r>
            <w:r w:rsidRPr="00231489" w:rsidR="000F5602">
              <w:rPr>
                <w:rFonts w:ascii="Times New Roman" w:hAnsi="Times New Roman"/>
                <w:bCs/>
                <w:sz w:val="24"/>
                <w:szCs w:val="24"/>
              </w:rPr>
              <w:t xml:space="preserve">(turpmāk – ES) </w:t>
            </w:r>
            <w:r w:rsidRPr="00231489">
              <w:rPr>
                <w:rFonts w:ascii="Times New Roman" w:hAnsi="Times New Roman"/>
                <w:bCs/>
                <w:sz w:val="24"/>
                <w:szCs w:val="24"/>
                <w:shd w:val="clear" w:color="auto" w:fill="FFFFFF"/>
              </w:rPr>
              <w:t xml:space="preserve">dalībvalstīm ir jānodrošina </w:t>
            </w:r>
            <w:r w:rsidRPr="00231489" w:rsidR="00EE24D1">
              <w:rPr>
                <w:rFonts w:ascii="Times New Roman" w:hAnsi="Times New Roman"/>
                <w:bCs/>
                <w:sz w:val="24"/>
                <w:szCs w:val="24"/>
                <w:shd w:val="clear" w:color="auto" w:fill="FFFFFF"/>
              </w:rPr>
              <w:t xml:space="preserve">valsts atbalsta </w:t>
            </w:r>
            <w:r w:rsidRPr="00231489">
              <w:rPr>
                <w:rFonts w:ascii="Times New Roman" w:hAnsi="Times New Roman"/>
                <w:bCs/>
                <w:sz w:val="24"/>
                <w:szCs w:val="24"/>
                <w:shd w:val="clear" w:color="auto" w:fill="FFFFFF"/>
              </w:rPr>
              <w:t>pārredzamības prasību izpilde</w:t>
            </w:r>
            <w:r w:rsidRPr="00231489" w:rsidR="007D050F">
              <w:rPr>
                <w:rFonts w:ascii="Times New Roman" w:hAnsi="Times New Roman"/>
                <w:bCs/>
                <w:sz w:val="24"/>
                <w:szCs w:val="24"/>
                <w:shd w:val="clear" w:color="auto" w:fill="FFFFFF"/>
              </w:rPr>
              <w:t>, t.i., informācijas publicēšana</w:t>
            </w:r>
            <w:r w:rsidRPr="00231489">
              <w:rPr>
                <w:rFonts w:ascii="Times New Roman" w:hAnsi="Times New Roman"/>
                <w:bCs/>
                <w:sz w:val="24"/>
                <w:szCs w:val="24"/>
                <w:shd w:val="clear" w:color="auto" w:fill="FFFFFF"/>
              </w:rPr>
              <w:t xml:space="preserve"> par valsts atbalsta projektiem, kas pārsniedz noteiktas robežvērtības (Komisijas regulas Nr. </w:t>
            </w:r>
            <w:r>
              <w:fldChar w:fldCharType="begin"/>
            </w:r>
            <w:r>
              <w:instrText xml:space="preserve"> HYPERLINK "http://eur-lex.europa.eu/eli/reg/2014/651/oj/?locale=LV" \t "_blank" </w:instrText>
            </w:r>
            <w:r>
              <w:fldChar w:fldCharType="separate"/>
            </w:r>
            <w:r w:rsidRPr="00231489">
              <w:rPr>
                <w:rFonts w:ascii="Times New Roman" w:hAnsi="Times New Roman"/>
                <w:bCs/>
                <w:sz w:val="24"/>
                <w:szCs w:val="24"/>
                <w:shd w:val="clear" w:color="auto" w:fill="FFFFFF"/>
              </w:rPr>
              <w:t>651/2014</w:t>
            </w:r>
            <w:r>
              <w:fldChar w:fldCharType="end"/>
            </w:r>
            <w:r w:rsidRPr="00231489">
              <w:rPr>
                <w:rFonts w:ascii="Times New Roman" w:hAnsi="Times New Roman"/>
                <w:bCs/>
                <w:sz w:val="24"/>
                <w:szCs w:val="24"/>
                <w:shd w:val="clear" w:color="auto" w:fill="FFFFFF"/>
              </w:rPr>
              <w:t xml:space="preserve"> ietvaros – 500 000 </w:t>
            </w:r>
            <w:r w:rsidRPr="00231489">
              <w:rPr>
                <w:rFonts w:ascii="Times New Roman" w:hAnsi="Times New Roman"/>
                <w:bCs/>
                <w:i/>
                <w:sz w:val="24"/>
                <w:szCs w:val="24"/>
                <w:shd w:val="clear" w:color="auto" w:fill="FFFFFF"/>
              </w:rPr>
              <w:t>euro</w:t>
            </w:r>
            <w:r w:rsidRPr="00231489">
              <w:rPr>
                <w:rFonts w:ascii="Times New Roman" w:hAnsi="Times New Roman"/>
                <w:bCs/>
                <w:sz w:val="24"/>
                <w:szCs w:val="24"/>
                <w:shd w:val="clear" w:color="auto" w:fill="FFFFFF"/>
              </w:rPr>
              <w:t>, Komisijas regulas Nr. </w:t>
            </w:r>
            <w:r>
              <w:fldChar w:fldCharType="begin"/>
            </w:r>
            <w:r>
              <w:instrText xml:space="preserve"> HYPERLINK "http://eur-lex.europa.eu/eli/reg/2014/702/oj/?locale=LV" \t "_blank" </w:instrText>
            </w:r>
            <w:r>
              <w:fldChar w:fldCharType="separate"/>
            </w:r>
            <w:r w:rsidRPr="00231489">
              <w:rPr>
                <w:rFonts w:ascii="Times New Roman" w:hAnsi="Times New Roman"/>
                <w:bCs/>
                <w:sz w:val="24"/>
                <w:szCs w:val="24"/>
                <w:shd w:val="clear" w:color="auto" w:fill="FFFFFF"/>
              </w:rPr>
              <w:t>702/2014</w:t>
            </w:r>
            <w:r>
              <w:fldChar w:fldCharType="end"/>
            </w:r>
            <w:r w:rsidRPr="00231489">
              <w:rPr>
                <w:rFonts w:ascii="Times New Roman" w:hAnsi="Times New Roman"/>
                <w:bCs/>
                <w:sz w:val="24"/>
                <w:szCs w:val="24"/>
                <w:shd w:val="clear" w:color="auto" w:fill="FFFFFF"/>
              </w:rPr>
              <w:t xml:space="preserve"> ietvaros - 60 000 </w:t>
            </w:r>
            <w:r w:rsidRPr="00231489">
              <w:rPr>
                <w:rFonts w:ascii="Times New Roman" w:hAnsi="Times New Roman"/>
                <w:bCs/>
                <w:i/>
                <w:sz w:val="24"/>
                <w:szCs w:val="24"/>
                <w:shd w:val="clear" w:color="auto" w:fill="FFFFFF"/>
              </w:rPr>
              <w:t>euro</w:t>
            </w:r>
            <w:r w:rsidRPr="00231489">
              <w:rPr>
                <w:rFonts w:ascii="Times New Roman" w:hAnsi="Times New Roman"/>
                <w:bCs/>
                <w:sz w:val="24"/>
                <w:szCs w:val="24"/>
                <w:shd w:val="clear" w:color="auto" w:fill="FFFFFF"/>
              </w:rPr>
              <w:t xml:space="preserve"> gadījumos, kad atbalsts sniegts primārās lauksaimniecības ražošanai</w:t>
            </w:r>
            <w:r w:rsidRPr="00231489" w:rsidR="007D050F">
              <w:rPr>
                <w:rFonts w:ascii="Times New Roman" w:hAnsi="Times New Roman"/>
                <w:bCs/>
                <w:sz w:val="24"/>
                <w:szCs w:val="24"/>
                <w:shd w:val="clear" w:color="auto" w:fill="FFFFFF"/>
              </w:rPr>
              <w:t>,</w:t>
            </w:r>
            <w:r w:rsidRPr="00231489">
              <w:rPr>
                <w:rFonts w:ascii="Times New Roman" w:hAnsi="Times New Roman"/>
                <w:bCs/>
                <w:sz w:val="24"/>
                <w:szCs w:val="24"/>
                <w:shd w:val="clear" w:color="auto" w:fill="FFFFFF"/>
              </w:rPr>
              <w:t xml:space="preserve"> un Komisijas regulas Nr.</w:t>
            </w:r>
            <w:r>
              <w:fldChar w:fldCharType="begin"/>
            </w:r>
            <w:r>
              <w:instrText xml:space="preserve"> HYPERLINK "http://eur-lex.europa.eu/eli/reg/2014/1388/oj/?locale=LV" \t "_blank" </w:instrText>
            </w:r>
            <w:r>
              <w:fldChar w:fldCharType="separate"/>
            </w:r>
            <w:r w:rsidRPr="00231489">
              <w:rPr>
                <w:rFonts w:ascii="Times New Roman" w:hAnsi="Times New Roman"/>
                <w:bCs/>
                <w:sz w:val="24"/>
                <w:szCs w:val="24"/>
                <w:shd w:val="clear" w:color="auto" w:fill="FFFFFF"/>
              </w:rPr>
              <w:t>1388/2014</w:t>
            </w:r>
            <w:r>
              <w:fldChar w:fldCharType="end"/>
            </w:r>
            <w:r w:rsidRPr="00231489">
              <w:rPr>
                <w:rFonts w:ascii="Times New Roman" w:hAnsi="Times New Roman"/>
                <w:bCs/>
                <w:sz w:val="24"/>
                <w:szCs w:val="24"/>
                <w:shd w:val="clear" w:color="auto" w:fill="FFFFFF"/>
              </w:rPr>
              <w:t xml:space="preserve"> ietvaros – 30 000 </w:t>
            </w:r>
            <w:r w:rsidRPr="00231489">
              <w:rPr>
                <w:rFonts w:ascii="Times New Roman" w:hAnsi="Times New Roman"/>
                <w:bCs/>
                <w:i/>
                <w:sz w:val="24"/>
                <w:szCs w:val="24"/>
                <w:shd w:val="clear" w:color="auto" w:fill="FFFFFF"/>
              </w:rPr>
              <w:t>euro</w:t>
            </w:r>
            <w:r w:rsidRPr="00231489">
              <w:rPr>
                <w:rFonts w:ascii="Times New Roman" w:hAnsi="Times New Roman"/>
                <w:bCs/>
                <w:sz w:val="24"/>
                <w:szCs w:val="24"/>
                <w:shd w:val="clear" w:color="auto" w:fill="FFFFFF"/>
              </w:rPr>
              <w:t>). Šobrīd MK noteikumu Nr. </w:t>
            </w:r>
            <w:r w:rsidRPr="00231489" w:rsidR="008B6D81">
              <w:rPr>
                <w:rFonts w:ascii="Times New Roman" w:hAnsi="Times New Roman"/>
                <w:bCs/>
                <w:sz w:val="24"/>
                <w:szCs w:val="24"/>
                <w:shd w:val="clear" w:color="auto" w:fill="FFFFFF"/>
              </w:rPr>
              <w:t>645 71</w:t>
            </w:r>
            <w:r w:rsidRPr="00231489">
              <w:rPr>
                <w:rFonts w:ascii="Times New Roman" w:hAnsi="Times New Roman"/>
                <w:bCs/>
                <w:sz w:val="24"/>
                <w:szCs w:val="24"/>
                <w:shd w:val="clear" w:color="auto" w:fill="FFFFFF"/>
              </w:rPr>
              <w:t>. punkts paredz, ka šo in</w:t>
            </w:r>
            <w:r w:rsidRPr="00231489" w:rsidR="00080E9D">
              <w:rPr>
                <w:rFonts w:ascii="Times New Roman" w:hAnsi="Times New Roman"/>
                <w:bCs/>
                <w:sz w:val="24"/>
                <w:szCs w:val="24"/>
                <w:shd w:val="clear" w:color="auto" w:fill="FFFFFF"/>
              </w:rPr>
              <w:t>formāciju publicē VARAM tīmekļ</w:t>
            </w:r>
            <w:r w:rsidRPr="00231489">
              <w:rPr>
                <w:rFonts w:ascii="Times New Roman" w:hAnsi="Times New Roman"/>
                <w:bCs/>
                <w:sz w:val="24"/>
                <w:szCs w:val="24"/>
                <w:shd w:val="clear" w:color="auto" w:fill="FFFFFF"/>
              </w:rPr>
              <w:t>vietnē.</w:t>
            </w:r>
          </w:p>
          <w:p w:rsidR="00FC3566" w:rsidRPr="00231489" w:rsidP="00231489" w14:paraId="44C4B3D0" w14:textId="77777777">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 xml:space="preserve">VARAM ir panākusi vienošanos ar FM un CFLA, ka CFLA nodrošinās </w:t>
            </w:r>
            <w:r w:rsidRPr="00231489" w:rsidR="00EE24D1">
              <w:rPr>
                <w:rFonts w:ascii="Times New Roman" w:hAnsi="Times New Roman"/>
                <w:bCs/>
                <w:sz w:val="24"/>
                <w:szCs w:val="24"/>
                <w:shd w:val="clear" w:color="auto" w:fill="FFFFFF"/>
              </w:rPr>
              <w:t xml:space="preserve">valsts atbalsta </w:t>
            </w:r>
            <w:r w:rsidRPr="00231489">
              <w:rPr>
                <w:rFonts w:ascii="Times New Roman" w:hAnsi="Times New Roman"/>
                <w:bCs/>
                <w:sz w:val="24"/>
                <w:szCs w:val="24"/>
                <w:shd w:val="clear" w:color="auto" w:fill="FFFFFF"/>
              </w:rPr>
              <w:t>pārredzamības prasību izpildi, ja to paredzēs MK noteikumi Nr. </w:t>
            </w:r>
            <w:r w:rsidRPr="00231489" w:rsidR="008B6D81">
              <w:rPr>
                <w:rFonts w:ascii="Times New Roman" w:hAnsi="Times New Roman"/>
                <w:bCs/>
                <w:sz w:val="24"/>
                <w:szCs w:val="24"/>
                <w:shd w:val="clear" w:color="auto" w:fill="FFFFFF"/>
              </w:rPr>
              <w:t>645</w:t>
            </w:r>
            <w:r w:rsidRPr="00231489">
              <w:rPr>
                <w:rFonts w:ascii="Times New Roman" w:hAnsi="Times New Roman"/>
                <w:bCs/>
                <w:sz w:val="24"/>
                <w:szCs w:val="24"/>
                <w:shd w:val="clear" w:color="auto" w:fill="FFFFFF"/>
              </w:rPr>
              <w:t xml:space="preserve">. Ņemot vērā iepriekš minēto, noteikumu projektā tiek precizēta </w:t>
            </w:r>
            <w:r w:rsidRPr="00231489" w:rsidR="008B6D81">
              <w:rPr>
                <w:rFonts w:ascii="Times New Roman" w:hAnsi="Times New Roman"/>
                <w:bCs/>
                <w:sz w:val="24"/>
                <w:szCs w:val="24"/>
                <w:shd w:val="clear" w:color="auto" w:fill="FFFFFF"/>
              </w:rPr>
              <w:t>71</w:t>
            </w:r>
            <w:r w:rsidRPr="00231489">
              <w:rPr>
                <w:rFonts w:ascii="Times New Roman" w:hAnsi="Times New Roman"/>
                <w:bCs/>
                <w:sz w:val="24"/>
                <w:szCs w:val="24"/>
                <w:shd w:val="clear" w:color="auto" w:fill="FFFFFF"/>
              </w:rPr>
              <w:t>. punkta redakcija.</w:t>
            </w:r>
          </w:p>
          <w:p w:rsidR="006C3BF5" w:rsidRPr="00231489" w:rsidP="00231489" w14:paraId="49331E76" w14:textId="7C5AF067">
            <w:pPr>
              <w:spacing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3. </w:t>
            </w:r>
            <w:r w:rsidRPr="00231489" w:rsidR="006202F8">
              <w:rPr>
                <w:rFonts w:ascii="Times New Roman" w:hAnsi="Times New Roman"/>
                <w:bCs/>
                <w:sz w:val="24"/>
                <w:szCs w:val="24"/>
                <w:shd w:val="clear" w:color="auto" w:fill="FFFFFF"/>
              </w:rPr>
              <w:t xml:space="preserve">Lai sekmētu iznākuma rādītāju sasniegšanu </w:t>
            </w:r>
            <w:r w:rsidRPr="00231489" w:rsidR="006202F8">
              <w:rPr>
                <w:rFonts w:ascii="Times New Roman" w:hAnsi="Times New Roman"/>
                <w:bCs/>
                <w:sz w:val="24"/>
                <w:szCs w:val="24"/>
              </w:rPr>
              <w:t>un sniegtu iespēju finansējuma saņēmējiem un sadarbības partneriem saņemt citu valsts atbalstu, piemēram, finanšu instrumentu veidā (aizdevumi, garantijas u.c.),  tiek precizēts MK noteikumu Nr. 645 62. punkts, paplašinot valsts atbalsta</w:t>
            </w:r>
            <w:r w:rsidRPr="00231489" w:rsidR="006202F8">
              <w:rPr>
                <w:rFonts w:ascii="Times New Roman" w:hAnsi="Times New Roman"/>
                <w:bCs/>
                <w:sz w:val="24"/>
                <w:szCs w:val="24"/>
                <w:shd w:val="clear" w:color="auto" w:fill="FFFFFF"/>
              </w:rPr>
              <w:t xml:space="preserve"> kumulācijas iespējas.  </w:t>
            </w:r>
            <w:r w:rsidRPr="00231489" w:rsidR="00EE24D1">
              <w:rPr>
                <w:rFonts w:ascii="Times New Roman" w:hAnsi="Times New Roman"/>
                <w:bCs/>
                <w:sz w:val="24"/>
                <w:szCs w:val="24"/>
                <w:shd w:val="clear" w:color="auto" w:fill="FFFFFF"/>
              </w:rPr>
              <w:t xml:space="preserve">Ar noteikumu </w:t>
            </w:r>
            <w:r w:rsidRPr="00231489" w:rsidR="00921B0A">
              <w:rPr>
                <w:rFonts w:ascii="Times New Roman" w:hAnsi="Times New Roman"/>
                <w:bCs/>
                <w:sz w:val="24"/>
                <w:szCs w:val="24"/>
                <w:shd w:val="clear" w:color="auto" w:fill="FFFFFF"/>
              </w:rPr>
              <w:t xml:space="preserve">Nr. 645 </w:t>
            </w:r>
            <w:r w:rsidRPr="00231489" w:rsidR="00EE24D1">
              <w:rPr>
                <w:rFonts w:ascii="Times New Roman" w:hAnsi="Times New Roman"/>
                <w:bCs/>
                <w:sz w:val="24"/>
                <w:szCs w:val="24"/>
                <w:shd w:val="clear" w:color="auto" w:fill="FFFFFF"/>
              </w:rPr>
              <w:t>ietvaros sniegto atbalstu saprot atbalstu, kas sniegts Komisijas regulas Nr. </w:t>
            </w:r>
            <w:r>
              <w:fldChar w:fldCharType="begin"/>
            </w:r>
            <w:r>
              <w:instrText xml:space="preserve"> HYPERLINK "http://eur-lex.europa.eu/eli/reg/2014/651/oj/?locale=LV" \t "_blank" </w:instrText>
            </w:r>
            <w:r>
              <w:fldChar w:fldCharType="separate"/>
            </w:r>
            <w:r w:rsidRPr="00231489" w:rsidR="00EE24D1">
              <w:rPr>
                <w:rFonts w:ascii="Times New Roman" w:hAnsi="Times New Roman"/>
                <w:bCs/>
                <w:sz w:val="24"/>
                <w:szCs w:val="24"/>
                <w:shd w:val="clear" w:color="auto" w:fill="FFFFFF"/>
              </w:rPr>
              <w:t>651/2014</w:t>
            </w:r>
            <w:r>
              <w:fldChar w:fldCharType="end"/>
            </w:r>
            <w:r w:rsidRPr="00231489" w:rsidR="00EE24D1">
              <w:rPr>
                <w:rFonts w:ascii="Times New Roman" w:hAnsi="Times New Roman"/>
                <w:bCs/>
                <w:sz w:val="24"/>
                <w:szCs w:val="24"/>
                <w:shd w:val="clear" w:color="auto" w:fill="FFFFFF"/>
              </w:rPr>
              <w:t>, Komisijas regulas Nr. </w:t>
            </w:r>
            <w:r>
              <w:fldChar w:fldCharType="begin"/>
            </w:r>
            <w:r>
              <w:instrText xml:space="preserve"> HYPERLINK "http://eur-lex.europa.eu/eli/reg/2014/702/oj/?locale=LV" \t "_blank" </w:instrText>
            </w:r>
            <w:r>
              <w:fldChar w:fldCharType="separate"/>
            </w:r>
            <w:r w:rsidRPr="00231489" w:rsidR="00EE24D1">
              <w:rPr>
                <w:rFonts w:ascii="Times New Roman" w:hAnsi="Times New Roman"/>
                <w:bCs/>
                <w:sz w:val="24"/>
                <w:szCs w:val="24"/>
                <w:shd w:val="clear" w:color="auto" w:fill="FFFFFF"/>
              </w:rPr>
              <w:t>702/2014</w:t>
            </w:r>
            <w:r>
              <w:fldChar w:fldCharType="end"/>
            </w:r>
            <w:r w:rsidRPr="00231489" w:rsidR="00EE24D1">
              <w:rPr>
                <w:rFonts w:ascii="Times New Roman" w:hAnsi="Times New Roman"/>
                <w:bCs/>
                <w:sz w:val="24"/>
                <w:szCs w:val="24"/>
                <w:shd w:val="clear" w:color="auto" w:fill="FFFFFF"/>
              </w:rPr>
              <w:t>, Komisijas regulas Nr. </w:t>
            </w:r>
            <w:r>
              <w:fldChar w:fldCharType="begin"/>
            </w:r>
            <w:r>
              <w:instrText xml:space="preserve"> HYPERLINK "http://eur-lex.europa.eu/eli/reg/2014/1388/oj/?locale=LV" \t "_blank" </w:instrText>
            </w:r>
            <w:r>
              <w:fldChar w:fldCharType="separate"/>
            </w:r>
            <w:r w:rsidRPr="00231489" w:rsidR="00EE24D1">
              <w:rPr>
                <w:rFonts w:ascii="Times New Roman" w:hAnsi="Times New Roman"/>
                <w:bCs/>
                <w:sz w:val="24"/>
                <w:szCs w:val="24"/>
                <w:shd w:val="clear" w:color="auto" w:fill="FFFFFF"/>
              </w:rPr>
              <w:t>1388/2014</w:t>
            </w:r>
            <w:r>
              <w:fldChar w:fldCharType="end"/>
            </w:r>
            <w:r w:rsidRPr="00231489" w:rsidR="00EE24D1">
              <w:rPr>
                <w:rFonts w:ascii="Times New Roman" w:hAnsi="Times New Roman"/>
                <w:bCs/>
                <w:sz w:val="24"/>
                <w:szCs w:val="24"/>
                <w:shd w:val="clear" w:color="auto" w:fill="FFFFFF"/>
              </w:rPr>
              <w:t xml:space="preserve">, Komisijas 2013. gada 18. decembra </w:t>
            </w:r>
            <w:r w:rsidRPr="00231489" w:rsidR="00EE24D1">
              <w:rPr>
                <w:rFonts w:ascii="Times New Roman" w:hAnsi="Times New Roman"/>
                <w:bCs/>
                <w:sz w:val="24"/>
                <w:szCs w:val="24"/>
                <w:shd w:val="clear" w:color="auto" w:fill="FFFFFF"/>
              </w:rPr>
              <w:t>Regulas (ES) Nr. </w:t>
            </w:r>
            <w:r>
              <w:fldChar w:fldCharType="begin"/>
            </w:r>
            <w:r>
              <w:instrText xml:space="preserve"> HYPERLINK "http://eur-lex.europa.eu/eli/reg/2013/1407/oj/?locale=LV" \t "_blank" </w:instrText>
            </w:r>
            <w:r>
              <w:fldChar w:fldCharType="separate"/>
            </w:r>
            <w:r w:rsidRPr="00231489" w:rsidR="00EE24D1">
              <w:rPr>
                <w:rFonts w:ascii="Times New Roman" w:hAnsi="Times New Roman"/>
                <w:bCs/>
                <w:sz w:val="24"/>
                <w:szCs w:val="24"/>
                <w:shd w:val="clear" w:color="auto" w:fill="FFFFFF"/>
              </w:rPr>
              <w:t>1407/2013</w:t>
            </w:r>
            <w:r>
              <w:fldChar w:fldCharType="end"/>
            </w:r>
            <w:r w:rsidRPr="00231489" w:rsidR="00EE24D1">
              <w:rPr>
                <w:rFonts w:ascii="Times New Roman" w:hAnsi="Times New Roman"/>
                <w:bCs/>
                <w:sz w:val="24"/>
                <w:szCs w:val="24"/>
                <w:shd w:val="clear" w:color="auto" w:fill="FFFFFF"/>
              </w:rPr>
              <w:t> </w:t>
            </w:r>
            <w:r w:rsidRPr="00231489" w:rsidR="00EE24D1">
              <w:rPr>
                <w:rFonts w:ascii="Times New Roman" w:hAnsi="Times New Roman"/>
                <w:bCs/>
                <w:i/>
                <w:sz w:val="24"/>
                <w:szCs w:val="24"/>
                <w:shd w:val="clear" w:color="auto" w:fill="FFFFFF"/>
              </w:rPr>
              <w:t>par Līguma par ES darbību </w:t>
            </w:r>
            <w:r>
              <w:fldChar w:fldCharType="begin"/>
            </w:r>
            <w:r>
              <w:instrText xml:space="preserve"> HYPERLINK "http://likumi.lv/ta/id/277959-darbibas-programmas-izaugsme-un-nodarbinatiba-3-3-1-specifiska-atbalsta-merka-palielinat-privato-investiciju-apjomu-regionos" \l "p107" \t "_blank" </w:instrText>
            </w:r>
            <w:r>
              <w:fldChar w:fldCharType="separate"/>
            </w:r>
            <w:r w:rsidRPr="00231489" w:rsidR="00EE24D1">
              <w:rPr>
                <w:rFonts w:ascii="Times New Roman" w:hAnsi="Times New Roman"/>
                <w:bCs/>
                <w:i/>
                <w:sz w:val="24"/>
                <w:szCs w:val="24"/>
                <w:shd w:val="clear" w:color="auto" w:fill="FFFFFF"/>
              </w:rPr>
              <w:t>107. </w:t>
            </w:r>
            <w:r>
              <w:fldChar w:fldCharType="end"/>
            </w:r>
            <w:r w:rsidRPr="00231489" w:rsidR="00EE24D1">
              <w:rPr>
                <w:rFonts w:ascii="Times New Roman" w:hAnsi="Times New Roman"/>
                <w:bCs/>
                <w:i/>
                <w:sz w:val="24"/>
                <w:szCs w:val="24"/>
                <w:shd w:val="clear" w:color="auto" w:fill="FFFFFF"/>
              </w:rPr>
              <w:t>un </w:t>
            </w:r>
            <w:r>
              <w:fldChar w:fldCharType="begin"/>
            </w:r>
            <w:r>
              <w:instrText xml:space="preserve"> HYPERLINK "http://likumi.lv/ta/id/277959-darbibas-programmas-izaugsme-un-nodarbinatiba-3-3-1-specifiska-atbalsta-merka-palielinat-privato-investiciju-apjomu-regionos" \l "p108" \t "_blank" </w:instrText>
            </w:r>
            <w:r>
              <w:fldChar w:fldCharType="separate"/>
            </w:r>
            <w:r w:rsidRPr="00231489" w:rsidR="00EE24D1">
              <w:rPr>
                <w:rFonts w:ascii="Times New Roman" w:hAnsi="Times New Roman"/>
                <w:bCs/>
                <w:i/>
                <w:sz w:val="24"/>
                <w:szCs w:val="24"/>
                <w:shd w:val="clear" w:color="auto" w:fill="FFFFFF"/>
              </w:rPr>
              <w:t>108. panta</w:t>
            </w:r>
            <w:r>
              <w:fldChar w:fldCharType="end"/>
            </w:r>
            <w:r w:rsidRPr="00231489" w:rsidR="00EE24D1">
              <w:rPr>
                <w:rFonts w:ascii="Times New Roman" w:hAnsi="Times New Roman"/>
                <w:bCs/>
                <w:i/>
                <w:sz w:val="24"/>
                <w:szCs w:val="24"/>
                <w:shd w:val="clear" w:color="auto" w:fill="FFFFFF"/>
              </w:rPr>
              <w:t> piemērošanu de minimis atbalstam</w:t>
            </w:r>
            <w:r w:rsidRPr="00231489" w:rsidR="00EE24D1">
              <w:rPr>
                <w:rFonts w:ascii="Times New Roman" w:hAnsi="Times New Roman"/>
                <w:bCs/>
                <w:sz w:val="24"/>
                <w:szCs w:val="24"/>
                <w:shd w:val="clear" w:color="auto" w:fill="FFFFFF"/>
              </w:rPr>
              <w:t>, Komisijas 2014. gada 27. jūnija Regulas (EK) Nr. </w:t>
            </w:r>
            <w:r>
              <w:fldChar w:fldCharType="begin"/>
            </w:r>
            <w:r>
              <w:instrText xml:space="preserve"> HYPERLINK "http://eur-lex.europa.eu/eli/reg/2014/717/oj/?locale=LV" \t "_blank" </w:instrText>
            </w:r>
            <w:r>
              <w:fldChar w:fldCharType="separate"/>
            </w:r>
            <w:r w:rsidRPr="00231489" w:rsidR="00EE24D1">
              <w:rPr>
                <w:rFonts w:ascii="Times New Roman" w:hAnsi="Times New Roman"/>
                <w:bCs/>
                <w:sz w:val="24"/>
                <w:szCs w:val="24"/>
                <w:shd w:val="clear" w:color="auto" w:fill="FFFFFF"/>
              </w:rPr>
              <w:t>717/2014</w:t>
            </w:r>
            <w:r>
              <w:fldChar w:fldCharType="end"/>
            </w:r>
            <w:r w:rsidRPr="00231489" w:rsidR="00EE24D1">
              <w:rPr>
                <w:rFonts w:ascii="Times New Roman" w:hAnsi="Times New Roman"/>
                <w:bCs/>
                <w:sz w:val="24"/>
                <w:szCs w:val="24"/>
                <w:shd w:val="clear" w:color="auto" w:fill="FFFFFF"/>
              </w:rPr>
              <w:t> </w:t>
            </w:r>
            <w:r w:rsidRPr="00231489" w:rsidR="00EE24D1">
              <w:rPr>
                <w:rFonts w:ascii="Times New Roman" w:hAnsi="Times New Roman"/>
                <w:bCs/>
                <w:i/>
                <w:sz w:val="24"/>
                <w:szCs w:val="24"/>
                <w:shd w:val="clear" w:color="auto" w:fill="FFFFFF"/>
              </w:rPr>
              <w:t>par Līguma par ES darbību 107. un 108. panta piemērošanu de minimis atbalstam zvejniecības un akvakultūras nozarē</w:t>
            </w:r>
            <w:r w:rsidRPr="00231489" w:rsidR="00EE24D1">
              <w:rPr>
                <w:rFonts w:ascii="Times New Roman" w:hAnsi="Times New Roman"/>
                <w:bCs/>
                <w:sz w:val="24"/>
                <w:szCs w:val="24"/>
                <w:shd w:val="clear" w:color="auto" w:fill="FFFFFF"/>
              </w:rPr>
              <w:t>, Komisijas 2013. gada 18. decembra Regulas (ES) Nr. </w:t>
            </w:r>
            <w:r>
              <w:fldChar w:fldCharType="begin"/>
            </w:r>
            <w:r>
              <w:instrText xml:space="preserve"> HYPERLINK "http://eur-lex.europa.eu/eli/reg/2013/1408/oj/?locale=LV" \t "_blank" </w:instrText>
            </w:r>
            <w:r>
              <w:fldChar w:fldCharType="separate"/>
            </w:r>
            <w:r w:rsidRPr="00231489" w:rsidR="00EE24D1">
              <w:rPr>
                <w:rFonts w:ascii="Times New Roman" w:hAnsi="Times New Roman"/>
                <w:bCs/>
                <w:sz w:val="24"/>
                <w:szCs w:val="24"/>
                <w:shd w:val="clear" w:color="auto" w:fill="FFFFFF"/>
              </w:rPr>
              <w:t>1408/2013</w:t>
            </w:r>
            <w:r>
              <w:fldChar w:fldCharType="end"/>
            </w:r>
            <w:r w:rsidRPr="00231489" w:rsidR="00EE24D1">
              <w:rPr>
                <w:rFonts w:ascii="Times New Roman" w:hAnsi="Times New Roman"/>
                <w:bCs/>
                <w:sz w:val="24"/>
                <w:szCs w:val="24"/>
                <w:shd w:val="clear" w:color="auto" w:fill="FFFFFF"/>
              </w:rPr>
              <w:t> </w:t>
            </w:r>
            <w:r w:rsidRPr="00231489" w:rsidR="00EE24D1">
              <w:rPr>
                <w:rFonts w:ascii="Times New Roman" w:hAnsi="Times New Roman"/>
                <w:bCs/>
                <w:i/>
                <w:sz w:val="24"/>
                <w:szCs w:val="24"/>
                <w:shd w:val="clear" w:color="auto" w:fill="FFFFFF"/>
              </w:rPr>
              <w:t>par Līguma par ES darbību 107. un 108. panta piemērošanu de minimis atbalstam lauksaimniecības nozarē</w:t>
            </w:r>
            <w:r w:rsidRPr="00231489" w:rsidR="00CC4FD5">
              <w:rPr>
                <w:rFonts w:ascii="Times New Roman" w:hAnsi="Times New Roman"/>
                <w:bCs/>
                <w:sz w:val="24"/>
                <w:szCs w:val="24"/>
                <w:shd w:val="clear" w:color="auto" w:fill="FFFFFF"/>
              </w:rPr>
              <w:t xml:space="preserve">, </w:t>
            </w:r>
            <w:r w:rsidRPr="00231489" w:rsidR="00EE24D1">
              <w:rPr>
                <w:rFonts w:ascii="Times New Roman" w:hAnsi="Times New Roman"/>
                <w:bCs/>
                <w:sz w:val="24"/>
                <w:szCs w:val="24"/>
                <w:shd w:val="clear" w:color="auto" w:fill="FFFFFF"/>
              </w:rPr>
              <w:t>Komisijas 2011. gada 20. decembra lēmuma Nr. </w:t>
            </w:r>
            <w:r>
              <w:fldChar w:fldCharType="begin"/>
            </w:r>
            <w:r>
              <w:instrText xml:space="preserve"> HYPERLINK "http://eur-lex.europa.eu/eli/dec/2012/21/oj/?locale=LV" \t "_blank" </w:instrText>
            </w:r>
            <w:r>
              <w:fldChar w:fldCharType="separate"/>
            </w:r>
            <w:r w:rsidRPr="00231489" w:rsidR="00EE24D1">
              <w:rPr>
                <w:rFonts w:ascii="Times New Roman" w:hAnsi="Times New Roman"/>
                <w:bCs/>
                <w:sz w:val="24"/>
                <w:szCs w:val="24"/>
                <w:shd w:val="clear" w:color="auto" w:fill="FFFFFF"/>
              </w:rPr>
              <w:t>2012/21/ES</w:t>
            </w:r>
            <w:r>
              <w:fldChar w:fldCharType="end"/>
            </w:r>
            <w:r w:rsidRPr="00231489" w:rsidR="00EE24D1">
              <w:rPr>
                <w:rFonts w:ascii="Times New Roman" w:hAnsi="Times New Roman"/>
                <w:bCs/>
                <w:sz w:val="24"/>
                <w:szCs w:val="24"/>
                <w:shd w:val="clear" w:color="auto" w:fill="FFFFFF"/>
              </w:rPr>
              <w:t> </w:t>
            </w:r>
            <w:r w:rsidRPr="00231489" w:rsidR="00EE24D1">
              <w:rPr>
                <w:rFonts w:ascii="Times New Roman" w:hAnsi="Times New Roman"/>
                <w:bCs/>
                <w:i/>
                <w:sz w:val="24"/>
                <w:szCs w:val="24"/>
                <w:shd w:val="clear" w:color="auto" w:fill="FFFFFF"/>
              </w:rPr>
              <w:t>par Līguma par Eiropas Savienības darbību </w:t>
            </w:r>
            <w:r>
              <w:fldChar w:fldCharType="begin"/>
            </w:r>
            <w:r>
              <w:instrText xml:space="preserve"> HYPERLINK "http://likumi.lv/ta/id/277959-darbibas-programmas-izaugsme-un-nodarbinatiba-3-3-1-specifiska-atbalsta-merka-palielinat-privato-investiciju-apjomu-regionos" \l "p106" \t "_blank" </w:instrText>
            </w:r>
            <w:r>
              <w:fldChar w:fldCharType="separate"/>
            </w:r>
            <w:r w:rsidRPr="00231489" w:rsidR="00EE24D1">
              <w:rPr>
                <w:rFonts w:ascii="Times New Roman" w:hAnsi="Times New Roman"/>
                <w:bCs/>
                <w:i/>
                <w:sz w:val="24"/>
                <w:szCs w:val="24"/>
                <w:shd w:val="clear" w:color="auto" w:fill="FFFFFF"/>
              </w:rPr>
              <w:t>106. panta</w:t>
            </w:r>
            <w:r>
              <w:fldChar w:fldCharType="end"/>
            </w:r>
            <w:r w:rsidRPr="00231489" w:rsidR="00EE24D1">
              <w:rPr>
                <w:rFonts w:ascii="Times New Roman" w:hAnsi="Times New Roman"/>
                <w:bCs/>
                <w:i/>
                <w:sz w:val="24"/>
                <w:szCs w:val="24"/>
                <w:shd w:val="clear" w:color="auto" w:fill="FFFFFF"/>
              </w:rPr>
              <w:t> 2. punkta piemērošanu valsts atbalstam attiecībā uz kompensāciju par sabiedriskajiem pakalpojumiem dažiem uzņēmumiem, kuriem uzticēts sniegt pakalpojumus ar vispārēju tautsaimniecisku nozīmi</w:t>
            </w:r>
            <w:r w:rsidRPr="00231489" w:rsidR="00CC4FD5">
              <w:rPr>
                <w:rFonts w:ascii="Times New Roman" w:hAnsi="Times New Roman"/>
                <w:bCs/>
                <w:i/>
                <w:sz w:val="24"/>
                <w:szCs w:val="24"/>
                <w:shd w:val="clear" w:color="auto" w:fill="FFFFFF"/>
              </w:rPr>
              <w:t xml:space="preserve"> </w:t>
            </w:r>
            <w:r w:rsidRPr="00231489" w:rsidR="00CC4FD5">
              <w:rPr>
                <w:rFonts w:ascii="Times New Roman" w:hAnsi="Times New Roman"/>
                <w:bCs/>
                <w:sz w:val="24"/>
                <w:szCs w:val="24"/>
                <w:shd w:val="clear" w:color="auto" w:fill="FFFFFF"/>
              </w:rPr>
              <w:t>un</w:t>
            </w:r>
            <w:r w:rsidRPr="00231489" w:rsidR="00CC4FD5">
              <w:rPr>
                <w:rFonts w:ascii="Times New Roman" w:hAnsi="Times New Roman"/>
                <w:bCs/>
                <w:i/>
                <w:sz w:val="24"/>
                <w:szCs w:val="24"/>
                <w:shd w:val="clear" w:color="auto" w:fill="FFFFFF"/>
              </w:rPr>
              <w:t xml:space="preserve"> </w:t>
            </w:r>
            <w:r w:rsidRPr="00231489" w:rsidR="00CC4FD5">
              <w:rPr>
                <w:rFonts w:ascii="Times New Roman" w:hAnsi="Times New Roman"/>
                <w:spacing w:val="-3"/>
                <w:sz w:val="24"/>
                <w:szCs w:val="24"/>
              </w:rPr>
              <w:t xml:space="preserve"> MK noteikumu Nr. 42</w:t>
            </w:r>
            <w:r w:rsidRPr="00231489" w:rsidR="009C5E3D">
              <w:rPr>
                <w:rFonts w:ascii="Times New Roman" w:hAnsi="Times New Roman"/>
                <w:bCs/>
                <w:sz w:val="24"/>
                <w:szCs w:val="24"/>
                <w:shd w:val="clear" w:color="auto" w:fill="FFFFFF"/>
              </w:rPr>
              <w:t xml:space="preserve"> ietvaros.</w:t>
            </w:r>
          </w:p>
          <w:p w:rsidR="00D83CBF" w:rsidRPr="00231489" w:rsidP="00231489" w14:paraId="49245DEC" w14:textId="136A9BFA">
            <w:pPr>
              <w:spacing w:line="240" w:lineRule="auto"/>
              <w:jc w:val="both"/>
              <w:rPr>
                <w:color w:val="000000"/>
                <w:lang w:eastAsia="lv-LV"/>
              </w:rPr>
            </w:pPr>
            <w:r w:rsidRPr="00231489">
              <w:rPr>
                <w:rFonts w:ascii="Times New Roman" w:hAnsi="Times New Roman"/>
                <w:bCs/>
                <w:sz w:val="24"/>
                <w:szCs w:val="24"/>
                <w:shd w:val="clear" w:color="auto" w:fill="FFFFFF"/>
              </w:rPr>
              <w:t>4. Lai nodrošinātu nepārprotamu MK noteikumos Nr. 645 iekļauto normu interpretāciju</w:t>
            </w:r>
            <w:r w:rsidRPr="00231489" w:rsidR="00E633EB">
              <w:rPr>
                <w:rFonts w:ascii="Times New Roman" w:hAnsi="Times New Roman"/>
                <w:bCs/>
                <w:sz w:val="24"/>
                <w:szCs w:val="24"/>
                <w:shd w:val="clear" w:color="auto" w:fill="FFFFFF"/>
              </w:rPr>
              <w:t xml:space="preserve"> un nodrošinātu </w:t>
            </w:r>
            <w:r w:rsidRPr="00231489" w:rsidR="00E633EB">
              <w:rPr>
                <w:rFonts w:ascii="Times New Roman" w:hAnsi="Times New Roman"/>
                <w:spacing w:val="-3"/>
                <w:sz w:val="24"/>
                <w:szCs w:val="24"/>
              </w:rPr>
              <w:t>MK 2017. gada 14. marta sēdes protokollēmuma "Informatīvais ziņojums "Par Eiropas Savienības struktūrfondu un Kohēzijas fonda, Eiropas Ekonomikas zonas finanšu instrumenta, Norvēģijas finanšu instrumenta un Latvijas un Šveices sadarbības programmas investīciju progresu līdz 2016. gada 31. decembrim"" (prot. Nr. 12, 43.§) 5.1. apakšpunkta izpildi</w:t>
            </w:r>
            <w:r w:rsidRPr="00231489">
              <w:rPr>
                <w:rFonts w:ascii="Times New Roman" w:hAnsi="Times New Roman"/>
                <w:bCs/>
                <w:sz w:val="24"/>
                <w:szCs w:val="24"/>
                <w:shd w:val="clear" w:color="auto" w:fill="FFFFFF"/>
              </w:rPr>
              <w:t>,</w:t>
            </w:r>
            <w:r w:rsidRPr="00231489">
              <w:rPr>
                <w:rFonts w:ascii="Times New Roman" w:hAnsi="Times New Roman"/>
                <w:iCs/>
                <w:sz w:val="24"/>
                <w:szCs w:val="24"/>
                <w:shd w:val="clear" w:color="auto" w:fill="FFFFFF"/>
              </w:rPr>
              <w:t xml:space="preserve"> VARAM</w:t>
            </w:r>
            <w:r w:rsidRPr="00231489">
              <w:rPr>
                <w:rFonts w:ascii="Times New Roman" w:hAnsi="Times New Roman"/>
                <w:bCs/>
                <w:sz w:val="24"/>
                <w:szCs w:val="24"/>
                <w:shd w:val="clear" w:color="auto" w:fill="FFFFFF"/>
              </w:rPr>
              <w:t xml:space="preserve"> ir panākusi vienošanos ar FM un CFLA par nepieciešamību </w:t>
            </w:r>
            <w:r w:rsidRPr="00231489" w:rsidR="001D6BE3">
              <w:rPr>
                <w:rFonts w:ascii="Times New Roman" w:hAnsi="Times New Roman"/>
                <w:bCs/>
                <w:sz w:val="24"/>
                <w:szCs w:val="24"/>
                <w:shd w:val="clear" w:color="auto" w:fill="FFFFFF"/>
              </w:rPr>
              <w:t xml:space="preserve">precizēt termina </w:t>
            </w:r>
            <w:r w:rsidRPr="00231489" w:rsidR="0002589C">
              <w:rPr>
                <w:rFonts w:ascii="Times New Roman" w:hAnsi="Times New Roman"/>
                <w:spacing w:val="-3"/>
                <w:sz w:val="24"/>
                <w:szCs w:val="24"/>
              </w:rPr>
              <w:t>"</w:t>
            </w:r>
            <w:r w:rsidRPr="00231489" w:rsidR="001D6BE3">
              <w:rPr>
                <w:rFonts w:ascii="Times New Roman" w:hAnsi="Times New Roman"/>
                <w:bCs/>
                <w:sz w:val="24"/>
                <w:szCs w:val="24"/>
                <w:shd w:val="clear" w:color="auto" w:fill="FFFFFF"/>
              </w:rPr>
              <w:t>nefinanšu investīcijas</w:t>
            </w:r>
            <w:r w:rsidRPr="00231489" w:rsidR="0002589C">
              <w:rPr>
                <w:rFonts w:ascii="Times New Roman" w:hAnsi="Times New Roman"/>
                <w:spacing w:val="-3"/>
                <w:sz w:val="24"/>
                <w:szCs w:val="24"/>
              </w:rPr>
              <w:t>"</w:t>
            </w:r>
            <w:r w:rsidRPr="00231489" w:rsidR="001D6BE3">
              <w:rPr>
                <w:rFonts w:ascii="Times New Roman" w:hAnsi="Times New Roman"/>
                <w:bCs/>
                <w:sz w:val="24"/>
                <w:szCs w:val="24"/>
                <w:shd w:val="clear" w:color="auto" w:fill="FFFFFF"/>
              </w:rPr>
              <w:t xml:space="preserve"> un termina </w:t>
            </w:r>
            <w:r w:rsidRPr="00231489" w:rsidR="0002589C">
              <w:rPr>
                <w:rFonts w:ascii="Times New Roman" w:hAnsi="Times New Roman"/>
                <w:spacing w:val="-3"/>
                <w:sz w:val="24"/>
                <w:szCs w:val="24"/>
              </w:rPr>
              <w:t>"</w:t>
            </w:r>
            <w:r w:rsidRPr="00231489" w:rsidR="001D6BE3">
              <w:rPr>
                <w:rFonts w:ascii="Times New Roman" w:hAnsi="Times New Roman"/>
                <w:bCs/>
                <w:sz w:val="24"/>
                <w:szCs w:val="24"/>
                <w:shd w:val="clear" w:color="auto" w:fill="FFFFFF"/>
              </w:rPr>
              <w:t>atjaunotā degradētā teritorija</w:t>
            </w:r>
            <w:r w:rsidRPr="00231489" w:rsidR="0002589C">
              <w:rPr>
                <w:rFonts w:ascii="Times New Roman" w:hAnsi="Times New Roman"/>
                <w:spacing w:val="-3"/>
                <w:sz w:val="24"/>
                <w:szCs w:val="24"/>
              </w:rPr>
              <w:t>"</w:t>
            </w:r>
            <w:r w:rsidRPr="00231489" w:rsidR="001D6BE3">
              <w:rPr>
                <w:rFonts w:ascii="Times New Roman" w:hAnsi="Times New Roman"/>
                <w:bCs/>
                <w:sz w:val="24"/>
                <w:szCs w:val="24"/>
                <w:shd w:val="clear" w:color="auto" w:fill="FFFFFF"/>
              </w:rPr>
              <w:t xml:space="preserve"> definīciju normu skaidrākai uztveramībai</w:t>
            </w:r>
            <w:r w:rsidRPr="00231489" w:rsidR="00326FBE">
              <w:rPr>
                <w:rFonts w:ascii="Times New Roman" w:hAnsi="Times New Roman"/>
                <w:bCs/>
                <w:sz w:val="24"/>
                <w:szCs w:val="24"/>
                <w:shd w:val="clear" w:color="auto" w:fill="FFFFFF"/>
              </w:rPr>
              <w:t>, precizējot vietu, kurā jārodas iznākuma rādītāju vērtībām, tai skaitā nefinanšu investīcijām un atjaunotajām degradētajām teritorijām</w:t>
            </w:r>
            <w:r w:rsidRPr="00231489" w:rsidR="001D6BE3">
              <w:rPr>
                <w:rFonts w:ascii="Times New Roman" w:hAnsi="Times New Roman"/>
                <w:bCs/>
                <w:sz w:val="24"/>
                <w:szCs w:val="24"/>
                <w:shd w:val="clear" w:color="auto" w:fill="FFFFFF"/>
              </w:rPr>
              <w:t xml:space="preserve">. Ņemot to vērā, </w:t>
            </w:r>
            <w:r w:rsidRPr="00231489">
              <w:rPr>
                <w:rFonts w:ascii="Times New Roman" w:hAnsi="Times New Roman"/>
                <w:bCs/>
                <w:sz w:val="24"/>
                <w:szCs w:val="24"/>
                <w:shd w:val="clear" w:color="auto" w:fill="FFFFFF"/>
              </w:rPr>
              <w:t xml:space="preserve">MK noteikumi Nr. 645 </w:t>
            </w:r>
            <w:r w:rsidRPr="00231489" w:rsidR="001D6BE3">
              <w:rPr>
                <w:rFonts w:ascii="Times New Roman" w:hAnsi="Times New Roman"/>
                <w:bCs/>
                <w:sz w:val="24"/>
                <w:szCs w:val="24"/>
                <w:shd w:val="clear" w:color="auto" w:fill="FFFFFF"/>
              </w:rPr>
              <w:t>tiek papildināti</w:t>
            </w:r>
            <w:r w:rsidRPr="00231489">
              <w:rPr>
                <w:rFonts w:ascii="Times New Roman" w:hAnsi="Times New Roman"/>
                <w:bCs/>
                <w:sz w:val="24"/>
                <w:szCs w:val="24"/>
                <w:shd w:val="clear" w:color="auto" w:fill="FFFFFF"/>
              </w:rPr>
              <w:t xml:space="preserve"> ar jaunu 10.4.</w:t>
            </w:r>
            <w:r w:rsidRPr="00231489" w:rsidR="0002589C">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apakšpunktu</w:t>
            </w:r>
            <w:r w:rsidRPr="00231489" w:rsidR="001D6BE3">
              <w:rPr>
                <w:rFonts w:ascii="Times New Roman" w:hAnsi="Times New Roman"/>
                <w:bCs/>
                <w:sz w:val="24"/>
                <w:szCs w:val="24"/>
                <w:shd w:val="clear" w:color="auto" w:fill="FFFFFF"/>
              </w:rPr>
              <w:t xml:space="preserve"> (MK </w:t>
            </w:r>
            <w:r w:rsidRPr="00231489" w:rsidR="001D6BE3">
              <w:rPr>
                <w:rFonts w:ascii="Times New Roman" w:hAnsi="Times New Roman"/>
                <w:bCs/>
                <w:sz w:val="24"/>
                <w:szCs w:val="24"/>
              </w:rPr>
              <w:t xml:space="preserve">noteikumu projekta </w:t>
            </w:r>
            <w:r w:rsidRPr="00231489" w:rsidR="004F6250">
              <w:rPr>
                <w:rFonts w:ascii="Times New Roman" w:hAnsi="Times New Roman"/>
                <w:bCs/>
                <w:sz w:val="24"/>
                <w:szCs w:val="24"/>
              </w:rPr>
              <w:t>4</w:t>
            </w:r>
            <w:r w:rsidRPr="00231489" w:rsidR="001D6BE3">
              <w:rPr>
                <w:rFonts w:ascii="Times New Roman" w:hAnsi="Times New Roman"/>
                <w:bCs/>
                <w:sz w:val="24"/>
                <w:szCs w:val="24"/>
              </w:rPr>
              <w:t>.</w:t>
            </w:r>
            <w:r w:rsidRPr="00231489" w:rsidR="0002589C">
              <w:rPr>
                <w:rFonts w:ascii="Times New Roman" w:hAnsi="Times New Roman"/>
                <w:bCs/>
                <w:sz w:val="24"/>
                <w:szCs w:val="24"/>
              </w:rPr>
              <w:t> </w:t>
            </w:r>
            <w:r w:rsidRPr="00231489" w:rsidR="001D6BE3">
              <w:rPr>
                <w:rFonts w:ascii="Times New Roman" w:hAnsi="Times New Roman"/>
                <w:bCs/>
                <w:sz w:val="24"/>
                <w:szCs w:val="24"/>
              </w:rPr>
              <w:t>punkts)</w:t>
            </w:r>
            <w:r w:rsidRPr="00231489">
              <w:rPr>
                <w:rFonts w:ascii="Times New Roman" w:hAnsi="Times New Roman"/>
                <w:bCs/>
                <w:sz w:val="24"/>
                <w:szCs w:val="24"/>
              </w:rPr>
              <w:t>,</w:t>
            </w:r>
            <w:r w:rsidRPr="00231489">
              <w:rPr>
                <w:rFonts w:ascii="Times New Roman" w:hAnsi="Times New Roman"/>
                <w:bCs/>
                <w:sz w:val="24"/>
                <w:szCs w:val="24"/>
                <w:shd w:val="clear" w:color="auto" w:fill="FFFFFF"/>
              </w:rPr>
              <w:t xml:space="preserve"> kas paredz, ka iznākuma rādītāju vērtības ir attiecināmas, ja tās ir radušās </w:t>
            </w:r>
            <w:r w:rsidRPr="00231489">
              <w:rPr>
                <w:rFonts w:ascii="Times New Roman" w:hAnsi="Times New Roman"/>
                <w:sz w:val="24"/>
                <w:szCs w:val="24"/>
              </w:rPr>
              <w:t xml:space="preserve"> degradētajā teritorijā, kas ir atjaunota vai kuru plānots atjaunot projekta ietvaros. MK</w:t>
            </w:r>
            <w:r w:rsidRPr="00231489">
              <w:rPr>
                <w:rFonts w:ascii="Times New Roman" w:hAnsi="Times New Roman"/>
                <w:bCs/>
                <w:sz w:val="24"/>
                <w:szCs w:val="24"/>
                <w:shd w:val="clear" w:color="auto" w:fill="FFFFFF"/>
              </w:rPr>
              <w:t xml:space="preserve"> noteikumi Nr. 645 tiek papildināti ar</w:t>
            </w:r>
            <w:r w:rsidRPr="00231489">
              <w:rPr>
                <w:rFonts w:ascii="Times New Roman" w:hAnsi="Times New Roman"/>
                <w:sz w:val="24"/>
                <w:szCs w:val="24"/>
              </w:rPr>
              <w:t xml:space="preserve"> jaunu 10</w:t>
            </w:r>
            <w:r w:rsidRPr="00231489" w:rsidR="00650DE8">
              <w:rPr>
                <w:rFonts w:ascii="Times New Roman" w:hAnsi="Times New Roman"/>
                <w:sz w:val="24"/>
                <w:szCs w:val="24"/>
              </w:rPr>
              <w:t>.</w:t>
            </w:r>
            <w:r w:rsidRPr="00231489" w:rsidR="00650DE8">
              <w:rPr>
                <w:rFonts w:ascii="Times New Roman Bold" w:hAnsi="Times New Roman Bold"/>
                <w:sz w:val="24"/>
                <w:szCs w:val="24"/>
                <w:vertAlign w:val="superscript"/>
              </w:rPr>
              <w:t>1</w:t>
            </w:r>
            <w:r w:rsidRPr="00231489" w:rsidR="00E90C18">
              <w:rPr>
                <w:rFonts w:ascii="Times New Roman" w:hAnsi="Times New Roman"/>
                <w:sz w:val="24"/>
                <w:szCs w:val="24"/>
              </w:rPr>
              <w:t> </w:t>
            </w:r>
            <w:r w:rsidRPr="00231489">
              <w:rPr>
                <w:rFonts w:ascii="Times New Roman" w:hAnsi="Times New Roman"/>
                <w:sz w:val="24"/>
                <w:szCs w:val="24"/>
              </w:rPr>
              <w:t xml:space="preserve">punktu </w:t>
            </w:r>
            <w:r w:rsidRPr="00231489">
              <w:rPr>
                <w:rFonts w:ascii="Times New Roman" w:hAnsi="Times New Roman"/>
                <w:bCs/>
                <w:sz w:val="24"/>
                <w:szCs w:val="24"/>
                <w:shd w:val="clear" w:color="auto" w:fill="FFFFFF"/>
              </w:rPr>
              <w:t xml:space="preserve">(MK </w:t>
            </w:r>
            <w:r w:rsidRPr="00231489">
              <w:rPr>
                <w:rFonts w:ascii="Times New Roman" w:hAnsi="Times New Roman"/>
                <w:bCs/>
                <w:sz w:val="24"/>
                <w:szCs w:val="24"/>
              </w:rPr>
              <w:t>noteikumu projekta 5. punkts)</w:t>
            </w:r>
            <w:r w:rsidRPr="00231489">
              <w:rPr>
                <w:rFonts w:ascii="Times New Roman" w:hAnsi="Times New Roman"/>
                <w:sz w:val="24"/>
                <w:szCs w:val="24"/>
              </w:rPr>
              <w:t xml:space="preserve">, kas paredz, ka komersantu nefinanšu investīcijas nekustamajā īpašumā var būt veiktas </w:t>
            </w:r>
            <w:r w:rsidRPr="00231489" w:rsidR="00FA6C81">
              <w:rPr>
                <w:rFonts w:ascii="Times New Roman" w:hAnsi="Times New Roman"/>
                <w:sz w:val="24"/>
                <w:szCs w:val="24"/>
              </w:rPr>
              <w:t xml:space="preserve">arī </w:t>
            </w:r>
            <w:r w:rsidRPr="00231489">
              <w:rPr>
                <w:rFonts w:ascii="Times New Roman" w:hAnsi="Times New Roman"/>
                <w:sz w:val="24"/>
                <w:szCs w:val="24"/>
              </w:rPr>
              <w:t xml:space="preserve">ārpus atjaunotās degradētās teritorijas, ja </w:t>
            </w:r>
            <w:r w:rsidRPr="00231489" w:rsidR="00FA6C81">
              <w:rPr>
                <w:color w:val="000000"/>
              </w:rPr>
              <w:t xml:space="preserve"> </w:t>
            </w:r>
            <w:r w:rsidRPr="00231489" w:rsidR="00FA6C81">
              <w:rPr>
                <w:rFonts w:ascii="Times New Roman" w:hAnsi="Times New Roman"/>
                <w:sz w:val="24"/>
                <w:szCs w:val="24"/>
              </w:rPr>
              <w:t>nefinanšu investīcijas ir veiktas projekta īstenošanas vietā (jeb nekustamajā īpašumā, kurā tiek veiktas investīcijas projekta ietvaros) un nekustamais īpašums ir nepieciešams attiecīgā komersanta saimnieciskās darbības veikšanai degradētajā teritorijā, kas ir atjaunota vai kuru plānots atjaunot projekta ietvaros.</w:t>
            </w:r>
            <w:r w:rsidRPr="00231489" w:rsidR="00AB1739">
              <w:rPr>
                <w:rFonts w:ascii="Times New Roman" w:hAnsi="Times New Roman"/>
                <w:bCs/>
                <w:sz w:val="24"/>
                <w:szCs w:val="24"/>
                <w:shd w:val="clear" w:color="auto" w:fill="FFFFFF"/>
              </w:rPr>
              <w:t xml:space="preserve"> Ar nefinanšu investīcijām nekustamajā īpašumā saprot jebkurus pamatlīdzekļus, kas rada bilances vērtību, piemēram, lauksaimniecības zemes pirkšana projekta īstenošanas vietā (pie projekta ietvaros izbūvējamā ceļa posma), žoga ierīkošana u.c. </w:t>
            </w:r>
            <w:r w:rsidRPr="00231489" w:rsidR="00AB1739">
              <w:rPr>
                <w:rFonts w:ascii="Times New Roman" w:hAnsi="Times New Roman"/>
                <w:sz w:val="24"/>
                <w:szCs w:val="24"/>
              </w:rPr>
              <w:t>P</w:t>
            </w:r>
            <w:r w:rsidRPr="00231489">
              <w:rPr>
                <w:rFonts w:ascii="Times New Roman" w:hAnsi="Times New Roman"/>
                <w:sz w:val="24"/>
                <w:szCs w:val="24"/>
              </w:rPr>
              <w:t>iemēram, ja projekta ietvaros plānots atjaunot pašvaldības īpašumā esošu ceļa posmu, kuram vienā pusē atrodas ko</w:t>
            </w:r>
            <w:r w:rsidRPr="00231489" w:rsidR="00AB1739">
              <w:rPr>
                <w:rFonts w:ascii="Times New Roman" w:hAnsi="Times New Roman"/>
                <w:sz w:val="24"/>
                <w:szCs w:val="24"/>
              </w:rPr>
              <w:t xml:space="preserve">mersanta ražotne, bet otrā </w:t>
            </w:r>
            <w:r w:rsidRPr="00231489">
              <w:rPr>
                <w:rFonts w:ascii="Times New Roman" w:hAnsi="Times New Roman"/>
                <w:sz w:val="24"/>
                <w:szCs w:val="24"/>
              </w:rPr>
              <w:t>– komersants ir iegādājies</w:t>
            </w:r>
            <w:r w:rsidRPr="00231489" w:rsidR="00AB1739">
              <w:rPr>
                <w:rFonts w:ascii="Times New Roman" w:hAnsi="Times New Roman"/>
                <w:sz w:val="24"/>
                <w:szCs w:val="24"/>
              </w:rPr>
              <w:t xml:space="preserve"> zemes gabalu, kas nepieciešams, lai audzētu kultūraugus ražotnes darbināšanai, </w:t>
            </w:r>
            <w:r w:rsidRPr="00231489">
              <w:rPr>
                <w:rFonts w:ascii="Times New Roman" w:hAnsi="Times New Roman"/>
                <w:sz w:val="24"/>
                <w:szCs w:val="24"/>
              </w:rPr>
              <w:t>tad</w:t>
            </w:r>
            <w:r w:rsidRPr="00231489" w:rsidR="00AB1739">
              <w:rPr>
                <w:rFonts w:ascii="Times New Roman" w:hAnsi="Times New Roman"/>
                <w:sz w:val="24"/>
                <w:szCs w:val="24"/>
              </w:rPr>
              <w:t xml:space="preserve"> iegādātais zemes ga</w:t>
            </w:r>
            <w:r w:rsidRPr="00231489" w:rsidR="009935E3">
              <w:rPr>
                <w:rFonts w:ascii="Times New Roman" w:hAnsi="Times New Roman"/>
                <w:sz w:val="24"/>
                <w:szCs w:val="24"/>
              </w:rPr>
              <w:t>ba</w:t>
            </w:r>
            <w:r w:rsidRPr="00231489" w:rsidR="00AB1739">
              <w:rPr>
                <w:rFonts w:ascii="Times New Roman" w:hAnsi="Times New Roman"/>
                <w:sz w:val="24"/>
                <w:szCs w:val="24"/>
              </w:rPr>
              <w:t xml:space="preserve">ls var tikt </w:t>
            </w:r>
            <w:r w:rsidRPr="00231489">
              <w:rPr>
                <w:rFonts w:ascii="Times New Roman" w:hAnsi="Times New Roman"/>
                <w:sz w:val="24"/>
                <w:szCs w:val="24"/>
              </w:rPr>
              <w:t>ieskaitīt</w:t>
            </w:r>
            <w:r w:rsidRPr="00231489" w:rsidR="00AB1739">
              <w:rPr>
                <w:rFonts w:ascii="Times New Roman" w:hAnsi="Times New Roman"/>
                <w:sz w:val="24"/>
                <w:szCs w:val="24"/>
              </w:rPr>
              <w:t>s</w:t>
            </w:r>
            <w:r w:rsidRPr="00231489">
              <w:rPr>
                <w:rFonts w:ascii="Times New Roman" w:hAnsi="Times New Roman"/>
                <w:sz w:val="24"/>
                <w:szCs w:val="24"/>
              </w:rPr>
              <w:t xml:space="preserve"> ko</w:t>
            </w:r>
            <w:r w:rsidRPr="00231489" w:rsidR="00AB1739">
              <w:rPr>
                <w:rFonts w:ascii="Times New Roman" w:hAnsi="Times New Roman"/>
                <w:sz w:val="24"/>
                <w:szCs w:val="24"/>
              </w:rPr>
              <w:t>mersanta nefinanšu investīcijās, neskatoties uz to, ka lauksaimniecībā izmantojamo zemi neieskaita atjaunotajā degradētajā teritorij</w:t>
            </w:r>
            <w:r w:rsidRPr="00231489" w:rsidR="002D2EF5">
              <w:rPr>
                <w:rFonts w:ascii="Times New Roman" w:hAnsi="Times New Roman"/>
                <w:sz w:val="24"/>
                <w:szCs w:val="24"/>
              </w:rPr>
              <w:t xml:space="preserve">ā. Vēršam uzmanību, ka iegādāto zemes gabalu </w:t>
            </w:r>
            <w:r w:rsidRPr="00231489" w:rsidR="005F3110">
              <w:rPr>
                <w:rFonts w:ascii="Times New Roman" w:hAnsi="Times New Roman"/>
                <w:sz w:val="24"/>
                <w:szCs w:val="24"/>
              </w:rPr>
              <w:t>izmaksas nav  iekļaujamas komersantu nefinanšu investīciju rādītājā</w:t>
            </w:r>
            <w:r w:rsidRPr="00231489" w:rsidR="00AB1739">
              <w:rPr>
                <w:rFonts w:ascii="Times New Roman" w:hAnsi="Times New Roman"/>
                <w:sz w:val="24"/>
                <w:szCs w:val="24"/>
              </w:rPr>
              <w:t xml:space="preserve">, ja tie neatrodas projekta īstenošanas vietā (šajā piemērā - pie ceļa, kas tiek atjaunots projekta ietvaros). </w:t>
            </w:r>
          </w:p>
          <w:p w:rsidR="00FA6C81" w:rsidRPr="00231489" w:rsidP="00231489" w14:paraId="60B42435" w14:textId="442D5DBB">
            <w:pPr>
              <w:spacing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Vienlaikus r</w:t>
            </w:r>
            <w:r w:rsidRPr="00231489" w:rsidR="00AB1739">
              <w:rPr>
                <w:rFonts w:ascii="Times New Roman" w:hAnsi="Times New Roman"/>
                <w:bCs/>
                <w:sz w:val="24"/>
                <w:szCs w:val="24"/>
                <w:shd w:val="clear" w:color="auto" w:fill="FFFFFF"/>
              </w:rPr>
              <w:t xml:space="preserve">edakcionāli </w:t>
            </w:r>
            <w:r w:rsidRPr="00231489" w:rsidR="00710FF3">
              <w:rPr>
                <w:rFonts w:ascii="Times New Roman" w:hAnsi="Times New Roman"/>
                <w:bCs/>
                <w:sz w:val="24"/>
                <w:szCs w:val="24"/>
                <w:shd w:val="clear" w:color="auto" w:fill="FFFFFF"/>
              </w:rPr>
              <w:t>tiek</w:t>
            </w:r>
            <w:r w:rsidRPr="00231489" w:rsidR="006D0F24">
              <w:rPr>
                <w:rFonts w:ascii="Times New Roman" w:hAnsi="Times New Roman"/>
                <w:bCs/>
                <w:sz w:val="24"/>
                <w:szCs w:val="24"/>
                <w:shd w:val="clear" w:color="auto" w:fill="FFFFFF"/>
              </w:rPr>
              <w:t xml:space="preserve"> </w:t>
            </w:r>
            <w:r w:rsidRPr="00231489" w:rsidR="00ED49C0">
              <w:rPr>
                <w:rFonts w:ascii="Times New Roman" w:hAnsi="Times New Roman"/>
                <w:bCs/>
                <w:sz w:val="24"/>
                <w:szCs w:val="24"/>
                <w:shd w:val="clear" w:color="auto" w:fill="FFFFFF"/>
              </w:rPr>
              <w:t>precizēt</w:t>
            </w:r>
            <w:r w:rsidRPr="00231489" w:rsidR="006D0F24">
              <w:rPr>
                <w:rFonts w:ascii="Times New Roman" w:hAnsi="Times New Roman"/>
                <w:bCs/>
                <w:sz w:val="24"/>
                <w:szCs w:val="24"/>
                <w:shd w:val="clear" w:color="auto" w:fill="FFFFFF"/>
              </w:rPr>
              <w:t>s</w:t>
            </w:r>
            <w:r w:rsidRPr="00231489" w:rsidR="00ED49C0">
              <w:rPr>
                <w:rFonts w:ascii="Times New Roman" w:hAnsi="Times New Roman"/>
                <w:bCs/>
                <w:sz w:val="24"/>
                <w:szCs w:val="24"/>
                <w:shd w:val="clear" w:color="auto" w:fill="FFFFFF"/>
              </w:rPr>
              <w:t xml:space="preserve"> MK noteikumu Nr. 645 6. punkt</w:t>
            </w:r>
            <w:r w:rsidRPr="00231489" w:rsidR="006D0F24">
              <w:rPr>
                <w:rFonts w:ascii="Times New Roman" w:hAnsi="Times New Roman"/>
                <w:bCs/>
                <w:sz w:val="24"/>
                <w:szCs w:val="24"/>
                <w:shd w:val="clear" w:color="auto" w:fill="FFFFFF"/>
              </w:rPr>
              <w:t>s</w:t>
            </w:r>
            <w:r w:rsidRPr="00231489" w:rsidR="00ED49C0">
              <w:rPr>
                <w:rFonts w:ascii="Times New Roman" w:hAnsi="Times New Roman"/>
                <w:bCs/>
                <w:sz w:val="24"/>
                <w:szCs w:val="24"/>
                <w:shd w:val="clear" w:color="auto" w:fill="FFFFFF"/>
              </w:rPr>
              <w:t xml:space="preserve"> nosakot, ka projektu īsteno Latvijas Republikā</w:t>
            </w:r>
            <w:r w:rsidRPr="00231489" w:rsidR="00A245BB">
              <w:rPr>
                <w:rFonts w:ascii="Times New Roman" w:hAnsi="Times New Roman"/>
                <w:bCs/>
                <w:sz w:val="24"/>
                <w:szCs w:val="24"/>
                <w:shd w:val="clear" w:color="auto" w:fill="FFFFFF"/>
              </w:rPr>
              <w:t xml:space="preserve"> nevis, ka projekta īstenošanas </w:t>
            </w:r>
            <w:r w:rsidRPr="00231489" w:rsidR="00A245BB">
              <w:rPr>
                <w:rFonts w:ascii="Times New Roman" w:hAnsi="Times New Roman"/>
                <w:bCs/>
                <w:sz w:val="24"/>
                <w:szCs w:val="24"/>
                <w:shd w:val="clear" w:color="auto" w:fill="FFFFFF"/>
              </w:rPr>
              <w:t>vieta ir Latvijas Republika</w:t>
            </w:r>
            <w:r w:rsidRPr="00231489" w:rsidR="009F0179">
              <w:rPr>
                <w:rFonts w:ascii="Times New Roman" w:hAnsi="Times New Roman"/>
                <w:bCs/>
                <w:sz w:val="24"/>
                <w:szCs w:val="24"/>
                <w:shd w:val="clear" w:color="auto" w:fill="FFFFFF"/>
              </w:rPr>
              <w:t>,</w:t>
            </w:r>
            <w:r w:rsidRPr="00231489">
              <w:rPr>
                <w:rFonts w:ascii="Times New Roman" w:hAnsi="Times New Roman"/>
                <w:bCs/>
                <w:sz w:val="24"/>
                <w:szCs w:val="24"/>
                <w:shd w:val="clear" w:color="auto" w:fill="FFFFFF"/>
              </w:rPr>
              <w:t xml:space="preserve"> jo </w:t>
            </w:r>
            <w:r w:rsidRPr="00231489" w:rsidR="00222140">
              <w:rPr>
                <w:rFonts w:ascii="Times New Roman" w:hAnsi="Times New Roman"/>
                <w:bCs/>
                <w:sz w:val="24"/>
                <w:szCs w:val="24"/>
                <w:shd w:val="clear" w:color="auto" w:fill="FFFFFF"/>
              </w:rPr>
              <w:t xml:space="preserve"> projekta īstenošanas vieta ir nekustamais īpašums, kurā tiek veiktas</w:t>
            </w:r>
            <w:r w:rsidRPr="00231489" w:rsidR="00EF0EA8">
              <w:rPr>
                <w:rFonts w:ascii="Times New Roman" w:hAnsi="Times New Roman"/>
                <w:bCs/>
                <w:sz w:val="24"/>
                <w:szCs w:val="24"/>
                <w:shd w:val="clear" w:color="auto" w:fill="FFFFFF"/>
              </w:rPr>
              <w:t xml:space="preserve"> investīcijas projekta ietvaros</w:t>
            </w:r>
            <w:r w:rsidRPr="00231489" w:rsidR="00DA37A0">
              <w:rPr>
                <w:rFonts w:ascii="Times New Roman" w:hAnsi="Times New Roman"/>
                <w:bCs/>
                <w:sz w:val="24"/>
                <w:szCs w:val="24"/>
                <w:shd w:val="clear" w:color="auto" w:fill="FFFFFF"/>
              </w:rPr>
              <w:t>, nevis visa Latvijas Republika (MK noteikumu projekta 1. punkts).</w:t>
            </w:r>
          </w:p>
          <w:p w:rsidR="001D6BE3" w:rsidRPr="00231489" w:rsidP="00231489" w14:paraId="4D99727A" w14:textId="77777777">
            <w:pPr>
              <w:spacing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Vienlai</w:t>
            </w:r>
            <w:r w:rsidRPr="00231489" w:rsidR="00AB1739">
              <w:rPr>
                <w:rFonts w:ascii="Times New Roman" w:hAnsi="Times New Roman"/>
                <w:bCs/>
                <w:sz w:val="24"/>
                <w:szCs w:val="24"/>
                <w:shd w:val="clear" w:color="auto" w:fill="FFFFFF"/>
              </w:rPr>
              <w:t>kus</w:t>
            </w:r>
            <w:r w:rsidRPr="00231489">
              <w:rPr>
                <w:rFonts w:ascii="Times New Roman" w:hAnsi="Times New Roman"/>
                <w:bCs/>
                <w:sz w:val="24"/>
                <w:szCs w:val="24"/>
                <w:shd w:val="clear" w:color="auto" w:fill="FFFFFF"/>
              </w:rPr>
              <w:t xml:space="preserve"> </w:t>
            </w:r>
            <w:r w:rsidRPr="00231489">
              <w:rPr>
                <w:rFonts w:ascii="Times New Roman" w:hAnsi="Times New Roman"/>
                <w:bCs/>
                <w:sz w:val="24"/>
                <w:szCs w:val="24"/>
                <w:shd w:val="clear" w:color="auto" w:fill="FFFFFF"/>
              </w:rPr>
              <w:t xml:space="preserve">MK noteikumi Nr. 645 tiek papildināti ar jaunu </w:t>
            </w:r>
            <w:r w:rsidRPr="00231489" w:rsidR="0002589C">
              <w:rPr>
                <w:rFonts w:ascii="Times New Roman" w:hAnsi="Times New Roman"/>
                <w:bCs/>
                <w:sz w:val="24"/>
                <w:szCs w:val="24"/>
                <w:shd w:val="clear" w:color="auto" w:fill="FFFFFF"/>
              </w:rPr>
              <w:t>26</w:t>
            </w:r>
            <w:r w:rsidRPr="00231489">
              <w:rPr>
                <w:rFonts w:ascii="Times New Roman" w:hAnsi="Times New Roman"/>
                <w:bCs/>
                <w:sz w:val="24"/>
                <w:szCs w:val="24"/>
                <w:shd w:val="clear" w:color="auto" w:fill="FFFFFF"/>
              </w:rPr>
              <w:t>.</w:t>
            </w:r>
            <w:r w:rsidRPr="00231489">
              <w:rPr>
                <w:rFonts w:ascii="Times New Roman" w:hAnsi="Times New Roman"/>
                <w:bCs/>
                <w:sz w:val="24"/>
                <w:szCs w:val="24"/>
                <w:shd w:val="clear" w:color="auto" w:fill="FFFFFF"/>
                <w:vertAlign w:val="superscript"/>
              </w:rPr>
              <w:t>1</w:t>
            </w:r>
            <w:r w:rsidRPr="00231489">
              <w:rPr>
                <w:rFonts w:ascii="Times New Roman" w:hAnsi="Times New Roman"/>
                <w:bCs/>
                <w:sz w:val="24"/>
                <w:szCs w:val="24"/>
                <w:shd w:val="clear" w:color="auto" w:fill="FFFFFF"/>
              </w:rPr>
              <w:t xml:space="preserve"> punktu</w:t>
            </w:r>
            <w:r w:rsidRPr="00231489" w:rsidR="009F0749">
              <w:rPr>
                <w:rFonts w:ascii="Times New Roman" w:hAnsi="Times New Roman"/>
                <w:bCs/>
                <w:sz w:val="24"/>
                <w:szCs w:val="24"/>
                <w:shd w:val="clear" w:color="auto" w:fill="FFFFFF"/>
              </w:rPr>
              <w:t xml:space="preserve"> (MK noteikumu projekta </w:t>
            </w:r>
            <w:r w:rsidRPr="00231489" w:rsidR="00E90C18">
              <w:rPr>
                <w:rFonts w:ascii="Times New Roman" w:hAnsi="Times New Roman"/>
                <w:bCs/>
                <w:sz w:val="24"/>
                <w:szCs w:val="24"/>
                <w:shd w:val="clear" w:color="auto" w:fill="FFFFFF"/>
              </w:rPr>
              <w:t>9</w:t>
            </w:r>
            <w:r w:rsidRPr="00231489" w:rsidR="009F0749">
              <w:rPr>
                <w:rFonts w:ascii="Times New Roman" w:hAnsi="Times New Roman"/>
                <w:bCs/>
                <w:sz w:val="24"/>
                <w:szCs w:val="24"/>
                <w:shd w:val="clear" w:color="auto" w:fill="FFFFFF"/>
              </w:rPr>
              <w:t>.</w:t>
            </w:r>
            <w:r w:rsidRPr="00231489" w:rsidR="00E90C18">
              <w:rPr>
                <w:rFonts w:ascii="Times New Roman" w:hAnsi="Times New Roman"/>
                <w:bCs/>
                <w:sz w:val="24"/>
                <w:szCs w:val="24"/>
                <w:shd w:val="clear" w:color="auto" w:fill="FFFFFF"/>
              </w:rPr>
              <w:t> </w:t>
            </w:r>
            <w:r w:rsidRPr="00231489" w:rsidR="009F0749">
              <w:rPr>
                <w:rFonts w:ascii="Times New Roman" w:hAnsi="Times New Roman"/>
                <w:bCs/>
                <w:sz w:val="24"/>
                <w:szCs w:val="24"/>
                <w:shd w:val="clear" w:color="auto" w:fill="FFFFFF"/>
              </w:rPr>
              <w:t>punkts)</w:t>
            </w:r>
            <w:r w:rsidRPr="00231489">
              <w:rPr>
                <w:rFonts w:ascii="Times New Roman" w:hAnsi="Times New Roman"/>
                <w:bCs/>
                <w:sz w:val="24"/>
                <w:szCs w:val="24"/>
                <w:shd w:val="clear" w:color="auto" w:fill="FFFFFF"/>
              </w:rPr>
              <w:t>,</w:t>
            </w:r>
            <w:r w:rsidRPr="00231489">
              <w:rPr>
                <w:rFonts w:ascii="Times New Roman" w:hAnsi="Times New Roman"/>
                <w:bCs/>
                <w:sz w:val="24"/>
                <w:szCs w:val="24"/>
                <w:shd w:val="clear" w:color="auto" w:fill="FFFFFF"/>
              </w:rPr>
              <w:t xml:space="preserve"> kurā skaidri noteiktas teritorijas, kuras nav uzskatāmas par </w:t>
            </w:r>
            <w:r w:rsidRPr="00231489" w:rsidR="003A1436">
              <w:rPr>
                <w:rFonts w:ascii="Times New Roman" w:hAnsi="Times New Roman"/>
                <w:bCs/>
                <w:sz w:val="24"/>
                <w:szCs w:val="24"/>
                <w:shd w:val="clear" w:color="auto" w:fill="FFFFFF"/>
              </w:rPr>
              <w:t>atjaunotām degradētām teritorijām</w:t>
            </w:r>
            <w:r w:rsidRPr="00231489" w:rsidR="00AB6287">
              <w:rPr>
                <w:rFonts w:ascii="Times New Roman" w:hAnsi="Times New Roman"/>
                <w:bCs/>
                <w:sz w:val="24"/>
                <w:szCs w:val="24"/>
                <w:shd w:val="clear" w:color="auto" w:fill="FFFFFF"/>
              </w:rPr>
              <w:t xml:space="preserve"> un kuras nav </w:t>
            </w:r>
            <w:r w:rsidRPr="00231489" w:rsidR="008359EE">
              <w:rPr>
                <w:rFonts w:ascii="Times New Roman" w:hAnsi="Times New Roman"/>
                <w:bCs/>
                <w:sz w:val="24"/>
                <w:szCs w:val="24"/>
                <w:shd w:val="clear" w:color="auto" w:fill="FFFFFF"/>
              </w:rPr>
              <w:t>ieskaitāmas</w:t>
            </w:r>
            <w:r w:rsidRPr="00231489" w:rsidR="00AB6287">
              <w:rPr>
                <w:rFonts w:ascii="Times New Roman" w:hAnsi="Times New Roman"/>
                <w:bCs/>
                <w:sz w:val="24"/>
                <w:szCs w:val="24"/>
                <w:shd w:val="clear" w:color="auto" w:fill="FFFFFF"/>
              </w:rPr>
              <w:t xml:space="preserve"> kā MK noteikumu Nr. 645 9.1.1. apakšpunktā minētā iznākuma rādītāja vērtība</w:t>
            </w:r>
            <w:r w:rsidRPr="00231489">
              <w:rPr>
                <w:rFonts w:ascii="Times New Roman" w:hAnsi="Times New Roman"/>
                <w:bCs/>
                <w:sz w:val="24"/>
                <w:szCs w:val="24"/>
                <w:shd w:val="clear" w:color="auto" w:fill="FFFFFF"/>
              </w:rPr>
              <w:t>.</w:t>
            </w:r>
          </w:p>
          <w:p w:rsidR="009F0749" w:rsidRPr="00231489" w:rsidP="00231489" w14:paraId="12C99FB8" w14:textId="77777777">
            <w:p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 xml:space="preserve">Teritorijas, kuras nav uzskatāmas par </w:t>
            </w:r>
            <w:r w:rsidRPr="00231489" w:rsidR="00394E10">
              <w:rPr>
                <w:rFonts w:ascii="Times New Roman" w:hAnsi="Times New Roman"/>
                <w:bCs/>
                <w:sz w:val="24"/>
                <w:szCs w:val="24"/>
                <w:shd w:val="clear" w:color="auto" w:fill="FFFFFF"/>
              </w:rPr>
              <w:t xml:space="preserve">atjaunotām </w:t>
            </w:r>
            <w:r w:rsidRPr="00231489">
              <w:rPr>
                <w:rFonts w:ascii="Times New Roman" w:hAnsi="Times New Roman"/>
                <w:bCs/>
                <w:sz w:val="24"/>
                <w:szCs w:val="24"/>
                <w:shd w:val="clear" w:color="auto" w:fill="FFFFFF"/>
              </w:rPr>
              <w:t xml:space="preserve">degradētām teritorijām, </w:t>
            </w:r>
            <w:r w:rsidRPr="00231489" w:rsidR="008359EE">
              <w:rPr>
                <w:rFonts w:ascii="Times New Roman" w:hAnsi="Times New Roman"/>
                <w:bCs/>
                <w:sz w:val="24"/>
                <w:szCs w:val="24"/>
                <w:shd w:val="clear" w:color="auto" w:fill="FFFFFF"/>
              </w:rPr>
              <w:t>tiek</w:t>
            </w:r>
            <w:r w:rsidRPr="00231489">
              <w:rPr>
                <w:rFonts w:ascii="Times New Roman" w:hAnsi="Times New Roman"/>
                <w:bCs/>
                <w:sz w:val="24"/>
                <w:szCs w:val="24"/>
                <w:shd w:val="clear" w:color="auto" w:fill="FFFFFF"/>
              </w:rPr>
              <w:t xml:space="preserve"> noteiktas</w:t>
            </w:r>
            <w:r w:rsidRPr="00231489">
              <w:rPr>
                <w:rFonts w:ascii="Times New Roman" w:hAnsi="Times New Roman"/>
                <w:bCs/>
                <w:sz w:val="24"/>
                <w:szCs w:val="24"/>
                <w:shd w:val="clear" w:color="auto" w:fill="FFFFFF"/>
              </w:rPr>
              <w:t>,</w:t>
            </w:r>
            <w:r w:rsidRPr="00231489">
              <w:rPr>
                <w:rFonts w:ascii="Times New Roman" w:hAnsi="Times New Roman"/>
                <w:bCs/>
                <w:sz w:val="24"/>
                <w:szCs w:val="24"/>
                <w:shd w:val="clear" w:color="auto" w:fill="FFFFFF"/>
              </w:rPr>
              <w:t xml:space="preserve"> </w:t>
            </w:r>
            <w:r w:rsidRPr="00231489">
              <w:rPr>
                <w:rFonts w:ascii="Times New Roman" w:hAnsi="Times New Roman"/>
                <w:bCs/>
                <w:sz w:val="24"/>
                <w:szCs w:val="24"/>
                <w:shd w:val="clear" w:color="auto" w:fill="FFFFFF"/>
              </w:rPr>
              <w:t>izmantojot</w:t>
            </w:r>
            <w:r w:rsidRPr="00231489" w:rsidR="00434C6B">
              <w:rPr>
                <w:rFonts w:ascii="Times New Roman" w:hAnsi="Times New Roman"/>
                <w:bCs/>
                <w:sz w:val="24"/>
                <w:szCs w:val="24"/>
                <w:shd w:val="clear" w:color="auto" w:fill="FFFFFF"/>
              </w:rPr>
              <w:t xml:space="preserve"> MK 2007. gada 21. augusta noteikumu Nr. 562 "Noteikumi par zemes lietošanas veidu klasifikācijas kārtību un to noteikšanas kritērijiem"</w:t>
            </w:r>
            <w:r w:rsidRPr="00231489">
              <w:rPr>
                <w:rFonts w:ascii="Times New Roman" w:hAnsi="Times New Roman"/>
                <w:bCs/>
                <w:sz w:val="24"/>
                <w:szCs w:val="24"/>
                <w:shd w:val="clear" w:color="auto" w:fill="FFFFFF"/>
              </w:rPr>
              <w:t xml:space="preserve"> pielikumā ietverto</w:t>
            </w:r>
            <w:r w:rsidRPr="00231489" w:rsidR="00434C6B">
              <w:rPr>
                <w:rFonts w:ascii="Times New Roman" w:hAnsi="Times New Roman"/>
                <w:bCs/>
                <w:sz w:val="24"/>
                <w:szCs w:val="24"/>
                <w:shd w:val="clear" w:color="auto" w:fill="FFFFFF"/>
              </w:rPr>
              <w:t xml:space="preserve"> zemes</w:t>
            </w:r>
            <w:r w:rsidRPr="00231489">
              <w:rPr>
                <w:rFonts w:ascii="Times New Roman" w:hAnsi="Times New Roman"/>
                <w:bCs/>
                <w:sz w:val="24"/>
                <w:szCs w:val="24"/>
                <w:shd w:val="clear" w:color="auto" w:fill="FFFFFF"/>
              </w:rPr>
              <w:t xml:space="preserve"> lietošanas veidu klasifikatoru</w:t>
            </w:r>
            <w:r w:rsidRPr="00231489" w:rsidR="00697FCA">
              <w:rPr>
                <w:rFonts w:ascii="Times New Roman" w:hAnsi="Times New Roman"/>
                <w:bCs/>
                <w:sz w:val="24"/>
                <w:szCs w:val="24"/>
                <w:shd w:val="clear" w:color="auto" w:fill="FFFFFF"/>
              </w:rPr>
              <w:t>, nosakot, ka atjaunota degradētā teritorija nevar rasties šādos zemes lietošanas veidos:</w:t>
            </w:r>
          </w:p>
          <w:p w:rsidR="00697FCA" w:rsidRPr="00231489" w:rsidP="00231489" w14:paraId="5C0110D0" w14:textId="77777777">
            <w:pPr>
              <w:pStyle w:val="ListParagraph"/>
              <w:numPr>
                <w:ilvl w:val="0"/>
                <w:numId w:val="35"/>
              </w:num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lauksaimniecībā izmantojamā zemē;</w:t>
            </w:r>
          </w:p>
          <w:p w:rsidR="00697FCA" w:rsidRPr="00231489" w:rsidP="00231489" w14:paraId="2FEED388" w14:textId="77777777">
            <w:pPr>
              <w:pStyle w:val="ListParagraph"/>
              <w:numPr>
                <w:ilvl w:val="0"/>
                <w:numId w:val="35"/>
              </w:num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mežā;</w:t>
            </w:r>
          </w:p>
          <w:p w:rsidR="00697FCA" w:rsidRPr="00231489" w:rsidP="00231489" w14:paraId="7835C552" w14:textId="77777777">
            <w:pPr>
              <w:pStyle w:val="ListParagraph"/>
              <w:numPr>
                <w:ilvl w:val="0"/>
                <w:numId w:val="35"/>
              </w:num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purvā;</w:t>
            </w:r>
          </w:p>
          <w:p w:rsidR="00697FCA" w:rsidRPr="00231489" w:rsidP="00231489" w14:paraId="41DFCE7B" w14:textId="77777777">
            <w:pPr>
              <w:pStyle w:val="ListParagraph"/>
              <w:numPr>
                <w:ilvl w:val="0"/>
                <w:numId w:val="35"/>
              </w:num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 xml:space="preserve">ūdens objektu zemē </w:t>
            </w:r>
            <w:r w:rsidRPr="00231489">
              <w:rPr>
                <w:rFonts w:ascii="Times New Roman" w:hAnsi="Times New Roman"/>
                <w:sz w:val="24"/>
                <w:szCs w:val="24"/>
              </w:rPr>
              <w:t>(</w:t>
            </w:r>
            <w:r w:rsidRPr="00231489" w:rsidR="0088602D">
              <w:rPr>
                <w:rFonts w:ascii="Times New Roman" w:hAnsi="Times New Roman"/>
                <w:sz w:val="24"/>
                <w:szCs w:val="24"/>
              </w:rPr>
              <w:t>izņemot</w:t>
            </w:r>
            <w:r w:rsidRPr="00231489" w:rsidR="002D2EF5">
              <w:rPr>
                <w:rFonts w:ascii="Times New Roman" w:hAnsi="Times New Roman"/>
                <w:sz w:val="24"/>
                <w:szCs w:val="24"/>
              </w:rPr>
              <w:t xml:space="preserve"> tos ūdens objektus, kuros veikti ieguldījumi projekta ietvaros</w:t>
            </w:r>
            <w:r w:rsidRPr="00231489">
              <w:rPr>
                <w:rFonts w:ascii="Times New Roman" w:hAnsi="Times New Roman"/>
                <w:sz w:val="24"/>
                <w:szCs w:val="24"/>
              </w:rPr>
              <w:t>);</w:t>
            </w:r>
          </w:p>
          <w:p w:rsidR="00697FCA" w:rsidRPr="00231489" w:rsidP="00231489" w14:paraId="4201098B" w14:textId="77777777">
            <w:pPr>
              <w:pStyle w:val="ListParagraph"/>
              <w:numPr>
                <w:ilvl w:val="0"/>
                <w:numId w:val="35"/>
              </w:num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zemē, kuru izmanto derīgo izrakteņu ieguvei.</w:t>
            </w:r>
          </w:p>
          <w:p w:rsidR="0099403A" w:rsidRPr="00231489" w:rsidP="00231489" w14:paraId="3CD7F090" w14:textId="77777777">
            <w:p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 xml:space="preserve">Tomēr minētajos zemes lietošanas veidos par degradētu un līdz ar to par atjaunojamu teritoriju var noteikt tādu teritorijas daļu, </w:t>
            </w:r>
            <w:r w:rsidRPr="00231489" w:rsidR="00394E10">
              <w:rPr>
                <w:rFonts w:ascii="Times New Roman" w:hAnsi="Times New Roman"/>
                <w:bCs/>
                <w:sz w:val="24"/>
                <w:szCs w:val="24"/>
                <w:shd w:val="clear" w:color="auto" w:fill="FFFFFF"/>
              </w:rPr>
              <w:t xml:space="preserve">kurā atrodas komersanta saimnieciskās darbības veikšanai nepieciešamā </w:t>
            </w:r>
            <w:r w:rsidRPr="00231489" w:rsidR="00655C3A">
              <w:rPr>
                <w:rFonts w:ascii="Times New Roman" w:hAnsi="Times New Roman"/>
                <w:bCs/>
                <w:sz w:val="24"/>
                <w:szCs w:val="24"/>
                <w:shd w:val="clear" w:color="auto" w:fill="FFFFFF"/>
              </w:rPr>
              <w:t xml:space="preserve">jebkura veida </w:t>
            </w:r>
            <w:r w:rsidRPr="00231489" w:rsidR="00394E10">
              <w:rPr>
                <w:rFonts w:ascii="Times New Roman" w:hAnsi="Times New Roman"/>
                <w:bCs/>
                <w:sz w:val="24"/>
                <w:szCs w:val="24"/>
                <w:shd w:val="clear" w:color="auto" w:fill="FFFFFF"/>
              </w:rPr>
              <w:t>infrastruktūra.</w:t>
            </w:r>
          </w:p>
          <w:p w:rsidR="006D0F24" w:rsidRPr="00231489" w:rsidP="00231489" w14:paraId="4334A0B3" w14:textId="77777777">
            <w:pPr>
              <w:spacing w:after="0" w:line="240" w:lineRule="auto"/>
              <w:jc w:val="both"/>
              <w:rPr>
                <w:rFonts w:ascii="Times New Roman" w:hAnsi="Times New Roman"/>
                <w:bCs/>
                <w:sz w:val="24"/>
                <w:szCs w:val="24"/>
                <w:shd w:val="clear" w:color="auto" w:fill="FFFFFF"/>
              </w:rPr>
            </w:pPr>
          </w:p>
          <w:p w:rsidR="005541A0" w:rsidRPr="00231489" w:rsidP="00231489" w14:paraId="5505CB71" w14:textId="3EDE2F64">
            <w:pPr>
              <w:spacing w:after="0"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 xml:space="preserve">MK noteikumu projekta </w:t>
            </w:r>
            <w:r w:rsidRPr="00231489" w:rsidR="00886329">
              <w:rPr>
                <w:rFonts w:ascii="Times New Roman" w:hAnsi="Times New Roman"/>
                <w:bCs/>
                <w:sz w:val="24"/>
                <w:szCs w:val="24"/>
                <w:shd w:val="clear" w:color="auto" w:fill="FFFFFF"/>
              </w:rPr>
              <w:t>18</w:t>
            </w:r>
            <w:r w:rsidRPr="00231489">
              <w:rPr>
                <w:rFonts w:ascii="Times New Roman" w:hAnsi="Times New Roman"/>
                <w:bCs/>
                <w:sz w:val="24"/>
                <w:szCs w:val="24"/>
                <w:shd w:val="clear" w:color="auto" w:fill="FFFFFF"/>
              </w:rPr>
              <w:t>.</w:t>
            </w:r>
            <w:r w:rsidRPr="00231489" w:rsidR="009D3264">
              <w:rPr>
                <w:rFonts w:ascii="Times New Roman" w:hAnsi="Times New Roman"/>
                <w:bCs/>
                <w:sz w:val="24"/>
                <w:szCs w:val="24"/>
                <w:shd w:val="clear" w:color="auto" w:fill="FFFFFF"/>
              </w:rPr>
              <w:t> </w:t>
            </w:r>
            <w:r w:rsidRPr="00231489" w:rsidR="00EC1F1C">
              <w:rPr>
                <w:rFonts w:ascii="Times New Roman" w:hAnsi="Times New Roman"/>
                <w:bCs/>
                <w:sz w:val="24"/>
                <w:szCs w:val="24"/>
                <w:shd w:val="clear" w:color="auto" w:fill="FFFFFF"/>
              </w:rPr>
              <w:t>punkts paredz labvēlīgākus izmaksu attiecināmības nosacījums, nosakot,</w:t>
            </w:r>
            <w:r w:rsidRPr="00231489">
              <w:rPr>
                <w:rFonts w:ascii="Times New Roman" w:hAnsi="Times New Roman"/>
                <w:bCs/>
                <w:sz w:val="24"/>
                <w:szCs w:val="24"/>
                <w:shd w:val="clear" w:color="auto" w:fill="FFFFFF"/>
              </w:rPr>
              <w:t xml:space="preserve"> ka</w:t>
            </w:r>
            <w:r w:rsidRPr="00231489">
              <w:rPr>
                <w:rFonts w:ascii="Times New Roman" w:hAnsi="Times New Roman"/>
                <w:bCs/>
                <w:sz w:val="24"/>
                <w:szCs w:val="24"/>
                <w:shd w:val="clear" w:color="auto" w:fill="FFFFFF"/>
              </w:rPr>
              <w:t xml:space="preserve"> funkcionālā savienojuma izmaksas ir attiecināmas arī gadījumā, ja starp degradēto teritoriju, kas ir atjaunota vai kuru plānots atjaunot projekta ietvaros, un funkcionālo savienojumu ir ielas vai ceļa posms (piemēram, labā tehniskā stāvoklī esošs pašvaldības ceļa posms vai valsts ceļa posms), nepārsniedzot noteiktus ierobežojumus. </w:t>
            </w:r>
            <w:r w:rsidRPr="00231489">
              <w:rPr>
                <w:rFonts w:ascii="Times New Roman" w:hAnsi="Times New Roman"/>
                <w:sz w:val="24"/>
                <w:szCs w:val="24"/>
                <w:lang w:eastAsia="lv-LV"/>
              </w:rPr>
              <w:t>Diskusijās ar pašvaldībām ir secināts, ka objektīvs pamatojums šāda savienojuma ierobe</w:t>
            </w:r>
            <w:r w:rsidRPr="00231489" w:rsidR="001A5116">
              <w:rPr>
                <w:rFonts w:ascii="Times New Roman" w:hAnsi="Times New Roman"/>
                <w:sz w:val="24"/>
                <w:szCs w:val="24"/>
                <w:lang w:eastAsia="lv-LV"/>
              </w:rPr>
              <w:t>žojumam</w:t>
            </w:r>
            <w:r w:rsidRPr="00231489">
              <w:rPr>
                <w:rFonts w:ascii="Times New Roman" w:hAnsi="Times New Roman"/>
                <w:sz w:val="24"/>
                <w:szCs w:val="24"/>
                <w:lang w:eastAsia="lv-LV"/>
              </w:rPr>
              <w:t xml:space="preserve"> novadu (lauku) </w:t>
            </w:r>
            <w:r w:rsidRPr="00231489" w:rsidR="00F11D11">
              <w:rPr>
                <w:rFonts w:ascii="Times New Roman" w:hAnsi="Times New Roman"/>
                <w:sz w:val="24"/>
                <w:szCs w:val="24"/>
                <w:lang w:eastAsia="lv-LV"/>
              </w:rPr>
              <w:t>teritorijās ārpus attīst</w:t>
            </w:r>
            <w:r w:rsidRPr="00231489" w:rsidR="001A5116">
              <w:rPr>
                <w:rFonts w:ascii="Times New Roman" w:hAnsi="Times New Roman"/>
                <w:sz w:val="24"/>
                <w:szCs w:val="24"/>
                <w:lang w:eastAsia="lv-LV"/>
              </w:rPr>
              <w:t>ības centriem</w:t>
            </w:r>
            <w:r w:rsidRPr="00231489" w:rsidR="00F11D11">
              <w:rPr>
                <w:rFonts w:ascii="Times New Roman" w:hAnsi="Times New Roman"/>
                <w:sz w:val="24"/>
                <w:szCs w:val="24"/>
                <w:lang w:eastAsia="lv-LV"/>
              </w:rPr>
              <w:t xml:space="preserve"> ir 20% no funkcionālā savienojuma garuma jeb 400 metri, savukārt pilsētās, kas ir nacionālas un reģionālas nozīmes attīstības centri ar blīvāku apbūvi, tie ir 10% no funkcionālā savienojuma garuma jeb 200 metri.</w:t>
            </w:r>
            <w:r w:rsidRPr="00231489" w:rsidR="001A5116">
              <w:rPr>
                <w:rFonts w:ascii="Times New Roman" w:hAnsi="Times New Roman"/>
                <w:sz w:val="24"/>
                <w:szCs w:val="24"/>
                <w:lang w:eastAsia="lv-LV"/>
              </w:rPr>
              <w:t xml:space="preserve"> </w:t>
            </w:r>
            <w:r w:rsidRPr="00231489">
              <w:rPr>
                <w:rFonts w:ascii="Times New Roman" w:hAnsi="Times New Roman"/>
                <w:bCs/>
                <w:sz w:val="24"/>
                <w:szCs w:val="24"/>
                <w:shd w:val="clear" w:color="auto" w:fill="FFFFFF"/>
              </w:rPr>
              <w:t xml:space="preserve"> Gadījumā, kad funkcionālais savienojums ir vienīgā alternatīva nokļūšanai no degradētās teritorijas, kas ir atjaunota vai kuru plānots atjaunot projekta ietvaros, uz kopējo publisko ceļu tīklu</w:t>
            </w:r>
            <w:r w:rsidRPr="00231489" w:rsidR="00EC1F1C">
              <w:rPr>
                <w:rFonts w:ascii="Times New Roman" w:hAnsi="Times New Roman"/>
                <w:bCs/>
                <w:sz w:val="24"/>
                <w:szCs w:val="24"/>
                <w:shd w:val="clear" w:color="auto" w:fill="FFFFFF"/>
              </w:rPr>
              <w:t xml:space="preserve"> (kas tiek izmantots, piemēram, lai nokļūtu uz izejvielu iegādes vietām vai saražotās produkcijas noieta tirgiem)</w:t>
            </w:r>
            <w:r w:rsidRPr="00231489">
              <w:rPr>
                <w:rFonts w:ascii="Times New Roman" w:hAnsi="Times New Roman"/>
                <w:bCs/>
                <w:sz w:val="24"/>
                <w:szCs w:val="24"/>
                <w:shd w:val="clear" w:color="auto" w:fill="FFFFFF"/>
              </w:rPr>
              <w:t xml:space="preserve">, ierobežojums garumam starp atjaunoto degradēto teritoriju un funkcionālo savienojumu netiek noteikts. Projekta iesniegumā </w:t>
            </w:r>
            <w:r w:rsidRPr="00231489" w:rsidR="001A5116">
              <w:rPr>
                <w:rFonts w:ascii="Times New Roman" w:hAnsi="Times New Roman"/>
                <w:bCs/>
                <w:sz w:val="24"/>
                <w:szCs w:val="24"/>
                <w:shd w:val="clear" w:color="auto" w:fill="FFFFFF"/>
              </w:rPr>
              <w:t xml:space="preserve">nepieciešams </w:t>
            </w:r>
            <w:r w:rsidRPr="00231489">
              <w:rPr>
                <w:rFonts w:ascii="Times New Roman" w:hAnsi="Times New Roman"/>
                <w:bCs/>
                <w:sz w:val="24"/>
                <w:szCs w:val="24"/>
                <w:shd w:val="clear" w:color="auto" w:fill="FFFFFF"/>
              </w:rPr>
              <w:t xml:space="preserve">attiecīgos gadījumus pamatot, tai skaitā </w:t>
            </w:r>
            <w:r w:rsidRPr="00231489" w:rsidR="001A5116">
              <w:rPr>
                <w:rFonts w:ascii="Times New Roman" w:hAnsi="Times New Roman"/>
                <w:bCs/>
                <w:sz w:val="24"/>
                <w:szCs w:val="24"/>
                <w:shd w:val="clear" w:color="auto" w:fill="FFFFFF"/>
              </w:rPr>
              <w:t>kartogrāfiski.</w:t>
            </w:r>
          </w:p>
          <w:p w:rsidR="006D0F24" w:rsidRPr="00231489" w:rsidP="00231489" w14:paraId="5A5A94C7" w14:textId="77777777">
            <w:pPr>
              <w:spacing w:after="0" w:line="240" w:lineRule="auto"/>
              <w:jc w:val="both"/>
              <w:rPr>
                <w:rFonts w:ascii="Times New Roman" w:hAnsi="Times New Roman"/>
                <w:bCs/>
                <w:sz w:val="24"/>
                <w:szCs w:val="24"/>
                <w:shd w:val="clear" w:color="auto" w:fill="FFFFFF"/>
              </w:rPr>
            </w:pPr>
            <w:r w:rsidRPr="00231489">
              <w:rPr>
                <w:rFonts w:ascii="Times New Roman" w:hAnsi="Times New Roman"/>
                <w:sz w:val="24"/>
                <w:szCs w:val="24"/>
                <w:lang w:eastAsia="lv-LV"/>
              </w:rPr>
              <w:t xml:space="preserve"> </w:t>
            </w:r>
          </w:p>
          <w:p w:rsidR="00191DDD" w:rsidRPr="00231489" w:rsidP="00231489" w14:paraId="600A7141" w14:textId="6C7D3929">
            <w:pPr>
              <w:spacing w:after="100" w:afterAutospacing="1" w:line="240" w:lineRule="auto"/>
              <w:jc w:val="both"/>
              <w:outlineLvl w:val="0"/>
              <w:rPr>
                <w:rFonts w:ascii="Times New Roman" w:hAnsi="Times New Roman"/>
                <w:sz w:val="24"/>
                <w:szCs w:val="24"/>
              </w:rPr>
            </w:pPr>
            <w:r w:rsidRPr="00231489">
              <w:rPr>
                <w:rFonts w:ascii="Times New Roman" w:hAnsi="Times New Roman"/>
                <w:bCs/>
                <w:sz w:val="24"/>
                <w:szCs w:val="24"/>
                <w:shd w:val="clear" w:color="auto" w:fill="FFFFFF"/>
              </w:rPr>
              <w:t>5</w:t>
            </w:r>
            <w:r w:rsidR="004A6BAC">
              <w:rPr>
                <w:rFonts w:ascii="Times New Roman" w:hAnsi="Times New Roman"/>
                <w:bCs/>
                <w:sz w:val="24"/>
                <w:szCs w:val="24"/>
                <w:shd w:val="clear" w:color="auto" w:fill="FFFFFF"/>
              </w:rPr>
              <w:t>. </w:t>
            </w:r>
            <w:r w:rsidRPr="00231489" w:rsidR="0023470B">
              <w:rPr>
                <w:rFonts w:ascii="Times New Roman" w:hAnsi="Times New Roman"/>
                <w:sz w:val="24"/>
                <w:szCs w:val="24"/>
              </w:rPr>
              <w:t>Energoefektivitātes</w:t>
            </w:r>
            <w:r w:rsidRPr="00231489">
              <w:rPr>
                <w:rFonts w:ascii="Times New Roman" w:hAnsi="Times New Roman"/>
                <w:sz w:val="24"/>
                <w:szCs w:val="24"/>
              </w:rPr>
              <w:t xml:space="preserve"> likuma 15. panta trešā daļa nosaka, ka ES fondu atbildīgās iestādes MK noteikumos par </w:t>
            </w:r>
            <w:r w:rsidRPr="00231489" w:rsidR="001F5752">
              <w:rPr>
                <w:rFonts w:ascii="Times New Roman" w:hAnsi="Times New Roman"/>
                <w:sz w:val="24"/>
                <w:szCs w:val="24"/>
              </w:rPr>
              <w:t xml:space="preserve">specifiskā atbalsta mērķa </w:t>
            </w:r>
            <w:r w:rsidRPr="00231489">
              <w:rPr>
                <w:rFonts w:ascii="Times New Roman" w:hAnsi="Times New Roman"/>
                <w:sz w:val="24"/>
                <w:szCs w:val="24"/>
              </w:rPr>
              <w:t xml:space="preserve">īstenošanu paredz projektu enerģijas patēriņa rādītājus tām aktivitātēm, kas tiešā veidā nav vērstas uz energoefektivitātes uzlabošanu, tomēr sekmē to. Ekonomikas ministrijas </w:t>
            </w:r>
            <w:r w:rsidRPr="00231489" w:rsidR="00C16D17">
              <w:rPr>
                <w:rFonts w:ascii="Times New Roman" w:hAnsi="Times New Roman"/>
                <w:sz w:val="24"/>
                <w:szCs w:val="24"/>
              </w:rPr>
              <w:t>skaidro</w:t>
            </w:r>
            <w:r w:rsidRPr="00231489">
              <w:rPr>
                <w:rFonts w:ascii="Times New Roman" w:hAnsi="Times New Roman"/>
                <w:spacing w:val="-3"/>
                <w:sz w:val="24"/>
                <w:szCs w:val="24"/>
              </w:rPr>
              <w:t xml:space="preserve">, ka tas attiecas, piemēram, uz aktivitātēm, kurās tiek </w:t>
            </w:r>
            <w:r w:rsidRPr="00231489">
              <w:rPr>
                <w:rFonts w:ascii="Times New Roman" w:hAnsi="Times New Roman"/>
                <w:spacing w:val="-3"/>
                <w:sz w:val="24"/>
                <w:szCs w:val="24"/>
              </w:rPr>
              <w:t>uzlabotas vai iegādātas ēkas, iekārtas, transportlīdzekļi, kā arī ieviesti energoresursu patērētāju izturēšanās maiņu veicinoši pasākumi.</w:t>
            </w:r>
            <w:r w:rsidRPr="00231489">
              <w:rPr>
                <w:rFonts w:ascii="Times New Roman" w:hAnsi="Times New Roman"/>
                <w:sz w:val="24"/>
                <w:szCs w:val="24"/>
              </w:rPr>
              <w:t xml:space="preserve"> Energoefektivitātes likuma 15. panta ceturtā daļa nosaka</w:t>
            </w:r>
            <w:r w:rsidRPr="00231489">
              <w:rPr>
                <w:rFonts w:ascii="Times New Roman" w:hAnsi="Times New Roman"/>
                <w:spacing w:val="-3"/>
                <w:sz w:val="24"/>
                <w:szCs w:val="24"/>
              </w:rPr>
              <w:t>,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w:t>
            </w:r>
            <w:r w:rsidRPr="00231489" w:rsidR="00AE3FB2">
              <w:rPr>
                <w:rFonts w:ascii="Times New Roman" w:hAnsi="Times New Roman"/>
                <w:spacing w:val="-3"/>
                <w:sz w:val="24"/>
                <w:szCs w:val="24"/>
              </w:rPr>
              <w:t>a enerģijas patēriņa rādītājiem. S</w:t>
            </w:r>
            <w:r w:rsidRPr="00231489" w:rsidR="00497510">
              <w:rPr>
                <w:rFonts w:ascii="Times New Roman" w:hAnsi="Times New Roman"/>
                <w:spacing w:val="-3"/>
                <w:sz w:val="24"/>
                <w:szCs w:val="24"/>
              </w:rPr>
              <w:t xml:space="preserve">askaņā ar </w:t>
            </w:r>
            <w:r w:rsidRPr="00231489" w:rsidR="008B6D81">
              <w:rPr>
                <w:rFonts w:ascii="Times New Roman" w:hAnsi="Times New Roman"/>
                <w:spacing w:val="-3"/>
                <w:sz w:val="24"/>
                <w:szCs w:val="24"/>
              </w:rPr>
              <w:t>MK noteikumu Nr. 645</w:t>
            </w:r>
            <w:r w:rsidRPr="00231489">
              <w:rPr>
                <w:rFonts w:ascii="Times New Roman" w:hAnsi="Times New Roman"/>
                <w:spacing w:val="-3"/>
                <w:sz w:val="24"/>
                <w:szCs w:val="24"/>
              </w:rPr>
              <w:t xml:space="preserve"> </w:t>
            </w:r>
            <w:r w:rsidRPr="00231489" w:rsidR="008B6D81">
              <w:rPr>
                <w:rFonts w:ascii="Times New Roman" w:hAnsi="Times New Roman"/>
                <w:spacing w:val="-3"/>
                <w:sz w:val="24"/>
                <w:szCs w:val="24"/>
              </w:rPr>
              <w:t>54</w:t>
            </w:r>
            <w:r w:rsidRPr="00231489">
              <w:rPr>
                <w:rFonts w:ascii="Times New Roman" w:hAnsi="Times New Roman"/>
                <w:spacing w:val="-3"/>
                <w:sz w:val="24"/>
                <w:szCs w:val="24"/>
              </w:rPr>
              <w:t>. punkt</w:t>
            </w:r>
            <w:r w:rsidRPr="00231489" w:rsidR="00497510">
              <w:rPr>
                <w:rFonts w:ascii="Times New Roman" w:hAnsi="Times New Roman"/>
                <w:spacing w:val="-3"/>
                <w:sz w:val="24"/>
                <w:szCs w:val="24"/>
              </w:rPr>
              <w:t>u</w:t>
            </w:r>
            <w:r w:rsidRPr="00231489">
              <w:rPr>
                <w:rFonts w:ascii="Times New Roman" w:hAnsi="Times New Roman"/>
                <w:spacing w:val="-3"/>
                <w:sz w:val="24"/>
                <w:szCs w:val="24"/>
              </w:rPr>
              <w:t xml:space="preserve"> par enerģijas patēriņa rādītāju finansējuma saņēmējs ziņo pirms un pēc projekta īstenošanas (nenosakot ziņošanas termiņu), ja projektā ir p</w:t>
            </w:r>
            <w:r w:rsidRPr="00231489" w:rsidR="00AE3FB2">
              <w:rPr>
                <w:rFonts w:ascii="Times New Roman" w:hAnsi="Times New Roman"/>
                <w:spacing w:val="-3"/>
                <w:sz w:val="24"/>
                <w:szCs w:val="24"/>
              </w:rPr>
              <w:t>aredzēti ieguldījumi tikai ēkās.</w:t>
            </w:r>
            <w:r w:rsidRPr="00231489">
              <w:rPr>
                <w:rFonts w:ascii="Times New Roman" w:hAnsi="Times New Roman"/>
                <w:spacing w:val="-3"/>
                <w:sz w:val="24"/>
                <w:szCs w:val="24"/>
              </w:rPr>
              <w:t xml:space="preserve"> </w:t>
            </w:r>
            <w:r w:rsidRPr="00231489" w:rsidR="00962CDA">
              <w:rPr>
                <w:rFonts w:ascii="Times New Roman" w:hAnsi="Times New Roman"/>
                <w:spacing w:val="-3"/>
                <w:sz w:val="24"/>
                <w:szCs w:val="24"/>
              </w:rPr>
              <w:t xml:space="preserve">MK </w:t>
            </w:r>
            <w:r w:rsidRPr="00231489" w:rsidR="00AE3FB2">
              <w:rPr>
                <w:rFonts w:ascii="Times New Roman" w:hAnsi="Times New Roman"/>
                <w:spacing w:val="-3"/>
                <w:sz w:val="24"/>
                <w:szCs w:val="24"/>
              </w:rPr>
              <w:t>noteikumu projekts</w:t>
            </w:r>
            <w:r w:rsidRPr="00231489">
              <w:rPr>
                <w:rFonts w:ascii="Times New Roman" w:hAnsi="Times New Roman"/>
                <w:spacing w:val="-3"/>
                <w:sz w:val="24"/>
                <w:szCs w:val="24"/>
              </w:rPr>
              <w:t xml:space="preserve"> </w:t>
            </w:r>
            <w:r w:rsidRPr="00231489" w:rsidR="00AE3FB2">
              <w:rPr>
                <w:rFonts w:ascii="Times New Roman" w:hAnsi="Times New Roman"/>
                <w:spacing w:val="-3"/>
                <w:sz w:val="24"/>
                <w:szCs w:val="24"/>
              </w:rPr>
              <w:t>precizē MK noteikumu</w:t>
            </w:r>
            <w:r w:rsidRPr="00231489" w:rsidR="00522245">
              <w:rPr>
                <w:rFonts w:ascii="Times New Roman" w:hAnsi="Times New Roman"/>
                <w:spacing w:val="-3"/>
                <w:sz w:val="24"/>
                <w:szCs w:val="24"/>
              </w:rPr>
              <w:t xml:space="preserve"> Nr. 645 54. punktu</w:t>
            </w:r>
            <w:r w:rsidRPr="00231489">
              <w:rPr>
                <w:rFonts w:ascii="Times New Roman" w:hAnsi="Times New Roman"/>
                <w:spacing w:val="-3"/>
                <w:sz w:val="24"/>
                <w:szCs w:val="24"/>
              </w:rPr>
              <w:t xml:space="preserve">, </w:t>
            </w:r>
            <w:r w:rsidRPr="00231489" w:rsidR="00522245">
              <w:rPr>
                <w:rFonts w:ascii="Times New Roman" w:hAnsi="Times New Roman"/>
                <w:spacing w:val="-3"/>
                <w:sz w:val="24"/>
                <w:szCs w:val="24"/>
              </w:rPr>
              <w:t>paredzot</w:t>
            </w:r>
            <w:r w:rsidRPr="00231489">
              <w:rPr>
                <w:rFonts w:ascii="Times New Roman" w:hAnsi="Times New Roman"/>
                <w:spacing w:val="-3"/>
                <w:sz w:val="24"/>
                <w:szCs w:val="24"/>
              </w:rPr>
              <w:t xml:space="preserve"> </w:t>
            </w:r>
            <w:r w:rsidRPr="00231489">
              <w:rPr>
                <w:rFonts w:ascii="Times New Roman" w:eastAsia="Verdana" w:hAnsi="Times New Roman"/>
                <w:kern w:val="24"/>
                <w:sz w:val="24"/>
                <w:szCs w:val="24"/>
                <w:lang w:eastAsia="en-GB"/>
              </w:rPr>
              <w:t xml:space="preserve">projekta iesniedzējam pienākumu </w:t>
            </w:r>
            <w:r w:rsidRPr="00231489">
              <w:rPr>
                <w:rFonts w:ascii="Times New Roman" w:hAnsi="Times New Roman"/>
                <w:sz w:val="24"/>
                <w:szCs w:val="24"/>
              </w:rPr>
              <w:t>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r w:rsidRPr="00231489" w:rsidR="00522245">
              <w:rPr>
                <w:rFonts w:ascii="Times New Roman" w:hAnsi="Times New Roman"/>
                <w:sz w:val="24"/>
                <w:szCs w:val="24"/>
              </w:rPr>
              <w:t>.</w:t>
            </w:r>
          </w:p>
          <w:p w:rsidR="00A361DF" w:rsidRPr="00231489" w:rsidP="00231489" w14:paraId="131A910A" w14:textId="56F6DF1A">
            <w:pPr>
              <w:spacing w:after="100" w:afterAutospacing="1" w:line="240" w:lineRule="auto"/>
              <w:jc w:val="both"/>
              <w:outlineLvl w:val="0"/>
              <w:rPr>
                <w:rFonts w:ascii="Times New Roman" w:hAnsi="Times New Roman"/>
                <w:bCs/>
                <w:sz w:val="24"/>
                <w:szCs w:val="24"/>
                <w:shd w:val="clear" w:color="auto" w:fill="FFFFFF"/>
              </w:rPr>
            </w:pPr>
            <w:r w:rsidRPr="00231489">
              <w:rPr>
                <w:rFonts w:ascii="Times New Roman" w:hAnsi="Times New Roman"/>
                <w:spacing w:val="-3"/>
                <w:sz w:val="24"/>
                <w:szCs w:val="24"/>
              </w:rPr>
              <w:t>Vienlaikus aicinām iepazītie</w:t>
            </w:r>
            <w:r w:rsidRPr="00231489" w:rsidR="00403F8C">
              <w:rPr>
                <w:rFonts w:ascii="Times New Roman" w:hAnsi="Times New Roman"/>
                <w:spacing w:val="-3"/>
                <w:sz w:val="24"/>
                <w:szCs w:val="24"/>
              </w:rPr>
              <w:t>s</w:t>
            </w:r>
            <w:r w:rsidRPr="00231489">
              <w:rPr>
                <w:rFonts w:ascii="Times New Roman" w:hAnsi="Times New Roman"/>
                <w:spacing w:val="-3"/>
                <w:sz w:val="24"/>
                <w:szCs w:val="24"/>
              </w:rPr>
              <w:t xml:space="preserve"> ar </w:t>
            </w:r>
            <w:r w:rsidRPr="00231489" w:rsidR="00852C2F">
              <w:rPr>
                <w:rFonts w:ascii="Times New Roman" w:hAnsi="Times New Roman"/>
                <w:spacing w:val="-3"/>
                <w:sz w:val="24"/>
                <w:szCs w:val="24"/>
              </w:rPr>
              <w:t>MK</w:t>
            </w:r>
            <w:r w:rsidRPr="00231489" w:rsidR="008F225F">
              <w:rPr>
                <w:rFonts w:ascii="Times New Roman" w:hAnsi="Times New Roman"/>
                <w:spacing w:val="-3"/>
                <w:sz w:val="24"/>
                <w:szCs w:val="24"/>
              </w:rPr>
              <w:t xml:space="preserve"> 2016. gada 11. oktobra noteikumiem Nr. 668 </w:t>
            </w:r>
            <w:r w:rsidRPr="00231489" w:rsidR="008F225F">
              <w:rPr>
                <w:rFonts w:ascii="Times New Roman" w:hAnsi="Times New Roman"/>
                <w:bCs/>
                <w:sz w:val="24"/>
                <w:szCs w:val="24"/>
                <w:shd w:val="clear" w:color="auto" w:fill="FFFFFF"/>
              </w:rPr>
              <w:t xml:space="preserve">"Energoefektivitātes monitoringa un piemērojamā energopārvaldības sistēmas standarta noteikumi" un </w:t>
            </w:r>
            <w:r w:rsidRPr="00231489">
              <w:rPr>
                <w:rFonts w:ascii="Times New Roman" w:hAnsi="Times New Roman"/>
                <w:spacing w:val="-3"/>
                <w:sz w:val="24"/>
                <w:szCs w:val="24"/>
              </w:rPr>
              <w:t xml:space="preserve">Ekonomikas ministrijas izstrādāto metodiku </w:t>
            </w:r>
            <w:r w:rsidRPr="00231489">
              <w:rPr>
                <w:rFonts w:ascii="Times New Roman" w:hAnsi="Times New Roman"/>
                <w:bCs/>
                <w:sz w:val="24"/>
                <w:szCs w:val="24"/>
                <w:shd w:val="clear" w:color="auto" w:fill="FFFFFF"/>
              </w:rPr>
              <w:t>"Metodisko ieteikumu ene</w:t>
            </w:r>
            <w:r w:rsidRPr="00231489" w:rsidR="001047C4">
              <w:rPr>
                <w:rFonts w:ascii="Times New Roman" w:hAnsi="Times New Roman"/>
                <w:bCs/>
                <w:sz w:val="24"/>
                <w:szCs w:val="24"/>
                <w:shd w:val="clear" w:color="auto" w:fill="FFFFFF"/>
              </w:rPr>
              <w:t>rģijas ietaupījumu ziņošanai", kas ir pieejama</w:t>
            </w:r>
            <w:r w:rsidRPr="00231489" w:rsidR="00080E9D">
              <w:rPr>
                <w:rFonts w:ascii="Times New Roman" w:hAnsi="Times New Roman"/>
                <w:bCs/>
                <w:sz w:val="24"/>
                <w:szCs w:val="24"/>
                <w:shd w:val="clear" w:color="auto" w:fill="FFFFFF"/>
              </w:rPr>
              <w:t xml:space="preserve"> Ekonomikas ministrijas tīmekļvietnē</w:t>
            </w:r>
            <w:r w:rsidRPr="00231489" w:rsidR="009F2CCF">
              <w:rPr>
                <w:rFonts w:ascii="Times New Roman" w:hAnsi="Times New Roman"/>
                <w:bCs/>
                <w:sz w:val="24"/>
                <w:szCs w:val="24"/>
                <w:shd w:val="clear" w:color="auto" w:fill="FFFFFF"/>
              </w:rPr>
              <w:t xml:space="preserve"> </w:t>
            </w:r>
            <w:r>
              <w:fldChar w:fldCharType="begin"/>
            </w:r>
            <w:r>
              <w:instrText xml:space="preserve"> HYPERLINK "https://em.gov.lv/lv/nozares_politika/energoefektivitate_un_siltumapgade/energoefektivitate/energijas_ietaupijumu_zinosana/" </w:instrText>
            </w:r>
            <w:r>
              <w:fldChar w:fldCharType="separate"/>
            </w:r>
            <w:r w:rsidRPr="00231489" w:rsidR="009F2CCF">
              <w:rPr>
                <w:rStyle w:val="Hyperlink"/>
                <w:rFonts w:ascii="Times New Roman" w:hAnsi="Times New Roman"/>
                <w:sz w:val="24"/>
                <w:szCs w:val="24"/>
              </w:rPr>
              <w:t>https://em.gov.lv/lv/nozares_politika/energoefektivitate_un_siltumapgade/ energoefektivitate/energijas_ietaupijumu_zinosana</w:t>
            </w:r>
            <w:r>
              <w:fldChar w:fldCharType="end"/>
            </w:r>
            <w:r w:rsidRPr="00231489" w:rsidR="009F2CCF">
              <w:rPr>
                <w:rFonts w:ascii="Times New Roman" w:hAnsi="Times New Roman"/>
                <w:sz w:val="24"/>
                <w:szCs w:val="24"/>
              </w:rPr>
              <w:t>/</w:t>
            </w:r>
            <w:r w:rsidRPr="00231489" w:rsidR="009F2CCF">
              <w:rPr>
                <w:rFonts w:ascii="Times New Roman" w:hAnsi="Times New Roman"/>
                <w:bCs/>
                <w:sz w:val="24"/>
                <w:szCs w:val="24"/>
                <w:shd w:val="clear" w:color="auto" w:fill="FFFFFF"/>
              </w:rPr>
              <w:t xml:space="preserve">. </w:t>
            </w:r>
          </w:p>
          <w:p w:rsidR="00191DDD" w:rsidRPr="00231489" w:rsidP="00231489" w14:paraId="0BA7B816" w14:textId="6F7133B1">
            <w:pPr>
              <w:spacing w:after="100" w:afterAutospacing="1" w:line="240" w:lineRule="auto"/>
              <w:jc w:val="both"/>
              <w:outlineLvl w:val="0"/>
              <w:rPr>
                <w:rFonts w:ascii="Times New Roman" w:hAnsi="Times New Roman"/>
                <w:bCs/>
                <w:sz w:val="24"/>
                <w:szCs w:val="24"/>
                <w:shd w:val="clear" w:color="auto" w:fill="FFFFFF"/>
              </w:rPr>
            </w:pPr>
            <w:r w:rsidRPr="00231489">
              <w:rPr>
                <w:rFonts w:ascii="Times New Roman" w:hAnsi="Times New Roman"/>
                <w:sz w:val="24"/>
                <w:szCs w:val="24"/>
              </w:rPr>
              <w:t>6</w:t>
            </w:r>
            <w:r w:rsidR="004A6BAC">
              <w:rPr>
                <w:rFonts w:ascii="Times New Roman" w:hAnsi="Times New Roman"/>
                <w:sz w:val="24"/>
                <w:szCs w:val="24"/>
              </w:rPr>
              <w:t>. </w:t>
            </w:r>
            <w:r w:rsidRPr="00231489" w:rsidR="004F4890">
              <w:rPr>
                <w:rFonts w:ascii="Times New Roman" w:hAnsi="Times New Roman"/>
                <w:bCs/>
                <w:sz w:val="24"/>
                <w:szCs w:val="24"/>
                <w:shd w:val="clear" w:color="auto" w:fill="FFFFFF"/>
              </w:rPr>
              <w:t>MK noteikumi Nr. 645</w:t>
            </w:r>
            <w:r w:rsidRPr="00231489">
              <w:rPr>
                <w:rFonts w:ascii="Times New Roman" w:hAnsi="Times New Roman"/>
                <w:bCs/>
                <w:sz w:val="24"/>
                <w:szCs w:val="24"/>
                <w:shd w:val="clear" w:color="auto" w:fill="FFFFFF"/>
              </w:rPr>
              <w:t xml:space="preserve"> tiek pielāgoti Civillikumā paredzētajam jaunajam apbūves tiesību regulējumam,</w:t>
            </w:r>
            <w:r w:rsidRPr="00231489" w:rsidR="00F82FCE">
              <w:rPr>
                <w:rFonts w:ascii="Times New Roman" w:hAnsi="Times New Roman"/>
                <w:bCs/>
                <w:sz w:val="24"/>
                <w:szCs w:val="24"/>
                <w:shd w:val="clear" w:color="auto" w:fill="FFFFFF"/>
              </w:rPr>
              <w:t xml:space="preserve"> kas ir saistīti ar Saeimā 2015. gada 5. martā pieņemto likumu "Grozījums Civillikumā", kas paredz papildināt Civillikuma trešo daļu "Lietu tiesības" ar jaunu trešo A nodaļu "Apbūves tiesība", </w:t>
            </w:r>
            <w:r w:rsidRPr="00231489">
              <w:rPr>
                <w:rFonts w:ascii="Times New Roman" w:hAnsi="Times New Roman"/>
                <w:bCs/>
                <w:sz w:val="24"/>
                <w:szCs w:val="24"/>
                <w:shd w:val="clear" w:color="auto" w:fill="FFFFFF"/>
              </w:rPr>
              <w:t>kurš stājās spēkā 2017. gada 1. janvārī</w:t>
            </w:r>
            <w:r w:rsidRPr="00231489" w:rsidR="00932DB9">
              <w:rPr>
                <w:rFonts w:ascii="Times New Roman" w:hAnsi="Times New Roman"/>
                <w:bCs/>
                <w:sz w:val="24"/>
                <w:szCs w:val="24"/>
                <w:shd w:val="clear" w:color="auto" w:fill="FFFFFF"/>
              </w:rPr>
              <w:t xml:space="preserve"> (</w:t>
            </w:r>
            <w:r w:rsidRPr="00231489" w:rsidR="00D77F01">
              <w:rPr>
                <w:rFonts w:ascii="Times New Roman" w:hAnsi="Times New Roman"/>
                <w:bCs/>
                <w:sz w:val="24"/>
                <w:szCs w:val="24"/>
                <w:shd w:val="clear" w:color="auto" w:fill="FFFFFF"/>
              </w:rPr>
              <w:t xml:space="preserve">precizēts </w:t>
            </w:r>
            <w:r w:rsidRPr="00231489" w:rsidR="00932DB9">
              <w:rPr>
                <w:rFonts w:ascii="Times New Roman" w:hAnsi="Times New Roman"/>
                <w:bCs/>
                <w:sz w:val="24"/>
                <w:szCs w:val="24"/>
              </w:rPr>
              <w:t>MK noteikum</w:t>
            </w:r>
            <w:r w:rsidRPr="00231489" w:rsidR="008E0CAC">
              <w:rPr>
                <w:rFonts w:ascii="Times New Roman" w:hAnsi="Times New Roman"/>
                <w:bCs/>
                <w:sz w:val="24"/>
                <w:szCs w:val="24"/>
              </w:rPr>
              <w:t>u</w:t>
            </w:r>
            <w:r w:rsidRPr="00231489" w:rsidR="00932DB9">
              <w:rPr>
                <w:rFonts w:ascii="Times New Roman" w:hAnsi="Times New Roman"/>
                <w:bCs/>
                <w:sz w:val="24"/>
                <w:szCs w:val="24"/>
              </w:rPr>
              <w:t xml:space="preserve"> Nr.</w:t>
            </w:r>
            <w:r w:rsidRPr="00231489" w:rsidR="00E010D2">
              <w:rPr>
                <w:rFonts w:ascii="Times New Roman" w:hAnsi="Times New Roman"/>
                <w:bCs/>
                <w:sz w:val="24"/>
                <w:szCs w:val="24"/>
              </w:rPr>
              <w:t> </w:t>
            </w:r>
            <w:r w:rsidRPr="00231489" w:rsidR="004F4890">
              <w:rPr>
                <w:rFonts w:ascii="Times New Roman" w:hAnsi="Times New Roman"/>
                <w:bCs/>
                <w:sz w:val="24"/>
                <w:szCs w:val="24"/>
              </w:rPr>
              <w:t>645</w:t>
            </w:r>
            <w:r w:rsidRPr="00231489" w:rsidR="00ED3914">
              <w:rPr>
                <w:rFonts w:ascii="Times New Roman" w:hAnsi="Times New Roman"/>
                <w:bCs/>
                <w:sz w:val="24"/>
                <w:szCs w:val="24"/>
              </w:rPr>
              <w:t xml:space="preserve"> </w:t>
            </w:r>
            <w:r w:rsidRPr="00231489" w:rsidR="000B7443">
              <w:rPr>
                <w:rFonts w:ascii="Times New Roman" w:hAnsi="Times New Roman"/>
                <w:bCs/>
                <w:sz w:val="24"/>
                <w:szCs w:val="24"/>
              </w:rPr>
              <w:t>38</w:t>
            </w:r>
            <w:r w:rsidRPr="00231489" w:rsidR="00ED3914">
              <w:rPr>
                <w:rFonts w:ascii="Times New Roman" w:hAnsi="Times New Roman"/>
                <w:bCs/>
                <w:sz w:val="24"/>
                <w:szCs w:val="24"/>
              </w:rPr>
              <w:t>.4.</w:t>
            </w:r>
            <w:r w:rsidRPr="00231489" w:rsidR="0003727D">
              <w:rPr>
                <w:rFonts w:ascii="Times New Roman" w:hAnsi="Times New Roman"/>
                <w:bCs/>
                <w:sz w:val="24"/>
                <w:szCs w:val="24"/>
              </w:rPr>
              <w:t> </w:t>
            </w:r>
            <w:r w:rsidRPr="00231489" w:rsidR="00ED3914">
              <w:rPr>
                <w:rFonts w:ascii="Times New Roman" w:hAnsi="Times New Roman"/>
                <w:bCs/>
                <w:sz w:val="24"/>
                <w:szCs w:val="24"/>
              </w:rPr>
              <w:t>apakšpunkts</w:t>
            </w:r>
            <w:r w:rsidRPr="00231489" w:rsidR="00932DB9">
              <w:rPr>
                <w:rFonts w:ascii="Times New Roman" w:hAnsi="Times New Roman"/>
                <w:bCs/>
                <w:sz w:val="24"/>
                <w:szCs w:val="24"/>
              </w:rPr>
              <w:t>)</w:t>
            </w:r>
            <w:r w:rsidRPr="00231489">
              <w:rPr>
                <w:rFonts w:ascii="Times New Roman" w:hAnsi="Times New Roman"/>
                <w:bCs/>
                <w:sz w:val="24"/>
                <w:szCs w:val="24"/>
                <w:shd w:val="clear" w:color="auto" w:fill="FFFFFF"/>
              </w:rPr>
              <w:t>.</w:t>
            </w:r>
            <w:r w:rsidRPr="00231489" w:rsidR="00710FF3">
              <w:rPr>
                <w:rFonts w:ascii="Times New Roman" w:hAnsi="Times New Roman"/>
                <w:bCs/>
                <w:sz w:val="24"/>
                <w:szCs w:val="24"/>
                <w:shd w:val="clear" w:color="auto" w:fill="FFFFFF"/>
              </w:rPr>
              <w:t xml:space="preserve"> </w:t>
            </w:r>
            <w:r w:rsidRPr="00231489" w:rsidR="00710FF3">
              <w:rPr>
                <w:rFonts w:ascii="Times New Roman" w:hAnsi="Times New Roman"/>
                <w:sz w:val="24"/>
                <w:szCs w:val="24"/>
              </w:rPr>
              <w:t>Vienlaikus vēršam uzmanību, ka  publiskās personas īpašumā esošās būves atsavināšanas g</w:t>
            </w:r>
            <w:r w:rsidRPr="00231489" w:rsidR="00D223A0">
              <w:rPr>
                <w:rFonts w:ascii="Times New Roman" w:hAnsi="Times New Roman"/>
                <w:sz w:val="24"/>
                <w:szCs w:val="24"/>
              </w:rPr>
              <w:t>adījumā par labu privātpersonai,</w:t>
            </w:r>
            <w:r w:rsidRPr="00231489" w:rsidR="00D223A0">
              <w:t xml:space="preserve"> </w:t>
            </w:r>
            <w:r w:rsidRPr="00231489" w:rsidR="00D223A0">
              <w:rPr>
                <w:rFonts w:ascii="Times New Roman" w:hAnsi="Times New Roman"/>
                <w:sz w:val="24"/>
                <w:szCs w:val="24"/>
              </w:rPr>
              <w:t>būves atsavināšanu veic saskaņā ar normatīvajiem aktiem par publiskās personas mantas atsavināšanu. Apbūves tiesības gadījumā tas nozīmē, ka nevar piemērot Civillikuma 1129.</w:t>
            </w:r>
            <w:r w:rsidRPr="00231489" w:rsidR="00D223A0">
              <w:rPr>
                <w:rFonts w:ascii="Times New Roman Bold" w:hAnsi="Times New Roman Bold"/>
                <w:sz w:val="24"/>
                <w:szCs w:val="24"/>
                <w:vertAlign w:val="superscript"/>
              </w:rPr>
              <w:t>9</w:t>
            </w:r>
            <w:r w:rsidRPr="00231489" w:rsidR="00D223A0">
              <w:rPr>
                <w:rFonts w:ascii="Times New Roman" w:hAnsi="Times New Roman"/>
                <w:sz w:val="24"/>
                <w:szCs w:val="24"/>
              </w:rPr>
              <w:t xml:space="preserve"> pantā paredzēto gadījumu, ka zemes gabala īpašnieks uz apbūves tiesības pamata uzcelto nedzīvojamo ēku (inženierbūvi) iegūst īpašumā bez atlīdzības.</w:t>
            </w:r>
          </w:p>
          <w:p w:rsidR="00191DDD" w:rsidRPr="00231489" w:rsidP="00231489" w14:paraId="3C4DE5EE" w14:textId="7640FBAC">
            <w:pPr>
              <w:spacing w:after="0" w:line="240" w:lineRule="auto"/>
              <w:ind w:right="119"/>
              <w:jc w:val="both"/>
              <w:rPr>
                <w:rFonts w:ascii="Times New Roman" w:hAnsi="Times New Roman"/>
                <w:sz w:val="24"/>
                <w:szCs w:val="24"/>
              </w:rPr>
            </w:pPr>
            <w:r w:rsidRPr="00231489">
              <w:rPr>
                <w:rFonts w:ascii="Times New Roman" w:hAnsi="Times New Roman"/>
                <w:bCs/>
                <w:sz w:val="24"/>
                <w:szCs w:val="24"/>
                <w:shd w:val="clear" w:color="auto" w:fill="FFFFFF"/>
              </w:rPr>
              <w:t>7</w:t>
            </w:r>
            <w:r w:rsidRPr="00231489">
              <w:rPr>
                <w:rFonts w:ascii="Times New Roman" w:hAnsi="Times New Roman"/>
                <w:bCs/>
                <w:sz w:val="24"/>
                <w:szCs w:val="24"/>
                <w:shd w:val="clear" w:color="auto" w:fill="FFFFFF"/>
              </w:rPr>
              <w:t>.</w:t>
            </w:r>
            <w:r w:rsidR="004A6BAC">
              <w:rPr>
                <w:rFonts w:ascii="Times New Roman" w:hAnsi="Times New Roman"/>
                <w:bCs/>
                <w:sz w:val="24"/>
                <w:szCs w:val="24"/>
                <w:shd w:val="clear" w:color="auto" w:fill="FFFFFF"/>
              </w:rPr>
              <w:t> </w:t>
            </w:r>
            <w:r w:rsidRPr="00231489">
              <w:rPr>
                <w:rFonts w:ascii="Times New Roman" w:hAnsi="Times New Roman"/>
                <w:sz w:val="24"/>
                <w:szCs w:val="24"/>
              </w:rPr>
              <w:t xml:space="preserve">VARAM pārziņā esošajam ES fondu 2014.-2020. gada plānošanas perioda specifiskajam atbalsta mērķim </w:t>
            </w:r>
            <w:r w:rsidRPr="00231489" w:rsidR="00977F16">
              <w:rPr>
                <w:rFonts w:ascii="Times New Roman" w:hAnsi="Times New Roman"/>
                <w:sz w:val="24"/>
                <w:szCs w:val="24"/>
              </w:rPr>
              <w:t>5.6.2.</w:t>
            </w:r>
            <w:r w:rsidRPr="00231489">
              <w:rPr>
                <w:rFonts w:ascii="Times New Roman" w:hAnsi="Times New Roman"/>
                <w:sz w:val="24"/>
                <w:szCs w:val="24"/>
              </w:rPr>
              <w:t> </w:t>
            </w:r>
            <w:r w:rsidRPr="00231489">
              <w:rPr>
                <w:rFonts w:ascii="Times New Roman" w:hAnsi="Times New Roman"/>
                <w:spacing w:val="-3"/>
                <w:sz w:val="24"/>
                <w:szCs w:val="24"/>
              </w:rPr>
              <w:t>"</w:t>
            </w:r>
            <w:r w:rsidRPr="00231489" w:rsidR="00977F16">
              <w:rPr>
                <w:rFonts w:ascii="Times New Roman" w:hAnsi="Times New Roman"/>
                <w:sz w:val="24"/>
                <w:szCs w:val="24"/>
              </w:rPr>
              <w:t>Teritoriju revitalizācija, reģenerējot degradētās teritorijas atbilstoši pašvaldību integrētajām attīstības programmām</w:t>
            </w:r>
            <w:r w:rsidRPr="00231489">
              <w:rPr>
                <w:rFonts w:ascii="Times New Roman" w:hAnsi="Times New Roman"/>
                <w:spacing w:val="-3"/>
                <w:sz w:val="24"/>
                <w:szCs w:val="24"/>
              </w:rPr>
              <w:t>"</w:t>
            </w:r>
            <w:r w:rsidRPr="00231489" w:rsidR="00E010D2">
              <w:rPr>
                <w:rFonts w:ascii="Times New Roman" w:hAnsi="Times New Roman"/>
                <w:sz w:val="24"/>
                <w:szCs w:val="24"/>
              </w:rPr>
              <w:t xml:space="preserve"> (turpmāk –SAM </w:t>
            </w:r>
            <w:r w:rsidRPr="00231489" w:rsidR="00977F16">
              <w:rPr>
                <w:rFonts w:ascii="Times New Roman" w:hAnsi="Times New Roman"/>
                <w:sz w:val="24"/>
                <w:szCs w:val="24"/>
              </w:rPr>
              <w:t>5.6.2</w:t>
            </w:r>
            <w:r w:rsidRPr="00231489">
              <w:rPr>
                <w:rFonts w:ascii="Times New Roman" w:hAnsi="Times New Roman"/>
                <w:sz w:val="24"/>
                <w:szCs w:val="24"/>
              </w:rPr>
              <w:t xml:space="preserve">.) DPP 2. pielikumā ir noteikti šādi horizontālā principa </w:t>
            </w:r>
            <w:r w:rsidRPr="00231489">
              <w:rPr>
                <w:rFonts w:ascii="Times New Roman" w:hAnsi="Times New Roman"/>
                <w:spacing w:val="-3"/>
                <w:sz w:val="24"/>
                <w:szCs w:val="24"/>
              </w:rPr>
              <w:t>"</w:t>
            </w:r>
            <w:r w:rsidRPr="00231489">
              <w:rPr>
                <w:rFonts w:ascii="Times New Roman" w:hAnsi="Times New Roman"/>
                <w:sz w:val="24"/>
                <w:szCs w:val="24"/>
              </w:rPr>
              <w:t>Ilgtspējīga attīstība</w:t>
            </w:r>
            <w:r w:rsidRPr="00231489">
              <w:rPr>
                <w:rFonts w:ascii="Times New Roman" w:hAnsi="Times New Roman"/>
                <w:spacing w:val="-3"/>
                <w:sz w:val="24"/>
                <w:szCs w:val="24"/>
              </w:rPr>
              <w:t>"</w:t>
            </w:r>
            <w:r w:rsidRPr="00231489">
              <w:rPr>
                <w:rFonts w:ascii="Times New Roman" w:hAnsi="Times New Roman"/>
                <w:sz w:val="24"/>
                <w:szCs w:val="24"/>
              </w:rPr>
              <w:t xml:space="preserve"> (turpmāk – HP IA) rādītāji:</w:t>
            </w:r>
          </w:p>
          <w:p w:rsidR="00191DDD" w:rsidRPr="00231489" w:rsidP="00231489" w14:paraId="137AAF4F" w14:textId="77777777">
            <w:pPr>
              <w:pStyle w:val="ListParagraph"/>
              <w:numPr>
                <w:ilvl w:val="0"/>
                <w:numId w:val="27"/>
              </w:numPr>
              <w:spacing w:after="100" w:afterAutospacing="1" w:line="240" w:lineRule="auto"/>
              <w:jc w:val="both"/>
              <w:rPr>
                <w:rFonts w:ascii="Times New Roman" w:hAnsi="Times New Roman"/>
                <w:sz w:val="24"/>
                <w:szCs w:val="24"/>
              </w:rPr>
            </w:pPr>
            <w:r w:rsidRPr="00231489">
              <w:rPr>
                <w:rFonts w:ascii="Times New Roman" w:hAnsi="Times New Roman"/>
                <w:sz w:val="24"/>
                <w:szCs w:val="24"/>
              </w:rPr>
              <w:t>zaļais iepirkums, zaļais publiskais iepirkums;</w:t>
            </w:r>
          </w:p>
          <w:p w:rsidR="00191DDD" w:rsidRPr="00231489" w:rsidP="00231489" w14:paraId="64A426FD" w14:textId="77777777">
            <w:pPr>
              <w:pStyle w:val="ListParagraph"/>
              <w:numPr>
                <w:ilvl w:val="0"/>
                <w:numId w:val="27"/>
              </w:numPr>
              <w:spacing w:after="100" w:afterAutospacing="1" w:line="240" w:lineRule="auto"/>
              <w:jc w:val="both"/>
              <w:rPr>
                <w:rFonts w:ascii="Times New Roman" w:hAnsi="Times New Roman"/>
                <w:sz w:val="24"/>
                <w:szCs w:val="24"/>
              </w:rPr>
            </w:pPr>
            <w:r w:rsidRPr="00231489">
              <w:rPr>
                <w:rFonts w:ascii="Times New Roman" w:hAnsi="Times New Roman"/>
                <w:sz w:val="24"/>
                <w:szCs w:val="24"/>
              </w:rPr>
              <w:t>"</w:t>
            </w:r>
            <w:r w:rsidRPr="00231489">
              <w:rPr>
                <w:rFonts w:ascii="Times New Roman" w:hAnsi="Times New Roman"/>
                <w:sz w:val="24"/>
                <w:szCs w:val="24"/>
              </w:rPr>
              <w:t>zaļās</w:t>
            </w:r>
            <w:r w:rsidRPr="00231489">
              <w:rPr>
                <w:rFonts w:ascii="Times New Roman" w:hAnsi="Times New Roman"/>
                <w:sz w:val="24"/>
                <w:szCs w:val="24"/>
              </w:rPr>
              <w:t>"</w:t>
            </w:r>
            <w:r w:rsidRPr="00231489">
              <w:rPr>
                <w:rFonts w:ascii="Times New Roman" w:hAnsi="Times New Roman"/>
                <w:sz w:val="24"/>
                <w:szCs w:val="24"/>
              </w:rPr>
              <w:t xml:space="preserve"> darbvietas;</w:t>
            </w:r>
          </w:p>
          <w:p w:rsidR="00191DDD" w:rsidRPr="00231489" w:rsidP="00231489" w14:paraId="0878A815" w14:textId="77777777">
            <w:pPr>
              <w:pStyle w:val="ListParagraph"/>
              <w:numPr>
                <w:ilvl w:val="0"/>
                <w:numId w:val="27"/>
              </w:numPr>
              <w:spacing w:after="100" w:afterAutospacing="1" w:line="240" w:lineRule="auto"/>
              <w:jc w:val="both"/>
              <w:rPr>
                <w:rFonts w:ascii="Times New Roman" w:hAnsi="Times New Roman"/>
                <w:sz w:val="24"/>
                <w:szCs w:val="24"/>
              </w:rPr>
            </w:pPr>
            <w:r w:rsidRPr="00231489">
              <w:rPr>
                <w:rFonts w:ascii="Times New Roman" w:hAnsi="Times New Roman"/>
                <w:sz w:val="24"/>
                <w:szCs w:val="24"/>
              </w:rPr>
              <w:t>atbalstīt</w:t>
            </w:r>
            <w:r w:rsidRPr="00231489" w:rsidR="00977F16">
              <w:rPr>
                <w:rFonts w:ascii="Times New Roman" w:hAnsi="Times New Roman"/>
                <w:sz w:val="24"/>
                <w:szCs w:val="24"/>
              </w:rPr>
              <w:t>ie komersanti ekoinovāciju jomā;</w:t>
            </w:r>
          </w:p>
          <w:p w:rsidR="00977F16" w:rsidRPr="00231489" w:rsidP="00231489" w14:paraId="17D4DDE3" w14:textId="77777777">
            <w:pPr>
              <w:pStyle w:val="ListParagraph"/>
              <w:numPr>
                <w:ilvl w:val="0"/>
                <w:numId w:val="27"/>
              </w:numPr>
              <w:spacing w:after="100" w:afterAutospacing="1" w:line="240" w:lineRule="auto"/>
              <w:jc w:val="both"/>
              <w:rPr>
                <w:rFonts w:ascii="Times New Roman" w:hAnsi="Times New Roman"/>
                <w:sz w:val="24"/>
                <w:szCs w:val="24"/>
              </w:rPr>
            </w:pPr>
            <w:r w:rsidRPr="00231489">
              <w:rPr>
                <w:rFonts w:ascii="Times New Roman" w:hAnsi="Times New Roman"/>
                <w:sz w:val="24"/>
                <w:szCs w:val="24"/>
              </w:rPr>
              <w:t>ekoinovācijas.</w:t>
            </w:r>
          </w:p>
          <w:p w:rsidR="00191DDD" w:rsidRPr="00231489" w:rsidP="00231489" w14:paraId="5C51000A" w14:textId="77777777">
            <w:pPr>
              <w:spacing w:after="100" w:afterAutospacing="1" w:line="240" w:lineRule="auto"/>
              <w:jc w:val="both"/>
              <w:outlineLvl w:val="0"/>
              <w:rPr>
                <w:rFonts w:ascii="Times New Roman" w:hAnsi="Times New Roman"/>
                <w:sz w:val="24"/>
                <w:szCs w:val="24"/>
              </w:rPr>
            </w:pPr>
            <w:r w:rsidRPr="00231489">
              <w:rPr>
                <w:rFonts w:ascii="Times New Roman" w:hAnsi="Times New Roman"/>
                <w:sz w:val="24"/>
                <w:szCs w:val="24"/>
              </w:rPr>
              <w:t>Lai iepriekš minētie dati būtu pieeja</w:t>
            </w:r>
            <w:r w:rsidRPr="00231489" w:rsidR="00A463EA">
              <w:rPr>
                <w:rFonts w:ascii="Times New Roman" w:hAnsi="Times New Roman"/>
                <w:sz w:val="24"/>
                <w:szCs w:val="24"/>
              </w:rPr>
              <w:t xml:space="preserve">mi, </w:t>
            </w:r>
            <w:r w:rsidRPr="00231489" w:rsidR="00962CDA">
              <w:rPr>
                <w:rFonts w:ascii="Times New Roman" w:hAnsi="Times New Roman"/>
                <w:sz w:val="24"/>
                <w:szCs w:val="24"/>
              </w:rPr>
              <w:t xml:space="preserve">MK </w:t>
            </w:r>
            <w:r w:rsidRPr="00231489" w:rsidR="00A463EA">
              <w:rPr>
                <w:rFonts w:ascii="Times New Roman" w:hAnsi="Times New Roman"/>
                <w:sz w:val="24"/>
                <w:szCs w:val="24"/>
              </w:rPr>
              <w:t>noteikumu projektā SAM 5.6.2</w:t>
            </w:r>
            <w:r w:rsidRPr="00231489">
              <w:rPr>
                <w:rFonts w:ascii="Times New Roman" w:hAnsi="Times New Roman"/>
                <w:sz w:val="24"/>
                <w:szCs w:val="24"/>
              </w:rPr>
              <w:t>. finansējuma saņēmējam ir paredzēts pienākums uzkrāt datus par projekta ietekmi uz HP IA rādītājiem (</w:t>
            </w:r>
            <w:r w:rsidRPr="00231489" w:rsidR="00C268D5">
              <w:rPr>
                <w:rFonts w:ascii="Times New Roman" w:hAnsi="Times New Roman"/>
                <w:sz w:val="24"/>
                <w:szCs w:val="24"/>
              </w:rPr>
              <w:t>ekoinovāciju</w:t>
            </w:r>
            <w:r w:rsidRPr="00231489" w:rsidR="003867EE">
              <w:rPr>
                <w:rFonts w:ascii="Times New Roman" w:hAnsi="Times New Roman"/>
                <w:sz w:val="24"/>
                <w:szCs w:val="24"/>
              </w:rPr>
              <w:t xml:space="preserve"> jomā atbalstītie komersanti, jaunizveidotās </w:t>
            </w:r>
            <w:r w:rsidRPr="00231489" w:rsidR="001F019E">
              <w:rPr>
                <w:rFonts w:ascii="Times New Roman" w:hAnsi="Times New Roman"/>
                <w:sz w:val="24"/>
                <w:szCs w:val="24"/>
              </w:rPr>
              <w:t>"</w:t>
            </w:r>
            <w:r w:rsidRPr="00231489" w:rsidR="003867EE">
              <w:rPr>
                <w:rFonts w:ascii="Times New Roman" w:hAnsi="Times New Roman"/>
                <w:sz w:val="24"/>
                <w:szCs w:val="24"/>
              </w:rPr>
              <w:t>zaļās</w:t>
            </w:r>
            <w:r w:rsidRPr="00231489" w:rsidR="001F019E">
              <w:rPr>
                <w:rFonts w:ascii="Times New Roman" w:hAnsi="Times New Roman"/>
                <w:sz w:val="24"/>
                <w:szCs w:val="24"/>
              </w:rPr>
              <w:t>"</w:t>
            </w:r>
            <w:r w:rsidRPr="00231489" w:rsidR="003867EE">
              <w:rPr>
                <w:rFonts w:ascii="Times New Roman" w:hAnsi="Times New Roman"/>
                <w:sz w:val="24"/>
                <w:szCs w:val="24"/>
              </w:rPr>
              <w:t xml:space="preserve"> darba vietas atbalstītajās teritorijās, publiskie iepirkumi, kuros izmantoti zaļā publiskā iepirkuma principi, atbalstītajā teritorijā atrodošos komersantu nefinanšu investīcijas pašu nemateriālajos ieguldījumos un pamatlīdzekļos (faktiskajās cenās, </w:t>
            </w:r>
            <w:r w:rsidRPr="00231489" w:rsidR="003867EE">
              <w:rPr>
                <w:rFonts w:ascii="Times New Roman" w:hAnsi="Times New Roman"/>
                <w:i/>
                <w:sz w:val="24"/>
                <w:szCs w:val="24"/>
              </w:rPr>
              <w:t>euro)</w:t>
            </w:r>
            <w:r w:rsidRPr="00231489" w:rsidR="003867EE">
              <w:rPr>
                <w:rFonts w:ascii="Times New Roman" w:hAnsi="Times New Roman"/>
                <w:sz w:val="24"/>
                <w:szCs w:val="24"/>
              </w:rPr>
              <w:t xml:space="preserve">, kas ieguldītas </w:t>
            </w:r>
            <w:r w:rsidRPr="00231489" w:rsidR="00C268D5">
              <w:rPr>
                <w:rFonts w:ascii="Times New Roman" w:hAnsi="Times New Roman"/>
                <w:sz w:val="24"/>
                <w:szCs w:val="24"/>
              </w:rPr>
              <w:t>ekoinovāciju</w:t>
            </w:r>
            <w:r w:rsidRPr="00231489" w:rsidR="003867EE">
              <w:rPr>
                <w:rFonts w:ascii="Times New Roman" w:hAnsi="Times New Roman"/>
                <w:sz w:val="24"/>
                <w:szCs w:val="24"/>
              </w:rPr>
              <w:t xml:space="preserve"> jomā</w:t>
            </w:r>
            <w:r w:rsidRPr="00231489">
              <w:rPr>
                <w:rFonts w:ascii="Times New Roman" w:hAnsi="Times New Roman"/>
                <w:sz w:val="24"/>
                <w:szCs w:val="24"/>
              </w:rPr>
              <w:t xml:space="preserve">) un ziņot </w:t>
            </w:r>
            <w:r w:rsidRPr="00231489" w:rsidR="00E36054">
              <w:rPr>
                <w:rFonts w:ascii="Times New Roman" w:hAnsi="Times New Roman"/>
                <w:sz w:val="24"/>
                <w:szCs w:val="24"/>
              </w:rPr>
              <w:t>CFLA</w:t>
            </w:r>
            <w:r w:rsidRPr="00231489">
              <w:rPr>
                <w:rFonts w:ascii="Times New Roman" w:hAnsi="Times New Roman"/>
                <w:sz w:val="24"/>
                <w:szCs w:val="24"/>
              </w:rPr>
              <w:t xml:space="preserve"> par tiem vienlaikus ar projekta iznākumu rādītāju vērtību sasniegšanu vai iesniedzot CFLA noslēguma maksājuma pieprasījumu</w:t>
            </w:r>
            <w:r w:rsidRPr="00231489" w:rsidR="00C77D6F">
              <w:rPr>
                <w:rFonts w:ascii="Times New Roman" w:hAnsi="Times New Roman"/>
                <w:sz w:val="24"/>
                <w:szCs w:val="24"/>
              </w:rPr>
              <w:t xml:space="preserve"> </w:t>
            </w:r>
            <w:r w:rsidRPr="00231489" w:rsidR="00C77D6F">
              <w:rPr>
                <w:rFonts w:ascii="Times New Roman" w:hAnsi="Times New Roman"/>
                <w:bCs/>
                <w:sz w:val="24"/>
                <w:szCs w:val="24"/>
                <w:shd w:val="clear" w:color="auto" w:fill="FFFFFF"/>
              </w:rPr>
              <w:t>(</w:t>
            </w:r>
            <w:r w:rsidRPr="00231489" w:rsidR="00730BCF">
              <w:rPr>
                <w:rFonts w:ascii="Times New Roman" w:hAnsi="Times New Roman"/>
                <w:bCs/>
                <w:sz w:val="24"/>
                <w:szCs w:val="24"/>
                <w:shd w:val="clear" w:color="auto" w:fill="FFFFFF"/>
              </w:rPr>
              <w:t xml:space="preserve">precizēts </w:t>
            </w:r>
            <w:r w:rsidRPr="00231489" w:rsidR="00C77D6F">
              <w:rPr>
                <w:rFonts w:ascii="Times New Roman" w:hAnsi="Times New Roman"/>
                <w:bCs/>
                <w:sz w:val="24"/>
                <w:szCs w:val="24"/>
              </w:rPr>
              <w:t>MK noteikumu Nr.</w:t>
            </w:r>
            <w:r w:rsidRPr="00231489" w:rsidR="00E010D2">
              <w:rPr>
                <w:rFonts w:ascii="Times New Roman" w:hAnsi="Times New Roman"/>
                <w:bCs/>
                <w:sz w:val="24"/>
                <w:szCs w:val="24"/>
              </w:rPr>
              <w:t> </w:t>
            </w:r>
            <w:r w:rsidRPr="00231489" w:rsidR="003867EE">
              <w:rPr>
                <w:rFonts w:ascii="Times New Roman" w:hAnsi="Times New Roman"/>
                <w:bCs/>
                <w:sz w:val="24"/>
                <w:szCs w:val="24"/>
              </w:rPr>
              <w:t>645</w:t>
            </w:r>
            <w:r w:rsidRPr="00231489" w:rsidR="00C77D6F">
              <w:rPr>
                <w:rFonts w:ascii="Times New Roman" w:hAnsi="Times New Roman"/>
                <w:bCs/>
                <w:sz w:val="24"/>
                <w:szCs w:val="24"/>
              </w:rPr>
              <w:t xml:space="preserve"> 3</w:t>
            </w:r>
            <w:r w:rsidRPr="00231489" w:rsidR="003867EE">
              <w:rPr>
                <w:rFonts w:ascii="Times New Roman" w:hAnsi="Times New Roman"/>
                <w:bCs/>
                <w:sz w:val="24"/>
                <w:szCs w:val="24"/>
              </w:rPr>
              <w:t>5</w:t>
            </w:r>
            <w:r w:rsidRPr="00231489" w:rsidR="00C77D6F">
              <w:rPr>
                <w:rFonts w:ascii="Times New Roman" w:hAnsi="Times New Roman"/>
                <w:bCs/>
                <w:sz w:val="24"/>
                <w:szCs w:val="24"/>
              </w:rPr>
              <w:t>.</w:t>
            </w:r>
            <w:r w:rsidRPr="00231489" w:rsidR="00730BCF">
              <w:rPr>
                <w:rFonts w:ascii="Times New Roman" w:hAnsi="Times New Roman"/>
                <w:bCs/>
                <w:sz w:val="24"/>
                <w:szCs w:val="24"/>
              </w:rPr>
              <w:t> </w:t>
            </w:r>
            <w:r w:rsidRPr="00231489" w:rsidR="00C77D6F">
              <w:rPr>
                <w:rFonts w:ascii="Times New Roman" w:hAnsi="Times New Roman"/>
                <w:bCs/>
                <w:sz w:val="24"/>
                <w:szCs w:val="24"/>
              </w:rPr>
              <w:t>punkts)</w:t>
            </w:r>
            <w:r w:rsidRPr="00231489">
              <w:rPr>
                <w:rFonts w:ascii="Times New Roman" w:hAnsi="Times New Roman"/>
                <w:sz w:val="24"/>
                <w:szCs w:val="24"/>
              </w:rPr>
              <w:t>.</w:t>
            </w:r>
          </w:p>
          <w:p w:rsidR="001B5B17" w:rsidRPr="00231489" w:rsidP="00231489" w14:paraId="2A7B70C7" w14:textId="5114D156">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231489">
              <w:rPr>
                <w:rFonts w:ascii="Times New Roman" w:hAnsi="Times New Roman"/>
                <w:sz w:val="24"/>
                <w:szCs w:val="24"/>
              </w:rPr>
              <w:t>8</w:t>
            </w:r>
            <w:r w:rsidR="004A6BAC">
              <w:rPr>
                <w:rFonts w:ascii="Times New Roman" w:hAnsi="Times New Roman"/>
                <w:sz w:val="24"/>
                <w:szCs w:val="24"/>
              </w:rPr>
              <w:t>. </w:t>
            </w:r>
            <w:r w:rsidRPr="00231489">
              <w:rPr>
                <w:rFonts w:ascii="Times New Roman" w:hAnsi="Times New Roman"/>
                <w:bCs/>
                <w:sz w:val="24"/>
                <w:szCs w:val="24"/>
                <w:shd w:val="clear" w:color="auto" w:fill="FFFFFF"/>
              </w:rPr>
              <w:t>Lai nodrošinātu atbalstu ūdenssaimniecības un siltumapgādes sabiedrisko pakalpojumu infrastruktūrai arī tajās pašvaldībās, kur sabiedriskos pakalpojumus sniedz pašvaldību aģentūras vai pašvaldību iestādes, MK noteikumi Nr.</w:t>
            </w:r>
            <w:r w:rsidRPr="00231489" w:rsidR="00987AA5">
              <w:rPr>
                <w:rFonts w:ascii="Times New Roman" w:hAnsi="Times New Roman"/>
                <w:bCs/>
                <w:sz w:val="24"/>
                <w:szCs w:val="24"/>
                <w:shd w:val="clear" w:color="auto" w:fill="FFFFFF"/>
              </w:rPr>
              <w:t> </w:t>
            </w:r>
            <w:r w:rsidRPr="00231489" w:rsidR="003867EE">
              <w:rPr>
                <w:rFonts w:ascii="Times New Roman" w:hAnsi="Times New Roman"/>
                <w:bCs/>
                <w:sz w:val="24"/>
                <w:szCs w:val="24"/>
                <w:shd w:val="clear" w:color="auto" w:fill="FFFFFF"/>
              </w:rPr>
              <w:t>645</w:t>
            </w:r>
            <w:r w:rsidRPr="00231489">
              <w:rPr>
                <w:rFonts w:ascii="Times New Roman" w:hAnsi="Times New Roman"/>
                <w:bCs/>
                <w:sz w:val="24"/>
                <w:szCs w:val="24"/>
                <w:shd w:val="clear" w:color="auto" w:fill="FFFFFF"/>
              </w:rPr>
              <w:t xml:space="preserve"> ir papildināti ar nosacījumiem, kas piemērojami visiem sabiedrisko pakalpojumu sniedzējiem, tai skaitā arī tādiem, kuri </w:t>
            </w:r>
            <w:r w:rsidRPr="00231489" w:rsidR="00C77D6F">
              <w:rPr>
                <w:rFonts w:ascii="Times New Roman" w:hAnsi="Times New Roman"/>
                <w:bCs/>
                <w:sz w:val="24"/>
                <w:szCs w:val="24"/>
                <w:shd w:val="clear" w:color="auto" w:fill="FFFFFF"/>
              </w:rPr>
              <w:t>ne</w:t>
            </w:r>
            <w:r w:rsidRPr="00231489">
              <w:rPr>
                <w:rFonts w:ascii="Times New Roman" w:hAnsi="Times New Roman"/>
                <w:bCs/>
                <w:sz w:val="24"/>
                <w:szCs w:val="24"/>
                <w:shd w:val="clear" w:color="auto" w:fill="FFFFFF"/>
              </w:rPr>
              <w:t xml:space="preserve">darbojas likuma </w:t>
            </w:r>
            <w:r w:rsidRPr="00231489" w:rsidR="00B6717E">
              <w:rPr>
                <w:rFonts w:ascii="Times New Roman" w:hAnsi="Times New Roman"/>
                <w:spacing w:val="-3"/>
                <w:sz w:val="24"/>
                <w:szCs w:val="24"/>
              </w:rPr>
              <w:t>"</w:t>
            </w:r>
            <w:r w:rsidRPr="00231489">
              <w:rPr>
                <w:rFonts w:ascii="Times New Roman" w:hAnsi="Times New Roman"/>
                <w:bCs/>
                <w:sz w:val="24"/>
                <w:szCs w:val="24"/>
                <w:shd w:val="clear" w:color="auto" w:fill="FFFFFF"/>
              </w:rPr>
              <w:t>Par sabiedrisko pakalpojumu regulatoriem</w:t>
            </w:r>
            <w:r w:rsidRPr="00231489" w:rsidR="00B6717E">
              <w:rPr>
                <w:rFonts w:ascii="Times New Roman" w:hAnsi="Times New Roman"/>
                <w:spacing w:val="-3"/>
                <w:sz w:val="24"/>
                <w:szCs w:val="24"/>
              </w:rPr>
              <w:t>"</w:t>
            </w:r>
            <w:r w:rsidRPr="00231489" w:rsidR="00C77D6F">
              <w:rPr>
                <w:rFonts w:ascii="Times New Roman" w:hAnsi="Times New Roman"/>
                <w:bCs/>
                <w:sz w:val="24"/>
                <w:szCs w:val="24"/>
                <w:shd w:val="clear" w:color="auto" w:fill="FFFFFF"/>
              </w:rPr>
              <w:t xml:space="preserve"> ietvaros</w:t>
            </w:r>
            <w:r w:rsidRPr="00231489">
              <w:rPr>
                <w:rFonts w:ascii="Times New Roman" w:hAnsi="Times New Roman"/>
                <w:bCs/>
                <w:sz w:val="24"/>
                <w:szCs w:val="24"/>
                <w:shd w:val="clear" w:color="auto" w:fill="FFFFFF"/>
              </w:rPr>
              <w:t xml:space="preserve">. </w:t>
            </w:r>
          </w:p>
          <w:p w:rsidR="001B5B17" w:rsidRPr="00231489" w:rsidP="00231489" w14:paraId="5CA24068" w14:textId="3E7359EB">
            <w:pPr>
              <w:pStyle w:val="ListParagraph"/>
              <w:spacing w:after="100" w:afterAutospacing="1" w:line="240" w:lineRule="auto"/>
              <w:ind w:left="0" w:right="62"/>
              <w:contextualSpacing w:val="0"/>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Attiecīgi, paplašinot sabiedrisko pakalpojumu sniedzēju loku, MK noteikumi Nr. </w:t>
            </w:r>
            <w:r w:rsidRPr="00231489" w:rsidR="003867EE">
              <w:rPr>
                <w:rFonts w:ascii="Times New Roman" w:hAnsi="Times New Roman"/>
                <w:bCs/>
                <w:sz w:val="24"/>
                <w:szCs w:val="24"/>
                <w:shd w:val="clear" w:color="auto" w:fill="FFFFFF"/>
              </w:rPr>
              <w:t>645</w:t>
            </w:r>
            <w:r w:rsidRPr="00231489">
              <w:rPr>
                <w:rFonts w:ascii="Times New Roman" w:hAnsi="Times New Roman"/>
                <w:bCs/>
                <w:sz w:val="24"/>
                <w:szCs w:val="24"/>
                <w:shd w:val="clear" w:color="auto" w:fill="FFFFFF"/>
              </w:rPr>
              <w:t xml:space="preserve"> papildināti ar nosacījumiem, kas ir atbilstoši Eiropas Komisijas 2011.</w:t>
            </w:r>
            <w:r w:rsidRPr="00231489" w:rsidR="00987AA5">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gada 20.</w:t>
            </w:r>
            <w:r w:rsidRPr="00231489" w:rsidR="00987AA5">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decembra lēmumam Nr.</w:t>
            </w:r>
            <w:r w:rsidRPr="00231489" w:rsidR="00987AA5">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 xml:space="preserve">2012/21/ES </w:t>
            </w:r>
            <w:r w:rsidRPr="00231489">
              <w:rPr>
                <w:rFonts w:ascii="Times New Roman" w:hAnsi="Times New Roman"/>
                <w:bCs/>
                <w:i/>
                <w:sz w:val="24"/>
                <w:szCs w:val="24"/>
                <w:shd w:val="clear" w:color="auto" w:fill="FFFFFF"/>
              </w:rPr>
              <w:t xml:space="preserve">par Līguma par Eiropas Savienības darbību </w:t>
            </w:r>
            <w:r>
              <w:fldChar w:fldCharType="begin"/>
            </w:r>
            <w:r>
              <w:instrText xml:space="preserve"> HYPERLINK "http://m.likumi.lv/doc.php?id=277959" \l "p106" \t "_blank" </w:instrText>
            </w:r>
            <w:r>
              <w:fldChar w:fldCharType="separate"/>
            </w:r>
            <w:r w:rsidRPr="00231489">
              <w:rPr>
                <w:rFonts w:ascii="Times New Roman" w:hAnsi="Times New Roman"/>
                <w:bCs/>
                <w:i/>
                <w:sz w:val="24"/>
                <w:szCs w:val="24"/>
                <w:shd w:val="clear" w:color="auto" w:fill="FFFFFF"/>
              </w:rPr>
              <w:t>106.</w:t>
            </w:r>
            <w:r w:rsidRPr="00231489" w:rsidR="00987AA5">
              <w:rPr>
                <w:rFonts w:ascii="Times New Roman" w:hAnsi="Times New Roman"/>
                <w:bCs/>
                <w:i/>
                <w:sz w:val="24"/>
                <w:szCs w:val="24"/>
                <w:shd w:val="clear" w:color="auto" w:fill="FFFFFF"/>
              </w:rPr>
              <w:t> </w:t>
            </w:r>
            <w:r w:rsidRPr="00231489">
              <w:rPr>
                <w:rFonts w:ascii="Times New Roman" w:hAnsi="Times New Roman"/>
                <w:bCs/>
                <w:i/>
                <w:sz w:val="24"/>
                <w:szCs w:val="24"/>
                <w:shd w:val="clear" w:color="auto" w:fill="FFFFFF"/>
              </w:rPr>
              <w:t>panta</w:t>
            </w:r>
            <w:r>
              <w:fldChar w:fldCharType="end"/>
            </w:r>
            <w:r w:rsidRPr="00231489">
              <w:rPr>
                <w:rFonts w:ascii="Times New Roman" w:hAnsi="Times New Roman"/>
                <w:bCs/>
                <w:i/>
                <w:sz w:val="24"/>
                <w:szCs w:val="24"/>
                <w:shd w:val="clear" w:color="auto" w:fill="FFFFFF"/>
              </w:rPr>
              <w:t xml:space="preserve"> 2.</w:t>
            </w:r>
            <w:r w:rsidRPr="00231489" w:rsidR="00987AA5">
              <w:rPr>
                <w:rFonts w:ascii="Times New Roman" w:hAnsi="Times New Roman"/>
                <w:bCs/>
                <w:i/>
                <w:sz w:val="24"/>
                <w:szCs w:val="24"/>
                <w:shd w:val="clear" w:color="auto" w:fill="FFFFFF"/>
              </w:rPr>
              <w:t> </w:t>
            </w:r>
            <w:r w:rsidRPr="00231489">
              <w:rPr>
                <w:rFonts w:ascii="Times New Roman" w:hAnsi="Times New Roman"/>
                <w:bCs/>
                <w:i/>
                <w:sz w:val="24"/>
                <w:szCs w:val="24"/>
                <w:shd w:val="clear" w:color="auto" w:fill="FFFFFF"/>
              </w:rPr>
              <w:t>punkta piemērošanu valsts atbalstam attiecībā uz kompensāciju par sabiedriskajiem pakalpojumiem dažiem uzņēmumiem, kuriem uzticēts sniegt pakalpojumus ar vispārēju tautsaimniecisku nozīmi</w:t>
            </w:r>
            <w:r w:rsidRPr="00231489">
              <w:rPr>
                <w:rFonts w:ascii="Times New Roman" w:hAnsi="Times New Roman"/>
                <w:bCs/>
                <w:sz w:val="24"/>
                <w:szCs w:val="24"/>
                <w:shd w:val="clear" w:color="auto" w:fill="FFFFFF"/>
              </w:rPr>
              <w:t xml:space="preserve"> (turpmāk – EK lēmums</w:t>
            </w:r>
            <w:r w:rsidRPr="00231489" w:rsidR="00C754BB">
              <w:rPr>
                <w:rFonts w:ascii="Times New Roman" w:hAnsi="Times New Roman"/>
                <w:bCs/>
                <w:sz w:val="24"/>
                <w:szCs w:val="24"/>
                <w:shd w:val="clear" w:color="auto" w:fill="FFFFFF"/>
              </w:rPr>
              <w:t xml:space="preserve"> Nr. 2012/21/ES</w:t>
            </w:r>
            <w:r w:rsidRPr="00231489">
              <w:rPr>
                <w:rFonts w:ascii="Times New Roman" w:hAnsi="Times New Roman"/>
                <w:bCs/>
                <w:sz w:val="24"/>
                <w:szCs w:val="24"/>
                <w:shd w:val="clear" w:color="auto" w:fill="FFFFFF"/>
              </w:rPr>
              <w:t>), un iekļaujami pašvaldības saistošajos noteikumos, ja sabiedriskos pakalpojumus sniedz pašvaldības aģentūra, vai pārvaldes lēmumā, ja sabiedriskos pakalpojumus sniedz pašvaldība vai tās iestāde. Investīcijas sabiedrisko pakalpojumu infrastruktūrā var tik</w:t>
            </w:r>
            <w:r w:rsidRPr="00231489" w:rsidR="00C77D6F">
              <w:rPr>
                <w:rFonts w:ascii="Times New Roman" w:hAnsi="Times New Roman"/>
                <w:bCs/>
                <w:sz w:val="24"/>
                <w:szCs w:val="24"/>
                <w:shd w:val="clear" w:color="auto" w:fill="FFFFFF"/>
              </w:rPr>
              <w:t>t</w:t>
            </w:r>
            <w:r w:rsidRPr="00231489">
              <w:rPr>
                <w:rFonts w:ascii="Times New Roman" w:hAnsi="Times New Roman"/>
                <w:bCs/>
                <w:sz w:val="24"/>
                <w:szCs w:val="24"/>
                <w:shd w:val="clear" w:color="auto" w:fill="FFFFFF"/>
              </w:rPr>
              <w:t xml:space="preserve"> piešķirtas tikai tādam sabiedrisko pakalpojumu sniedzējam, kura darbība atbilst EK lēmumā noteiktajam</w:t>
            </w:r>
            <w:r w:rsidRPr="00231489" w:rsidR="00C77D6F">
              <w:rPr>
                <w:rFonts w:ascii="Times New Roman" w:hAnsi="Times New Roman"/>
                <w:bCs/>
                <w:sz w:val="24"/>
                <w:szCs w:val="24"/>
                <w:shd w:val="clear" w:color="auto" w:fill="FFFFFF"/>
              </w:rPr>
              <w:t xml:space="preserve"> (</w:t>
            </w:r>
            <w:r w:rsidRPr="00231489" w:rsidR="00D02647">
              <w:rPr>
                <w:rFonts w:ascii="Times New Roman" w:hAnsi="Times New Roman"/>
                <w:bCs/>
                <w:sz w:val="24"/>
                <w:szCs w:val="24"/>
                <w:shd w:val="clear" w:color="auto" w:fill="FFFFFF"/>
              </w:rPr>
              <w:t xml:space="preserve">precizēts </w:t>
            </w:r>
            <w:r w:rsidRPr="00231489" w:rsidR="00C77D6F">
              <w:rPr>
                <w:rFonts w:ascii="Times New Roman" w:hAnsi="Times New Roman"/>
                <w:bCs/>
                <w:sz w:val="24"/>
                <w:szCs w:val="24"/>
              </w:rPr>
              <w:t>MK noteikumu Nr.</w:t>
            </w:r>
            <w:r w:rsidRPr="00231489" w:rsidR="00E51E6F">
              <w:rPr>
                <w:rFonts w:ascii="Times New Roman" w:hAnsi="Times New Roman"/>
                <w:bCs/>
                <w:sz w:val="24"/>
                <w:szCs w:val="24"/>
              </w:rPr>
              <w:t> </w:t>
            </w:r>
            <w:r w:rsidRPr="00231489" w:rsidR="003867EE">
              <w:rPr>
                <w:rFonts w:ascii="Times New Roman" w:hAnsi="Times New Roman"/>
                <w:bCs/>
                <w:sz w:val="24"/>
                <w:szCs w:val="24"/>
              </w:rPr>
              <w:t>645</w:t>
            </w:r>
            <w:r w:rsidRPr="00231489" w:rsidR="00C77D6F">
              <w:rPr>
                <w:rFonts w:ascii="Times New Roman" w:hAnsi="Times New Roman"/>
                <w:bCs/>
                <w:sz w:val="24"/>
                <w:szCs w:val="24"/>
              </w:rPr>
              <w:t xml:space="preserve"> 19.1.2.</w:t>
            </w:r>
            <w:r w:rsidRPr="00231489" w:rsidR="00962CDA">
              <w:rPr>
                <w:rFonts w:ascii="Times New Roman" w:hAnsi="Times New Roman"/>
                <w:bCs/>
                <w:sz w:val="24"/>
                <w:szCs w:val="24"/>
              </w:rPr>
              <w:t xml:space="preserve"> un </w:t>
            </w:r>
            <w:r w:rsidRPr="00231489" w:rsidR="00530438">
              <w:rPr>
                <w:rFonts w:ascii="Times New Roman" w:hAnsi="Times New Roman"/>
                <w:bCs/>
                <w:sz w:val="24"/>
                <w:szCs w:val="24"/>
              </w:rPr>
              <w:t>27.3.</w:t>
            </w:r>
            <w:r w:rsidRPr="00231489" w:rsidR="00D02647">
              <w:rPr>
                <w:rFonts w:ascii="Times New Roman" w:hAnsi="Times New Roman"/>
                <w:bCs/>
                <w:sz w:val="24"/>
                <w:szCs w:val="24"/>
              </w:rPr>
              <w:t> </w:t>
            </w:r>
            <w:r w:rsidRPr="00231489" w:rsidR="00C77D6F">
              <w:rPr>
                <w:rFonts w:ascii="Times New Roman" w:hAnsi="Times New Roman"/>
                <w:bCs/>
                <w:sz w:val="24"/>
                <w:szCs w:val="24"/>
              </w:rPr>
              <w:t>apakšpunkts</w:t>
            </w:r>
            <w:r w:rsidRPr="00231489" w:rsidR="00530438">
              <w:rPr>
                <w:rFonts w:ascii="Times New Roman" w:hAnsi="Times New Roman"/>
                <w:bCs/>
                <w:sz w:val="24"/>
                <w:szCs w:val="24"/>
              </w:rPr>
              <w:t xml:space="preserve">, </w:t>
            </w:r>
            <w:r w:rsidRPr="00231489" w:rsidR="00962CDA">
              <w:rPr>
                <w:rFonts w:ascii="Times New Roman" w:hAnsi="Times New Roman"/>
                <w:bCs/>
                <w:sz w:val="24"/>
                <w:szCs w:val="24"/>
              </w:rPr>
              <w:t xml:space="preserve">MK </w:t>
            </w:r>
            <w:r w:rsidRPr="00231489" w:rsidR="006C36CD">
              <w:rPr>
                <w:rFonts w:ascii="Times New Roman" w:hAnsi="Times New Roman"/>
                <w:bCs/>
                <w:sz w:val="24"/>
                <w:szCs w:val="24"/>
              </w:rPr>
              <w:t>noteikumu projekta</w:t>
            </w:r>
            <w:r w:rsidRPr="00231489" w:rsidR="00D02647">
              <w:rPr>
                <w:rFonts w:ascii="Times New Roman" w:hAnsi="Times New Roman"/>
                <w:bCs/>
                <w:sz w:val="24"/>
                <w:szCs w:val="24"/>
              </w:rPr>
              <w:t xml:space="preserve"> </w:t>
            </w:r>
            <w:r w:rsidRPr="00231489" w:rsidR="00881A5A">
              <w:rPr>
                <w:rFonts w:ascii="Times New Roman" w:hAnsi="Times New Roman"/>
                <w:bCs/>
                <w:sz w:val="24"/>
                <w:szCs w:val="24"/>
              </w:rPr>
              <w:t>11</w:t>
            </w:r>
            <w:r w:rsidRPr="00231489" w:rsidR="00962CDA">
              <w:rPr>
                <w:rFonts w:ascii="Times New Roman" w:hAnsi="Times New Roman"/>
                <w:bCs/>
                <w:sz w:val="24"/>
                <w:szCs w:val="24"/>
              </w:rPr>
              <w:t>.</w:t>
            </w:r>
            <w:r w:rsidRPr="00231489" w:rsidR="00886329">
              <w:rPr>
                <w:rFonts w:ascii="Times New Roman" w:hAnsi="Times New Roman"/>
                <w:bCs/>
                <w:sz w:val="24"/>
                <w:szCs w:val="24"/>
              </w:rPr>
              <w:t xml:space="preserve"> </w:t>
            </w:r>
            <w:r w:rsidRPr="00231489" w:rsidR="00530438">
              <w:rPr>
                <w:rFonts w:ascii="Times New Roman" w:hAnsi="Times New Roman"/>
                <w:bCs/>
                <w:sz w:val="24"/>
                <w:szCs w:val="24"/>
              </w:rPr>
              <w:t>punkts</w:t>
            </w:r>
            <w:r w:rsidRPr="00231489" w:rsidR="00C77D6F">
              <w:rPr>
                <w:rFonts w:ascii="Times New Roman" w:hAnsi="Times New Roman"/>
                <w:bCs/>
                <w:sz w:val="24"/>
                <w:szCs w:val="24"/>
              </w:rPr>
              <w:t>)</w:t>
            </w:r>
            <w:r w:rsidRPr="00231489">
              <w:rPr>
                <w:rFonts w:ascii="Times New Roman" w:hAnsi="Times New Roman"/>
                <w:bCs/>
                <w:sz w:val="24"/>
                <w:szCs w:val="24"/>
                <w:shd w:val="clear" w:color="auto" w:fill="FFFFFF"/>
              </w:rPr>
              <w:t>.</w:t>
            </w:r>
          </w:p>
          <w:p w:rsidR="00F1421D" w:rsidRPr="00231489" w:rsidP="00231489" w14:paraId="5B4805A8" w14:textId="50F6F84E">
            <w:pPr>
              <w:spacing w:after="0" w:line="240" w:lineRule="auto"/>
              <w:jc w:val="both"/>
              <w:rPr>
                <w:rFonts w:ascii="Times New Roman" w:hAnsi="Times New Roman"/>
                <w:sz w:val="24"/>
                <w:szCs w:val="24"/>
              </w:rPr>
            </w:pPr>
            <w:r w:rsidRPr="00231489">
              <w:rPr>
                <w:rFonts w:ascii="Times New Roman" w:hAnsi="Times New Roman"/>
                <w:sz w:val="24"/>
                <w:szCs w:val="24"/>
              </w:rPr>
              <w:t xml:space="preserve">Lai nodrošinātu </w:t>
            </w:r>
            <w:r w:rsidRPr="00231489" w:rsidR="00F772C5">
              <w:rPr>
                <w:rFonts w:ascii="Times New Roman" w:hAnsi="Times New Roman"/>
                <w:sz w:val="24"/>
                <w:szCs w:val="24"/>
              </w:rPr>
              <w:t>EK</w:t>
            </w:r>
            <w:r w:rsidRPr="00231489">
              <w:rPr>
                <w:rFonts w:ascii="Times New Roman" w:hAnsi="Times New Roman"/>
                <w:sz w:val="24"/>
                <w:szCs w:val="24"/>
              </w:rPr>
              <w:t xml:space="preserve"> lēmuma Nr.</w:t>
            </w:r>
            <w:r w:rsidRPr="00231489" w:rsidR="000B623C">
              <w:rPr>
                <w:rFonts w:ascii="Times New Roman" w:hAnsi="Times New Roman"/>
                <w:sz w:val="24"/>
                <w:szCs w:val="24"/>
              </w:rPr>
              <w:t> </w:t>
            </w:r>
            <w:r w:rsidRPr="00231489">
              <w:rPr>
                <w:rFonts w:ascii="Times New Roman" w:hAnsi="Times New Roman"/>
                <w:sz w:val="24"/>
                <w:szCs w:val="24"/>
              </w:rPr>
              <w:t>2012/21/ES 4.</w:t>
            </w:r>
            <w:r w:rsidRPr="00231489" w:rsidR="00CE1265">
              <w:rPr>
                <w:rFonts w:ascii="Times New Roman" w:hAnsi="Times New Roman"/>
                <w:sz w:val="24"/>
                <w:szCs w:val="24"/>
              </w:rPr>
              <w:t> </w:t>
            </w:r>
            <w:r w:rsidRPr="00231489">
              <w:rPr>
                <w:rFonts w:ascii="Times New Roman" w:hAnsi="Times New Roman"/>
                <w:sz w:val="24"/>
                <w:szCs w:val="24"/>
              </w:rPr>
              <w:t>panta d) un e) apakšpunkta nosacījumus, ņemot vērā ka atlīdzības maksājumi ir investīcijas sabiedrisko pakalpojumu sniegšanai nepieciešamajā infrastruktūrā:</w:t>
            </w:r>
          </w:p>
          <w:p w:rsidR="00F772C5" w:rsidRPr="00231489" w:rsidP="00231489" w14:paraId="2DE95A05" w14:textId="76997190">
            <w:pPr>
              <w:spacing w:after="0" w:line="240" w:lineRule="auto"/>
              <w:ind w:left="300"/>
              <w:jc w:val="both"/>
              <w:rPr>
                <w:rFonts w:ascii="Times New Roman" w:hAnsi="Times New Roman"/>
                <w:sz w:val="24"/>
                <w:szCs w:val="24"/>
              </w:rPr>
            </w:pPr>
            <w:r w:rsidRPr="00231489">
              <w:rPr>
                <w:rFonts w:ascii="Times New Roman" w:hAnsi="Times New Roman"/>
                <w:sz w:val="24"/>
                <w:szCs w:val="24"/>
              </w:rPr>
              <w:t xml:space="preserve">1) investīcijām infrastruktūrā nepieciešamais finansējuma apjoms tiks noteikts, lai nodrošinātu projekta mērķa un iznākuma rādītāju sasniegšanu, tādējādi nodrošinot </w:t>
            </w:r>
            <w:r w:rsidRPr="00231489" w:rsidR="00951136">
              <w:rPr>
                <w:rFonts w:ascii="Times New Roman" w:hAnsi="Times New Roman"/>
                <w:sz w:val="24"/>
                <w:szCs w:val="24"/>
              </w:rPr>
              <w:t xml:space="preserve">EK </w:t>
            </w:r>
            <w:r w:rsidRPr="00231489">
              <w:rPr>
                <w:rFonts w:ascii="Times New Roman" w:hAnsi="Times New Roman"/>
                <w:sz w:val="24"/>
                <w:szCs w:val="24"/>
              </w:rPr>
              <w:t>lēmuma Nr.</w:t>
            </w:r>
            <w:r w:rsidRPr="00231489" w:rsidR="000B623C">
              <w:rPr>
                <w:rFonts w:ascii="Times New Roman" w:hAnsi="Times New Roman"/>
                <w:sz w:val="24"/>
                <w:szCs w:val="24"/>
              </w:rPr>
              <w:t> </w:t>
            </w:r>
            <w:r w:rsidRPr="00231489">
              <w:rPr>
                <w:rFonts w:ascii="Times New Roman" w:hAnsi="Times New Roman"/>
                <w:sz w:val="24"/>
                <w:szCs w:val="24"/>
              </w:rPr>
              <w:t>2012/21/ES 4.</w:t>
            </w:r>
            <w:r w:rsidRPr="00231489" w:rsidR="004514AF">
              <w:rPr>
                <w:rFonts w:ascii="Times New Roman" w:hAnsi="Times New Roman"/>
                <w:sz w:val="24"/>
                <w:szCs w:val="24"/>
              </w:rPr>
              <w:t> </w:t>
            </w:r>
            <w:r w:rsidRPr="00231489" w:rsidR="004147D0">
              <w:rPr>
                <w:rFonts w:ascii="Times New Roman" w:hAnsi="Times New Roman"/>
                <w:sz w:val="24"/>
                <w:szCs w:val="24"/>
              </w:rPr>
              <w:t>panta d) apakšpunkta</w:t>
            </w:r>
            <w:r w:rsidRPr="00231489">
              <w:rPr>
                <w:rFonts w:ascii="Times New Roman" w:hAnsi="Times New Roman"/>
                <w:sz w:val="24"/>
                <w:szCs w:val="24"/>
              </w:rPr>
              <w:t xml:space="preserve"> izpildi; </w:t>
            </w:r>
          </w:p>
          <w:p w:rsidR="00F1421D" w:rsidRPr="00231489" w:rsidP="00231489" w14:paraId="5B18A392" w14:textId="504ADC8A">
            <w:pPr>
              <w:spacing w:after="0" w:line="240" w:lineRule="auto"/>
              <w:ind w:left="300"/>
              <w:jc w:val="both"/>
              <w:rPr>
                <w:rFonts w:ascii="Times New Roman" w:hAnsi="Times New Roman"/>
                <w:sz w:val="24"/>
                <w:szCs w:val="24"/>
              </w:rPr>
            </w:pPr>
            <w:r w:rsidRPr="00231489">
              <w:rPr>
                <w:rFonts w:ascii="Times New Roman" w:hAnsi="Times New Roman"/>
                <w:sz w:val="24"/>
                <w:szCs w:val="24"/>
              </w:rPr>
              <w:t xml:space="preserve">2) </w:t>
            </w:r>
            <w:r w:rsidRPr="00231489" w:rsidR="000B623C">
              <w:rPr>
                <w:rFonts w:ascii="Times New Roman" w:hAnsi="Times New Roman"/>
                <w:sz w:val="24"/>
                <w:szCs w:val="24"/>
              </w:rPr>
              <w:t>MK noteikumu</w:t>
            </w:r>
            <w:r w:rsidRPr="00231489" w:rsidR="00886329">
              <w:rPr>
                <w:rFonts w:ascii="Times New Roman" w:hAnsi="Times New Roman"/>
                <w:sz w:val="24"/>
                <w:szCs w:val="24"/>
              </w:rPr>
              <w:t xml:space="preserve"> projekta 11</w:t>
            </w:r>
            <w:r w:rsidRPr="00231489">
              <w:rPr>
                <w:rFonts w:ascii="Times New Roman" w:hAnsi="Times New Roman"/>
                <w:sz w:val="24"/>
                <w:szCs w:val="24"/>
              </w:rPr>
              <w:t>.</w:t>
            </w:r>
            <w:r w:rsidRPr="00231489" w:rsidR="000B623C">
              <w:rPr>
                <w:rFonts w:ascii="Times New Roman" w:hAnsi="Times New Roman"/>
                <w:sz w:val="24"/>
                <w:szCs w:val="24"/>
              </w:rPr>
              <w:t> </w:t>
            </w:r>
            <w:r w:rsidRPr="00231489">
              <w:rPr>
                <w:rFonts w:ascii="Times New Roman" w:hAnsi="Times New Roman"/>
                <w:sz w:val="24"/>
                <w:szCs w:val="24"/>
              </w:rPr>
              <w:t xml:space="preserve">punktā ir iekļauta norma </w:t>
            </w:r>
            <w:r w:rsidRPr="00231489" w:rsidR="00951136">
              <w:rPr>
                <w:rFonts w:ascii="Times New Roman" w:hAnsi="Times New Roman"/>
                <w:sz w:val="24"/>
                <w:szCs w:val="24"/>
              </w:rPr>
              <w:t>(</w:t>
            </w:r>
            <w:r w:rsidRPr="00231489">
              <w:rPr>
                <w:rFonts w:ascii="Times New Roman" w:hAnsi="Times New Roman"/>
                <w:sz w:val="24"/>
                <w:szCs w:val="24"/>
              </w:rPr>
              <w:t>32.</w:t>
            </w:r>
            <w:r w:rsidRPr="00231489">
              <w:rPr>
                <w:rFonts w:ascii="Times New Roman" w:hAnsi="Times New Roman"/>
                <w:sz w:val="24"/>
                <w:szCs w:val="24"/>
                <w:vertAlign w:val="superscript"/>
              </w:rPr>
              <w:t>2</w:t>
            </w:r>
            <w:r w:rsidRPr="00231489" w:rsidR="000B623C">
              <w:rPr>
                <w:rFonts w:ascii="Times New Roman" w:hAnsi="Times New Roman"/>
                <w:sz w:val="24"/>
                <w:szCs w:val="24"/>
              </w:rPr>
              <w:t>3. </w:t>
            </w:r>
            <w:r w:rsidRPr="00231489">
              <w:rPr>
                <w:rFonts w:ascii="Times New Roman" w:hAnsi="Times New Roman"/>
                <w:sz w:val="24"/>
                <w:szCs w:val="24"/>
              </w:rPr>
              <w:t>apakšpunkts</w:t>
            </w:r>
            <w:r w:rsidRPr="00231489" w:rsidR="00951136">
              <w:rPr>
                <w:rFonts w:ascii="Times New Roman" w:hAnsi="Times New Roman"/>
                <w:sz w:val="24"/>
                <w:szCs w:val="24"/>
              </w:rPr>
              <w:t>)</w:t>
            </w:r>
            <w:r w:rsidRPr="00231489">
              <w:rPr>
                <w:rFonts w:ascii="Times New Roman" w:hAnsi="Times New Roman"/>
                <w:sz w:val="24"/>
                <w:szCs w:val="24"/>
              </w:rPr>
              <w:t xml:space="preserve">, kas nosaka, ka pārvaldes lēmumā jānorāda maksa par ūdenssaimniecības un (vai) siltumapgādes sabiedriskajiem pakalpojumiem. Minētā norma nozīmē, ka ar tās starpniecību būs iespējams izpildīt </w:t>
            </w:r>
            <w:r w:rsidRPr="00231489" w:rsidR="00951136">
              <w:rPr>
                <w:rFonts w:ascii="Times New Roman" w:hAnsi="Times New Roman"/>
                <w:sz w:val="24"/>
                <w:szCs w:val="24"/>
              </w:rPr>
              <w:t xml:space="preserve">EK </w:t>
            </w:r>
            <w:r w:rsidRPr="00231489">
              <w:rPr>
                <w:rFonts w:ascii="Times New Roman" w:hAnsi="Times New Roman"/>
                <w:sz w:val="24"/>
                <w:szCs w:val="24"/>
              </w:rPr>
              <w:t>lēmuma Nr.</w:t>
            </w:r>
            <w:r w:rsidRPr="00231489" w:rsidR="000B623C">
              <w:rPr>
                <w:rFonts w:ascii="Times New Roman" w:hAnsi="Times New Roman"/>
                <w:sz w:val="24"/>
                <w:szCs w:val="24"/>
              </w:rPr>
              <w:t> </w:t>
            </w:r>
            <w:r w:rsidRPr="00231489">
              <w:rPr>
                <w:rFonts w:ascii="Times New Roman" w:hAnsi="Times New Roman"/>
                <w:sz w:val="24"/>
                <w:szCs w:val="24"/>
              </w:rPr>
              <w:t>2012/21/ES 4.</w:t>
            </w:r>
            <w:r w:rsidRPr="00231489" w:rsidR="000B623C">
              <w:rPr>
                <w:rFonts w:ascii="Times New Roman" w:hAnsi="Times New Roman"/>
                <w:sz w:val="24"/>
                <w:szCs w:val="24"/>
              </w:rPr>
              <w:t> </w:t>
            </w:r>
            <w:r w:rsidRPr="00231489">
              <w:rPr>
                <w:rFonts w:ascii="Times New Roman" w:hAnsi="Times New Roman"/>
                <w:sz w:val="24"/>
                <w:szCs w:val="24"/>
              </w:rPr>
              <w:t>panta d) un e) apakšpunkta prasības, jo ar</w:t>
            </w:r>
            <w:r w:rsidRPr="00231489" w:rsidR="000B623C">
              <w:rPr>
                <w:rFonts w:ascii="Times New Roman" w:hAnsi="Times New Roman"/>
                <w:sz w:val="24"/>
                <w:szCs w:val="24"/>
              </w:rPr>
              <w:t> </w:t>
            </w:r>
            <w:r w:rsidRPr="00231489">
              <w:rPr>
                <w:rFonts w:ascii="Times New Roman" w:hAnsi="Times New Roman"/>
                <w:sz w:val="24"/>
                <w:szCs w:val="24"/>
              </w:rPr>
              <w:t xml:space="preserve"> maksas par sabiedriskajiem pakalpojumiem starpniecību pašvaldībai būs iespējams gan veikt ieguldīto investīciju kontroli, gan novērst pārmērīgu kompensāciju, veicot maksas par sabiedriskajiem pakalpojumiem grozījumus. Norādām, ka saskaņā ar </w:t>
            </w:r>
            <w:r w:rsidRPr="00231489">
              <w:rPr>
                <w:rFonts w:ascii="Times New Roman" w:eastAsia="Times New Roman" w:hAnsi="Times New Roman"/>
                <w:bCs/>
                <w:sz w:val="24"/>
                <w:szCs w:val="24"/>
                <w:lang w:eastAsia="lv-LV"/>
              </w:rPr>
              <w:t xml:space="preserve">Sabiedrisko pakalpojumu regulēšanas komisijas padomes </w:t>
            </w:r>
            <w:r w:rsidRPr="00231489" w:rsidR="00DF26E1">
              <w:rPr>
                <w:rFonts w:ascii="Times New Roman" w:eastAsia="Times New Roman" w:hAnsi="Times New Roman"/>
                <w:bCs/>
                <w:sz w:val="24"/>
                <w:szCs w:val="24"/>
                <w:lang w:eastAsia="lv-LV"/>
              </w:rPr>
              <w:t>2016</w:t>
            </w:r>
            <w:r w:rsidRPr="00231489">
              <w:rPr>
                <w:rFonts w:ascii="Times New Roman" w:eastAsia="Times New Roman" w:hAnsi="Times New Roman"/>
                <w:bCs/>
                <w:sz w:val="24"/>
                <w:szCs w:val="24"/>
                <w:lang w:eastAsia="lv-LV"/>
              </w:rPr>
              <w:t>.</w:t>
            </w:r>
            <w:r w:rsidRPr="00231489" w:rsidR="00DF26E1">
              <w:rPr>
                <w:rFonts w:ascii="Times New Roman" w:eastAsia="Times New Roman" w:hAnsi="Times New Roman"/>
                <w:bCs/>
                <w:sz w:val="24"/>
                <w:szCs w:val="24"/>
                <w:lang w:eastAsia="lv-LV"/>
              </w:rPr>
              <w:t> </w:t>
            </w:r>
            <w:r w:rsidRPr="00231489">
              <w:rPr>
                <w:rFonts w:ascii="Times New Roman" w:eastAsia="Times New Roman" w:hAnsi="Times New Roman"/>
                <w:bCs/>
                <w:sz w:val="24"/>
                <w:szCs w:val="24"/>
                <w:lang w:eastAsia="lv-LV"/>
              </w:rPr>
              <w:t xml:space="preserve">gada </w:t>
            </w:r>
            <w:r w:rsidRPr="00231489">
              <w:rPr>
                <w:rFonts w:ascii="Times New Roman" w:eastAsia="Times New Roman" w:hAnsi="Times New Roman"/>
                <w:bCs/>
                <w:sz w:val="24"/>
                <w:szCs w:val="24"/>
                <w:lang w:eastAsia="lv-LV"/>
              </w:rPr>
              <w:t>14.</w:t>
            </w:r>
            <w:r w:rsidRPr="00231489" w:rsidR="00D5561A">
              <w:rPr>
                <w:rFonts w:ascii="Times New Roman" w:eastAsia="Times New Roman" w:hAnsi="Times New Roman"/>
                <w:bCs/>
                <w:sz w:val="24"/>
                <w:szCs w:val="24"/>
                <w:lang w:eastAsia="lv-LV"/>
              </w:rPr>
              <w:t> </w:t>
            </w:r>
            <w:r w:rsidRPr="00231489">
              <w:rPr>
                <w:rFonts w:ascii="Times New Roman" w:eastAsia="Times New Roman" w:hAnsi="Times New Roman"/>
                <w:bCs/>
                <w:sz w:val="24"/>
                <w:szCs w:val="24"/>
                <w:lang w:eastAsia="lv-LV"/>
              </w:rPr>
              <w:t xml:space="preserve">janvāra lēmumu 1/2 </w:t>
            </w:r>
            <w:r w:rsidRPr="00231489" w:rsidR="00D5561A">
              <w:rPr>
                <w:rFonts w:ascii="Times New Roman" w:eastAsia="Times New Roman" w:hAnsi="Times New Roman"/>
                <w:bCs/>
                <w:sz w:val="24"/>
                <w:szCs w:val="24"/>
                <w:lang w:eastAsia="lv-LV"/>
              </w:rPr>
              <w:t>"</w:t>
            </w:r>
            <w:r w:rsidRPr="00231489">
              <w:rPr>
                <w:rFonts w:ascii="Times New Roman" w:eastAsia="Times New Roman" w:hAnsi="Times New Roman"/>
                <w:bCs/>
                <w:sz w:val="24"/>
                <w:szCs w:val="24"/>
                <w:lang w:eastAsia="lv-LV"/>
              </w:rPr>
              <w:t>Ūdenssaimniecības pakalpojumu tarifu aprēķināšanas metodika</w:t>
            </w:r>
            <w:r w:rsidRPr="00231489" w:rsidR="00D5561A">
              <w:rPr>
                <w:rFonts w:ascii="Times New Roman" w:eastAsia="Times New Roman" w:hAnsi="Times New Roman"/>
                <w:bCs/>
                <w:sz w:val="24"/>
                <w:szCs w:val="24"/>
                <w:lang w:eastAsia="lv-LV"/>
              </w:rPr>
              <w:t>"</w:t>
            </w:r>
            <w:r w:rsidRPr="00231489">
              <w:rPr>
                <w:rFonts w:ascii="Times New Roman" w:eastAsia="Times New Roman" w:hAnsi="Times New Roman"/>
                <w:bCs/>
                <w:sz w:val="24"/>
                <w:szCs w:val="24"/>
                <w:lang w:eastAsia="lv-LV"/>
              </w:rPr>
              <w:t xml:space="preserve"> i</w:t>
            </w:r>
            <w:r w:rsidRPr="00231489">
              <w:rPr>
                <w:rFonts w:ascii="Times New Roman" w:eastAsia="Times New Roman" w:hAnsi="Times New Roman"/>
                <w:sz w:val="24"/>
                <w:szCs w:val="24"/>
                <w:lang w:eastAsia="lv-LV"/>
              </w:rPr>
              <w:t>r noteikts, ka p</w:t>
            </w:r>
            <w:r w:rsidRPr="00231489">
              <w:rPr>
                <w:rFonts w:ascii="Times New Roman" w:hAnsi="Times New Roman"/>
                <w:sz w:val="24"/>
                <w:szCs w:val="24"/>
              </w:rPr>
              <w:t>eļņa procentuālā izteiksmē nevar pārsniegt rentabilitāti 7% apmērā, kas aprēķināta procentos no ūdenssaimniecības pakalpojumu sniegšanas izmaksām.</w:t>
            </w:r>
          </w:p>
          <w:p w:rsidR="00F772C5" w:rsidRPr="00231489" w:rsidP="00231489" w14:paraId="725B1C8C" w14:textId="77777777">
            <w:pPr>
              <w:spacing w:after="0" w:line="240" w:lineRule="auto"/>
              <w:ind w:left="300"/>
              <w:jc w:val="both"/>
              <w:rPr>
                <w:rFonts w:ascii="Times New Roman" w:hAnsi="Times New Roman"/>
                <w:sz w:val="24"/>
                <w:szCs w:val="24"/>
              </w:rPr>
            </w:pPr>
          </w:p>
          <w:p w:rsidR="001B5B17" w:rsidRPr="00231489" w:rsidP="00231489" w14:paraId="578DC5DF" w14:textId="77777777">
            <w:pPr>
              <w:spacing w:after="100" w:afterAutospacing="1" w:line="240" w:lineRule="auto"/>
              <w:jc w:val="both"/>
              <w:outlineLvl w:val="0"/>
              <w:rPr>
                <w:rFonts w:ascii="Times New Roman" w:hAnsi="Times New Roman"/>
                <w:bCs/>
                <w:sz w:val="24"/>
                <w:szCs w:val="24"/>
                <w:shd w:val="clear" w:color="auto" w:fill="FFFFFF"/>
              </w:rPr>
            </w:pPr>
            <w:r w:rsidRPr="00231489">
              <w:rPr>
                <w:rFonts w:ascii="Times New Roman" w:hAnsi="Times New Roman"/>
                <w:sz w:val="24"/>
                <w:szCs w:val="24"/>
              </w:rPr>
              <w:t>9</w:t>
            </w:r>
            <w:r w:rsidRPr="00231489">
              <w:rPr>
                <w:rFonts w:ascii="Times New Roman" w:hAnsi="Times New Roman"/>
                <w:sz w:val="24"/>
                <w:szCs w:val="24"/>
              </w:rPr>
              <w:t>. </w:t>
            </w:r>
            <w:r w:rsidRPr="00231489">
              <w:rPr>
                <w:rFonts w:ascii="Times New Roman" w:hAnsi="Times New Roman"/>
                <w:bCs/>
                <w:sz w:val="24"/>
                <w:szCs w:val="24"/>
                <w:shd w:val="clear" w:color="auto" w:fill="FFFFFF"/>
              </w:rPr>
              <w:t>Ņemot vērā, ka Komisijas regulas Nr. </w:t>
            </w:r>
            <w:r>
              <w:fldChar w:fldCharType="begin"/>
            </w:r>
            <w:r>
              <w:instrText xml:space="preserve"> HYPERLINK "http://eur-lex.europa.eu/eli/reg/2014/651/oj/?locale=LV" \t "_blank" </w:instrText>
            </w:r>
            <w:r>
              <w:fldChar w:fldCharType="separate"/>
            </w:r>
            <w:r w:rsidRPr="00231489">
              <w:rPr>
                <w:rFonts w:ascii="Times New Roman" w:hAnsi="Times New Roman"/>
                <w:bCs/>
                <w:sz w:val="24"/>
                <w:szCs w:val="24"/>
                <w:shd w:val="clear" w:color="auto" w:fill="FFFFFF"/>
              </w:rPr>
              <w:t>651/2014</w:t>
            </w:r>
            <w:r>
              <w:fldChar w:fldCharType="end"/>
            </w:r>
            <w:r w:rsidRPr="00231489">
              <w:rPr>
                <w:rFonts w:ascii="Times New Roman" w:hAnsi="Times New Roman"/>
                <w:bCs/>
                <w:sz w:val="24"/>
                <w:szCs w:val="24"/>
                <w:shd w:val="clear" w:color="auto" w:fill="FFFFFF"/>
              </w:rPr>
              <w:t xml:space="preserve"> 2. panta 23.</w:t>
            </w:r>
            <w:r w:rsidRPr="00231489" w:rsidR="00CD677E">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punkts nosaka, ka zemes pirkšanu un tādus sagatavošanās darbus kā atļauju saņemšanu un priekšizpē</w:t>
            </w:r>
            <w:r w:rsidRPr="00231489" w:rsidR="00C754BB">
              <w:rPr>
                <w:rFonts w:ascii="Times New Roman" w:hAnsi="Times New Roman"/>
                <w:bCs/>
                <w:sz w:val="24"/>
                <w:szCs w:val="24"/>
                <w:shd w:val="clear" w:color="auto" w:fill="FFFFFF"/>
              </w:rPr>
              <w:t>tes veikšanu neuzskata par darbu jeb ieguldījumu</w:t>
            </w:r>
            <w:r w:rsidRPr="00231489">
              <w:rPr>
                <w:rFonts w:ascii="Times New Roman" w:hAnsi="Times New Roman"/>
                <w:bCs/>
                <w:sz w:val="24"/>
                <w:szCs w:val="24"/>
                <w:shd w:val="clear" w:color="auto" w:fill="FFFFFF"/>
              </w:rPr>
              <w:t xml:space="preserve"> s</w:t>
            </w:r>
            <w:r w:rsidRPr="00231489" w:rsidR="003867EE">
              <w:rPr>
                <w:rFonts w:ascii="Times New Roman" w:hAnsi="Times New Roman"/>
                <w:bCs/>
                <w:sz w:val="24"/>
                <w:szCs w:val="24"/>
                <w:shd w:val="clear" w:color="auto" w:fill="FFFFFF"/>
              </w:rPr>
              <w:t xml:space="preserve">ākumu valsts atbalsta </w:t>
            </w:r>
            <w:r w:rsidRPr="00231489" w:rsidR="00C754BB">
              <w:rPr>
                <w:rFonts w:ascii="Times New Roman" w:hAnsi="Times New Roman"/>
                <w:bCs/>
                <w:sz w:val="24"/>
                <w:szCs w:val="24"/>
                <w:shd w:val="clear" w:color="auto" w:fill="FFFFFF"/>
              </w:rPr>
              <w:t xml:space="preserve">komercdarbībai </w:t>
            </w:r>
            <w:r w:rsidRPr="00231489" w:rsidR="003867EE">
              <w:rPr>
                <w:rFonts w:ascii="Times New Roman" w:hAnsi="Times New Roman"/>
                <w:bCs/>
                <w:sz w:val="24"/>
                <w:szCs w:val="24"/>
                <w:shd w:val="clear" w:color="auto" w:fill="FFFFFF"/>
              </w:rPr>
              <w:t>izpratnē,</w:t>
            </w:r>
            <w:r w:rsidRPr="00231489" w:rsidR="00336300">
              <w:rPr>
                <w:rFonts w:ascii="Times New Roman" w:hAnsi="Times New Roman"/>
                <w:bCs/>
                <w:sz w:val="24"/>
                <w:szCs w:val="24"/>
                <w:shd w:val="clear" w:color="auto" w:fill="FFFFFF"/>
              </w:rPr>
              <w:t xml:space="preserve"> MK</w:t>
            </w:r>
            <w:r w:rsidRPr="00231489">
              <w:rPr>
                <w:rFonts w:ascii="Times New Roman" w:hAnsi="Times New Roman"/>
                <w:bCs/>
                <w:sz w:val="24"/>
                <w:szCs w:val="24"/>
                <w:shd w:val="clear" w:color="auto" w:fill="FFFFFF"/>
              </w:rPr>
              <w:t xml:space="preserve"> noteikumu projekts </w:t>
            </w:r>
            <w:r w:rsidRPr="00231489" w:rsidR="00C754BB">
              <w:rPr>
                <w:rFonts w:ascii="Times New Roman" w:hAnsi="Times New Roman"/>
                <w:bCs/>
                <w:sz w:val="24"/>
                <w:szCs w:val="24"/>
                <w:shd w:val="clear" w:color="auto" w:fill="FFFFFF"/>
              </w:rPr>
              <w:t>nosaka</w:t>
            </w:r>
            <w:r w:rsidRPr="00231489" w:rsidR="009D450F">
              <w:rPr>
                <w:rFonts w:ascii="Times New Roman" w:hAnsi="Times New Roman"/>
                <w:bCs/>
                <w:sz w:val="24"/>
                <w:szCs w:val="24"/>
                <w:shd w:val="clear" w:color="auto" w:fill="FFFFFF"/>
              </w:rPr>
              <w:t xml:space="preserve"> labvēlīgāku</w:t>
            </w:r>
            <w:r w:rsidRPr="00231489">
              <w:rPr>
                <w:rFonts w:ascii="Times New Roman" w:hAnsi="Times New Roman"/>
                <w:bCs/>
                <w:sz w:val="24"/>
                <w:szCs w:val="24"/>
                <w:shd w:val="clear" w:color="auto" w:fill="FFFFFF"/>
              </w:rPr>
              <w:t xml:space="preserve"> nosacījumu</w:t>
            </w:r>
            <w:r w:rsidRPr="00231489" w:rsidR="009D450F">
              <w:rPr>
                <w:rFonts w:ascii="Times New Roman" w:hAnsi="Times New Roman"/>
                <w:bCs/>
                <w:sz w:val="24"/>
                <w:szCs w:val="24"/>
                <w:shd w:val="clear" w:color="auto" w:fill="FFFFFF"/>
              </w:rPr>
              <w:t xml:space="preserve"> projekta īstenošanai, paredzot</w:t>
            </w:r>
            <w:r w:rsidRPr="00231489">
              <w:rPr>
                <w:rFonts w:ascii="Times New Roman" w:hAnsi="Times New Roman"/>
                <w:bCs/>
                <w:sz w:val="24"/>
                <w:szCs w:val="24"/>
                <w:shd w:val="clear" w:color="auto" w:fill="FFFFFF"/>
              </w:rPr>
              <w:t>, ka zemes iegādi var veikt pirms projekta iesniegšanas un šīs izmaksas ir attiecināmas, ja tās veiktas pēc 2014. gada 1. janvāra</w:t>
            </w:r>
            <w:r w:rsidRPr="00231489" w:rsidR="007E0E9D">
              <w:rPr>
                <w:rFonts w:ascii="Times New Roman" w:hAnsi="Times New Roman"/>
                <w:bCs/>
                <w:sz w:val="24"/>
                <w:szCs w:val="24"/>
                <w:shd w:val="clear" w:color="auto" w:fill="FFFFFF"/>
              </w:rPr>
              <w:t xml:space="preserve"> (</w:t>
            </w:r>
            <w:r w:rsidRPr="00231489" w:rsidR="007E0E9D">
              <w:rPr>
                <w:rFonts w:ascii="Times New Roman" w:hAnsi="Times New Roman"/>
                <w:bCs/>
                <w:sz w:val="24"/>
                <w:szCs w:val="24"/>
              </w:rPr>
              <w:t>MK noteikumu Nr.</w:t>
            </w:r>
            <w:r w:rsidRPr="00231489" w:rsidR="00CD677E">
              <w:rPr>
                <w:rFonts w:ascii="Times New Roman" w:hAnsi="Times New Roman"/>
                <w:bCs/>
                <w:sz w:val="24"/>
                <w:szCs w:val="24"/>
              </w:rPr>
              <w:t> </w:t>
            </w:r>
            <w:r w:rsidRPr="00231489" w:rsidR="003867EE">
              <w:rPr>
                <w:rFonts w:ascii="Times New Roman" w:hAnsi="Times New Roman"/>
                <w:bCs/>
                <w:sz w:val="24"/>
                <w:szCs w:val="24"/>
              </w:rPr>
              <w:t>645</w:t>
            </w:r>
            <w:r w:rsidRPr="00231489" w:rsidR="007E0E9D">
              <w:rPr>
                <w:rFonts w:ascii="Times New Roman" w:hAnsi="Times New Roman"/>
                <w:bCs/>
                <w:sz w:val="24"/>
                <w:szCs w:val="24"/>
              </w:rPr>
              <w:t xml:space="preserve"> </w:t>
            </w:r>
            <w:r w:rsidRPr="00231489" w:rsidR="004B7688">
              <w:rPr>
                <w:rFonts w:ascii="Times New Roman" w:hAnsi="Times New Roman"/>
                <w:bCs/>
                <w:sz w:val="24"/>
                <w:szCs w:val="24"/>
              </w:rPr>
              <w:t>68</w:t>
            </w:r>
            <w:r w:rsidRPr="00231489" w:rsidR="007E0E9D">
              <w:rPr>
                <w:rFonts w:ascii="Times New Roman" w:hAnsi="Times New Roman"/>
                <w:bCs/>
                <w:sz w:val="24"/>
                <w:szCs w:val="24"/>
              </w:rPr>
              <w:t>.</w:t>
            </w:r>
            <w:r w:rsidRPr="00231489" w:rsidR="00CD677E">
              <w:rPr>
                <w:rFonts w:ascii="Times New Roman" w:hAnsi="Times New Roman"/>
                <w:bCs/>
                <w:sz w:val="24"/>
                <w:szCs w:val="24"/>
              </w:rPr>
              <w:t> </w:t>
            </w:r>
            <w:r w:rsidRPr="00231489" w:rsidR="002D3004">
              <w:rPr>
                <w:rFonts w:ascii="Times New Roman" w:hAnsi="Times New Roman"/>
                <w:bCs/>
                <w:sz w:val="24"/>
                <w:szCs w:val="24"/>
              </w:rPr>
              <w:t>punkts)</w:t>
            </w:r>
            <w:r w:rsidRPr="00231489" w:rsidR="00FC6F9C">
              <w:rPr>
                <w:rFonts w:ascii="Times New Roman" w:hAnsi="Times New Roman"/>
                <w:bCs/>
                <w:sz w:val="24"/>
                <w:szCs w:val="24"/>
              </w:rPr>
              <w:t>.</w:t>
            </w:r>
            <w:r w:rsidRPr="00231489" w:rsidR="009D7E86">
              <w:rPr>
                <w:rFonts w:ascii="Times New Roman" w:hAnsi="Times New Roman"/>
                <w:bCs/>
                <w:sz w:val="24"/>
                <w:szCs w:val="24"/>
              </w:rPr>
              <w:t xml:space="preserve"> </w:t>
            </w:r>
            <w:r w:rsidRPr="00231489" w:rsidR="00FC6F9C">
              <w:rPr>
                <w:rFonts w:ascii="Times New Roman" w:hAnsi="Times New Roman"/>
                <w:bCs/>
                <w:sz w:val="24"/>
                <w:szCs w:val="24"/>
                <w:shd w:val="clear" w:color="auto" w:fill="FFFFFF"/>
              </w:rPr>
              <w:t>Skaidrojam, ka</w:t>
            </w:r>
            <w:r w:rsidRPr="00231489" w:rsidR="004D0C9C">
              <w:rPr>
                <w:rFonts w:ascii="Times New Roman" w:hAnsi="Times New Roman"/>
                <w:bCs/>
                <w:sz w:val="24"/>
                <w:szCs w:val="24"/>
                <w:shd w:val="clear" w:color="auto" w:fill="FFFFFF"/>
              </w:rPr>
              <w:t xml:space="preserve"> ierobež</w:t>
            </w:r>
            <w:r w:rsidRPr="00231489" w:rsidR="00336300">
              <w:rPr>
                <w:rFonts w:ascii="Times New Roman" w:hAnsi="Times New Roman"/>
                <w:bCs/>
                <w:sz w:val="24"/>
                <w:szCs w:val="24"/>
                <w:shd w:val="clear" w:color="auto" w:fill="FFFFFF"/>
              </w:rPr>
              <w:t>ota</w:t>
            </w:r>
            <w:r w:rsidRPr="00231489" w:rsidR="00FC6F9C">
              <w:rPr>
                <w:rFonts w:ascii="Times New Roman" w:hAnsi="Times New Roman"/>
                <w:bCs/>
                <w:sz w:val="24"/>
                <w:szCs w:val="24"/>
                <w:shd w:val="clear" w:color="auto" w:fill="FFFFFF"/>
              </w:rPr>
              <w:t>s</w:t>
            </w:r>
            <w:r w:rsidRPr="00231489" w:rsidR="00336300">
              <w:rPr>
                <w:rFonts w:ascii="Times New Roman" w:hAnsi="Times New Roman"/>
                <w:bCs/>
                <w:sz w:val="24"/>
                <w:szCs w:val="24"/>
                <w:shd w:val="clear" w:color="auto" w:fill="FFFFFF"/>
              </w:rPr>
              <w:t xml:space="preserve"> projektu iesniegumu atlase</w:t>
            </w:r>
            <w:r w:rsidRPr="00231489" w:rsidR="00FC6F9C">
              <w:rPr>
                <w:rFonts w:ascii="Times New Roman" w:hAnsi="Times New Roman"/>
                <w:bCs/>
                <w:sz w:val="24"/>
                <w:szCs w:val="24"/>
                <w:shd w:val="clear" w:color="auto" w:fill="FFFFFF"/>
              </w:rPr>
              <w:t>s ietvaros līdz 2017.</w:t>
            </w:r>
            <w:r w:rsidRPr="00231489" w:rsidR="000579C1">
              <w:rPr>
                <w:rFonts w:ascii="Times New Roman" w:hAnsi="Times New Roman"/>
                <w:bCs/>
                <w:sz w:val="24"/>
                <w:szCs w:val="24"/>
                <w:shd w:val="clear" w:color="auto" w:fill="FFFFFF"/>
              </w:rPr>
              <w:t> </w:t>
            </w:r>
            <w:r w:rsidRPr="00231489" w:rsidR="00FC6F9C">
              <w:rPr>
                <w:rFonts w:ascii="Times New Roman" w:hAnsi="Times New Roman"/>
                <w:bCs/>
                <w:sz w:val="24"/>
                <w:szCs w:val="24"/>
                <w:shd w:val="clear" w:color="auto" w:fill="FFFFFF"/>
              </w:rPr>
              <w:t>gada 11.</w:t>
            </w:r>
            <w:r w:rsidRPr="00231489" w:rsidR="000579C1">
              <w:rPr>
                <w:rFonts w:ascii="Times New Roman" w:hAnsi="Times New Roman"/>
                <w:bCs/>
                <w:sz w:val="24"/>
                <w:szCs w:val="24"/>
                <w:shd w:val="clear" w:color="auto" w:fill="FFFFFF"/>
              </w:rPr>
              <w:t> </w:t>
            </w:r>
            <w:r w:rsidRPr="00231489" w:rsidR="00FC6F9C">
              <w:rPr>
                <w:rFonts w:ascii="Times New Roman" w:hAnsi="Times New Roman"/>
                <w:bCs/>
                <w:sz w:val="24"/>
                <w:szCs w:val="24"/>
                <w:shd w:val="clear" w:color="auto" w:fill="FFFFFF"/>
              </w:rPr>
              <w:t xml:space="preserve">aprīlim SAM 5.6.2. ietvaros ir apstiprināti (ir noslēgtas vienošanās par projekta īstenošanu) divi projekti, kuru darbībām ir  piemērojami valsts atbalsta nosacījumi, bet tā kā projektos plānots attīstīt  infrastruktūru, kas atrodas  projekta iesniedzēja īpašumā vai A/S </w:t>
            </w:r>
            <w:r w:rsidRPr="00231489" w:rsidR="000579C1">
              <w:rPr>
                <w:rFonts w:ascii="Times New Roman" w:hAnsi="Times New Roman"/>
                <w:bCs/>
                <w:sz w:val="24"/>
                <w:szCs w:val="24"/>
                <w:shd w:val="clear" w:color="auto" w:fill="FFFFFF"/>
              </w:rPr>
              <w:t>"</w:t>
            </w:r>
            <w:r w:rsidRPr="00231489" w:rsidR="00FC6F9C">
              <w:rPr>
                <w:rFonts w:ascii="Times New Roman" w:hAnsi="Times New Roman"/>
                <w:bCs/>
                <w:sz w:val="24"/>
                <w:szCs w:val="24"/>
                <w:shd w:val="clear" w:color="auto" w:fill="FFFFFF"/>
              </w:rPr>
              <w:t>Sadales tīkls</w:t>
            </w:r>
            <w:r w:rsidRPr="00231489" w:rsidR="000579C1">
              <w:rPr>
                <w:rFonts w:ascii="Times New Roman" w:hAnsi="Times New Roman"/>
                <w:bCs/>
                <w:sz w:val="24"/>
                <w:szCs w:val="24"/>
                <w:shd w:val="clear" w:color="auto" w:fill="FFFFFF"/>
              </w:rPr>
              <w:t>"</w:t>
            </w:r>
            <w:r w:rsidRPr="00231489" w:rsidR="00FC6F9C">
              <w:rPr>
                <w:rFonts w:ascii="Times New Roman" w:hAnsi="Times New Roman"/>
                <w:bCs/>
                <w:sz w:val="24"/>
                <w:szCs w:val="24"/>
                <w:shd w:val="clear" w:color="auto" w:fill="FFFFFF"/>
              </w:rPr>
              <w:t xml:space="preserve"> īpašumā, tad nosacījums par nekustamā īpašuma iegādes izmaksu attiecināšanu pirms projektu iesniegumu iesniegšanas vērtēšanai šo projektu ietvaros nebija aktuāls. </w:t>
            </w:r>
            <w:r w:rsidRPr="00231489" w:rsidR="009D7E86">
              <w:rPr>
                <w:rFonts w:ascii="Times New Roman" w:hAnsi="Times New Roman"/>
                <w:bCs/>
                <w:sz w:val="24"/>
                <w:szCs w:val="24"/>
                <w:shd w:val="clear" w:color="auto" w:fill="FFFFFF"/>
              </w:rPr>
              <w:t>Vie</w:t>
            </w:r>
            <w:r w:rsidRPr="00231489" w:rsidR="00316771">
              <w:rPr>
                <w:rFonts w:ascii="Times New Roman" w:hAnsi="Times New Roman"/>
                <w:bCs/>
                <w:sz w:val="24"/>
                <w:szCs w:val="24"/>
                <w:shd w:val="clear" w:color="auto" w:fill="FFFFFF"/>
              </w:rPr>
              <w:t>n</w:t>
            </w:r>
            <w:r w:rsidRPr="00231489" w:rsidR="009D7E86">
              <w:rPr>
                <w:rFonts w:ascii="Times New Roman" w:hAnsi="Times New Roman"/>
                <w:bCs/>
                <w:sz w:val="24"/>
                <w:szCs w:val="24"/>
                <w:shd w:val="clear" w:color="auto" w:fill="FFFFFF"/>
              </w:rPr>
              <w:t>laikus norādām, ka valsts atbalsta projektos pēc projekta apstiprināšanas papildu darbības nevar tikt paredzētas.</w:t>
            </w:r>
          </w:p>
          <w:p w:rsidR="00C65CA4" w:rsidRPr="00231489" w:rsidP="00231489" w14:paraId="74ECF205" w14:textId="77777777">
            <w:pPr>
              <w:spacing w:after="100" w:afterAutospacing="1" w:line="240" w:lineRule="auto"/>
              <w:jc w:val="both"/>
              <w:outlineLvl w:val="0"/>
              <w:rPr>
                <w:rFonts w:ascii="Times New Roman" w:hAnsi="Times New Roman"/>
                <w:bCs/>
                <w:sz w:val="24"/>
                <w:szCs w:val="24"/>
                <w:shd w:val="clear" w:color="auto" w:fill="FFFFFF"/>
              </w:rPr>
            </w:pPr>
            <w:r w:rsidRPr="00231489">
              <w:rPr>
                <w:rFonts w:ascii="Times New Roman" w:hAnsi="Times New Roman"/>
                <w:sz w:val="24"/>
                <w:szCs w:val="24"/>
              </w:rPr>
              <w:t>10</w:t>
            </w:r>
            <w:r w:rsidRPr="00231489" w:rsidR="003867EE">
              <w:rPr>
                <w:rFonts w:ascii="Times New Roman" w:hAnsi="Times New Roman"/>
                <w:sz w:val="24"/>
                <w:szCs w:val="24"/>
              </w:rPr>
              <w:t>. </w:t>
            </w:r>
            <w:r w:rsidRPr="00231489" w:rsidR="001B5B17">
              <w:rPr>
                <w:rFonts w:ascii="Times New Roman" w:hAnsi="Times New Roman"/>
                <w:bCs/>
                <w:sz w:val="24"/>
                <w:szCs w:val="24"/>
                <w:shd w:val="clear" w:color="auto" w:fill="FFFFFF"/>
              </w:rPr>
              <w:t xml:space="preserve">Ņemot vērā, ka valsts atbalstu sabiedriskajiem pakalpojumiem regulē </w:t>
            </w:r>
            <w:r w:rsidRPr="00231489" w:rsidR="00C754BB">
              <w:rPr>
                <w:rFonts w:ascii="Times New Roman" w:hAnsi="Times New Roman"/>
                <w:bCs/>
                <w:sz w:val="24"/>
                <w:szCs w:val="24"/>
                <w:shd w:val="clear" w:color="auto" w:fill="FFFFFF"/>
              </w:rPr>
              <w:t>EK</w:t>
            </w:r>
            <w:r w:rsidRPr="00231489" w:rsidR="001B5B17">
              <w:rPr>
                <w:rFonts w:ascii="Times New Roman" w:hAnsi="Times New Roman"/>
                <w:bCs/>
                <w:sz w:val="24"/>
                <w:szCs w:val="24"/>
                <w:shd w:val="clear" w:color="auto" w:fill="FFFFFF"/>
              </w:rPr>
              <w:t xml:space="preserve"> lēmums Nr.</w:t>
            </w:r>
            <w:r w:rsidRPr="00231489" w:rsidR="00CC4D8E">
              <w:rPr>
                <w:rFonts w:ascii="Times New Roman" w:hAnsi="Times New Roman"/>
                <w:bCs/>
                <w:sz w:val="24"/>
                <w:szCs w:val="24"/>
                <w:shd w:val="clear" w:color="auto" w:fill="FFFFFF"/>
              </w:rPr>
              <w:t> </w:t>
            </w:r>
            <w:r w:rsidRPr="00231489" w:rsidR="001B5B17">
              <w:rPr>
                <w:rFonts w:ascii="Times New Roman" w:hAnsi="Times New Roman"/>
                <w:bCs/>
                <w:sz w:val="24"/>
                <w:szCs w:val="24"/>
                <w:shd w:val="clear" w:color="auto" w:fill="FFFFFF"/>
              </w:rPr>
              <w:t>2012/21/ES, un uz to nav attiecināmi Komisijas regulā Nr. </w:t>
            </w:r>
            <w:r>
              <w:fldChar w:fldCharType="begin"/>
            </w:r>
            <w:r>
              <w:instrText xml:space="preserve"> HYPERLINK "http://eur-lex.europa.eu/eli/reg/2014/651/oj/?locale=LV" \t "_blank" </w:instrText>
            </w:r>
            <w:r>
              <w:fldChar w:fldCharType="separate"/>
            </w:r>
            <w:r w:rsidRPr="00231489" w:rsidR="001B5B17">
              <w:rPr>
                <w:rFonts w:ascii="Times New Roman" w:hAnsi="Times New Roman"/>
                <w:bCs/>
                <w:sz w:val="24"/>
                <w:szCs w:val="24"/>
                <w:shd w:val="clear" w:color="auto" w:fill="FFFFFF"/>
              </w:rPr>
              <w:t>651/2014</w:t>
            </w:r>
            <w:r>
              <w:fldChar w:fldCharType="end"/>
            </w:r>
            <w:r w:rsidRPr="00231489" w:rsidR="001B5B17">
              <w:rPr>
                <w:rFonts w:ascii="Times New Roman" w:hAnsi="Times New Roman"/>
                <w:bCs/>
                <w:sz w:val="24"/>
                <w:szCs w:val="24"/>
                <w:shd w:val="clear" w:color="auto" w:fill="FFFFFF"/>
              </w:rPr>
              <w:t xml:space="preserve"> noteiktie nosacījumi par stimulējošo ietekmi, </w:t>
            </w:r>
            <w:r w:rsidRPr="00231489" w:rsidR="009D450F">
              <w:rPr>
                <w:rFonts w:ascii="Times New Roman" w:hAnsi="Times New Roman"/>
                <w:bCs/>
                <w:sz w:val="24"/>
                <w:szCs w:val="24"/>
                <w:shd w:val="clear" w:color="auto" w:fill="FFFFFF"/>
              </w:rPr>
              <w:t xml:space="preserve">MK </w:t>
            </w:r>
            <w:r w:rsidRPr="00231489" w:rsidR="001B5B17">
              <w:rPr>
                <w:rFonts w:ascii="Times New Roman" w:hAnsi="Times New Roman"/>
                <w:bCs/>
                <w:sz w:val="24"/>
                <w:szCs w:val="24"/>
                <w:shd w:val="clear" w:color="auto" w:fill="FFFFFF"/>
              </w:rPr>
              <w:t xml:space="preserve">noteikumu projekts paredz </w:t>
            </w:r>
            <w:r w:rsidRPr="00231489" w:rsidR="009D450F">
              <w:rPr>
                <w:rFonts w:ascii="Times New Roman" w:hAnsi="Times New Roman"/>
                <w:bCs/>
                <w:sz w:val="24"/>
                <w:szCs w:val="24"/>
                <w:shd w:val="clear" w:color="auto" w:fill="FFFFFF"/>
              </w:rPr>
              <w:t xml:space="preserve">labvēlīgāku </w:t>
            </w:r>
            <w:r w:rsidRPr="00231489" w:rsidR="001B5B17">
              <w:rPr>
                <w:rFonts w:ascii="Times New Roman" w:hAnsi="Times New Roman"/>
                <w:bCs/>
                <w:sz w:val="24"/>
                <w:szCs w:val="24"/>
                <w:shd w:val="clear" w:color="auto" w:fill="FFFFFF"/>
              </w:rPr>
              <w:t>nosacījumu</w:t>
            </w:r>
            <w:r w:rsidRPr="00231489" w:rsidR="009D450F">
              <w:rPr>
                <w:rFonts w:ascii="Times New Roman" w:hAnsi="Times New Roman"/>
                <w:bCs/>
                <w:sz w:val="24"/>
                <w:szCs w:val="24"/>
                <w:shd w:val="clear" w:color="auto" w:fill="FFFFFF"/>
              </w:rPr>
              <w:t xml:space="preserve"> projekta īstenošanai, nosakot</w:t>
            </w:r>
            <w:r w:rsidRPr="00231489" w:rsidR="001B5B17">
              <w:rPr>
                <w:rFonts w:ascii="Times New Roman" w:hAnsi="Times New Roman"/>
                <w:bCs/>
                <w:sz w:val="24"/>
                <w:szCs w:val="24"/>
                <w:shd w:val="clear" w:color="auto" w:fill="FFFFFF"/>
              </w:rPr>
              <w:t xml:space="preserve">, ka sabiedrisko pakalpojumu tīklu izbūvi var veikt un būvdarbu līgumu var slēgt pirms projekta iesniegšanas, </w:t>
            </w:r>
            <w:r w:rsidRPr="00231489" w:rsidR="00E5762E">
              <w:rPr>
                <w:rFonts w:ascii="Times New Roman" w:hAnsi="Times New Roman"/>
                <w:bCs/>
                <w:sz w:val="24"/>
                <w:szCs w:val="24"/>
                <w:shd w:val="clear" w:color="auto" w:fill="FFFFFF"/>
              </w:rPr>
              <w:t>un šīs</w:t>
            </w:r>
            <w:r w:rsidRPr="00231489" w:rsidR="001B5B17">
              <w:rPr>
                <w:rFonts w:ascii="Times New Roman" w:hAnsi="Times New Roman"/>
                <w:bCs/>
                <w:sz w:val="24"/>
                <w:szCs w:val="24"/>
                <w:shd w:val="clear" w:color="auto" w:fill="FFFFFF"/>
              </w:rPr>
              <w:t xml:space="preserve"> izmaksas ir attiecināmas no noteikumu </w:t>
            </w:r>
            <w:r w:rsidRPr="00231489">
              <w:rPr>
                <w:rFonts w:ascii="Times New Roman" w:hAnsi="Times New Roman"/>
                <w:bCs/>
                <w:sz w:val="24"/>
                <w:szCs w:val="24"/>
                <w:shd w:val="clear" w:color="auto" w:fill="FFFFFF"/>
              </w:rPr>
              <w:t xml:space="preserve">projekta </w:t>
            </w:r>
            <w:r w:rsidRPr="00231489" w:rsidR="001B5B17">
              <w:rPr>
                <w:rFonts w:ascii="Times New Roman" w:hAnsi="Times New Roman"/>
                <w:bCs/>
                <w:sz w:val="24"/>
                <w:szCs w:val="24"/>
                <w:shd w:val="clear" w:color="auto" w:fill="FFFFFF"/>
              </w:rPr>
              <w:t>spēkā stāšanās dienas</w:t>
            </w:r>
            <w:r w:rsidRPr="00231489" w:rsidR="00A65E33">
              <w:rPr>
                <w:rFonts w:ascii="Times New Roman" w:hAnsi="Times New Roman"/>
                <w:bCs/>
                <w:sz w:val="24"/>
                <w:szCs w:val="24"/>
                <w:shd w:val="clear" w:color="auto" w:fill="FFFFFF"/>
              </w:rPr>
              <w:t xml:space="preserve"> (</w:t>
            </w:r>
            <w:r w:rsidRPr="00231489" w:rsidR="002D3004">
              <w:rPr>
                <w:rFonts w:ascii="Times New Roman" w:hAnsi="Times New Roman"/>
                <w:bCs/>
                <w:sz w:val="24"/>
                <w:szCs w:val="24"/>
              </w:rPr>
              <w:t>MK noteikumu Nr.</w:t>
            </w:r>
            <w:r w:rsidRPr="00231489" w:rsidR="00CC4D8E">
              <w:rPr>
                <w:rFonts w:ascii="Times New Roman" w:hAnsi="Times New Roman"/>
                <w:bCs/>
                <w:sz w:val="24"/>
                <w:szCs w:val="24"/>
              </w:rPr>
              <w:t> </w:t>
            </w:r>
            <w:r w:rsidRPr="00231489" w:rsidR="00B35439">
              <w:rPr>
                <w:rFonts w:ascii="Times New Roman" w:hAnsi="Times New Roman"/>
                <w:bCs/>
                <w:sz w:val="24"/>
                <w:szCs w:val="24"/>
              </w:rPr>
              <w:t>645</w:t>
            </w:r>
            <w:r w:rsidRPr="00231489" w:rsidR="00A65E33">
              <w:rPr>
                <w:rFonts w:ascii="Times New Roman" w:hAnsi="Times New Roman"/>
                <w:bCs/>
                <w:sz w:val="24"/>
                <w:szCs w:val="24"/>
                <w:shd w:val="clear" w:color="auto" w:fill="FFFFFF"/>
              </w:rPr>
              <w:t xml:space="preserve"> </w:t>
            </w:r>
            <w:r w:rsidRPr="00231489" w:rsidR="004B7688">
              <w:rPr>
                <w:rFonts w:ascii="Times New Roman" w:hAnsi="Times New Roman"/>
                <w:bCs/>
                <w:sz w:val="24"/>
                <w:szCs w:val="24"/>
                <w:shd w:val="clear" w:color="auto" w:fill="FFFFFF"/>
              </w:rPr>
              <w:t>68</w:t>
            </w:r>
            <w:r w:rsidRPr="00231489" w:rsidR="00A65E33">
              <w:rPr>
                <w:rFonts w:ascii="Times New Roman" w:hAnsi="Times New Roman"/>
                <w:bCs/>
                <w:sz w:val="24"/>
                <w:szCs w:val="24"/>
                <w:shd w:val="clear" w:color="auto" w:fill="FFFFFF"/>
              </w:rPr>
              <w:t>.</w:t>
            </w:r>
            <w:r w:rsidRPr="00231489" w:rsidR="00CC4D8E">
              <w:rPr>
                <w:rFonts w:ascii="Times New Roman" w:hAnsi="Times New Roman"/>
                <w:bCs/>
                <w:sz w:val="24"/>
                <w:szCs w:val="24"/>
                <w:shd w:val="clear" w:color="auto" w:fill="FFFFFF"/>
              </w:rPr>
              <w:t> </w:t>
            </w:r>
            <w:r w:rsidRPr="00231489" w:rsidR="00A65E33">
              <w:rPr>
                <w:rFonts w:ascii="Times New Roman" w:hAnsi="Times New Roman"/>
                <w:bCs/>
                <w:sz w:val="24"/>
                <w:szCs w:val="24"/>
                <w:shd w:val="clear" w:color="auto" w:fill="FFFFFF"/>
              </w:rPr>
              <w:t>punkts)</w:t>
            </w:r>
            <w:r w:rsidRPr="00231489" w:rsidR="001B5B17">
              <w:rPr>
                <w:rFonts w:ascii="Times New Roman" w:hAnsi="Times New Roman"/>
                <w:bCs/>
                <w:sz w:val="24"/>
                <w:szCs w:val="24"/>
                <w:shd w:val="clear" w:color="auto" w:fill="FFFFFF"/>
              </w:rPr>
              <w:t>.</w:t>
            </w:r>
            <w:r w:rsidRPr="00231489" w:rsidR="00375C8B">
              <w:rPr>
                <w:rFonts w:ascii="Times New Roman" w:hAnsi="Times New Roman"/>
                <w:bCs/>
                <w:sz w:val="24"/>
                <w:szCs w:val="24"/>
                <w:shd w:val="clear" w:color="auto" w:fill="FFFFFF"/>
              </w:rPr>
              <w:t xml:space="preserve"> </w:t>
            </w:r>
            <w:r w:rsidRPr="00231489" w:rsidR="000F176A">
              <w:rPr>
                <w:rFonts w:ascii="Times New Roman" w:hAnsi="Times New Roman"/>
                <w:bCs/>
                <w:sz w:val="24"/>
                <w:szCs w:val="24"/>
                <w:shd w:val="clear" w:color="auto" w:fill="FFFFFF"/>
              </w:rPr>
              <w:t>Vienlaikus norādām, ka</w:t>
            </w:r>
            <w:r w:rsidRPr="00231489" w:rsidR="00336300">
              <w:rPr>
                <w:rFonts w:ascii="Times New Roman" w:hAnsi="Times New Roman"/>
                <w:bCs/>
                <w:sz w:val="24"/>
                <w:szCs w:val="24"/>
                <w:shd w:val="clear" w:color="auto" w:fill="FFFFFF"/>
              </w:rPr>
              <w:t>, ņemot vērā</w:t>
            </w:r>
            <w:r w:rsidRPr="00231489" w:rsidR="00375C8B">
              <w:rPr>
                <w:rFonts w:ascii="Times New Roman" w:hAnsi="Times New Roman"/>
                <w:bCs/>
                <w:sz w:val="24"/>
                <w:szCs w:val="24"/>
                <w:shd w:val="clear" w:color="auto" w:fill="FFFFFF"/>
              </w:rPr>
              <w:t>, ka šī ir ier</w:t>
            </w:r>
            <w:r w:rsidRPr="00231489" w:rsidR="00D9429C">
              <w:rPr>
                <w:rFonts w:ascii="Times New Roman" w:hAnsi="Times New Roman"/>
                <w:bCs/>
                <w:sz w:val="24"/>
                <w:szCs w:val="24"/>
                <w:shd w:val="clear" w:color="auto" w:fill="FFFFFF"/>
              </w:rPr>
              <w:t>o</w:t>
            </w:r>
            <w:r w:rsidRPr="00231489" w:rsidR="00375C8B">
              <w:rPr>
                <w:rFonts w:ascii="Times New Roman" w:hAnsi="Times New Roman"/>
                <w:bCs/>
                <w:sz w:val="24"/>
                <w:szCs w:val="24"/>
                <w:shd w:val="clear" w:color="auto" w:fill="FFFFFF"/>
              </w:rPr>
              <w:t xml:space="preserve">bežota </w:t>
            </w:r>
            <w:r w:rsidRPr="00231489" w:rsidR="00D9429C">
              <w:rPr>
                <w:rFonts w:ascii="Times New Roman" w:hAnsi="Times New Roman"/>
                <w:bCs/>
                <w:sz w:val="24"/>
                <w:szCs w:val="24"/>
                <w:shd w:val="clear" w:color="auto" w:fill="FFFFFF"/>
              </w:rPr>
              <w:t xml:space="preserve">projektu iesniegumu </w:t>
            </w:r>
            <w:r w:rsidRPr="00231489" w:rsidR="000103E0">
              <w:rPr>
                <w:rFonts w:ascii="Times New Roman" w:hAnsi="Times New Roman"/>
                <w:bCs/>
                <w:sz w:val="24"/>
                <w:szCs w:val="24"/>
                <w:shd w:val="clear" w:color="auto" w:fill="FFFFFF"/>
              </w:rPr>
              <w:t>atlase, p</w:t>
            </w:r>
            <w:r w:rsidRPr="00231489" w:rsidR="005D478E">
              <w:rPr>
                <w:rFonts w:ascii="Times New Roman" w:hAnsi="Times New Roman"/>
                <w:bCs/>
                <w:sz w:val="24"/>
                <w:szCs w:val="24"/>
                <w:shd w:val="clear" w:color="auto" w:fill="FFFFFF"/>
              </w:rPr>
              <w:t>rojektos</w:t>
            </w:r>
            <w:r w:rsidRPr="00231489" w:rsidR="000103E0">
              <w:rPr>
                <w:rFonts w:ascii="Times New Roman" w:hAnsi="Times New Roman"/>
                <w:bCs/>
                <w:sz w:val="24"/>
                <w:szCs w:val="24"/>
                <w:shd w:val="clear" w:color="auto" w:fill="FFFFFF"/>
              </w:rPr>
              <w:t>,</w:t>
            </w:r>
            <w:r w:rsidRPr="00231489" w:rsidR="005D478E">
              <w:rPr>
                <w:rFonts w:ascii="Times New Roman" w:hAnsi="Times New Roman"/>
                <w:bCs/>
                <w:sz w:val="24"/>
                <w:szCs w:val="24"/>
                <w:shd w:val="clear" w:color="auto" w:fill="FFFFFF"/>
              </w:rPr>
              <w:t xml:space="preserve"> kuri uz</w:t>
            </w:r>
            <w:r w:rsidRPr="00231489" w:rsidR="002D2EF5">
              <w:rPr>
                <w:rFonts w:ascii="Times New Roman" w:hAnsi="Times New Roman"/>
                <w:bCs/>
                <w:sz w:val="24"/>
                <w:szCs w:val="24"/>
                <w:shd w:val="clear" w:color="auto" w:fill="FFFFFF"/>
              </w:rPr>
              <w:t xml:space="preserve"> MK noteikumu</w:t>
            </w:r>
            <w:r w:rsidRPr="00231489" w:rsidR="005D478E">
              <w:rPr>
                <w:rFonts w:ascii="Times New Roman" w:hAnsi="Times New Roman"/>
                <w:bCs/>
                <w:sz w:val="24"/>
                <w:szCs w:val="24"/>
                <w:shd w:val="clear" w:color="auto" w:fill="FFFFFF"/>
              </w:rPr>
              <w:t xml:space="preserve"> projekta spēkā stāšanās </w:t>
            </w:r>
            <w:r w:rsidRPr="00231489" w:rsidR="006D0F24">
              <w:rPr>
                <w:rFonts w:ascii="Times New Roman" w:hAnsi="Times New Roman"/>
                <w:bCs/>
                <w:sz w:val="24"/>
                <w:szCs w:val="24"/>
                <w:shd w:val="clear" w:color="auto" w:fill="FFFFFF"/>
              </w:rPr>
              <w:t xml:space="preserve">brīdi </w:t>
            </w:r>
            <w:r w:rsidRPr="00231489">
              <w:rPr>
                <w:rFonts w:ascii="Times New Roman" w:hAnsi="Times New Roman"/>
                <w:bCs/>
                <w:sz w:val="24"/>
                <w:szCs w:val="24"/>
                <w:shd w:val="clear" w:color="auto" w:fill="FFFFFF"/>
              </w:rPr>
              <w:t>ir apstiprināti</w:t>
            </w:r>
            <w:r w:rsidRPr="00231489" w:rsidR="005D478E">
              <w:rPr>
                <w:rFonts w:ascii="Times New Roman" w:hAnsi="Times New Roman"/>
                <w:bCs/>
                <w:sz w:val="24"/>
                <w:szCs w:val="24"/>
                <w:shd w:val="clear" w:color="auto" w:fill="FFFFFF"/>
              </w:rPr>
              <w:t>,</w:t>
            </w:r>
            <w:r w:rsidRPr="00231489" w:rsidR="009561F5">
              <w:rPr>
                <w:rFonts w:ascii="Times New Roman" w:hAnsi="Times New Roman"/>
                <w:bCs/>
                <w:sz w:val="24"/>
                <w:szCs w:val="24"/>
                <w:shd w:val="clear" w:color="auto" w:fill="FFFFFF"/>
              </w:rPr>
              <w:t xml:space="preserve"> var ierosināt </w:t>
            </w:r>
            <w:r w:rsidRPr="00231489" w:rsidR="005D478E">
              <w:rPr>
                <w:rFonts w:ascii="Times New Roman" w:hAnsi="Times New Roman"/>
                <w:bCs/>
                <w:sz w:val="24"/>
                <w:szCs w:val="24"/>
                <w:shd w:val="clear" w:color="auto" w:fill="FFFFFF"/>
              </w:rPr>
              <w:t xml:space="preserve">veikt </w:t>
            </w:r>
            <w:r w:rsidRPr="00231489" w:rsidR="009561F5">
              <w:rPr>
                <w:rFonts w:ascii="Times New Roman" w:hAnsi="Times New Roman"/>
                <w:bCs/>
                <w:sz w:val="24"/>
                <w:szCs w:val="24"/>
                <w:shd w:val="clear" w:color="auto" w:fill="FFFFFF"/>
              </w:rPr>
              <w:t>groz</w:t>
            </w:r>
            <w:r w:rsidRPr="00231489" w:rsidR="005D478E">
              <w:rPr>
                <w:rFonts w:ascii="Times New Roman" w:hAnsi="Times New Roman"/>
                <w:bCs/>
                <w:sz w:val="24"/>
                <w:szCs w:val="24"/>
                <w:shd w:val="clear" w:color="auto" w:fill="FFFFFF"/>
              </w:rPr>
              <w:t>ījumus</w:t>
            </w:r>
            <w:r w:rsidRPr="00231489" w:rsidR="006D0F24">
              <w:rPr>
                <w:rFonts w:ascii="Times New Roman" w:hAnsi="Times New Roman"/>
                <w:bCs/>
                <w:sz w:val="24"/>
                <w:szCs w:val="24"/>
                <w:shd w:val="clear" w:color="auto" w:fill="FFFFFF"/>
              </w:rPr>
              <w:t xml:space="preserve"> vienošanās par projekta īstenošanu</w:t>
            </w:r>
            <w:r w:rsidRPr="00231489" w:rsidR="009561F5">
              <w:rPr>
                <w:rFonts w:ascii="Times New Roman" w:hAnsi="Times New Roman"/>
                <w:bCs/>
                <w:sz w:val="24"/>
                <w:szCs w:val="24"/>
                <w:shd w:val="clear" w:color="auto" w:fill="FFFFFF"/>
              </w:rPr>
              <w:t xml:space="preserve"> un nepieciešamības gadījumā piemērot j</w:t>
            </w:r>
            <w:r w:rsidRPr="00231489" w:rsidR="00FC6F9C">
              <w:rPr>
                <w:rFonts w:ascii="Times New Roman" w:hAnsi="Times New Roman"/>
                <w:bCs/>
                <w:sz w:val="24"/>
                <w:szCs w:val="24"/>
                <w:shd w:val="clear" w:color="auto" w:fill="FFFFFF"/>
              </w:rPr>
              <w:t>auno regulējumu</w:t>
            </w:r>
            <w:r w:rsidRPr="00231489" w:rsidR="005D478E">
              <w:rPr>
                <w:rFonts w:ascii="Times New Roman" w:hAnsi="Times New Roman"/>
                <w:bCs/>
                <w:sz w:val="24"/>
                <w:szCs w:val="24"/>
                <w:shd w:val="clear" w:color="auto" w:fill="FFFFFF"/>
              </w:rPr>
              <w:t>.</w:t>
            </w:r>
          </w:p>
          <w:p w:rsidR="000565BC" w:rsidRPr="00231489" w:rsidP="00231489" w14:paraId="410DAD3E" w14:textId="77777777">
            <w:pPr>
              <w:spacing w:after="100" w:afterAutospacing="1" w:line="240" w:lineRule="auto"/>
              <w:jc w:val="both"/>
              <w:outlineLvl w:val="0"/>
              <w:rPr>
                <w:rFonts w:ascii="Times New Roman" w:hAnsi="Times New Roman"/>
                <w:sz w:val="24"/>
                <w:szCs w:val="24"/>
              </w:rPr>
            </w:pPr>
            <w:r w:rsidRPr="00231489">
              <w:rPr>
                <w:rFonts w:ascii="Times New Roman" w:hAnsi="Times New Roman"/>
                <w:bCs/>
                <w:sz w:val="24"/>
                <w:szCs w:val="24"/>
                <w:shd w:val="clear" w:color="auto" w:fill="FFFFFF"/>
              </w:rPr>
              <w:t>11</w:t>
            </w:r>
            <w:r w:rsidRPr="00231489" w:rsidR="001B5B17">
              <w:rPr>
                <w:rFonts w:ascii="Times New Roman" w:hAnsi="Times New Roman"/>
                <w:bCs/>
                <w:sz w:val="24"/>
                <w:szCs w:val="24"/>
                <w:shd w:val="clear" w:color="auto" w:fill="FFFFFF"/>
              </w:rPr>
              <w:t>. </w:t>
            </w:r>
            <w:r w:rsidRPr="00231489" w:rsidR="009D450F">
              <w:rPr>
                <w:rFonts w:ascii="Times New Roman" w:hAnsi="Times New Roman"/>
                <w:bCs/>
                <w:sz w:val="24"/>
                <w:szCs w:val="24"/>
              </w:rPr>
              <w:t>MK noteikumu</w:t>
            </w:r>
            <w:r w:rsidRPr="00231489">
              <w:rPr>
                <w:rFonts w:ascii="Times New Roman" w:hAnsi="Times New Roman"/>
                <w:bCs/>
                <w:sz w:val="24"/>
                <w:szCs w:val="24"/>
              </w:rPr>
              <w:t xml:space="preserve"> Nr.</w:t>
            </w:r>
            <w:r w:rsidRPr="00231489" w:rsidR="009A4CB8">
              <w:rPr>
                <w:rFonts w:ascii="Times New Roman" w:hAnsi="Times New Roman"/>
                <w:bCs/>
                <w:sz w:val="24"/>
                <w:szCs w:val="24"/>
              </w:rPr>
              <w:t> </w:t>
            </w:r>
            <w:r w:rsidRPr="00231489" w:rsidR="00B35439">
              <w:rPr>
                <w:rFonts w:ascii="Times New Roman" w:hAnsi="Times New Roman"/>
                <w:bCs/>
                <w:sz w:val="24"/>
                <w:szCs w:val="24"/>
              </w:rPr>
              <w:t>645</w:t>
            </w:r>
            <w:r w:rsidRPr="00231489">
              <w:rPr>
                <w:rFonts w:ascii="Times New Roman" w:hAnsi="Times New Roman"/>
                <w:bCs/>
                <w:sz w:val="24"/>
                <w:szCs w:val="24"/>
              </w:rPr>
              <w:t xml:space="preserve"> 19.1.1. apakšpunkts paredz, ka projekta iesniedzējs ir pašvaldība vai tās izveidota iestāde. MK noteikumu Nr. </w:t>
            </w:r>
            <w:r w:rsidRPr="00231489" w:rsidR="00B35439">
              <w:rPr>
                <w:rFonts w:ascii="Times New Roman" w:hAnsi="Times New Roman"/>
                <w:bCs/>
                <w:sz w:val="24"/>
                <w:szCs w:val="24"/>
              </w:rPr>
              <w:t>645</w:t>
            </w:r>
            <w:r w:rsidRPr="00231489">
              <w:rPr>
                <w:rFonts w:ascii="Times New Roman" w:hAnsi="Times New Roman"/>
                <w:bCs/>
                <w:sz w:val="24"/>
                <w:szCs w:val="24"/>
              </w:rPr>
              <w:t xml:space="preserve"> 27.4. apakšpunkts paredz, ka par sadarbības partneri projektā var piesaistīt pašvaldību. Savukārt MK noteikumu Nr. </w:t>
            </w:r>
            <w:r w:rsidRPr="00231489" w:rsidR="00B35439">
              <w:rPr>
                <w:rFonts w:ascii="Times New Roman" w:hAnsi="Times New Roman"/>
                <w:bCs/>
                <w:sz w:val="24"/>
                <w:szCs w:val="24"/>
              </w:rPr>
              <w:t>645</w:t>
            </w:r>
            <w:r w:rsidRPr="00231489">
              <w:rPr>
                <w:rFonts w:ascii="Times New Roman" w:hAnsi="Times New Roman"/>
                <w:bCs/>
                <w:sz w:val="24"/>
                <w:szCs w:val="24"/>
              </w:rPr>
              <w:t xml:space="preserve"> 22.</w:t>
            </w:r>
            <w:r w:rsidRPr="00231489" w:rsidR="00E636EB">
              <w:rPr>
                <w:rFonts w:ascii="Times New Roman" w:hAnsi="Times New Roman"/>
                <w:bCs/>
                <w:sz w:val="24"/>
                <w:szCs w:val="24"/>
              </w:rPr>
              <w:t> </w:t>
            </w:r>
            <w:r w:rsidRPr="00231489">
              <w:rPr>
                <w:rFonts w:ascii="Times New Roman" w:hAnsi="Times New Roman"/>
                <w:bCs/>
                <w:sz w:val="24"/>
                <w:szCs w:val="24"/>
              </w:rPr>
              <w:t>punkts nosaka, ka projekta iesniedzēja līdzfinansējumā paredz valsts budžeta dotāciju atbilstoši normatīvajiem aktiem par valsts budžeta dotācijas piešķiršanu pašvaldībā</w:t>
            </w:r>
            <w:r w:rsidRPr="00231489" w:rsidR="00E36054">
              <w:rPr>
                <w:rFonts w:ascii="Times New Roman" w:hAnsi="Times New Roman"/>
                <w:bCs/>
                <w:sz w:val="24"/>
                <w:szCs w:val="24"/>
              </w:rPr>
              <w:t>m ES</w:t>
            </w:r>
            <w:r w:rsidRPr="00231489">
              <w:rPr>
                <w:rFonts w:ascii="Times New Roman" w:hAnsi="Times New Roman"/>
                <w:bCs/>
                <w:sz w:val="24"/>
                <w:szCs w:val="24"/>
              </w:rPr>
              <w:t xml:space="preserve"> struktūrfondu un Kohēzijas fonda 2014.-2020.</w:t>
            </w:r>
            <w:r w:rsidRPr="00231489" w:rsidR="00E636EB">
              <w:rPr>
                <w:rFonts w:ascii="Times New Roman" w:hAnsi="Times New Roman"/>
                <w:bCs/>
                <w:sz w:val="24"/>
                <w:szCs w:val="24"/>
              </w:rPr>
              <w:t> </w:t>
            </w:r>
            <w:r w:rsidRPr="00231489">
              <w:rPr>
                <w:rFonts w:ascii="Times New Roman" w:hAnsi="Times New Roman"/>
                <w:bCs/>
                <w:sz w:val="24"/>
                <w:szCs w:val="24"/>
              </w:rPr>
              <w:t xml:space="preserve">gada plānošanas periodā līdzfinansēto projektu īstenošanai. </w:t>
            </w:r>
            <w:r w:rsidRPr="00231489">
              <w:rPr>
                <w:rFonts w:ascii="Times New Roman" w:hAnsi="Times New Roman"/>
                <w:iCs/>
                <w:sz w:val="24"/>
                <w:szCs w:val="24"/>
                <w:shd w:val="clear" w:color="auto" w:fill="FFFFFF"/>
              </w:rPr>
              <w:t>Ņemot vērā, ka MK noteikumu Nr. 42 2. punkts nosaka, ka valsts budžeta dotāciju, sagatavojot projekta iesniegumu ES fonda specifiskā atbalsta mērķa īstenošanai, aprēķina pašvaldībai vai tās izveidotai iestādei, kas ir projekta iesniedzējs vai p</w:t>
            </w:r>
            <w:r w:rsidRPr="00231489" w:rsidR="00135C5F">
              <w:rPr>
                <w:rFonts w:ascii="Times New Roman" w:hAnsi="Times New Roman"/>
                <w:iCs/>
                <w:sz w:val="24"/>
                <w:szCs w:val="24"/>
                <w:shd w:val="clear" w:color="auto" w:fill="FFFFFF"/>
              </w:rPr>
              <w:t xml:space="preserve">rojekta sadarbības partneris, </w:t>
            </w:r>
            <w:r w:rsidRPr="00231489">
              <w:rPr>
                <w:rFonts w:ascii="Times New Roman" w:hAnsi="Times New Roman"/>
                <w:iCs/>
                <w:sz w:val="24"/>
                <w:szCs w:val="24"/>
                <w:shd w:val="clear" w:color="auto" w:fill="FFFFFF"/>
              </w:rPr>
              <w:t>MK noteikumu Nr. </w:t>
            </w:r>
            <w:r w:rsidRPr="00231489" w:rsidR="00B35439">
              <w:rPr>
                <w:rFonts w:ascii="Times New Roman" w:hAnsi="Times New Roman"/>
                <w:iCs/>
                <w:sz w:val="24"/>
                <w:szCs w:val="24"/>
                <w:shd w:val="clear" w:color="auto" w:fill="FFFFFF"/>
              </w:rPr>
              <w:t>645</w:t>
            </w:r>
            <w:r w:rsidRPr="00231489">
              <w:rPr>
                <w:rFonts w:ascii="Times New Roman" w:hAnsi="Times New Roman"/>
                <w:iCs/>
                <w:sz w:val="24"/>
                <w:szCs w:val="24"/>
                <w:shd w:val="clear" w:color="auto" w:fill="FFFFFF"/>
              </w:rPr>
              <w:t xml:space="preserve"> 22.</w:t>
            </w:r>
            <w:r w:rsidRPr="00231489" w:rsidR="008A317D">
              <w:rPr>
                <w:rFonts w:ascii="Times New Roman" w:hAnsi="Times New Roman"/>
                <w:iCs/>
                <w:sz w:val="24"/>
                <w:szCs w:val="24"/>
                <w:shd w:val="clear" w:color="auto" w:fill="FFFFFF"/>
              </w:rPr>
              <w:t> </w:t>
            </w:r>
            <w:r w:rsidRPr="00231489" w:rsidR="00ED62AA">
              <w:rPr>
                <w:rFonts w:ascii="Times New Roman" w:hAnsi="Times New Roman"/>
                <w:iCs/>
                <w:sz w:val="24"/>
                <w:szCs w:val="24"/>
                <w:shd w:val="clear" w:color="auto" w:fill="FFFFFF"/>
              </w:rPr>
              <w:t>punkts</w:t>
            </w:r>
            <w:r w:rsidRPr="00231489">
              <w:rPr>
                <w:rFonts w:ascii="Times New Roman" w:hAnsi="Times New Roman"/>
                <w:iCs/>
                <w:sz w:val="24"/>
                <w:szCs w:val="24"/>
                <w:shd w:val="clear" w:color="auto" w:fill="FFFFFF"/>
              </w:rPr>
              <w:t xml:space="preserve"> </w:t>
            </w:r>
            <w:r w:rsidRPr="00231489" w:rsidR="00ED62AA">
              <w:rPr>
                <w:rFonts w:ascii="Times New Roman" w:hAnsi="Times New Roman"/>
                <w:iCs/>
                <w:sz w:val="24"/>
                <w:szCs w:val="24"/>
                <w:shd w:val="clear" w:color="auto" w:fill="FFFFFF"/>
              </w:rPr>
              <w:t>precizēts</w:t>
            </w:r>
            <w:r w:rsidRPr="00231489">
              <w:rPr>
                <w:rFonts w:ascii="Times New Roman" w:hAnsi="Times New Roman"/>
                <w:iCs/>
                <w:sz w:val="24"/>
                <w:szCs w:val="24"/>
                <w:shd w:val="clear" w:color="auto" w:fill="FFFFFF"/>
              </w:rPr>
              <w:t>, lai pašvaldībai kā sadarbības partnerim paredzētu iespēju saņemt valsts budžeta dotāciju.</w:t>
            </w:r>
          </w:p>
          <w:p w:rsidR="00B12A8A" w:rsidRPr="00231489" w:rsidP="00231489" w14:paraId="2CAEB5FB" w14:textId="35A11B6B">
            <w:pPr>
              <w:spacing w:after="100" w:afterAutospacing="1" w:line="240" w:lineRule="auto"/>
              <w:jc w:val="both"/>
              <w:outlineLvl w:val="0"/>
              <w:rPr>
                <w:rFonts w:ascii="Times New Roman" w:hAnsi="Times New Roman"/>
                <w:sz w:val="24"/>
                <w:szCs w:val="24"/>
              </w:rPr>
            </w:pPr>
            <w:r w:rsidRPr="00231489">
              <w:rPr>
                <w:rFonts w:ascii="Times New Roman" w:hAnsi="Times New Roman"/>
                <w:iCs/>
                <w:sz w:val="24"/>
                <w:szCs w:val="24"/>
                <w:shd w:val="clear" w:color="auto" w:fill="FFFFFF"/>
              </w:rPr>
              <w:t>12</w:t>
            </w:r>
            <w:r w:rsidRPr="00231489" w:rsidR="00B35439">
              <w:rPr>
                <w:rFonts w:ascii="Times New Roman" w:hAnsi="Times New Roman"/>
                <w:iCs/>
                <w:sz w:val="24"/>
                <w:szCs w:val="24"/>
                <w:shd w:val="clear" w:color="auto" w:fill="FFFFFF"/>
              </w:rPr>
              <w:t>.</w:t>
            </w:r>
            <w:r w:rsidRPr="00231489" w:rsidR="00C05587">
              <w:rPr>
                <w:rFonts w:ascii="Times New Roman" w:hAnsi="Times New Roman"/>
                <w:bCs/>
                <w:sz w:val="24"/>
                <w:szCs w:val="24"/>
              </w:rPr>
              <w:t> </w:t>
            </w:r>
            <w:r w:rsidRPr="00231489" w:rsidR="00E5762E">
              <w:rPr>
                <w:rFonts w:ascii="Times New Roman" w:hAnsi="Times New Roman"/>
                <w:bCs/>
                <w:sz w:val="24"/>
                <w:szCs w:val="24"/>
              </w:rPr>
              <w:t>MK n</w:t>
            </w:r>
            <w:r w:rsidRPr="00231489" w:rsidR="00A338F3">
              <w:rPr>
                <w:rFonts w:ascii="Times New Roman" w:hAnsi="Times New Roman"/>
                <w:bCs/>
                <w:sz w:val="24"/>
                <w:szCs w:val="24"/>
              </w:rPr>
              <w:t>oteikumu projekts paredz noteikt izņēmumu, ka nacionāl</w:t>
            </w:r>
            <w:r w:rsidRPr="00231489">
              <w:rPr>
                <w:rFonts w:ascii="Times New Roman" w:hAnsi="Times New Roman"/>
                <w:bCs/>
                <w:sz w:val="24"/>
                <w:szCs w:val="24"/>
              </w:rPr>
              <w:t>ā finansējuma proporcija kopā (vai projektā)</w:t>
            </w:r>
            <w:r w:rsidRPr="00231489">
              <w:rPr>
                <w:rFonts w:ascii="Times New Roman" w:hAnsi="Times New Roman"/>
                <w:sz w:val="24"/>
                <w:szCs w:val="24"/>
              </w:rPr>
              <w:t xml:space="preserve"> var būt mazāka</w:t>
            </w:r>
            <w:r w:rsidRPr="00231489" w:rsidR="009717AA">
              <w:rPr>
                <w:rFonts w:ascii="Times New Roman" w:hAnsi="Times New Roman"/>
                <w:sz w:val="24"/>
                <w:szCs w:val="24"/>
              </w:rPr>
              <w:t>,</w:t>
            </w:r>
            <w:r w:rsidRPr="00231489" w:rsidR="00A338F3">
              <w:rPr>
                <w:rFonts w:ascii="Times New Roman" w:hAnsi="Times New Roman"/>
                <w:sz w:val="24"/>
                <w:szCs w:val="24"/>
              </w:rPr>
              <w:t xml:space="preserve"> </w:t>
            </w:r>
            <w:r w:rsidRPr="00231489" w:rsidR="009717AA">
              <w:rPr>
                <w:rFonts w:ascii="Times New Roman" w:hAnsi="Times New Roman"/>
                <w:sz w:val="24"/>
                <w:szCs w:val="24"/>
              </w:rPr>
              <w:t>ne</w:t>
            </w:r>
            <w:r w:rsidRPr="00231489" w:rsidR="00A338F3">
              <w:rPr>
                <w:rFonts w:ascii="Times New Roman" w:hAnsi="Times New Roman"/>
                <w:sz w:val="24"/>
                <w:szCs w:val="24"/>
              </w:rPr>
              <w:t xml:space="preserve">kā šobrīd MK </w:t>
            </w:r>
            <w:r w:rsidRPr="00231489" w:rsidR="00A338F3">
              <w:rPr>
                <w:rFonts w:ascii="Times New Roman" w:hAnsi="Times New Roman"/>
                <w:sz w:val="24"/>
                <w:szCs w:val="24"/>
              </w:rPr>
              <w:t>noteikumos Nr. </w:t>
            </w:r>
            <w:r w:rsidRPr="00231489" w:rsidR="00B35439">
              <w:rPr>
                <w:rFonts w:ascii="Times New Roman" w:hAnsi="Times New Roman"/>
                <w:sz w:val="24"/>
                <w:szCs w:val="24"/>
              </w:rPr>
              <w:t>645</w:t>
            </w:r>
            <w:r w:rsidRPr="00231489" w:rsidR="00CA13BA">
              <w:rPr>
                <w:rFonts w:ascii="Times New Roman" w:hAnsi="Times New Roman"/>
                <w:sz w:val="24"/>
                <w:szCs w:val="24"/>
              </w:rPr>
              <w:t xml:space="preserve"> noteiktā (15%)</w:t>
            </w:r>
            <w:r w:rsidRPr="00231489" w:rsidR="00A338F3">
              <w:rPr>
                <w:rFonts w:ascii="Times New Roman" w:hAnsi="Times New Roman"/>
                <w:sz w:val="24"/>
                <w:szCs w:val="24"/>
              </w:rPr>
              <w:t xml:space="preserve">, ja projekta iesniedzējs vai sadarbības partneris projekta pamatojošās dokumentācijas sagatavošanas izmaksas (piemēram, būvprojekta, būvdarbu ieceres dokumentācijas, finanšu analīzes, izmaksu un ieguvumu analīzes izstrādes u.c. izmaksas) </w:t>
            </w:r>
            <w:r w:rsidRPr="00231489" w:rsidR="007230E4">
              <w:rPr>
                <w:rFonts w:ascii="Times New Roman" w:hAnsi="Times New Roman"/>
                <w:sz w:val="24"/>
                <w:szCs w:val="24"/>
              </w:rPr>
              <w:t xml:space="preserve">ietver projektā kā attiecināmās izmaksas saskaņā ar </w:t>
            </w:r>
            <w:r w:rsidRPr="00231489" w:rsidR="007230E4">
              <w:rPr>
                <w:rFonts w:ascii="Times New Roman" w:hAnsi="Times New Roman"/>
                <w:i/>
                <w:sz w:val="24"/>
                <w:szCs w:val="24"/>
              </w:rPr>
              <w:t>de minimis</w:t>
            </w:r>
            <w:r w:rsidRPr="00231489" w:rsidR="007230E4">
              <w:rPr>
                <w:rFonts w:ascii="Times New Roman" w:hAnsi="Times New Roman"/>
                <w:sz w:val="24"/>
                <w:szCs w:val="24"/>
              </w:rPr>
              <w:t xml:space="preserve"> atbalsta regulējumu</w:t>
            </w:r>
            <w:r w:rsidRPr="00231489" w:rsidR="007230E4">
              <w:rPr>
                <w:color w:val="1F497D"/>
              </w:rPr>
              <w:t xml:space="preserve"> </w:t>
            </w:r>
            <w:r w:rsidRPr="00231489" w:rsidR="001E6803">
              <w:rPr>
                <w:rFonts w:ascii="Times New Roman" w:hAnsi="Times New Roman"/>
                <w:bCs/>
                <w:sz w:val="24"/>
                <w:szCs w:val="24"/>
                <w:shd w:val="clear" w:color="auto" w:fill="FFFFFF"/>
              </w:rPr>
              <w:t xml:space="preserve">(MK noteikumu </w:t>
            </w:r>
            <w:r w:rsidRPr="00231489" w:rsidR="00D101A2">
              <w:rPr>
                <w:rFonts w:ascii="Times New Roman" w:hAnsi="Times New Roman"/>
                <w:bCs/>
                <w:sz w:val="24"/>
                <w:szCs w:val="24"/>
                <w:shd w:val="clear" w:color="auto" w:fill="FFFFFF"/>
              </w:rPr>
              <w:t>projekta</w:t>
            </w:r>
            <w:r w:rsidRPr="00231489" w:rsidR="001E6803">
              <w:rPr>
                <w:rFonts w:ascii="Times New Roman" w:hAnsi="Times New Roman"/>
                <w:bCs/>
                <w:sz w:val="24"/>
                <w:szCs w:val="24"/>
                <w:shd w:val="clear" w:color="auto" w:fill="FFFFFF"/>
              </w:rPr>
              <w:t xml:space="preserve"> </w:t>
            </w:r>
            <w:r w:rsidRPr="00231489" w:rsidR="006F25EB">
              <w:rPr>
                <w:rFonts w:ascii="Times New Roman" w:hAnsi="Times New Roman"/>
                <w:bCs/>
                <w:sz w:val="24"/>
                <w:szCs w:val="24"/>
                <w:shd w:val="clear" w:color="auto" w:fill="FFFFFF"/>
              </w:rPr>
              <w:t>6</w:t>
            </w:r>
            <w:r w:rsidRPr="00231489" w:rsidR="00D101A2">
              <w:rPr>
                <w:rFonts w:ascii="Times New Roman" w:hAnsi="Times New Roman"/>
                <w:bCs/>
                <w:sz w:val="24"/>
                <w:szCs w:val="24"/>
                <w:shd w:val="clear" w:color="auto" w:fill="FFFFFF"/>
              </w:rPr>
              <w:t>. </w:t>
            </w:r>
            <w:r w:rsidRPr="00231489" w:rsidR="001E6803">
              <w:rPr>
                <w:rFonts w:ascii="Times New Roman" w:hAnsi="Times New Roman"/>
                <w:bCs/>
                <w:sz w:val="24"/>
                <w:szCs w:val="24"/>
                <w:shd w:val="clear" w:color="auto" w:fill="FFFFFF"/>
              </w:rPr>
              <w:t>punkts).</w:t>
            </w:r>
            <w:r w:rsidRPr="00231489" w:rsidR="00EE7D16">
              <w:rPr>
                <w:rFonts w:ascii="Times New Roman" w:hAnsi="Times New Roman"/>
                <w:bCs/>
                <w:sz w:val="24"/>
                <w:szCs w:val="24"/>
                <w:shd w:val="clear" w:color="auto" w:fill="FFFFFF"/>
              </w:rPr>
              <w:t xml:space="preserve"> </w:t>
            </w:r>
            <w:r w:rsidRPr="00231489" w:rsidR="00611E36">
              <w:rPr>
                <w:rFonts w:ascii="Times New Roman" w:hAnsi="Times New Roman"/>
                <w:sz w:val="24"/>
                <w:szCs w:val="24"/>
              </w:rPr>
              <w:t xml:space="preserve"> </w:t>
            </w:r>
            <w:r w:rsidRPr="00231489">
              <w:rPr>
                <w:rFonts w:ascii="Times New Roman" w:hAnsi="Times New Roman"/>
                <w:sz w:val="24"/>
                <w:szCs w:val="24"/>
              </w:rPr>
              <w:t>MK noteikumos Nr.</w:t>
            </w:r>
            <w:r w:rsidRPr="00231489" w:rsidR="00207D49">
              <w:rPr>
                <w:rFonts w:ascii="Times New Roman" w:hAnsi="Times New Roman"/>
                <w:sz w:val="24"/>
                <w:szCs w:val="24"/>
              </w:rPr>
              <w:t> </w:t>
            </w:r>
            <w:r w:rsidRPr="00231489">
              <w:rPr>
                <w:rFonts w:ascii="Times New Roman" w:hAnsi="Times New Roman"/>
                <w:sz w:val="24"/>
                <w:szCs w:val="24"/>
              </w:rPr>
              <w:t>645 noteikto Eiropas Reģionālā attīstības fonda (turpmāk – ERAF) finansējuma apmēru veido gan MK noteikumu Nr.</w:t>
            </w:r>
            <w:r w:rsidRPr="00231489" w:rsidR="00207D49">
              <w:rPr>
                <w:rFonts w:ascii="Times New Roman" w:hAnsi="Times New Roman"/>
                <w:sz w:val="24"/>
                <w:szCs w:val="24"/>
              </w:rPr>
              <w:t> </w:t>
            </w:r>
            <w:r w:rsidRPr="00231489">
              <w:rPr>
                <w:rFonts w:ascii="Times New Roman" w:hAnsi="Times New Roman"/>
                <w:sz w:val="24"/>
                <w:szCs w:val="24"/>
              </w:rPr>
              <w:t xml:space="preserve">645 norādītā summa (ERAF atbalsta intensitāte 45%, 50%, 55% vai 85% no attiecināmajām izmaksām), gan summa, kas projektā tiek piešķirta kā </w:t>
            </w:r>
            <w:r w:rsidRPr="00231489">
              <w:rPr>
                <w:rFonts w:ascii="Times New Roman" w:hAnsi="Times New Roman"/>
                <w:i/>
                <w:sz w:val="24"/>
                <w:szCs w:val="24"/>
              </w:rPr>
              <w:t>de minimis</w:t>
            </w:r>
            <w:r w:rsidRPr="00231489">
              <w:rPr>
                <w:rFonts w:ascii="Times New Roman" w:hAnsi="Times New Roman"/>
                <w:sz w:val="24"/>
                <w:szCs w:val="24"/>
              </w:rPr>
              <w:t xml:space="preserve"> atb</w:t>
            </w:r>
            <w:r w:rsidRPr="00231489" w:rsidR="00207D49">
              <w:rPr>
                <w:rFonts w:ascii="Times New Roman" w:hAnsi="Times New Roman"/>
                <w:sz w:val="24"/>
                <w:szCs w:val="24"/>
              </w:rPr>
              <w:t>alsts (100% no MK noteikumu Nr. 645 48.2. </w:t>
            </w:r>
            <w:r w:rsidRPr="00231489">
              <w:rPr>
                <w:rFonts w:ascii="Times New Roman" w:hAnsi="Times New Roman"/>
                <w:sz w:val="24"/>
                <w:szCs w:val="24"/>
              </w:rPr>
              <w:t>apakšpunktā minētajām  attiecināmajām izmaksām). Piemēram, ja projektā paredzētas ēkas izbūves izmaksas ar maksimālo atbalsta intensitāti (t.i. šajā piemērā atbalsta intensitāte ir iespējamais publisko resursu maksimālais apjoms t.sk. ERAF, pašvaldības publiskais finansējums, valsts budžeta dotācija) 97% (starpība starp projekta pamatdarbības izmaksām un projekta peļņu no pamatdarbības) un  projekta pamatojošās dokumentācijas sagatavošanas izmaksas ar 100% intensitāti (t.i. šajā piemērā atbalsta intensitāte ir iespējamais publisko resursu maksimālais apjoms - ERAF), tad ERAF finansējumu veidos 85% no iepriekšminētajiem 97% un 100% no projekta pamatojošās dokumentācijas izmaksām, pašvaldības līdzfinansējums būtu 15% no iepriekšminētajiem 97%, privātais finansējums nodrošināms 3% apmērā no ēkas izbūves attiecināmajām izmaksām.</w:t>
            </w:r>
          </w:p>
          <w:p w:rsidR="00585B03" w:rsidRPr="00231489" w:rsidP="00231489" w14:paraId="26694A9F" w14:textId="456EC605">
            <w:pPr>
              <w:spacing w:after="100" w:afterAutospacing="1" w:line="240" w:lineRule="auto"/>
              <w:jc w:val="both"/>
              <w:rPr>
                <w:rFonts w:ascii="Times New Roman" w:hAnsi="Times New Roman"/>
                <w:bCs/>
                <w:sz w:val="24"/>
                <w:szCs w:val="24"/>
              </w:rPr>
            </w:pPr>
            <w:r w:rsidRPr="00231489">
              <w:rPr>
                <w:rFonts w:ascii="Times New Roman" w:hAnsi="Times New Roman"/>
                <w:bCs/>
                <w:sz w:val="24"/>
                <w:szCs w:val="24"/>
              </w:rPr>
              <w:t>Vienlaikus, lai novērstu iespēju, ka SAM 5.6.2. ietvaros kopumā ERAF finansējums pārsniedz 85% no kopējām attiecināmajām izmaksām,  Reģionālās attīstības koordinācijas padomes</w:t>
            </w:r>
            <w:r w:rsidRPr="00231489" w:rsidR="007C0567">
              <w:rPr>
                <w:rFonts w:ascii="Times New Roman" w:hAnsi="Times New Roman"/>
                <w:bCs/>
                <w:sz w:val="24"/>
                <w:szCs w:val="24"/>
              </w:rPr>
              <w:t>,</w:t>
            </w:r>
            <w:r w:rsidRPr="00231489">
              <w:rPr>
                <w:rFonts w:ascii="Times New Roman" w:hAnsi="Times New Roman"/>
                <w:bCs/>
                <w:sz w:val="24"/>
                <w:szCs w:val="24"/>
              </w:rPr>
              <w:t xml:space="preserve"> CFLA un republikas pilsētu projektu iesniegumu vērtēšanas komisijas ietvaros tiks kontrolēts katrai pašvaldībai individuāli noteiktais ERAF finansējums (kas tiek darīts jau šobrīd) un līdz ar to arī pašvaldības līdzfinansējums, kas nevar būt mazāks par 15% no kopējām attiecināmajām izmaksām. Vērtējot Kohēzijas politikas vadības informācijas sistēmas informāciju uz 08.05.2017. par iesniegtajiem un apstiprinātajiem</w:t>
            </w:r>
            <w:r w:rsidRPr="00231489" w:rsidR="007C0567">
              <w:rPr>
                <w:rFonts w:ascii="Times New Roman" w:hAnsi="Times New Roman"/>
                <w:bCs/>
                <w:sz w:val="24"/>
                <w:szCs w:val="24"/>
              </w:rPr>
              <w:t xml:space="preserve"> projektiem</w:t>
            </w:r>
            <w:r w:rsidRPr="00231489" w:rsidR="00700575">
              <w:rPr>
                <w:rFonts w:ascii="Times New Roman" w:hAnsi="Times New Roman"/>
                <w:bCs/>
                <w:sz w:val="24"/>
                <w:szCs w:val="24"/>
              </w:rPr>
              <w:t xml:space="preserve"> SAM</w:t>
            </w:r>
            <w:r w:rsidRPr="00231489" w:rsidR="007C0567">
              <w:rPr>
                <w:rFonts w:ascii="Times New Roman" w:hAnsi="Times New Roman"/>
                <w:bCs/>
                <w:sz w:val="24"/>
                <w:szCs w:val="24"/>
              </w:rPr>
              <w:t xml:space="preserve"> </w:t>
            </w:r>
            <w:r w:rsidRPr="00231489">
              <w:rPr>
                <w:rFonts w:ascii="Times New Roman" w:hAnsi="Times New Roman"/>
                <w:bCs/>
                <w:sz w:val="24"/>
                <w:szCs w:val="24"/>
              </w:rPr>
              <w:t xml:space="preserve">5.6.2. ietvaros, jāsecina, ka no </w:t>
            </w:r>
            <w:r w:rsidRPr="00231489" w:rsidR="00700575">
              <w:rPr>
                <w:rFonts w:ascii="Times New Roman" w:hAnsi="Times New Roman"/>
                <w:bCs/>
                <w:sz w:val="24"/>
                <w:szCs w:val="24"/>
              </w:rPr>
              <w:t xml:space="preserve">26 </w:t>
            </w:r>
            <w:r w:rsidRPr="00231489">
              <w:rPr>
                <w:rFonts w:ascii="Times New Roman" w:hAnsi="Times New Roman"/>
                <w:bCs/>
                <w:sz w:val="24"/>
                <w:szCs w:val="24"/>
              </w:rPr>
              <w:t>iesniegt</w:t>
            </w:r>
            <w:r w:rsidRPr="00231489" w:rsidR="00700575">
              <w:rPr>
                <w:rFonts w:ascii="Times New Roman" w:hAnsi="Times New Roman"/>
                <w:bCs/>
                <w:sz w:val="24"/>
                <w:szCs w:val="24"/>
              </w:rPr>
              <w:t>ajiem</w:t>
            </w:r>
            <w:r w:rsidRPr="00231489">
              <w:rPr>
                <w:rFonts w:ascii="Times New Roman" w:hAnsi="Times New Roman"/>
                <w:bCs/>
                <w:sz w:val="24"/>
                <w:szCs w:val="24"/>
              </w:rPr>
              <w:t xml:space="preserve"> projekt</w:t>
            </w:r>
            <w:r w:rsidRPr="00231489" w:rsidR="00700575">
              <w:rPr>
                <w:rFonts w:ascii="Times New Roman" w:hAnsi="Times New Roman"/>
                <w:bCs/>
                <w:sz w:val="24"/>
                <w:szCs w:val="24"/>
              </w:rPr>
              <w:t>iem</w:t>
            </w:r>
            <w:r w:rsidRPr="00231489">
              <w:rPr>
                <w:rFonts w:ascii="Times New Roman" w:hAnsi="Times New Roman"/>
                <w:bCs/>
                <w:sz w:val="24"/>
                <w:szCs w:val="24"/>
              </w:rPr>
              <w:t xml:space="preserve"> </w:t>
            </w:r>
            <w:r w:rsidRPr="00231489" w:rsidR="00700575">
              <w:rPr>
                <w:rFonts w:ascii="Times New Roman" w:hAnsi="Times New Roman"/>
                <w:bCs/>
                <w:sz w:val="24"/>
                <w:szCs w:val="24"/>
              </w:rPr>
              <w:t xml:space="preserve">septiņiem </w:t>
            </w:r>
            <w:r w:rsidRPr="00231489">
              <w:rPr>
                <w:rFonts w:ascii="Times New Roman" w:hAnsi="Times New Roman"/>
                <w:bCs/>
                <w:sz w:val="24"/>
                <w:szCs w:val="24"/>
              </w:rPr>
              <w:t xml:space="preserve">projektiem atbalsta intensitāte ir mazāka par 85%. Līdz ar to vidējā atbalsta intensitāte specifiskajā atbalsta mērķī starp iesniegtajiem projektiem kopumā šobrīd ir zem 82%. Ņemot vērā to, ka </w:t>
            </w:r>
            <w:r w:rsidRPr="00231489" w:rsidR="002E6122">
              <w:rPr>
                <w:rFonts w:ascii="Times New Roman" w:hAnsi="Times New Roman"/>
                <w:bCs/>
                <w:i/>
                <w:sz w:val="24"/>
                <w:szCs w:val="24"/>
              </w:rPr>
              <w:t>de </w:t>
            </w:r>
            <w:r w:rsidRPr="00231489">
              <w:rPr>
                <w:rFonts w:ascii="Times New Roman" w:hAnsi="Times New Roman"/>
                <w:bCs/>
                <w:i/>
                <w:sz w:val="24"/>
                <w:szCs w:val="24"/>
              </w:rPr>
              <w:t>minimis</w:t>
            </w:r>
            <w:r w:rsidRPr="00231489">
              <w:rPr>
                <w:rFonts w:ascii="Times New Roman" w:hAnsi="Times New Roman"/>
                <w:bCs/>
                <w:sz w:val="24"/>
                <w:szCs w:val="24"/>
              </w:rPr>
              <w:t xml:space="preserve"> izmaksas (projekta pamatojošās dokumentācijas sagatavošanas izmaksas) projektā nevar pārsniegt septiņus procentus no projekta kopējām attiecināmajām izmaksām, kā arī to, ka </w:t>
            </w:r>
            <w:r w:rsidRPr="00231489">
              <w:rPr>
                <w:rFonts w:ascii="Times New Roman" w:hAnsi="Times New Roman"/>
                <w:bCs/>
                <w:i/>
                <w:sz w:val="24"/>
                <w:szCs w:val="24"/>
              </w:rPr>
              <w:t>de minimis</w:t>
            </w:r>
            <w:r w:rsidRPr="00231489">
              <w:rPr>
                <w:rFonts w:ascii="Times New Roman" w:hAnsi="Times New Roman"/>
                <w:bCs/>
                <w:sz w:val="24"/>
                <w:szCs w:val="24"/>
              </w:rPr>
              <w:t xml:space="preserve"> izmaksām ir ierobežots apmērs un ka no šobrīd iesniegtajiem projektiem nav neviena projekta, kurā būtu pārsniegta 85% ERAF finansējuma atbalsta intensitāte, prognozējams, ka projektu, kuros varētu tikt pārsniegta 85% ERAF atbalsta intensitāte, būs ļoti maz.</w:t>
            </w:r>
          </w:p>
          <w:p w:rsidR="0099403A" w:rsidRPr="00231489" w:rsidP="00231489" w14:paraId="78A944D6" w14:textId="6EA58AB2">
            <w:pPr>
              <w:spacing w:after="100" w:afterAutospacing="1" w:line="240" w:lineRule="auto"/>
              <w:jc w:val="both"/>
              <w:rPr>
                <w:rFonts w:ascii="Times New Roman" w:hAnsi="Times New Roman"/>
                <w:bCs/>
                <w:sz w:val="24"/>
                <w:szCs w:val="24"/>
              </w:rPr>
            </w:pPr>
            <w:r w:rsidRPr="00231489">
              <w:rPr>
                <w:rFonts w:ascii="Times New Roman" w:hAnsi="Times New Roman"/>
                <w:bCs/>
                <w:sz w:val="24"/>
                <w:szCs w:val="24"/>
              </w:rPr>
              <w:t>13. </w:t>
            </w:r>
            <w:r w:rsidRPr="00231489" w:rsidR="00C25396">
              <w:rPr>
                <w:rFonts w:ascii="Times New Roman" w:hAnsi="Times New Roman"/>
                <w:bCs/>
                <w:sz w:val="24"/>
                <w:szCs w:val="24"/>
              </w:rPr>
              <w:t>MK noteikumu projekts</w:t>
            </w:r>
            <w:r w:rsidRPr="00231489">
              <w:rPr>
                <w:rFonts w:ascii="Times New Roman" w:hAnsi="Times New Roman"/>
                <w:bCs/>
                <w:sz w:val="24"/>
                <w:szCs w:val="24"/>
              </w:rPr>
              <w:t xml:space="preserve"> </w:t>
            </w:r>
            <w:r w:rsidRPr="00231489" w:rsidR="00C25396">
              <w:rPr>
                <w:rFonts w:ascii="Times New Roman" w:hAnsi="Times New Roman"/>
                <w:bCs/>
                <w:sz w:val="24"/>
                <w:szCs w:val="24"/>
              </w:rPr>
              <w:t>paredz</w:t>
            </w:r>
            <w:r w:rsidRPr="00231489" w:rsidR="00271263">
              <w:rPr>
                <w:rFonts w:ascii="Times New Roman" w:hAnsi="Times New Roman"/>
                <w:bCs/>
                <w:sz w:val="24"/>
                <w:szCs w:val="24"/>
              </w:rPr>
              <w:t xml:space="preserve"> precizēt MK noteikumu Nr.</w:t>
            </w:r>
            <w:r w:rsidRPr="00231489" w:rsidR="00D6591C">
              <w:rPr>
                <w:rFonts w:ascii="Times New Roman" w:hAnsi="Times New Roman"/>
                <w:bCs/>
                <w:sz w:val="24"/>
                <w:szCs w:val="24"/>
              </w:rPr>
              <w:t> 645 9.1.1. </w:t>
            </w:r>
            <w:r w:rsidRPr="00231489" w:rsidR="00271263">
              <w:rPr>
                <w:rFonts w:ascii="Times New Roman" w:hAnsi="Times New Roman"/>
                <w:bCs/>
                <w:sz w:val="24"/>
                <w:szCs w:val="24"/>
              </w:rPr>
              <w:t xml:space="preserve">apakšpunktā iekļauto komersanta definīciju. Precizējums pēc būtības nemaina specifiskā atbalsta mērķi, kā arī nemaina sasniedzamos iznākuma rādītājus, tomēr </w:t>
            </w:r>
            <w:r w:rsidRPr="00231489" w:rsidR="00403F8C">
              <w:rPr>
                <w:rFonts w:ascii="Times New Roman" w:hAnsi="Times New Roman"/>
                <w:bCs/>
                <w:sz w:val="24"/>
                <w:szCs w:val="24"/>
              </w:rPr>
              <w:t>tas ir</w:t>
            </w:r>
            <w:r w:rsidRPr="00231489" w:rsidR="00271263">
              <w:rPr>
                <w:rFonts w:ascii="Times New Roman" w:hAnsi="Times New Roman"/>
                <w:bCs/>
                <w:sz w:val="24"/>
                <w:szCs w:val="24"/>
              </w:rPr>
              <w:t xml:space="preserve"> nepieciešams, lai </w:t>
            </w:r>
            <w:r w:rsidRPr="00231489" w:rsidR="00403F8C">
              <w:rPr>
                <w:rFonts w:ascii="Times New Roman" w:hAnsi="Times New Roman"/>
                <w:bCs/>
                <w:sz w:val="24"/>
                <w:szCs w:val="24"/>
              </w:rPr>
              <w:t xml:space="preserve">nepārprotami definētu </w:t>
            </w:r>
            <w:r w:rsidRPr="00231489" w:rsidR="00271263">
              <w:rPr>
                <w:rFonts w:ascii="Times New Roman" w:hAnsi="Times New Roman"/>
                <w:bCs/>
                <w:sz w:val="24"/>
                <w:szCs w:val="24"/>
              </w:rPr>
              <w:t>to</w:t>
            </w:r>
            <w:r w:rsidRPr="00231489" w:rsidR="00403F8C">
              <w:rPr>
                <w:rFonts w:ascii="Times New Roman" w:hAnsi="Times New Roman"/>
                <w:bCs/>
                <w:sz w:val="24"/>
                <w:szCs w:val="24"/>
              </w:rPr>
              <w:t>s</w:t>
            </w:r>
            <w:r w:rsidRPr="00231489" w:rsidR="00271263">
              <w:rPr>
                <w:rFonts w:ascii="Times New Roman" w:hAnsi="Times New Roman"/>
                <w:bCs/>
                <w:sz w:val="24"/>
                <w:szCs w:val="24"/>
              </w:rPr>
              <w:t xml:space="preserve"> saimnieciskās darbības veicēju</w:t>
            </w:r>
            <w:r w:rsidRPr="00231489" w:rsidR="00403F8C">
              <w:rPr>
                <w:rFonts w:ascii="Times New Roman" w:hAnsi="Times New Roman"/>
                <w:bCs/>
                <w:sz w:val="24"/>
                <w:szCs w:val="24"/>
              </w:rPr>
              <w:t>s</w:t>
            </w:r>
            <w:r w:rsidRPr="00231489" w:rsidR="00271263">
              <w:rPr>
                <w:rFonts w:ascii="Times New Roman" w:hAnsi="Times New Roman"/>
                <w:bCs/>
                <w:sz w:val="24"/>
                <w:szCs w:val="24"/>
              </w:rPr>
              <w:t>, kas pēc būtības spēj dot ieguldījumu SAM</w:t>
            </w:r>
            <w:r w:rsidRPr="00231489" w:rsidR="00614CED">
              <w:rPr>
                <w:rFonts w:ascii="Times New Roman" w:hAnsi="Times New Roman"/>
                <w:bCs/>
                <w:sz w:val="24"/>
                <w:szCs w:val="24"/>
              </w:rPr>
              <w:t xml:space="preserve"> 5.6.2</w:t>
            </w:r>
            <w:r w:rsidRPr="00231489" w:rsidR="00271263">
              <w:rPr>
                <w:rFonts w:ascii="Times New Roman" w:hAnsi="Times New Roman"/>
                <w:bCs/>
                <w:sz w:val="24"/>
                <w:szCs w:val="24"/>
              </w:rPr>
              <w:t xml:space="preserve"> iznākuma rādītāju sasniegšanā (darbavietas privātajā sektorā un privātās nefinanšu investīcijas). Komersanta definīcija papildināta ar tādiem </w:t>
            </w:r>
            <w:r w:rsidRPr="00231489" w:rsidR="00271263">
              <w:rPr>
                <w:rFonts w:ascii="Times New Roman" w:hAnsi="Times New Roman"/>
                <w:bCs/>
                <w:sz w:val="24"/>
                <w:szCs w:val="24"/>
              </w:rPr>
              <w:t>subjektiem kā individuālo uzņēmumu, pašnodarbināto, kas veic saimniecisko darbību, kā arī ar lauksaimniecības pakalpojumu kooperatīvo sabiedrību un mežsaimniecības pak</w:t>
            </w:r>
            <w:r w:rsidRPr="00231489" w:rsidR="00614CED">
              <w:rPr>
                <w:rFonts w:ascii="Times New Roman" w:hAnsi="Times New Roman"/>
                <w:bCs/>
                <w:sz w:val="24"/>
                <w:szCs w:val="24"/>
              </w:rPr>
              <w:t>alpojumu kooperatīvo sabiedrību</w:t>
            </w:r>
            <w:r w:rsidRPr="00231489" w:rsidR="00271263">
              <w:rPr>
                <w:rFonts w:ascii="Times New Roman" w:hAnsi="Times New Roman"/>
                <w:bCs/>
                <w:sz w:val="24"/>
                <w:szCs w:val="24"/>
              </w:rPr>
              <w:t>.</w:t>
            </w:r>
            <w:r w:rsidRPr="00231489" w:rsidR="00354C58">
              <w:rPr>
                <w:rFonts w:ascii="Times New Roman" w:hAnsi="Times New Roman"/>
                <w:bCs/>
                <w:sz w:val="24"/>
                <w:szCs w:val="24"/>
              </w:rPr>
              <w:t xml:space="preserve"> C</w:t>
            </w:r>
            <w:r w:rsidRPr="00231489">
              <w:rPr>
                <w:rFonts w:ascii="Times New Roman" w:hAnsi="Times New Roman"/>
                <w:bCs/>
                <w:sz w:val="24"/>
                <w:szCs w:val="24"/>
              </w:rPr>
              <w:t>it</w:t>
            </w:r>
            <w:r w:rsidRPr="00231489" w:rsidR="003870CA">
              <w:rPr>
                <w:rFonts w:ascii="Times New Roman" w:hAnsi="Times New Roman"/>
                <w:bCs/>
                <w:sz w:val="24"/>
                <w:szCs w:val="24"/>
              </w:rPr>
              <w:t>u</w:t>
            </w:r>
            <w:r w:rsidRPr="00231489">
              <w:rPr>
                <w:rFonts w:ascii="Times New Roman" w:hAnsi="Times New Roman"/>
                <w:bCs/>
                <w:sz w:val="24"/>
                <w:szCs w:val="24"/>
              </w:rPr>
              <w:t xml:space="preserve"> kooperatīv</w:t>
            </w:r>
            <w:r w:rsidRPr="00231489" w:rsidR="003870CA">
              <w:rPr>
                <w:rFonts w:ascii="Times New Roman" w:hAnsi="Times New Roman"/>
                <w:bCs/>
                <w:sz w:val="24"/>
                <w:szCs w:val="24"/>
              </w:rPr>
              <w:t>o</w:t>
            </w:r>
            <w:r w:rsidRPr="00231489">
              <w:rPr>
                <w:rFonts w:ascii="Times New Roman" w:hAnsi="Times New Roman"/>
                <w:bCs/>
                <w:sz w:val="24"/>
                <w:szCs w:val="24"/>
              </w:rPr>
              <w:t xml:space="preserve"> sabiedrīb</w:t>
            </w:r>
            <w:r w:rsidRPr="00231489" w:rsidR="003870CA">
              <w:rPr>
                <w:rFonts w:ascii="Times New Roman" w:hAnsi="Times New Roman"/>
                <w:bCs/>
                <w:sz w:val="24"/>
                <w:szCs w:val="24"/>
              </w:rPr>
              <w:t>u</w:t>
            </w:r>
            <w:r w:rsidRPr="00231489">
              <w:rPr>
                <w:rFonts w:ascii="Times New Roman" w:hAnsi="Times New Roman"/>
                <w:bCs/>
                <w:sz w:val="24"/>
                <w:szCs w:val="24"/>
              </w:rPr>
              <w:t xml:space="preserve">, piemēram, zvejnieku kooperatīvo sabiedrību radītās darba vietas un piesaistītās privātās investīcijas jau šobrīd var ieskaitīt iznākuma rādītājos, jo tās saskaņā ar </w:t>
            </w:r>
            <w:r w:rsidRPr="00231489" w:rsidR="00C25396">
              <w:rPr>
                <w:rFonts w:ascii="Times New Roman" w:hAnsi="Times New Roman"/>
                <w:bCs/>
                <w:sz w:val="24"/>
                <w:szCs w:val="24"/>
              </w:rPr>
              <w:t xml:space="preserve">Kooperatīvo sabiedrību likumu ir komersanti (MK noteikumu projekta </w:t>
            </w:r>
            <w:r w:rsidRPr="00231489" w:rsidR="001C1238">
              <w:rPr>
                <w:rFonts w:ascii="Times New Roman" w:hAnsi="Times New Roman"/>
                <w:bCs/>
                <w:sz w:val="24"/>
                <w:szCs w:val="24"/>
              </w:rPr>
              <w:t>2</w:t>
            </w:r>
            <w:r w:rsidRPr="00231489" w:rsidR="00C13DF1">
              <w:rPr>
                <w:rFonts w:ascii="Times New Roman" w:hAnsi="Times New Roman"/>
                <w:bCs/>
                <w:sz w:val="24"/>
                <w:szCs w:val="24"/>
              </w:rPr>
              <w:t>. </w:t>
            </w:r>
            <w:r w:rsidRPr="00231489" w:rsidR="00C25396">
              <w:rPr>
                <w:rFonts w:ascii="Times New Roman" w:hAnsi="Times New Roman"/>
                <w:bCs/>
                <w:sz w:val="24"/>
                <w:szCs w:val="24"/>
              </w:rPr>
              <w:t>punkts)</w:t>
            </w:r>
            <w:r w:rsidRPr="00231489" w:rsidR="001C1238">
              <w:rPr>
                <w:rFonts w:ascii="Times New Roman" w:hAnsi="Times New Roman"/>
                <w:bCs/>
                <w:sz w:val="24"/>
                <w:szCs w:val="24"/>
              </w:rPr>
              <w:t>.</w:t>
            </w:r>
            <w:r w:rsidRPr="00231489" w:rsidR="00354C58">
              <w:rPr>
                <w:rFonts w:ascii="Times New Roman" w:hAnsi="Times New Roman"/>
                <w:bCs/>
                <w:sz w:val="24"/>
                <w:szCs w:val="24"/>
              </w:rPr>
              <w:t xml:space="preserve"> To saimnieciskās d</w:t>
            </w:r>
            <w:r w:rsidRPr="00231489" w:rsidR="001047C4">
              <w:rPr>
                <w:rFonts w:ascii="Times New Roman" w:hAnsi="Times New Roman"/>
                <w:bCs/>
                <w:sz w:val="24"/>
                <w:szCs w:val="24"/>
              </w:rPr>
              <w:t xml:space="preserve">arbības veicēju (piemēram, </w:t>
            </w:r>
            <w:r w:rsidRPr="00231489" w:rsidR="00354C58">
              <w:rPr>
                <w:rFonts w:ascii="Times New Roman" w:hAnsi="Times New Roman"/>
                <w:bCs/>
                <w:sz w:val="24"/>
                <w:szCs w:val="24"/>
              </w:rPr>
              <w:t>mikrouzņēmumi</w:t>
            </w:r>
            <w:r w:rsidRPr="00231489" w:rsidR="001047C4">
              <w:rPr>
                <w:rFonts w:ascii="Times New Roman" w:hAnsi="Times New Roman"/>
                <w:bCs/>
                <w:sz w:val="24"/>
                <w:szCs w:val="24"/>
              </w:rPr>
              <w:t xml:space="preserve"> un</w:t>
            </w:r>
            <w:r w:rsidRPr="00231489" w:rsidR="00403F8C">
              <w:rPr>
                <w:rFonts w:ascii="Times New Roman" w:hAnsi="Times New Roman"/>
                <w:bCs/>
                <w:sz w:val="24"/>
                <w:szCs w:val="24"/>
              </w:rPr>
              <w:t xml:space="preserve"> individuālā darba veicēji</w:t>
            </w:r>
            <w:r w:rsidRPr="00231489" w:rsidR="00354C58">
              <w:rPr>
                <w:rFonts w:ascii="Times New Roman" w:hAnsi="Times New Roman"/>
                <w:bCs/>
                <w:sz w:val="24"/>
                <w:szCs w:val="24"/>
              </w:rPr>
              <w:t>), kuri nesniedz ikmēneša pārskatu Valsts ieņēmumu dienestam par darba ņēmēju skaitu, bet sniedz ceturkšņa pārskatus, kuros ir iekļauta informācija arī par valsts sociālās apdrošināšanas iemaksām, darba vietas pilnslodzes ekvivalents tiks ieskaitīts iznākuma rādītājā, ja saimnieciskās darbības veicējs mēnesī būs veicis valsts sociālās apdrošināšanas iemaksas tādā apmērā, kas atbilst vismaz minimālajai algai. Mazākas valsts sociālās apdrošināšanas iemaksas nozīmē proporcionāli mazāku daļu no darba vietas pilnslodzes ekvivalenta.</w:t>
            </w:r>
          </w:p>
          <w:p w:rsidR="000F2281" w:rsidRPr="00231489" w:rsidP="00231489" w14:paraId="10C2C234" w14:textId="77777777">
            <w:pPr>
              <w:spacing w:after="100" w:afterAutospacing="1" w:line="240" w:lineRule="auto"/>
              <w:jc w:val="both"/>
              <w:rPr>
                <w:rFonts w:ascii="Times New Roman" w:hAnsi="Times New Roman"/>
                <w:bCs/>
                <w:sz w:val="24"/>
                <w:szCs w:val="24"/>
                <w:shd w:val="clear" w:color="auto" w:fill="FFFFFF"/>
              </w:rPr>
            </w:pPr>
            <w:r w:rsidRPr="00231489">
              <w:rPr>
                <w:rFonts w:ascii="Times New Roman" w:hAnsi="Times New Roman"/>
                <w:bCs/>
                <w:sz w:val="24"/>
                <w:szCs w:val="24"/>
                <w:shd w:val="clear" w:color="auto" w:fill="FFFFFF"/>
              </w:rPr>
              <w:t>14. MK noteikumu projekts paredz, ka iznākumu rādītāju vērtības ir attiecināmas arī gadījumā, ja tās ir radušās divu kalendāro gadu laikā pirms projekta iesnieguma iesniegšanas</w:t>
            </w:r>
            <w:r w:rsidRPr="00231489" w:rsidR="00EF48D0">
              <w:rPr>
                <w:rFonts w:ascii="Times New Roman" w:hAnsi="Times New Roman"/>
                <w:bCs/>
                <w:sz w:val="24"/>
                <w:szCs w:val="24"/>
                <w:shd w:val="clear" w:color="auto" w:fill="FFFFFF"/>
              </w:rPr>
              <w:t xml:space="preserve">, jo ir jāņem vērā apstāklis, ka tehniskā projekta izstrādei nepieciešamais laiks ir aptuveni viens gads, bet komersantu interesi par </w:t>
            </w:r>
            <w:r w:rsidRPr="00231489" w:rsidR="00710FF3">
              <w:rPr>
                <w:rFonts w:ascii="Times New Roman" w:hAnsi="Times New Roman"/>
                <w:bCs/>
                <w:sz w:val="24"/>
                <w:szCs w:val="24"/>
                <w:shd w:val="clear" w:color="auto" w:fill="FFFFFF"/>
              </w:rPr>
              <w:t xml:space="preserve">saimnieciskās darbības attīstībai </w:t>
            </w:r>
            <w:r w:rsidRPr="00231489" w:rsidR="00EF48D0">
              <w:rPr>
                <w:rFonts w:ascii="Times New Roman" w:hAnsi="Times New Roman"/>
                <w:bCs/>
                <w:sz w:val="24"/>
                <w:szCs w:val="24"/>
                <w:shd w:val="clear" w:color="auto" w:fill="FFFFFF"/>
              </w:rPr>
              <w:t>nepieciešamo</w:t>
            </w:r>
            <w:r w:rsidRPr="00231489" w:rsidR="00710FF3">
              <w:rPr>
                <w:rFonts w:ascii="Times New Roman" w:hAnsi="Times New Roman"/>
                <w:bCs/>
                <w:sz w:val="24"/>
                <w:szCs w:val="24"/>
                <w:shd w:val="clear" w:color="auto" w:fill="FFFFFF"/>
              </w:rPr>
              <w:t xml:space="preserve"> publisko</w:t>
            </w:r>
            <w:r w:rsidRPr="00231489" w:rsidR="00EF48D0">
              <w:rPr>
                <w:rFonts w:ascii="Times New Roman" w:hAnsi="Times New Roman"/>
                <w:bCs/>
                <w:sz w:val="24"/>
                <w:szCs w:val="24"/>
                <w:shd w:val="clear" w:color="auto" w:fill="FFFFFF"/>
              </w:rPr>
              <w:t xml:space="preserve"> infrastruktūru projekta iesniedzējs noskaidro pirms tehniskā projekta izstrādes. </w:t>
            </w:r>
            <w:r w:rsidRPr="00231489" w:rsidR="00FC6F9C">
              <w:rPr>
                <w:rFonts w:ascii="Times New Roman" w:hAnsi="Times New Roman"/>
                <w:bCs/>
                <w:sz w:val="24"/>
                <w:szCs w:val="24"/>
                <w:shd w:val="clear" w:color="auto" w:fill="FFFFFF"/>
              </w:rPr>
              <w:t>P</w:t>
            </w:r>
            <w:r w:rsidRPr="00231489" w:rsidR="00EF48D0">
              <w:rPr>
                <w:rFonts w:ascii="Times New Roman" w:hAnsi="Times New Roman"/>
                <w:bCs/>
                <w:sz w:val="24"/>
                <w:szCs w:val="24"/>
                <w:shd w:val="clear" w:color="auto" w:fill="FFFFFF"/>
              </w:rPr>
              <w:t>rojekta iesniegum</w:t>
            </w:r>
            <w:r w:rsidRPr="00231489" w:rsidR="00710FF3">
              <w:rPr>
                <w:rFonts w:ascii="Times New Roman" w:hAnsi="Times New Roman"/>
                <w:bCs/>
                <w:sz w:val="24"/>
                <w:szCs w:val="24"/>
                <w:shd w:val="clear" w:color="auto" w:fill="FFFFFF"/>
              </w:rPr>
              <w:t>ā</w:t>
            </w:r>
            <w:r w:rsidRPr="00231489" w:rsidR="00EF48D0">
              <w:rPr>
                <w:rFonts w:ascii="Times New Roman" w:hAnsi="Times New Roman"/>
                <w:bCs/>
                <w:sz w:val="24"/>
                <w:szCs w:val="24"/>
                <w:shd w:val="clear" w:color="auto" w:fill="FFFFFF"/>
              </w:rPr>
              <w:t xml:space="preserve"> </w:t>
            </w:r>
            <w:r w:rsidRPr="00231489" w:rsidR="00B81571">
              <w:rPr>
                <w:rFonts w:ascii="Times New Roman" w:hAnsi="Times New Roman"/>
                <w:bCs/>
                <w:sz w:val="24"/>
                <w:szCs w:val="24"/>
                <w:shd w:val="clear" w:color="auto" w:fill="FFFFFF"/>
              </w:rPr>
              <w:t>projekta iesniedzējam</w:t>
            </w:r>
            <w:r w:rsidRPr="00231489" w:rsidR="00FC6F9C">
              <w:rPr>
                <w:rFonts w:ascii="Times New Roman" w:hAnsi="Times New Roman"/>
                <w:bCs/>
                <w:sz w:val="24"/>
                <w:szCs w:val="24"/>
                <w:shd w:val="clear" w:color="auto" w:fill="FFFFFF"/>
              </w:rPr>
              <w:t xml:space="preserve"> jānorāda sasaiste starp projekta ietvaros plānotajām investīcijām publiskajā infrastruktūrā un komersanta jau radītajām iznākuma rādītāju vērtībām, sniedzot pamatojumu</w:t>
            </w:r>
            <w:r w:rsidRPr="00231489" w:rsidR="00EF48D0">
              <w:rPr>
                <w:rFonts w:ascii="Times New Roman" w:hAnsi="Times New Roman"/>
                <w:bCs/>
                <w:sz w:val="24"/>
                <w:szCs w:val="24"/>
                <w:shd w:val="clear" w:color="auto" w:fill="FFFFFF"/>
              </w:rPr>
              <w:t>, kā projekta ietvaros plānotās investīcijas publiskajā infrastruktūrā ir sekmējušas iznākuma rādītāju (radītas jaunas darba vietas privātajā sektorā, piesaistītas privātās investīcijas) sasniegšanu divu</w:t>
            </w:r>
            <w:r w:rsidRPr="00231489" w:rsidR="00650DE8">
              <w:rPr>
                <w:rFonts w:ascii="Times New Roman" w:hAnsi="Times New Roman"/>
                <w:bCs/>
                <w:sz w:val="24"/>
                <w:szCs w:val="24"/>
                <w:shd w:val="clear" w:color="auto" w:fill="FFFFFF"/>
              </w:rPr>
              <w:t>s</w:t>
            </w:r>
            <w:r w:rsidRPr="00231489" w:rsidR="00EF48D0">
              <w:rPr>
                <w:rFonts w:ascii="Times New Roman" w:hAnsi="Times New Roman"/>
                <w:bCs/>
                <w:sz w:val="24"/>
                <w:szCs w:val="24"/>
                <w:shd w:val="clear" w:color="auto" w:fill="FFFFFF"/>
              </w:rPr>
              <w:t xml:space="preserve"> kalendāro</w:t>
            </w:r>
            <w:r w:rsidRPr="00231489" w:rsidR="00650DE8">
              <w:rPr>
                <w:rFonts w:ascii="Times New Roman" w:hAnsi="Times New Roman"/>
                <w:bCs/>
                <w:sz w:val="24"/>
                <w:szCs w:val="24"/>
                <w:shd w:val="clear" w:color="auto" w:fill="FFFFFF"/>
              </w:rPr>
              <w:t>s</w:t>
            </w:r>
            <w:r w:rsidRPr="00231489" w:rsidR="00EF48D0">
              <w:rPr>
                <w:rFonts w:ascii="Times New Roman" w:hAnsi="Times New Roman"/>
                <w:bCs/>
                <w:sz w:val="24"/>
                <w:szCs w:val="24"/>
                <w:shd w:val="clear" w:color="auto" w:fill="FFFFFF"/>
              </w:rPr>
              <w:t xml:space="preserve"> gadu</w:t>
            </w:r>
            <w:r w:rsidRPr="00231489" w:rsidR="00650DE8">
              <w:rPr>
                <w:rFonts w:ascii="Times New Roman" w:hAnsi="Times New Roman"/>
                <w:bCs/>
                <w:sz w:val="24"/>
                <w:szCs w:val="24"/>
                <w:shd w:val="clear" w:color="auto" w:fill="FFFFFF"/>
              </w:rPr>
              <w:t>s</w:t>
            </w:r>
            <w:r w:rsidRPr="00231489" w:rsidR="00EF48D0">
              <w:rPr>
                <w:rFonts w:ascii="Times New Roman" w:hAnsi="Times New Roman"/>
                <w:bCs/>
                <w:sz w:val="24"/>
                <w:szCs w:val="24"/>
                <w:shd w:val="clear" w:color="auto" w:fill="FFFFFF"/>
              </w:rPr>
              <w:t xml:space="preserve"> </w:t>
            </w:r>
            <w:r w:rsidRPr="00231489" w:rsidR="00650DE8">
              <w:rPr>
                <w:rFonts w:ascii="Times New Roman" w:hAnsi="Times New Roman"/>
                <w:bCs/>
                <w:sz w:val="24"/>
                <w:szCs w:val="24"/>
                <w:shd w:val="clear" w:color="auto" w:fill="FFFFFF"/>
              </w:rPr>
              <w:t>p</w:t>
            </w:r>
            <w:r w:rsidRPr="00231489" w:rsidR="00EF48D0">
              <w:rPr>
                <w:rFonts w:ascii="Times New Roman" w:hAnsi="Times New Roman"/>
                <w:bCs/>
                <w:sz w:val="24"/>
                <w:szCs w:val="24"/>
                <w:shd w:val="clear" w:color="auto" w:fill="FFFFFF"/>
              </w:rPr>
              <w:t>irms projekta iesnieguma iesniegšanas</w:t>
            </w:r>
            <w:r w:rsidRPr="00231489" w:rsidR="00C5168F">
              <w:rPr>
                <w:rFonts w:ascii="Times New Roman" w:hAnsi="Times New Roman"/>
                <w:bCs/>
                <w:sz w:val="24"/>
                <w:szCs w:val="24"/>
                <w:shd w:val="clear" w:color="auto" w:fill="FFFFFF"/>
              </w:rPr>
              <w:t xml:space="preserve"> (MK noteikumu </w:t>
            </w:r>
            <w:r w:rsidRPr="00231489" w:rsidR="003A7EC8">
              <w:rPr>
                <w:rFonts w:ascii="Times New Roman" w:hAnsi="Times New Roman"/>
                <w:bCs/>
                <w:sz w:val="24"/>
                <w:szCs w:val="24"/>
                <w:shd w:val="clear" w:color="auto" w:fill="FFFFFF"/>
              </w:rPr>
              <w:t>projekta 3. </w:t>
            </w:r>
            <w:r w:rsidRPr="00231489" w:rsidR="00C5168F">
              <w:rPr>
                <w:rFonts w:ascii="Times New Roman" w:hAnsi="Times New Roman"/>
                <w:bCs/>
                <w:sz w:val="24"/>
                <w:szCs w:val="24"/>
                <w:shd w:val="clear" w:color="auto" w:fill="FFFFFF"/>
              </w:rPr>
              <w:t>punkts).</w:t>
            </w:r>
          </w:p>
          <w:p w:rsidR="007A208E" w:rsidRPr="00671A71" w:rsidP="00231489" w14:paraId="1AA0ED21" w14:textId="1A0D0767">
            <w:pPr>
              <w:spacing w:after="100" w:afterAutospacing="1" w:line="240" w:lineRule="auto"/>
              <w:jc w:val="both"/>
            </w:pPr>
            <w:r w:rsidRPr="00231489">
              <w:rPr>
                <w:rFonts w:ascii="Times New Roman" w:hAnsi="Times New Roman"/>
                <w:bCs/>
                <w:sz w:val="24"/>
                <w:szCs w:val="24"/>
                <w:shd w:val="clear" w:color="auto" w:fill="FFFFFF"/>
              </w:rPr>
              <w:t>15.</w:t>
            </w:r>
            <w:r w:rsidRPr="00231489" w:rsidR="00D60BE2">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Skaidrojam, ka VARAM sadarbībā ar CFLA nodrošinās, ka visi projektu iesniedzēji tiek informēti par MK noteikumu projektā iekļaut</w:t>
            </w:r>
            <w:r w:rsidRPr="00231489" w:rsidR="001047C4">
              <w:rPr>
                <w:rFonts w:ascii="Times New Roman" w:hAnsi="Times New Roman"/>
                <w:bCs/>
                <w:sz w:val="24"/>
                <w:szCs w:val="24"/>
                <w:shd w:val="clear" w:color="auto" w:fill="FFFFFF"/>
              </w:rPr>
              <w:t>ajiem grozījumiem un to piemērošanu</w:t>
            </w:r>
            <w:r w:rsidRPr="00231489">
              <w:rPr>
                <w:rFonts w:ascii="Times New Roman" w:hAnsi="Times New Roman"/>
                <w:bCs/>
                <w:sz w:val="24"/>
                <w:szCs w:val="24"/>
                <w:shd w:val="clear" w:color="auto" w:fill="FFFFFF"/>
              </w:rPr>
              <w:t xml:space="preserve"> SAM 5.6.2.</w:t>
            </w:r>
            <w:r w:rsidRPr="00231489" w:rsidR="00D60BE2">
              <w:rPr>
                <w:rFonts w:ascii="Times New Roman" w:hAnsi="Times New Roman"/>
                <w:bCs/>
                <w:sz w:val="24"/>
                <w:szCs w:val="24"/>
                <w:shd w:val="clear" w:color="auto" w:fill="FFFFFF"/>
              </w:rPr>
              <w:t> </w:t>
            </w:r>
            <w:r w:rsidRPr="00231489">
              <w:rPr>
                <w:rFonts w:ascii="Times New Roman" w:hAnsi="Times New Roman"/>
                <w:bCs/>
                <w:sz w:val="24"/>
                <w:szCs w:val="24"/>
                <w:shd w:val="clear" w:color="auto" w:fill="FFFFFF"/>
              </w:rPr>
              <w:t>ietvaros apstiprināto, iesniegt</w:t>
            </w:r>
            <w:r w:rsidRPr="00231489" w:rsidR="001047C4">
              <w:rPr>
                <w:rFonts w:ascii="Times New Roman" w:hAnsi="Times New Roman"/>
                <w:bCs/>
                <w:sz w:val="24"/>
                <w:szCs w:val="24"/>
                <w:shd w:val="clear" w:color="auto" w:fill="FFFFFF"/>
              </w:rPr>
              <w:t>o un plānoto projektu īstenošanā</w:t>
            </w:r>
            <w:r w:rsidRPr="00231489">
              <w:rPr>
                <w:rFonts w:ascii="Times New Roman" w:hAnsi="Times New Roman"/>
                <w:bCs/>
                <w:sz w:val="24"/>
                <w:szCs w:val="24"/>
                <w:shd w:val="clear" w:color="auto" w:fill="FFFFFF"/>
              </w:rPr>
              <w:t>, kā arī nepieciešamības gadījumā tiks ierosināti grozījumi vienošanās par projektu īstenošanu, saskaņojot ar finansējuma saņēmējiem nosacījumus un kārtību, kādā finansējuma saņēmējs informē sadarbības iestādi par projekta ietekmi uz HP IA vai ziņo par enerģijas patēriņu (ja attiecināms).</w:t>
            </w:r>
          </w:p>
        </w:tc>
      </w:tr>
      <w:tr w14:paraId="7CBFB80F" w14:textId="77777777" w:rsidTr="0052759A">
        <w:tblPrEx>
          <w:tblW w:w="5316" w:type="pct"/>
          <w:tblCellMar>
            <w:left w:w="0" w:type="dxa"/>
            <w:right w:w="0" w:type="dxa"/>
          </w:tblCellMar>
          <w:tblLook w:val="0000"/>
        </w:tblPrEx>
        <w:trPr>
          <w:trHeight w:val="476"/>
        </w:trPr>
        <w:tc>
          <w:tcPr>
            <w:tcW w:w="224" w:type="pct"/>
            <w:shd w:val="clear" w:color="auto" w:fill="auto"/>
          </w:tcPr>
          <w:p w:rsidR="00CC1A56" w:rsidRPr="00671A71" w:rsidP="00231489" w14:paraId="1C74E915" w14:textId="77777777">
            <w:pPr>
              <w:pStyle w:val="naiskr"/>
              <w:spacing w:before="0" w:beforeAutospacing="0" w:after="0" w:afterAutospacing="0"/>
              <w:ind w:left="57" w:right="57"/>
              <w:rPr>
                <w:spacing w:val="-2"/>
              </w:rPr>
            </w:pPr>
            <w:r w:rsidRPr="00671A71">
              <w:rPr>
                <w:spacing w:val="-2"/>
              </w:rPr>
              <w:t>3.</w:t>
            </w:r>
          </w:p>
        </w:tc>
        <w:tc>
          <w:tcPr>
            <w:tcW w:w="953" w:type="pct"/>
            <w:shd w:val="clear" w:color="auto" w:fill="auto"/>
          </w:tcPr>
          <w:p w:rsidR="00CC1A56" w:rsidRPr="00671A71" w:rsidP="00231489" w14:paraId="4C1E8705" w14:textId="77777777">
            <w:pPr>
              <w:pStyle w:val="naiskr"/>
              <w:spacing w:before="0" w:beforeAutospacing="0" w:after="0" w:afterAutospacing="0"/>
              <w:ind w:left="57" w:right="57"/>
              <w:rPr>
                <w:spacing w:val="-2"/>
              </w:rPr>
            </w:pPr>
            <w:r w:rsidRPr="00671A71">
              <w:rPr>
                <w:spacing w:val="-2"/>
              </w:rPr>
              <w:t>Projekta</w:t>
            </w:r>
            <w:r w:rsidRPr="00671A71" w:rsidR="00F01597">
              <w:rPr>
                <w:spacing w:val="-2"/>
              </w:rPr>
              <w:t xml:space="preserve"> </w:t>
            </w:r>
            <w:r w:rsidRPr="00671A71">
              <w:rPr>
                <w:spacing w:val="-2"/>
              </w:rPr>
              <w:t>izstrādē</w:t>
            </w:r>
            <w:r w:rsidRPr="00671A71" w:rsidR="00F01597">
              <w:rPr>
                <w:spacing w:val="-2"/>
              </w:rPr>
              <w:t xml:space="preserve"> </w:t>
            </w:r>
            <w:r w:rsidRPr="00671A71">
              <w:rPr>
                <w:spacing w:val="-2"/>
              </w:rPr>
              <w:t>iesaistītās</w:t>
            </w:r>
            <w:r w:rsidRPr="00671A71" w:rsidR="00F01597">
              <w:rPr>
                <w:spacing w:val="-2"/>
              </w:rPr>
              <w:t xml:space="preserve"> </w:t>
            </w:r>
            <w:r w:rsidRPr="00671A71">
              <w:rPr>
                <w:spacing w:val="-2"/>
              </w:rPr>
              <w:t>institūcijas</w:t>
            </w:r>
          </w:p>
        </w:tc>
        <w:tc>
          <w:tcPr>
            <w:tcW w:w="3823" w:type="pct"/>
            <w:shd w:val="clear" w:color="auto" w:fill="auto"/>
          </w:tcPr>
          <w:p w:rsidR="00CC1A56" w:rsidRPr="00671A71" w:rsidP="00231489" w14:paraId="4A2EB417" w14:textId="77777777">
            <w:pPr>
              <w:spacing w:after="0" w:line="240" w:lineRule="auto"/>
              <w:ind w:left="57" w:right="113"/>
              <w:rPr>
                <w:rFonts w:ascii="Times New Roman" w:hAnsi="Times New Roman"/>
                <w:b/>
                <w:spacing w:val="-2"/>
                <w:sz w:val="24"/>
                <w:szCs w:val="24"/>
              </w:rPr>
            </w:pPr>
            <w:r w:rsidRPr="00671A71">
              <w:rPr>
                <w:rFonts w:ascii="Times New Roman" w:hAnsi="Times New Roman"/>
                <w:spacing w:val="-2"/>
                <w:sz w:val="24"/>
                <w:szCs w:val="24"/>
              </w:rPr>
              <w:t>P</w:t>
            </w:r>
            <w:r w:rsidRPr="00671A71" w:rsidR="00861782">
              <w:rPr>
                <w:rFonts w:ascii="Times New Roman" w:hAnsi="Times New Roman"/>
                <w:spacing w:val="-2"/>
                <w:sz w:val="24"/>
                <w:szCs w:val="24"/>
              </w:rPr>
              <w:t>rojekts</w:t>
            </w:r>
            <w:r w:rsidRPr="00671A71" w:rsidR="00F01597">
              <w:rPr>
                <w:rFonts w:ascii="Times New Roman" w:hAnsi="Times New Roman"/>
                <w:spacing w:val="-2"/>
                <w:sz w:val="24"/>
                <w:szCs w:val="24"/>
              </w:rPr>
              <w:t xml:space="preserve"> </w:t>
            </w:r>
            <w:r w:rsidRPr="00671A71" w:rsidR="00861782">
              <w:rPr>
                <w:rFonts w:ascii="Times New Roman" w:hAnsi="Times New Roman"/>
                <w:spacing w:val="-2"/>
                <w:sz w:val="24"/>
                <w:szCs w:val="24"/>
              </w:rPr>
              <w:t>šo</w:t>
            </w:r>
            <w:r w:rsidRPr="00671A71" w:rsidR="00F01597">
              <w:rPr>
                <w:rFonts w:ascii="Times New Roman" w:hAnsi="Times New Roman"/>
                <w:spacing w:val="-2"/>
                <w:sz w:val="24"/>
                <w:szCs w:val="24"/>
              </w:rPr>
              <w:t xml:space="preserve"> </w:t>
            </w:r>
            <w:r w:rsidRPr="00671A71" w:rsidR="00861782">
              <w:rPr>
                <w:rFonts w:ascii="Times New Roman" w:hAnsi="Times New Roman"/>
                <w:spacing w:val="-2"/>
                <w:sz w:val="24"/>
                <w:szCs w:val="24"/>
              </w:rPr>
              <w:t>jomu</w:t>
            </w:r>
            <w:r w:rsidRPr="00671A71" w:rsidR="00F01597">
              <w:rPr>
                <w:rFonts w:ascii="Times New Roman" w:hAnsi="Times New Roman"/>
                <w:spacing w:val="-2"/>
                <w:sz w:val="24"/>
                <w:szCs w:val="24"/>
              </w:rPr>
              <w:t xml:space="preserve"> </w:t>
            </w:r>
            <w:r w:rsidRPr="00671A71" w:rsidR="004D4F86">
              <w:rPr>
                <w:rFonts w:ascii="Times New Roman" w:hAnsi="Times New Roman"/>
                <w:spacing w:val="-2"/>
                <w:sz w:val="24"/>
                <w:szCs w:val="24"/>
              </w:rPr>
              <w:t>neskar</w:t>
            </w:r>
          </w:p>
        </w:tc>
      </w:tr>
      <w:tr w14:paraId="49764C7D" w14:textId="77777777" w:rsidTr="0052759A">
        <w:tblPrEx>
          <w:tblW w:w="5316" w:type="pct"/>
          <w:tblCellMar>
            <w:left w:w="0" w:type="dxa"/>
            <w:right w:w="0" w:type="dxa"/>
          </w:tblCellMar>
          <w:tblLook w:val="0000"/>
        </w:tblPrEx>
        <w:tc>
          <w:tcPr>
            <w:tcW w:w="224" w:type="pct"/>
            <w:shd w:val="clear" w:color="auto" w:fill="auto"/>
          </w:tcPr>
          <w:p w:rsidR="00CC1A56" w:rsidRPr="00671A71" w:rsidP="00231489" w14:paraId="62051241" w14:textId="77777777">
            <w:pPr>
              <w:pStyle w:val="naiskr"/>
              <w:spacing w:before="0" w:beforeAutospacing="0" w:after="0" w:afterAutospacing="0"/>
              <w:ind w:left="57" w:right="57"/>
              <w:rPr>
                <w:spacing w:val="-2"/>
              </w:rPr>
            </w:pPr>
            <w:r w:rsidRPr="00671A71">
              <w:rPr>
                <w:spacing w:val="-2"/>
              </w:rPr>
              <w:t>4.</w:t>
            </w:r>
          </w:p>
        </w:tc>
        <w:tc>
          <w:tcPr>
            <w:tcW w:w="953" w:type="pct"/>
            <w:shd w:val="clear" w:color="auto" w:fill="auto"/>
          </w:tcPr>
          <w:p w:rsidR="00CC1A56" w:rsidRPr="00671A71" w:rsidP="00231489" w14:paraId="779A3CB9" w14:textId="77777777">
            <w:pPr>
              <w:pStyle w:val="naiskr"/>
              <w:spacing w:before="0" w:beforeAutospacing="0" w:after="0" w:afterAutospacing="0"/>
              <w:ind w:left="57" w:right="57"/>
              <w:rPr>
                <w:spacing w:val="-2"/>
              </w:rPr>
            </w:pPr>
            <w:r w:rsidRPr="00671A71">
              <w:rPr>
                <w:spacing w:val="-2"/>
              </w:rPr>
              <w:t>Cita</w:t>
            </w:r>
            <w:r w:rsidRPr="00671A71" w:rsidR="00F01597">
              <w:rPr>
                <w:spacing w:val="-2"/>
              </w:rPr>
              <w:t xml:space="preserve"> </w:t>
            </w:r>
            <w:r w:rsidRPr="00671A71">
              <w:rPr>
                <w:spacing w:val="-2"/>
              </w:rPr>
              <w:t>informācija</w:t>
            </w:r>
          </w:p>
        </w:tc>
        <w:tc>
          <w:tcPr>
            <w:tcW w:w="3823" w:type="pct"/>
            <w:shd w:val="clear" w:color="auto" w:fill="auto"/>
          </w:tcPr>
          <w:p w:rsidR="00CC1A56" w:rsidRPr="00671A71" w:rsidP="00231489" w14:paraId="731881BC" w14:textId="77777777">
            <w:pPr>
              <w:spacing w:after="0" w:line="240" w:lineRule="auto"/>
              <w:ind w:left="57" w:right="113"/>
              <w:rPr>
                <w:rFonts w:ascii="Times New Roman" w:hAnsi="Times New Roman"/>
                <w:spacing w:val="-2"/>
                <w:sz w:val="24"/>
                <w:szCs w:val="24"/>
              </w:rPr>
            </w:pPr>
            <w:r w:rsidRPr="00671A71">
              <w:rPr>
                <w:rFonts w:ascii="Times New Roman" w:hAnsi="Times New Roman"/>
                <w:spacing w:val="-2"/>
                <w:sz w:val="24"/>
                <w:szCs w:val="24"/>
              </w:rPr>
              <w:t>Nav</w:t>
            </w:r>
          </w:p>
          <w:p w:rsidR="00ED7D80" w:rsidRPr="00671A71" w:rsidP="00231489" w14:paraId="0E36054E" w14:textId="77777777">
            <w:pPr>
              <w:spacing w:after="0" w:line="240" w:lineRule="auto"/>
              <w:ind w:left="57" w:right="113"/>
              <w:rPr>
                <w:rFonts w:ascii="Times New Roman" w:hAnsi="Times New Roman"/>
                <w:spacing w:val="-2"/>
                <w:sz w:val="24"/>
                <w:szCs w:val="24"/>
              </w:rPr>
            </w:pPr>
          </w:p>
        </w:tc>
      </w:tr>
    </w:tbl>
    <w:p w:rsidR="00C07C88" w:rsidRPr="00671A71" w:rsidP="00734441" w14:paraId="5A61385E" w14:textId="77777777">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268"/>
        <w:gridCol w:w="6941"/>
      </w:tblGrid>
      <w:tr w14:paraId="7861C3BC" w14:textId="77777777" w:rsidTr="000334D1">
        <w:tblPrEx>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640" w:type="dxa"/>
            <w:gridSpan w:val="3"/>
            <w:vAlign w:val="center"/>
          </w:tcPr>
          <w:p w:rsidR="00CC1A56" w:rsidRPr="00671A71" w:rsidP="00734441" w14:paraId="5EBC49A2" w14:textId="77777777">
            <w:pPr>
              <w:pStyle w:val="naisnod"/>
              <w:spacing w:before="0" w:beforeAutospacing="0" w:after="0" w:afterAutospacing="0"/>
              <w:ind w:left="57" w:right="57"/>
              <w:jc w:val="center"/>
              <w:rPr>
                <w:b/>
              </w:rPr>
            </w:pPr>
            <w:r w:rsidRPr="00671A71">
              <w:rPr>
                <w:b/>
              </w:rPr>
              <w:t>II.</w:t>
            </w:r>
            <w:r w:rsidRPr="00671A71" w:rsidR="00F01597">
              <w:rPr>
                <w:b/>
              </w:rPr>
              <w:t xml:space="preserve"> </w:t>
            </w:r>
            <w:r w:rsidRPr="00671A71">
              <w:rPr>
                <w:b/>
              </w:rPr>
              <w:t>Tiesību</w:t>
            </w:r>
            <w:r w:rsidRPr="00671A71" w:rsidR="00F01597">
              <w:rPr>
                <w:b/>
              </w:rPr>
              <w:t xml:space="preserve"> </w:t>
            </w:r>
            <w:r w:rsidRPr="00671A71">
              <w:rPr>
                <w:b/>
              </w:rPr>
              <w:t>akta</w:t>
            </w:r>
            <w:r w:rsidRPr="00671A71" w:rsidR="00F01597">
              <w:rPr>
                <w:b/>
              </w:rPr>
              <w:t xml:space="preserve"> </w:t>
            </w:r>
            <w:r w:rsidRPr="00671A71">
              <w:rPr>
                <w:b/>
              </w:rPr>
              <w:t>projekta</w:t>
            </w:r>
            <w:r w:rsidRPr="00671A71" w:rsidR="00F01597">
              <w:rPr>
                <w:b/>
              </w:rPr>
              <w:t xml:space="preserve"> </w:t>
            </w:r>
            <w:r w:rsidRPr="00671A71">
              <w:rPr>
                <w:b/>
              </w:rPr>
              <w:t>ietekme</w:t>
            </w:r>
            <w:r w:rsidRPr="00671A71" w:rsidR="00F01597">
              <w:rPr>
                <w:b/>
              </w:rPr>
              <w:t xml:space="preserve"> </w:t>
            </w:r>
            <w:r w:rsidRPr="00671A71">
              <w:rPr>
                <w:b/>
              </w:rPr>
              <w:t>uz</w:t>
            </w:r>
            <w:r w:rsidRPr="00671A71" w:rsidR="00F01597">
              <w:rPr>
                <w:b/>
              </w:rPr>
              <w:t xml:space="preserve"> </w:t>
            </w:r>
            <w:r w:rsidRPr="00671A71">
              <w:rPr>
                <w:b/>
              </w:rPr>
              <w:t>sabiedrību,</w:t>
            </w:r>
            <w:r w:rsidRPr="00671A71" w:rsidR="00F01597">
              <w:rPr>
                <w:b/>
              </w:rPr>
              <w:t xml:space="preserve"> </w:t>
            </w:r>
            <w:r w:rsidRPr="00671A71">
              <w:rPr>
                <w:b/>
              </w:rPr>
              <w:t>tautsaimniecības</w:t>
            </w:r>
            <w:r w:rsidRPr="00671A71" w:rsidR="00F01597">
              <w:rPr>
                <w:b/>
              </w:rPr>
              <w:t xml:space="preserve"> </w:t>
            </w:r>
            <w:r w:rsidRPr="00671A71">
              <w:rPr>
                <w:b/>
              </w:rPr>
              <w:t>attīstību</w:t>
            </w:r>
            <w:r w:rsidRPr="00671A71" w:rsidR="00D04338">
              <w:rPr>
                <w:b/>
              </w:rPr>
              <w:t xml:space="preserve"> </w:t>
            </w:r>
            <w:r w:rsidRPr="00671A71">
              <w:rPr>
                <w:b/>
              </w:rPr>
              <w:t>un</w:t>
            </w:r>
            <w:r w:rsidRPr="00671A71" w:rsidR="00D04338">
              <w:rPr>
                <w:b/>
              </w:rPr>
              <w:br/>
            </w:r>
            <w:r w:rsidRPr="00671A71" w:rsidR="00F01597">
              <w:rPr>
                <w:b/>
              </w:rPr>
              <w:t xml:space="preserve"> </w:t>
            </w:r>
            <w:r w:rsidRPr="00671A71">
              <w:rPr>
                <w:b/>
              </w:rPr>
              <w:t>administratīvo</w:t>
            </w:r>
            <w:r w:rsidRPr="00671A71" w:rsidR="00F01597">
              <w:rPr>
                <w:b/>
              </w:rPr>
              <w:t xml:space="preserve"> </w:t>
            </w:r>
            <w:r w:rsidRPr="00671A71">
              <w:rPr>
                <w:b/>
              </w:rPr>
              <w:t>slogu</w:t>
            </w:r>
          </w:p>
        </w:tc>
      </w:tr>
      <w:tr w14:paraId="288E9010" w14:textId="77777777" w:rsidTr="00D11465">
        <w:tblPrEx>
          <w:tblW w:w="9640" w:type="dxa"/>
          <w:tblCellMar>
            <w:left w:w="0" w:type="dxa"/>
            <w:right w:w="0" w:type="dxa"/>
          </w:tblCellMar>
          <w:tblLook w:val="0000"/>
        </w:tblPrEx>
        <w:trPr>
          <w:trHeight w:val="467"/>
        </w:trPr>
        <w:tc>
          <w:tcPr>
            <w:tcW w:w="431" w:type="dxa"/>
          </w:tcPr>
          <w:p w:rsidR="00CC1A56" w:rsidRPr="00671A71" w:rsidP="00734441" w14:paraId="599EF51D" w14:textId="77777777">
            <w:pPr>
              <w:pStyle w:val="naiskr"/>
              <w:spacing w:before="0" w:beforeAutospacing="0" w:after="0" w:afterAutospacing="0"/>
              <w:ind w:left="57" w:right="57"/>
            </w:pPr>
            <w:r w:rsidRPr="00671A71">
              <w:t>1.</w:t>
            </w:r>
          </w:p>
        </w:tc>
        <w:tc>
          <w:tcPr>
            <w:tcW w:w="2268" w:type="dxa"/>
            <w:shd w:val="clear" w:color="auto" w:fill="auto"/>
          </w:tcPr>
          <w:p w:rsidR="00CC1A56" w:rsidRPr="00671A71" w:rsidP="00734441" w14:paraId="422E3014" w14:textId="77777777">
            <w:pPr>
              <w:pStyle w:val="naiskr"/>
              <w:spacing w:before="0" w:beforeAutospacing="0" w:after="0" w:afterAutospacing="0"/>
              <w:ind w:left="57" w:right="57"/>
            </w:pPr>
            <w:r w:rsidRPr="00671A71">
              <w:t>Sabiedrības</w:t>
            </w:r>
            <w:r w:rsidRPr="00671A71" w:rsidR="00F01597">
              <w:t xml:space="preserve"> </w:t>
            </w:r>
            <w:r w:rsidRPr="00671A71">
              <w:t>mērķgrupas,</w:t>
            </w:r>
            <w:r w:rsidRPr="00671A71" w:rsidR="00F01597">
              <w:t xml:space="preserve"> </w:t>
            </w:r>
            <w:r w:rsidRPr="00671A71">
              <w:t>kuras</w:t>
            </w:r>
            <w:r w:rsidRPr="00671A71" w:rsidR="00F01597">
              <w:t xml:space="preserve"> </w:t>
            </w:r>
            <w:r w:rsidRPr="00671A71">
              <w:t>tiesiskais</w:t>
            </w:r>
            <w:r w:rsidRPr="00671A71" w:rsidR="00F01597">
              <w:t xml:space="preserve"> </w:t>
            </w:r>
            <w:r w:rsidRPr="00671A71">
              <w:t>regulējums</w:t>
            </w:r>
            <w:r w:rsidRPr="00671A71" w:rsidR="00F01597">
              <w:t xml:space="preserve"> </w:t>
            </w:r>
            <w:r w:rsidRPr="00671A71">
              <w:t>ietekmē</w:t>
            </w:r>
            <w:r w:rsidRPr="00671A71" w:rsidR="00F01597">
              <w:t xml:space="preserve"> </w:t>
            </w:r>
            <w:r w:rsidRPr="00671A71">
              <w:t>vai</w:t>
            </w:r>
            <w:r w:rsidRPr="00671A71" w:rsidR="00F01597">
              <w:t xml:space="preserve"> </w:t>
            </w:r>
            <w:r w:rsidRPr="00671A71">
              <w:t>varētu</w:t>
            </w:r>
            <w:r w:rsidRPr="00671A71" w:rsidR="00F01597">
              <w:t xml:space="preserve"> </w:t>
            </w:r>
            <w:r w:rsidRPr="00671A71">
              <w:t>ietekmēt</w:t>
            </w:r>
          </w:p>
        </w:tc>
        <w:tc>
          <w:tcPr>
            <w:tcW w:w="6941" w:type="dxa"/>
            <w:shd w:val="clear" w:color="auto" w:fill="auto"/>
          </w:tcPr>
          <w:p w:rsidR="009C4855" w:rsidRPr="00671A71" w:rsidP="00734441" w14:paraId="00F7413E" w14:textId="77777777">
            <w:pPr>
              <w:spacing w:after="0" w:line="240" w:lineRule="auto"/>
              <w:ind w:left="57" w:right="113"/>
              <w:rPr>
                <w:rFonts w:ascii="Times New Roman" w:hAnsi="Times New Roman"/>
                <w:sz w:val="24"/>
                <w:szCs w:val="24"/>
              </w:rPr>
            </w:pPr>
            <w:bookmarkStart w:id="0" w:name="p21"/>
            <w:bookmarkEnd w:id="0"/>
            <w:r w:rsidRPr="00671A71">
              <w:rPr>
                <w:rFonts w:ascii="Times New Roman" w:hAnsi="Times New Roman"/>
                <w:color w:val="000000"/>
                <w:sz w:val="24"/>
                <w:szCs w:val="24"/>
              </w:rPr>
              <w:t>SAM 5.6.2</w:t>
            </w:r>
            <w:r w:rsidRPr="00671A71" w:rsidR="004D3F47">
              <w:rPr>
                <w:rFonts w:ascii="Times New Roman" w:hAnsi="Times New Roman"/>
                <w:color w:val="000000"/>
                <w:sz w:val="24"/>
                <w:szCs w:val="24"/>
              </w:rPr>
              <w:t>. </w:t>
            </w:r>
            <w:r w:rsidRPr="00671A71" w:rsidR="00907D2C">
              <w:rPr>
                <w:rFonts w:ascii="Times New Roman" w:hAnsi="Times New Roman"/>
                <w:color w:val="000000"/>
                <w:sz w:val="24"/>
                <w:szCs w:val="24"/>
              </w:rPr>
              <w:t xml:space="preserve">projektu  iesniegumu </w:t>
            </w:r>
            <w:r w:rsidRPr="00671A71" w:rsidR="00B64208">
              <w:rPr>
                <w:rFonts w:ascii="Times New Roman" w:hAnsi="Times New Roman"/>
                <w:color w:val="000000"/>
                <w:sz w:val="24"/>
                <w:szCs w:val="24"/>
              </w:rPr>
              <w:t xml:space="preserve">iesniedzēji, </w:t>
            </w:r>
            <w:r w:rsidRPr="00671A71" w:rsidR="00F457A9">
              <w:rPr>
                <w:rFonts w:ascii="Times New Roman" w:hAnsi="Times New Roman"/>
                <w:color w:val="000000"/>
                <w:sz w:val="24"/>
                <w:szCs w:val="24"/>
              </w:rPr>
              <w:t>to sadarbības partneri un CFLA.</w:t>
            </w:r>
          </w:p>
        </w:tc>
      </w:tr>
      <w:tr w14:paraId="71A12510" w14:textId="77777777" w:rsidTr="00D239ED">
        <w:tblPrEx>
          <w:tblW w:w="9640" w:type="dxa"/>
          <w:tblCellMar>
            <w:left w:w="0" w:type="dxa"/>
            <w:right w:w="0" w:type="dxa"/>
          </w:tblCellMar>
          <w:tblLook w:val="0000"/>
        </w:tblPrEx>
        <w:trPr>
          <w:trHeight w:val="523"/>
        </w:trPr>
        <w:tc>
          <w:tcPr>
            <w:tcW w:w="431" w:type="dxa"/>
          </w:tcPr>
          <w:p w:rsidR="00CC1A56" w:rsidRPr="00671A71" w:rsidP="00734441" w14:paraId="0039738F" w14:textId="77777777">
            <w:pPr>
              <w:pStyle w:val="naiskr"/>
              <w:spacing w:before="0" w:beforeAutospacing="0" w:after="0" w:afterAutospacing="0"/>
              <w:ind w:left="57" w:right="57"/>
            </w:pPr>
            <w:r w:rsidRPr="00671A71">
              <w:t>2.</w:t>
            </w:r>
          </w:p>
        </w:tc>
        <w:tc>
          <w:tcPr>
            <w:tcW w:w="2268" w:type="dxa"/>
            <w:shd w:val="clear" w:color="auto" w:fill="auto"/>
          </w:tcPr>
          <w:p w:rsidR="00CC1A56" w:rsidRPr="00671A71" w:rsidP="00734441" w14:paraId="3712E757" w14:textId="77777777">
            <w:pPr>
              <w:pStyle w:val="naiskr"/>
              <w:spacing w:before="0" w:beforeAutospacing="0" w:after="0" w:afterAutospacing="0"/>
              <w:ind w:left="57" w:right="57"/>
            </w:pPr>
            <w:r w:rsidRPr="00671A71">
              <w:t>Tiesiskā</w:t>
            </w:r>
            <w:r w:rsidRPr="00671A71" w:rsidR="00F01597">
              <w:t xml:space="preserve"> </w:t>
            </w:r>
            <w:r w:rsidRPr="00671A71">
              <w:t>regulējuma</w:t>
            </w:r>
            <w:r w:rsidRPr="00671A71" w:rsidR="00F01597">
              <w:t xml:space="preserve"> </w:t>
            </w:r>
            <w:r w:rsidRPr="00671A71">
              <w:t>ietekme</w:t>
            </w:r>
            <w:r w:rsidRPr="00671A71" w:rsidR="00F01597">
              <w:t xml:space="preserve"> </w:t>
            </w:r>
            <w:r w:rsidRPr="00671A71">
              <w:t>uz</w:t>
            </w:r>
            <w:r w:rsidRPr="00671A71" w:rsidR="00F01597">
              <w:t xml:space="preserve"> </w:t>
            </w:r>
            <w:r w:rsidRPr="00671A71">
              <w:t>tautsaimniecību</w:t>
            </w:r>
            <w:r w:rsidRPr="00671A71" w:rsidR="00F01597">
              <w:t xml:space="preserve"> </w:t>
            </w:r>
            <w:r w:rsidRPr="00671A71">
              <w:t>un</w:t>
            </w:r>
            <w:r w:rsidRPr="00671A71" w:rsidR="00F01597">
              <w:t xml:space="preserve"> </w:t>
            </w:r>
            <w:r w:rsidRPr="00671A71">
              <w:t>administratīvo</w:t>
            </w:r>
            <w:r w:rsidRPr="00671A71" w:rsidR="00F01597">
              <w:t xml:space="preserve"> </w:t>
            </w:r>
            <w:r w:rsidRPr="00671A71">
              <w:t>slogu</w:t>
            </w:r>
          </w:p>
        </w:tc>
        <w:tc>
          <w:tcPr>
            <w:tcW w:w="6941" w:type="dxa"/>
            <w:shd w:val="clear" w:color="auto" w:fill="auto"/>
          </w:tcPr>
          <w:p w:rsidR="00ED3AEC" w:rsidRPr="00671A71" w:rsidP="000F4E37" w14:paraId="6B41C125" w14:textId="77777777">
            <w:pPr>
              <w:spacing w:after="0" w:line="240" w:lineRule="auto"/>
              <w:ind w:left="57" w:right="113"/>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Administratīvais slogs palielinās:</w:t>
            </w:r>
          </w:p>
          <w:p w:rsidR="00CF6FA0" w:rsidRPr="00671A71" w:rsidP="00836F5B" w14:paraId="549B9264" w14:textId="77777777">
            <w:pPr>
              <w:numPr>
                <w:ilvl w:val="0"/>
                <w:numId w:val="30"/>
              </w:numPr>
              <w:spacing w:after="0" w:line="240" w:lineRule="auto"/>
              <w:ind w:right="113"/>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 xml:space="preserve">CFLA, jo </w:t>
            </w:r>
            <w:r w:rsidRPr="00671A71" w:rsidR="009D450F">
              <w:rPr>
                <w:rFonts w:ascii="Times New Roman" w:eastAsia="Times New Roman" w:hAnsi="Times New Roman"/>
                <w:sz w:val="24"/>
                <w:szCs w:val="24"/>
                <w:lang w:eastAsia="lv-LV"/>
              </w:rPr>
              <w:t xml:space="preserve">MK </w:t>
            </w:r>
            <w:r w:rsidRPr="00671A71">
              <w:rPr>
                <w:rFonts w:ascii="Times New Roman" w:eastAsia="Times New Roman" w:hAnsi="Times New Roman"/>
                <w:sz w:val="24"/>
                <w:szCs w:val="24"/>
                <w:lang w:eastAsia="lv-LV"/>
              </w:rPr>
              <w:t>noteikumu projekts paredz</w:t>
            </w:r>
            <w:r w:rsidRPr="00671A71" w:rsidR="00F457A9">
              <w:rPr>
                <w:rFonts w:ascii="Times New Roman" w:eastAsia="Times New Roman" w:hAnsi="Times New Roman"/>
                <w:sz w:val="24"/>
                <w:szCs w:val="24"/>
                <w:lang w:eastAsia="lv-LV"/>
              </w:rPr>
              <w:t xml:space="preserve">, </w:t>
            </w:r>
            <w:r w:rsidRPr="00671A71" w:rsidR="00C16DF4">
              <w:rPr>
                <w:rFonts w:ascii="Times New Roman" w:eastAsia="Times New Roman" w:hAnsi="Times New Roman"/>
                <w:sz w:val="24"/>
                <w:szCs w:val="24"/>
                <w:lang w:eastAsia="lv-LV"/>
              </w:rPr>
              <w:t xml:space="preserve">ka gadījumos, </w:t>
            </w:r>
            <w:r w:rsidRPr="00671A71" w:rsidR="00F457A9">
              <w:rPr>
                <w:rFonts w:ascii="Times New Roman" w:eastAsia="Times New Roman" w:hAnsi="Times New Roman"/>
                <w:sz w:val="24"/>
                <w:szCs w:val="24"/>
                <w:lang w:eastAsia="lv-LV"/>
              </w:rPr>
              <w:t>ja</w:t>
            </w:r>
            <w:r w:rsidRPr="00671A71">
              <w:rPr>
                <w:rFonts w:ascii="Times New Roman" w:eastAsia="Times New Roman" w:hAnsi="Times New Roman"/>
                <w:sz w:val="24"/>
                <w:szCs w:val="24"/>
                <w:lang w:eastAsia="lv-LV"/>
              </w:rPr>
              <w:t xml:space="preserve"> </w:t>
            </w:r>
            <w:r w:rsidRPr="00671A71" w:rsidR="00F457A9">
              <w:rPr>
                <w:rFonts w:ascii="Times New Roman" w:eastAsia="Times New Roman" w:hAnsi="Times New Roman"/>
                <w:sz w:val="24"/>
                <w:szCs w:val="24"/>
                <w:lang w:eastAsia="lv-LV"/>
              </w:rPr>
              <w:t>valsts atbalstu sniedz s</w:t>
            </w:r>
            <w:r w:rsidRPr="00671A71" w:rsidR="004D3F47">
              <w:rPr>
                <w:rFonts w:ascii="Times New Roman" w:eastAsia="Times New Roman" w:hAnsi="Times New Roman"/>
                <w:sz w:val="24"/>
                <w:szCs w:val="24"/>
                <w:lang w:eastAsia="lv-LV"/>
              </w:rPr>
              <w:t>askaņā ar Komisijas regulas Nr. 651/2014 48. un 56. </w:t>
            </w:r>
            <w:r w:rsidRPr="00671A71" w:rsidR="00F457A9">
              <w:rPr>
                <w:rFonts w:ascii="Times New Roman" w:eastAsia="Times New Roman" w:hAnsi="Times New Roman"/>
                <w:sz w:val="24"/>
                <w:szCs w:val="24"/>
                <w:lang w:eastAsia="lv-LV"/>
              </w:rPr>
              <w:t>pantu, CFLA nodrošina projekta uzraudzību Komisijas regulas Nr. 480/2014 1.</w:t>
            </w:r>
            <w:r w:rsidRPr="00671A71" w:rsidR="004D3F47">
              <w:rPr>
                <w:rFonts w:ascii="Times New Roman" w:eastAsia="Times New Roman" w:hAnsi="Times New Roman"/>
                <w:sz w:val="24"/>
                <w:szCs w:val="24"/>
                <w:lang w:eastAsia="lv-LV"/>
              </w:rPr>
              <w:t> </w:t>
            </w:r>
            <w:r w:rsidRPr="00671A71" w:rsidR="00F457A9">
              <w:rPr>
                <w:rFonts w:ascii="Times New Roman" w:eastAsia="Times New Roman" w:hAnsi="Times New Roman"/>
                <w:sz w:val="24"/>
                <w:szCs w:val="24"/>
                <w:lang w:eastAsia="lv-LV"/>
              </w:rPr>
              <w:t>pielikumā noteiktajā projekta pārskata periodā (projekta dzīves ciklā). Indikatīvi šād</w:t>
            </w:r>
            <w:r w:rsidRPr="00671A71" w:rsidR="009717AA">
              <w:rPr>
                <w:rFonts w:ascii="Times New Roman" w:eastAsia="Times New Roman" w:hAnsi="Times New Roman"/>
                <w:sz w:val="24"/>
                <w:szCs w:val="24"/>
                <w:lang w:eastAsia="lv-LV"/>
              </w:rPr>
              <w:t>i</w:t>
            </w:r>
            <w:r w:rsidRPr="00671A71" w:rsidR="00F457A9">
              <w:rPr>
                <w:rFonts w:ascii="Times New Roman" w:eastAsia="Times New Roman" w:hAnsi="Times New Roman"/>
                <w:sz w:val="24"/>
                <w:szCs w:val="24"/>
                <w:lang w:eastAsia="lv-LV"/>
              </w:rPr>
              <w:t xml:space="preserve"> varētu būt </w:t>
            </w:r>
            <w:r w:rsidRPr="00671A71" w:rsidR="00D239ED">
              <w:rPr>
                <w:rFonts w:ascii="Times New Roman" w:eastAsia="Times New Roman" w:hAnsi="Times New Roman"/>
                <w:sz w:val="24"/>
                <w:szCs w:val="24"/>
                <w:lang w:eastAsia="lv-LV"/>
              </w:rPr>
              <w:t>57</w:t>
            </w:r>
            <w:r w:rsidRPr="00671A71" w:rsidR="009717AA">
              <w:rPr>
                <w:rFonts w:ascii="Times New Roman" w:eastAsia="Times New Roman" w:hAnsi="Times New Roman"/>
                <w:sz w:val="24"/>
                <w:szCs w:val="24"/>
                <w:lang w:eastAsia="lv-LV"/>
              </w:rPr>
              <w:t xml:space="preserve"> projekti</w:t>
            </w:r>
            <w:r w:rsidRPr="00671A71" w:rsidR="00836F5B">
              <w:rPr>
                <w:rFonts w:ascii="Times New Roman" w:eastAsia="Times New Roman" w:hAnsi="Times New Roman"/>
                <w:sz w:val="24"/>
                <w:szCs w:val="24"/>
                <w:lang w:eastAsia="lv-LV"/>
              </w:rPr>
              <w:t xml:space="preserve">. </w:t>
            </w:r>
            <w:r w:rsidRPr="00671A71" w:rsidR="006433DA">
              <w:rPr>
                <w:rFonts w:ascii="Times New Roman" w:eastAsia="Times New Roman" w:hAnsi="Times New Roman"/>
                <w:sz w:val="24"/>
                <w:szCs w:val="24"/>
                <w:lang w:eastAsia="lv-LV"/>
              </w:rPr>
              <w:t>CFL</w:t>
            </w:r>
            <w:r w:rsidRPr="00671A71" w:rsidR="00836F5B">
              <w:rPr>
                <w:rFonts w:ascii="Times New Roman" w:eastAsia="Times New Roman" w:hAnsi="Times New Roman"/>
                <w:sz w:val="24"/>
                <w:szCs w:val="24"/>
                <w:lang w:eastAsia="lv-LV"/>
              </w:rPr>
              <w:t>A</w:t>
            </w:r>
            <w:r w:rsidRPr="00671A71" w:rsidR="00946BA4">
              <w:rPr>
                <w:rFonts w:ascii="Times New Roman" w:eastAsia="Times New Roman" w:hAnsi="Times New Roman"/>
                <w:sz w:val="24"/>
                <w:szCs w:val="24"/>
                <w:lang w:eastAsia="lv-LV"/>
              </w:rPr>
              <w:t xml:space="preserve"> </w:t>
            </w:r>
            <w:r w:rsidRPr="00671A71" w:rsidR="00836F5B">
              <w:rPr>
                <w:rFonts w:ascii="Times New Roman" w:eastAsia="Times New Roman" w:hAnsi="Times New Roman"/>
                <w:sz w:val="24"/>
                <w:szCs w:val="24"/>
                <w:lang w:eastAsia="lv-LV"/>
              </w:rPr>
              <w:t>veiks arī</w:t>
            </w:r>
            <w:r w:rsidRPr="00671A71" w:rsidR="006433DA">
              <w:rPr>
                <w:rFonts w:ascii="Times New Roman" w:eastAsia="Times New Roman" w:hAnsi="Times New Roman"/>
                <w:sz w:val="24"/>
                <w:szCs w:val="24"/>
                <w:lang w:eastAsia="lv-LV"/>
              </w:rPr>
              <w:t xml:space="preserve"> </w:t>
            </w:r>
            <w:r w:rsidRPr="00671A71" w:rsidR="009D450F">
              <w:rPr>
                <w:rFonts w:ascii="Times New Roman" w:eastAsia="Times New Roman" w:hAnsi="Times New Roman"/>
                <w:sz w:val="24"/>
                <w:szCs w:val="24"/>
                <w:lang w:eastAsia="lv-LV"/>
              </w:rPr>
              <w:t xml:space="preserve">valsts atbalsta </w:t>
            </w:r>
            <w:r w:rsidRPr="00671A71" w:rsidR="006433DA">
              <w:rPr>
                <w:rFonts w:ascii="Times New Roman" w:eastAsia="Times New Roman" w:hAnsi="Times New Roman"/>
                <w:sz w:val="24"/>
                <w:szCs w:val="24"/>
                <w:lang w:eastAsia="lv-LV"/>
              </w:rPr>
              <w:t>pārredzamības</w:t>
            </w:r>
            <w:r w:rsidRPr="00671A71" w:rsidR="00836F5B">
              <w:rPr>
                <w:rFonts w:ascii="Times New Roman" w:eastAsia="Times New Roman" w:hAnsi="Times New Roman"/>
                <w:sz w:val="24"/>
                <w:szCs w:val="24"/>
                <w:lang w:eastAsia="lv-LV"/>
              </w:rPr>
              <w:t xml:space="preserve"> prasību</w:t>
            </w:r>
            <w:r w:rsidRPr="00671A71" w:rsidR="006433DA">
              <w:rPr>
                <w:rFonts w:ascii="Times New Roman" w:eastAsia="Times New Roman" w:hAnsi="Times New Roman"/>
                <w:sz w:val="24"/>
                <w:szCs w:val="24"/>
                <w:lang w:eastAsia="lv-LV"/>
              </w:rPr>
              <w:t xml:space="preserve"> izpildi</w:t>
            </w:r>
            <w:r w:rsidRPr="00671A71" w:rsidR="00E816AB">
              <w:rPr>
                <w:rFonts w:ascii="Times New Roman" w:eastAsia="Times New Roman" w:hAnsi="Times New Roman"/>
                <w:sz w:val="24"/>
                <w:szCs w:val="24"/>
                <w:lang w:eastAsia="lv-LV"/>
              </w:rPr>
              <w:t>;</w:t>
            </w:r>
          </w:p>
          <w:p w:rsidR="00836F5B" w:rsidRPr="00671A71" w:rsidP="000F4E37" w14:paraId="6F4BDA2C" w14:textId="1067A123">
            <w:pPr>
              <w:numPr>
                <w:ilvl w:val="0"/>
                <w:numId w:val="30"/>
              </w:numPr>
              <w:spacing w:after="0" w:line="240" w:lineRule="auto"/>
              <w:ind w:right="113"/>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 xml:space="preserve">SAM </w:t>
            </w:r>
            <w:r w:rsidRPr="00671A71" w:rsidR="00D239ED">
              <w:rPr>
                <w:rFonts w:ascii="Times New Roman" w:eastAsia="Times New Roman" w:hAnsi="Times New Roman"/>
                <w:sz w:val="24"/>
                <w:szCs w:val="24"/>
                <w:lang w:eastAsia="lv-LV"/>
              </w:rPr>
              <w:t>5.6.2</w:t>
            </w:r>
            <w:r w:rsidRPr="00671A71">
              <w:rPr>
                <w:rFonts w:ascii="Times New Roman" w:eastAsia="Times New Roman" w:hAnsi="Times New Roman"/>
                <w:sz w:val="24"/>
                <w:szCs w:val="24"/>
                <w:lang w:eastAsia="lv-LV"/>
              </w:rPr>
              <w:t>. </w:t>
            </w:r>
            <w:r w:rsidRPr="00671A71" w:rsidR="004F2FFC">
              <w:rPr>
                <w:rFonts w:ascii="Times New Roman" w:eastAsia="Times New Roman" w:hAnsi="Times New Roman"/>
                <w:sz w:val="24"/>
                <w:szCs w:val="24"/>
                <w:lang w:eastAsia="lv-LV"/>
              </w:rPr>
              <w:t>projektu</w:t>
            </w:r>
            <w:r w:rsidR="00593950">
              <w:rPr>
                <w:rFonts w:ascii="Times New Roman" w:eastAsia="Times New Roman" w:hAnsi="Times New Roman"/>
                <w:sz w:val="24"/>
                <w:szCs w:val="24"/>
                <w:lang w:eastAsia="lv-LV"/>
              </w:rPr>
              <w:t xml:space="preserve"> </w:t>
            </w:r>
            <w:r w:rsidRPr="00671A71" w:rsidR="004F2FFC">
              <w:rPr>
                <w:rFonts w:ascii="Times New Roman" w:eastAsia="Times New Roman" w:hAnsi="Times New Roman"/>
                <w:sz w:val="24"/>
                <w:szCs w:val="24"/>
                <w:lang w:eastAsia="lv-LV"/>
              </w:rPr>
              <w:t>iesniedzējiem</w:t>
            </w:r>
            <w:r w:rsidRPr="00671A71">
              <w:rPr>
                <w:rFonts w:ascii="Times New Roman" w:eastAsia="Times New Roman" w:hAnsi="Times New Roman"/>
                <w:sz w:val="24"/>
                <w:szCs w:val="24"/>
                <w:lang w:eastAsia="lv-LV"/>
              </w:rPr>
              <w:t xml:space="preserve"> un finansējuma saņēmējiem, jo:</w:t>
            </w:r>
          </w:p>
          <w:p w:rsidR="00F457A9" w:rsidRPr="00671A71" w:rsidP="00836F5B" w14:paraId="4BFDADA3" w14:textId="77777777">
            <w:pPr>
              <w:pStyle w:val="ListParagraph"/>
              <w:numPr>
                <w:ilvl w:val="0"/>
                <w:numId w:val="32"/>
              </w:numPr>
              <w:spacing w:after="0" w:line="240" w:lineRule="auto"/>
              <w:ind w:right="113"/>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MK</w:t>
            </w:r>
            <w:r w:rsidRPr="00671A71" w:rsidR="008A7187">
              <w:rPr>
                <w:rFonts w:ascii="Times New Roman" w:eastAsia="Times New Roman" w:hAnsi="Times New Roman"/>
                <w:sz w:val="24"/>
                <w:szCs w:val="24"/>
                <w:lang w:eastAsia="lv-LV"/>
              </w:rPr>
              <w:t xml:space="preserve"> noteikumu projekts paredz pien</w:t>
            </w:r>
            <w:r w:rsidRPr="00671A71" w:rsidR="008D6018">
              <w:rPr>
                <w:rFonts w:ascii="Times New Roman" w:eastAsia="Times New Roman" w:hAnsi="Times New Roman"/>
                <w:sz w:val="24"/>
                <w:szCs w:val="24"/>
                <w:lang w:eastAsia="lv-LV"/>
              </w:rPr>
              <w:t>ākumu projekta iesniegumā norādīt enerģijas patēriņu (ēkām, notekūdeņu attīrīšanās infrastruktūrai, ielu apgaismojumam u.c.) pirms projekta īstenošanas un finansējuma saņēmējam pienākumu informēt CFLA par enerģijas patēriņu trīs gadus pēc projekta īstenošanas;</w:t>
            </w:r>
          </w:p>
          <w:p w:rsidR="008D6018" w:rsidRPr="00671A71" w:rsidP="00836F5B" w14:paraId="5DFB3688" w14:textId="77777777">
            <w:pPr>
              <w:numPr>
                <w:ilvl w:val="0"/>
                <w:numId w:val="32"/>
              </w:numPr>
              <w:spacing w:after="0" w:line="240" w:lineRule="auto"/>
              <w:ind w:right="113"/>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 xml:space="preserve">MK </w:t>
            </w:r>
            <w:r w:rsidRPr="00671A71" w:rsidR="000F4E37">
              <w:rPr>
                <w:rFonts w:ascii="Times New Roman" w:eastAsia="Times New Roman" w:hAnsi="Times New Roman"/>
                <w:sz w:val="24"/>
                <w:szCs w:val="24"/>
                <w:lang w:eastAsia="lv-LV"/>
              </w:rPr>
              <w:t>noteikumu projekts paredz finansējuma saņēmējam pienākumu uzkrāt datus par projekta ietekmi uz HP IA rādītājiem un ziņot CFLA par tiem vienlaikus ar projekta iznākumu rādītāju vērtību sasniegšanu vai iesniedzot CFLA noslēguma maksājuma pieprasījumu;</w:t>
            </w:r>
          </w:p>
          <w:p w:rsidR="000F4E37" w:rsidRPr="00671A71" w:rsidP="00836F5B" w14:paraId="0967E3F7" w14:textId="77777777">
            <w:pPr>
              <w:numPr>
                <w:ilvl w:val="0"/>
                <w:numId w:val="32"/>
              </w:numPr>
              <w:spacing w:after="0" w:line="240" w:lineRule="auto"/>
              <w:ind w:right="113"/>
              <w:jc w:val="both"/>
              <w:rPr>
                <w:rFonts w:ascii="Times New Roman" w:eastAsia="Times New Roman" w:hAnsi="Times New Roman"/>
                <w:sz w:val="24"/>
                <w:szCs w:val="24"/>
                <w:lang w:eastAsia="lv-LV"/>
              </w:rPr>
            </w:pPr>
            <w:r w:rsidRPr="00671A71">
              <w:rPr>
                <w:rFonts w:ascii="Times New Roman" w:hAnsi="Times New Roman"/>
                <w:sz w:val="24"/>
                <w:szCs w:val="24"/>
              </w:rPr>
              <w:t xml:space="preserve">MK </w:t>
            </w:r>
            <w:r w:rsidRPr="00671A71" w:rsidR="00BE61D2">
              <w:rPr>
                <w:rFonts w:ascii="Times New Roman" w:hAnsi="Times New Roman"/>
                <w:sz w:val="24"/>
                <w:szCs w:val="24"/>
              </w:rPr>
              <w:t>noteikumu projekts paredz,</w:t>
            </w:r>
            <w:r w:rsidRPr="00671A71">
              <w:rPr>
                <w:rFonts w:ascii="Times New Roman" w:eastAsia="Times New Roman" w:hAnsi="Times New Roman"/>
                <w:sz w:val="24"/>
                <w:szCs w:val="24"/>
                <w:lang w:eastAsia="lv-LV"/>
              </w:rPr>
              <w:t xml:space="preserve"> ja valsts atbalstu sniedz saskaņā ar Komisijas </w:t>
            </w:r>
            <w:r w:rsidRPr="00671A71" w:rsidR="00FD0471">
              <w:rPr>
                <w:rFonts w:ascii="Times New Roman" w:eastAsia="Times New Roman" w:hAnsi="Times New Roman"/>
                <w:sz w:val="24"/>
                <w:szCs w:val="24"/>
                <w:lang w:eastAsia="lv-LV"/>
              </w:rPr>
              <w:t>regulas Nr. 651/2014 48. un 56. </w:t>
            </w:r>
            <w:r w:rsidRPr="00671A71">
              <w:rPr>
                <w:rFonts w:ascii="Times New Roman" w:eastAsia="Times New Roman" w:hAnsi="Times New Roman"/>
                <w:sz w:val="24"/>
                <w:szCs w:val="24"/>
                <w:lang w:eastAsia="lv-LV"/>
              </w:rPr>
              <w:t>pantu</w:t>
            </w:r>
            <w:r w:rsidRPr="00671A71">
              <w:rPr>
                <w:rFonts w:ascii="Times New Roman" w:hAnsi="Times New Roman"/>
                <w:sz w:val="24"/>
                <w:szCs w:val="24"/>
              </w:rPr>
              <w:t xml:space="preserve">, finansējuma saņēmējam jāveic atbalsta likmes pārrēķinu projekta dzīves cikla beigās </w:t>
            </w:r>
            <w:r w:rsidRPr="00671A71" w:rsidR="004F2FFC">
              <w:rPr>
                <w:rFonts w:ascii="Times New Roman" w:hAnsi="Times New Roman"/>
                <w:sz w:val="24"/>
                <w:szCs w:val="24"/>
              </w:rPr>
              <w:t xml:space="preserve">(vienu reizi) </w:t>
            </w:r>
            <w:r w:rsidRPr="00671A71">
              <w:rPr>
                <w:rFonts w:ascii="Times New Roman" w:hAnsi="Times New Roman"/>
                <w:sz w:val="24"/>
                <w:szCs w:val="24"/>
              </w:rPr>
              <w:t>un jāatmaksā starpību starp faktisko peļņu no pamatdarbības un plānoto pelņu no pamatdarbības</w:t>
            </w:r>
            <w:r w:rsidRPr="00671A71" w:rsidR="00075D4F">
              <w:rPr>
                <w:rFonts w:ascii="Times New Roman" w:hAnsi="Times New Roman"/>
                <w:sz w:val="24"/>
                <w:szCs w:val="24"/>
              </w:rPr>
              <w:t>.</w:t>
            </w:r>
          </w:p>
        </w:tc>
      </w:tr>
      <w:tr w14:paraId="0888DA0E" w14:textId="77777777" w:rsidTr="00061A66">
        <w:tblPrEx>
          <w:tblW w:w="9640" w:type="dxa"/>
          <w:tblCellMar>
            <w:left w:w="0" w:type="dxa"/>
            <w:right w:w="0" w:type="dxa"/>
          </w:tblCellMar>
          <w:tblLook w:val="0000"/>
        </w:tblPrEx>
        <w:trPr>
          <w:trHeight w:val="523"/>
        </w:trPr>
        <w:tc>
          <w:tcPr>
            <w:tcW w:w="431" w:type="dxa"/>
          </w:tcPr>
          <w:p w:rsidR="00CC1A56" w:rsidRPr="00671A71" w:rsidP="00734441" w14:paraId="4E17C8B4" w14:textId="77777777">
            <w:pPr>
              <w:pStyle w:val="naiskr"/>
              <w:spacing w:before="0" w:beforeAutospacing="0" w:after="0" w:afterAutospacing="0"/>
              <w:ind w:left="57" w:right="57"/>
            </w:pPr>
            <w:r w:rsidRPr="00671A71">
              <w:t>3.</w:t>
            </w:r>
          </w:p>
        </w:tc>
        <w:tc>
          <w:tcPr>
            <w:tcW w:w="2268" w:type="dxa"/>
            <w:shd w:val="clear" w:color="auto" w:fill="auto"/>
          </w:tcPr>
          <w:p w:rsidR="00CC1A56" w:rsidRPr="00671A71" w:rsidP="00734441" w14:paraId="017B7ED5" w14:textId="77777777">
            <w:pPr>
              <w:pStyle w:val="naiskr"/>
              <w:spacing w:before="0" w:beforeAutospacing="0" w:after="0" w:afterAutospacing="0"/>
              <w:ind w:left="57" w:right="57"/>
            </w:pPr>
            <w:r w:rsidRPr="00671A71">
              <w:t>Administratīvo</w:t>
            </w:r>
            <w:r w:rsidRPr="00671A71" w:rsidR="00F01597">
              <w:t xml:space="preserve"> </w:t>
            </w:r>
            <w:r w:rsidRPr="00671A71">
              <w:t>izmaksu</w:t>
            </w:r>
            <w:r w:rsidRPr="00671A71" w:rsidR="00F01597">
              <w:t xml:space="preserve"> </w:t>
            </w:r>
            <w:r w:rsidRPr="00671A71">
              <w:t>monetārs</w:t>
            </w:r>
            <w:r w:rsidRPr="00671A71" w:rsidR="00F01597">
              <w:t xml:space="preserve"> </w:t>
            </w:r>
            <w:r w:rsidRPr="00671A71">
              <w:t>novērtējums</w:t>
            </w:r>
          </w:p>
        </w:tc>
        <w:tc>
          <w:tcPr>
            <w:tcW w:w="6941" w:type="dxa"/>
            <w:shd w:val="clear" w:color="auto" w:fill="auto"/>
          </w:tcPr>
          <w:p w:rsidR="00451729" w:rsidRPr="00671A71" w:rsidP="00451729" w14:paraId="79BD51E5" w14:textId="77777777">
            <w:pPr>
              <w:spacing w:after="120" w:line="240" w:lineRule="auto"/>
              <w:jc w:val="both"/>
              <w:rPr>
                <w:rFonts w:ascii="Times New Roman" w:hAnsi="Times New Roman"/>
                <w:sz w:val="24"/>
                <w:szCs w:val="24"/>
              </w:rPr>
            </w:pPr>
            <w:r w:rsidRPr="00671A71">
              <w:rPr>
                <w:rFonts w:ascii="Times New Roman" w:hAnsi="Times New Roman"/>
                <w:sz w:val="24"/>
                <w:szCs w:val="24"/>
              </w:rPr>
              <w:t>Projektā ietvertajam tiesiskajam regulējumam ir ietekme uz administratīvajām izmaksām (naudas izteiksmē), jo:</w:t>
            </w:r>
          </w:p>
          <w:p w:rsidR="00451729" w:rsidRPr="00671A71" w:rsidP="00451729" w14:paraId="6EFBB7F3" w14:textId="77777777">
            <w:pPr>
              <w:pStyle w:val="ListParagraph"/>
              <w:numPr>
                <w:ilvl w:val="0"/>
                <w:numId w:val="33"/>
              </w:numPr>
              <w:spacing w:after="120" w:line="240" w:lineRule="auto"/>
              <w:ind w:left="415"/>
              <w:jc w:val="both"/>
              <w:rPr>
                <w:rFonts w:ascii="Times New Roman" w:hAnsi="Times New Roman"/>
                <w:sz w:val="24"/>
                <w:szCs w:val="24"/>
              </w:rPr>
            </w:pPr>
            <w:r w:rsidRPr="00671A71">
              <w:rPr>
                <w:rFonts w:ascii="Times New Roman" w:hAnsi="Times New Roman"/>
                <w:sz w:val="24"/>
                <w:szCs w:val="24"/>
              </w:rPr>
              <w:t>CFLA veiks valsts atbalsta nosacījumu uzraudzību arī pēc 5 gadu pēcuzraudzības perioda beigām indikatīvi 57 projektiem, jo finansējuma saņēmējam ir pienākums veikt atbalsta likmes pārrēķinu projekta dzīves cikla (10-25 gadi) beigās un atmaksāt CFLA starpību starp faktisko peļņu no pamatdarbības un plānoto pelņu no pamatdarbības. Ietekme uz budžetu būs indikatīvi no 2021. līdz 2047. gadam.</w:t>
            </w:r>
          </w:p>
          <w:p w:rsidR="00451729" w:rsidRPr="00671A71" w:rsidP="00451729" w14:paraId="49CCD119" w14:textId="77777777">
            <w:pPr>
              <w:pStyle w:val="ListParagraph"/>
              <w:spacing w:after="120" w:line="240" w:lineRule="auto"/>
              <w:jc w:val="both"/>
              <w:rPr>
                <w:rFonts w:ascii="Times New Roman" w:hAnsi="Times New Roman"/>
                <w:sz w:val="24"/>
                <w:szCs w:val="24"/>
              </w:rPr>
            </w:pPr>
          </w:p>
          <w:p w:rsidR="00451729" w:rsidRPr="00671A71" w:rsidP="00451729" w14:paraId="517E949B" w14:textId="77777777">
            <w:pPr>
              <w:pStyle w:val="ListParagraph"/>
              <w:spacing w:after="120" w:line="240" w:lineRule="auto"/>
              <w:ind w:left="415"/>
              <w:jc w:val="both"/>
              <w:rPr>
                <w:rFonts w:ascii="Times New Roman" w:hAnsi="Times New Roman"/>
                <w:sz w:val="24"/>
                <w:szCs w:val="24"/>
              </w:rPr>
            </w:pPr>
            <w:r w:rsidRPr="00671A71">
              <w:rPr>
                <w:rFonts w:ascii="Times New Roman" w:hAnsi="Times New Roman"/>
                <w:sz w:val="24"/>
                <w:szCs w:val="24"/>
              </w:rPr>
              <w:t xml:space="preserve">Tiek paredzēts, ka izmaksas CFLA, lai nodrošinātu valsts atbalsta projekta uzraudzību vienam projektam, ir </w:t>
            </w:r>
            <w:r w:rsidRPr="00671A71" w:rsidR="00587AF0">
              <w:rPr>
                <w:rFonts w:ascii="Times New Roman" w:hAnsi="Times New Roman"/>
                <w:sz w:val="24"/>
                <w:szCs w:val="24"/>
              </w:rPr>
              <w:t>172,00</w:t>
            </w:r>
            <w:r w:rsidRPr="00671A71">
              <w:rPr>
                <w:rFonts w:ascii="Times New Roman" w:hAnsi="Times New Roman"/>
                <w:sz w:val="24"/>
                <w:szCs w:val="24"/>
              </w:rPr>
              <w:t xml:space="preserve"> </w:t>
            </w:r>
            <w:r w:rsidRPr="00671A71">
              <w:rPr>
                <w:rFonts w:ascii="Times New Roman" w:hAnsi="Times New Roman"/>
                <w:i/>
                <w:sz w:val="24"/>
                <w:szCs w:val="24"/>
              </w:rPr>
              <w:t xml:space="preserve">euro </w:t>
            </w:r>
            <w:r w:rsidRPr="00671A71">
              <w:rPr>
                <w:rFonts w:ascii="Times New Roman" w:hAnsi="Times New Roman"/>
                <w:sz w:val="24"/>
                <w:szCs w:val="24"/>
              </w:rPr>
              <w:t xml:space="preserve">(57 projektiem – </w:t>
            </w:r>
            <w:r w:rsidRPr="00671A71" w:rsidR="00587AF0">
              <w:rPr>
                <w:rFonts w:ascii="Times New Roman" w:hAnsi="Times New Roman"/>
                <w:sz w:val="24"/>
                <w:szCs w:val="24"/>
              </w:rPr>
              <w:t>9 804</w:t>
            </w:r>
            <w:r w:rsidRPr="00671A71">
              <w:rPr>
                <w:rFonts w:ascii="Times New Roman" w:hAnsi="Times New Roman"/>
                <w:sz w:val="24"/>
                <w:szCs w:val="24"/>
              </w:rPr>
              <w:t xml:space="preserve"> </w:t>
            </w:r>
            <w:r w:rsidRPr="00671A71">
              <w:rPr>
                <w:rFonts w:ascii="Times New Roman" w:hAnsi="Times New Roman"/>
                <w:i/>
                <w:sz w:val="24"/>
                <w:szCs w:val="24"/>
              </w:rPr>
              <w:t>euro</w:t>
            </w:r>
            <w:r w:rsidRPr="00671A71">
              <w:rPr>
                <w:rFonts w:ascii="Times New Roman" w:hAnsi="Times New Roman"/>
                <w:sz w:val="24"/>
                <w:szCs w:val="24"/>
              </w:rPr>
              <w:t xml:space="preserve">), kas sevī ietver atalgojuma un darba vietas uzturēšanas izmaksas. </w:t>
            </w:r>
          </w:p>
          <w:p w:rsidR="00451729" w:rsidRPr="00671A71" w:rsidP="00451729" w14:paraId="0017E710" w14:textId="77777777">
            <w:pPr>
              <w:pStyle w:val="ListParagraph"/>
              <w:spacing w:after="120" w:line="240" w:lineRule="auto"/>
              <w:jc w:val="both"/>
              <w:rPr>
                <w:rFonts w:ascii="Times New Roman" w:hAnsi="Times New Roman"/>
                <w:sz w:val="24"/>
                <w:szCs w:val="24"/>
              </w:rPr>
            </w:pPr>
          </w:p>
          <w:p w:rsidR="00451729" w:rsidRPr="00671A71" w:rsidP="00451729" w14:paraId="300801BE" w14:textId="77777777">
            <w:pPr>
              <w:pStyle w:val="ListParagraph"/>
              <w:spacing w:after="120" w:line="240" w:lineRule="auto"/>
              <w:ind w:left="415"/>
              <w:jc w:val="both"/>
              <w:rPr>
                <w:rFonts w:ascii="Times New Roman" w:hAnsi="Times New Roman"/>
                <w:sz w:val="24"/>
                <w:szCs w:val="24"/>
              </w:rPr>
            </w:pPr>
            <w:r w:rsidRPr="00671A71">
              <w:rPr>
                <w:rFonts w:ascii="Times New Roman" w:hAnsi="Times New Roman"/>
                <w:sz w:val="24"/>
                <w:szCs w:val="24"/>
              </w:rPr>
              <w:t>Norādītās izmaksas ir indikatīvas un var tikt precizētas pēc SAM 5.6.2. projektu apstiprināšanas.</w:t>
            </w:r>
          </w:p>
          <w:p w:rsidR="00451729" w:rsidRPr="00671A71" w:rsidP="00451729" w14:paraId="3E37A0F4" w14:textId="77777777">
            <w:pPr>
              <w:pStyle w:val="ListParagraph"/>
              <w:spacing w:after="120" w:line="240" w:lineRule="auto"/>
              <w:ind w:left="415"/>
              <w:jc w:val="both"/>
              <w:rPr>
                <w:rFonts w:ascii="Times New Roman" w:hAnsi="Times New Roman"/>
                <w:sz w:val="24"/>
                <w:szCs w:val="24"/>
              </w:rPr>
            </w:pPr>
          </w:p>
          <w:p w:rsidR="00451729" w:rsidRPr="00671A71" w:rsidP="00451729" w14:paraId="77268A54" w14:textId="77777777">
            <w:pPr>
              <w:pStyle w:val="ListParagraph"/>
              <w:numPr>
                <w:ilvl w:val="0"/>
                <w:numId w:val="33"/>
              </w:numPr>
              <w:spacing w:after="120" w:line="240" w:lineRule="auto"/>
              <w:ind w:left="415"/>
              <w:jc w:val="both"/>
              <w:rPr>
                <w:rFonts w:ascii="Times New Roman" w:hAnsi="Times New Roman"/>
                <w:sz w:val="24"/>
                <w:szCs w:val="24"/>
              </w:rPr>
            </w:pPr>
            <w:r w:rsidRPr="00671A71">
              <w:rPr>
                <w:rFonts w:ascii="Times New Roman" w:eastAsia="Times New Roman" w:hAnsi="Times New Roman"/>
                <w:sz w:val="24"/>
                <w:szCs w:val="24"/>
                <w:lang w:eastAsia="lv-LV"/>
              </w:rPr>
              <w:t xml:space="preserve">SAM 5.6.2. finansējuma saņēmējs uzkrās datus par projekta ietekmi uz HP IA rādītājiem un ziņos CFLA par tiem vienlaikus ar projekta iznākumu rādītāju vērtību sasniegšanu vai iesniedzot CFLA noslēguma maksājuma pieprasījumu. SAM 5.6.2. indikatīvais </w:t>
            </w:r>
            <w:r w:rsidRPr="00671A71">
              <w:rPr>
                <w:rFonts w:ascii="Times New Roman" w:eastAsia="Times New Roman" w:hAnsi="Times New Roman"/>
                <w:sz w:val="24"/>
                <w:szCs w:val="24"/>
                <w:lang w:eastAsia="lv-LV"/>
              </w:rPr>
              <w:t xml:space="preserve">kopējais projektu skaits ir 114 projekti. Indikatīvās izmaksas vienam projektam ir </w:t>
            </w:r>
            <w:r w:rsidRPr="00671A71" w:rsidR="00EC3848">
              <w:rPr>
                <w:rFonts w:ascii="Times New Roman" w:eastAsia="Times New Roman" w:hAnsi="Times New Roman"/>
                <w:sz w:val="24"/>
                <w:szCs w:val="24"/>
                <w:lang w:eastAsia="lv-LV"/>
              </w:rPr>
              <w:t>6,84</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i/>
                <w:sz w:val="24"/>
                <w:szCs w:val="24"/>
                <w:lang w:eastAsia="lv-LV"/>
              </w:rPr>
              <w:t>euro</w:t>
            </w:r>
            <w:r w:rsidRPr="00671A71">
              <w:rPr>
                <w:rFonts w:ascii="Times New Roman" w:eastAsia="Times New Roman" w:hAnsi="Times New Roman"/>
                <w:sz w:val="24"/>
                <w:szCs w:val="24"/>
                <w:lang w:eastAsia="lv-LV"/>
              </w:rPr>
              <w:t xml:space="preserve"> (114 projektiem – </w:t>
            </w:r>
            <w:r w:rsidRPr="00671A71" w:rsidR="00EC3848">
              <w:rPr>
                <w:rFonts w:ascii="Times New Roman" w:eastAsia="Times New Roman" w:hAnsi="Times New Roman"/>
                <w:sz w:val="24"/>
                <w:szCs w:val="24"/>
                <w:lang w:eastAsia="lv-LV"/>
              </w:rPr>
              <w:t>779,76</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i/>
                <w:sz w:val="24"/>
                <w:szCs w:val="24"/>
                <w:lang w:eastAsia="lv-LV"/>
              </w:rPr>
              <w:t>euro</w:t>
            </w:r>
            <w:r w:rsidRPr="00671A71">
              <w:rPr>
                <w:rFonts w:ascii="Times New Roman" w:eastAsia="Times New Roman" w:hAnsi="Times New Roman"/>
                <w:sz w:val="24"/>
                <w:szCs w:val="24"/>
                <w:lang w:eastAsia="lv-LV"/>
              </w:rPr>
              <w:t>).</w:t>
            </w:r>
          </w:p>
          <w:p w:rsidR="00451729" w:rsidRPr="00671A71" w:rsidP="00451729" w14:paraId="1C95A29E" w14:textId="77777777">
            <w:pPr>
              <w:pStyle w:val="ListParagraph"/>
              <w:spacing w:after="120" w:line="240" w:lineRule="auto"/>
              <w:ind w:left="415"/>
              <w:jc w:val="both"/>
              <w:rPr>
                <w:rFonts w:ascii="Times New Roman" w:eastAsia="Times New Roman" w:hAnsi="Times New Roman"/>
                <w:sz w:val="24"/>
                <w:szCs w:val="24"/>
                <w:lang w:eastAsia="lv-LV"/>
              </w:rPr>
            </w:pPr>
          </w:p>
          <w:p w:rsidR="00451729" w:rsidRPr="00671A71" w:rsidP="00451729" w14:paraId="338C42AB" w14:textId="77777777">
            <w:pPr>
              <w:pStyle w:val="ListParagraph"/>
              <w:spacing w:after="120" w:line="240" w:lineRule="auto"/>
              <w:ind w:left="415"/>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 xml:space="preserve">Administratīvo izmaksu novērtējums veikts, ņemot vērā šādus pieņēmumus un informāciju par iespējamām izmaksām HP IA rādītāju ziņošanai </w:t>
            </w:r>
            <w:r w:rsidRPr="00671A71">
              <w:rPr>
                <w:rFonts w:ascii="Times New Roman" w:eastAsia="Times New Roman" w:hAnsi="Times New Roman"/>
                <w:sz w:val="24"/>
                <w:szCs w:val="24"/>
                <w:u w:val="single"/>
                <w:lang w:eastAsia="lv-LV"/>
              </w:rPr>
              <w:t>vienam</w:t>
            </w:r>
            <w:r w:rsidRPr="00671A71">
              <w:rPr>
                <w:rFonts w:ascii="Times New Roman" w:eastAsia="Times New Roman" w:hAnsi="Times New Roman"/>
                <w:sz w:val="24"/>
                <w:szCs w:val="24"/>
                <w:lang w:eastAsia="lv-LV"/>
              </w:rPr>
              <w:t xml:space="preserve"> projektam:</w:t>
            </w:r>
          </w:p>
          <w:p w:rsidR="00451729" w:rsidRPr="00671A71" w:rsidP="00451729" w14:paraId="26E66799" w14:textId="77777777">
            <w:pPr>
              <w:jc w:val="center"/>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C = (f x l) x (n x b), kur</w:t>
            </w:r>
          </w:p>
          <w:p w:rsidR="00451729" w:rsidRPr="00671A71" w:rsidP="00451729" w14:paraId="70212B60"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f – finanšu līdzekļu apjoms, kas nepieciešams, lai nodrošinātu projektā paredzētā informācijas sniegšanas pienākuma izpildi:</w:t>
            </w:r>
          </w:p>
          <w:tbl>
            <w:tblPr>
              <w:tblW w:w="4780" w:type="dxa"/>
              <w:jc w:val="center"/>
              <w:tblLook w:val="04A0"/>
            </w:tblPr>
            <w:tblGrid>
              <w:gridCol w:w="1900"/>
              <w:gridCol w:w="960"/>
              <w:gridCol w:w="960"/>
              <w:gridCol w:w="960"/>
            </w:tblGrid>
            <w:tr w14:paraId="28FA61C9" w14:textId="77777777" w:rsidTr="00EC3848">
              <w:tblPrEx>
                <w:tblW w:w="4780" w:type="dxa"/>
                <w:jc w:val="center"/>
                <w:tblLook w:val="04A0"/>
              </w:tblPrEx>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848" w:rsidRPr="00671A71" w:rsidP="000D63B6" w14:paraId="4389F710"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Vidējā mēneša bruto darba samaksa sabiedriskajā sektorā  2016.g. III cet.</w:t>
                  </w:r>
                  <w:r>
                    <w:rPr>
                      <w:rStyle w:val="FootnoteReference"/>
                      <w:rFonts w:eastAsia="Times New Roman"/>
                      <w:color w:val="000000"/>
                      <w:sz w:val="18"/>
                      <w:szCs w:val="18"/>
                      <w:lang w:eastAsia="lv-LV"/>
                    </w:rPr>
                    <w:footnoteReference w:id="3"/>
                  </w:r>
                  <w:r w:rsidRPr="00671A71">
                    <w:rPr>
                      <w:rFonts w:ascii="Times New Roman" w:eastAsia="Times New Roman" w:hAnsi="Times New Roman"/>
                      <w:color w:val="000000"/>
                      <w:sz w:val="18"/>
                      <w:szCs w:val="18"/>
                      <w:lang w:eastAsia="lv-LV"/>
                    </w:rPr>
                    <w:t xml:space="preserve"> </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EC3848" w:rsidRPr="00671A71" w:rsidP="000D63B6" w14:paraId="1ED7FDF3"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EC3848" w:rsidRPr="00671A71" w:rsidP="000D63B6" w14:paraId="5F3624A6"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EC3848" w:rsidRPr="00671A71" w:rsidP="000D63B6" w14:paraId="3B28D82F"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Izmaksas par 1 h</w:t>
                  </w:r>
                </w:p>
              </w:tc>
            </w:tr>
            <w:tr w14:paraId="1C62CE8F" w14:textId="77777777" w:rsidTr="00EC3848">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EC3848" w:rsidRPr="00671A71" w:rsidP="000D63B6" w14:paraId="28862646"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EC3848" w:rsidRPr="00671A71" w:rsidP="000D63B6" w14:paraId="3D77257E"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EC3848" w:rsidRPr="00671A71" w:rsidP="000D63B6" w14:paraId="1EE6395A"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EC3848" w:rsidRPr="00671A71" w:rsidP="000D63B6" w14:paraId="0132FEBA"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4=3/160h</w:t>
                  </w:r>
                </w:p>
              </w:tc>
            </w:tr>
            <w:tr w14:paraId="70C2A545" w14:textId="77777777" w:rsidTr="00EC3848">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C3848" w:rsidRPr="00671A71" w:rsidP="000D63B6" w14:paraId="159B0524"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EC3848" w:rsidRPr="00671A71" w:rsidP="000D63B6" w14:paraId="7720F61A"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EC3848" w:rsidRPr="00671A71" w:rsidP="000D63B6" w14:paraId="468E3898"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EC3848" w:rsidRPr="00671A71" w:rsidP="000D63B6" w14:paraId="591E0C17"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6,84</w:t>
                  </w:r>
                </w:p>
              </w:tc>
            </w:tr>
          </w:tbl>
          <w:p w:rsidR="00451729" w:rsidRPr="00671A71" w:rsidP="00451729" w14:paraId="764B3CE0" w14:textId="77777777">
            <w:pPr>
              <w:jc w:val="both"/>
            </w:pPr>
          </w:p>
          <w:p w:rsidR="00451729" w:rsidRPr="00671A71" w:rsidP="00451729" w14:paraId="3F6B6479" w14:textId="77777777">
            <w:pPr>
              <w:ind w:left="415"/>
              <w:jc w:val="both"/>
              <w:rPr>
                <w:rFonts w:ascii="Times New Roman" w:eastAsia="Times New Roman" w:hAnsi="Times New Roman"/>
                <w:lang w:eastAsia="lv-LV"/>
              </w:rPr>
            </w:pPr>
            <w:r w:rsidRPr="00671A71">
              <w:rPr>
                <w:rFonts w:ascii="Times New Roman" w:eastAsia="Times New Roman" w:hAnsi="Times New Roman"/>
                <w:i/>
                <w:lang w:eastAsia="lv-LV"/>
              </w:rPr>
              <w:t xml:space="preserve">l – laika patēriņš, kas nepieciešams, lai sagatavotu informāciju, kuras sniegšanu paredz projekts: </w:t>
            </w:r>
            <w:r w:rsidRPr="00671A71">
              <w:rPr>
                <w:rFonts w:ascii="Times New Roman" w:eastAsia="Times New Roman" w:hAnsi="Times New Roman"/>
                <w:lang w:eastAsia="lv-LV"/>
              </w:rPr>
              <w:t>1 stunda;</w:t>
            </w:r>
          </w:p>
          <w:p w:rsidR="00451729" w:rsidRPr="00671A71" w:rsidP="00451729" w14:paraId="15FA3C9E"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 xml:space="preserve">n – subjektu skaits, uz ko attiecas projektā paredzētās informācijas sniegšanas prasības: </w:t>
            </w:r>
            <w:r w:rsidRPr="00671A71">
              <w:rPr>
                <w:rFonts w:ascii="Times New Roman" w:eastAsia="Times New Roman" w:hAnsi="Times New Roman"/>
                <w:lang w:eastAsia="lv-LV"/>
              </w:rPr>
              <w:t xml:space="preserve">aprēķins tiek veikts uz </w:t>
            </w:r>
            <w:r w:rsidRPr="00671A71">
              <w:rPr>
                <w:rFonts w:ascii="Times New Roman" w:eastAsia="Times New Roman" w:hAnsi="Times New Roman"/>
                <w:u w:val="single"/>
                <w:lang w:eastAsia="lv-LV"/>
              </w:rPr>
              <w:t>vienu</w:t>
            </w:r>
            <w:r w:rsidRPr="00671A71">
              <w:rPr>
                <w:rFonts w:ascii="Times New Roman" w:eastAsia="Times New Roman" w:hAnsi="Times New Roman"/>
                <w:lang w:eastAsia="lv-LV"/>
              </w:rPr>
              <w:t xml:space="preserve"> SAM 5.6.2. finansējuma saņēmēju;</w:t>
            </w:r>
          </w:p>
          <w:p w:rsidR="00451729" w:rsidRPr="00671A71" w:rsidP="00451729" w14:paraId="3BF437E4"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 xml:space="preserve">b – paredzētais informācijas sniegšanas reižu skaits: </w:t>
            </w:r>
            <w:r w:rsidRPr="00671A71">
              <w:rPr>
                <w:rFonts w:ascii="Times New Roman" w:eastAsia="Times New Roman" w:hAnsi="Times New Roman"/>
                <w:lang w:eastAsia="lv-LV"/>
              </w:rPr>
              <w:t>1 reizi projekta dzīves ciklā;</w:t>
            </w:r>
          </w:p>
          <w:p w:rsidR="00451729" w:rsidRPr="00671A71" w:rsidP="00451729" w14:paraId="2310EC0A"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C – informācijas sniegšanas pienākuma radītās izmaksas jeb administratīvās izmaksas:</w:t>
            </w:r>
          </w:p>
          <w:p w:rsidR="00451729" w:rsidRPr="00671A71" w:rsidP="00451729" w14:paraId="5B3BF6AD" w14:textId="77777777">
            <w:pPr>
              <w:ind w:left="415"/>
              <w:jc w:val="center"/>
              <w:rPr>
                <w:rFonts w:ascii="Times New Roman" w:eastAsia="Times New Roman" w:hAnsi="Times New Roman"/>
                <w:lang w:eastAsia="lv-LV"/>
              </w:rPr>
            </w:pPr>
            <w:r w:rsidRPr="00671A71">
              <w:rPr>
                <w:rFonts w:ascii="Times New Roman" w:eastAsia="Times New Roman" w:hAnsi="Times New Roman"/>
                <w:lang w:eastAsia="lv-LV"/>
              </w:rPr>
              <w:t>(</w:t>
            </w:r>
            <w:r w:rsidRPr="00671A71" w:rsidR="00EC3848">
              <w:rPr>
                <w:rFonts w:ascii="Times New Roman" w:eastAsia="Times New Roman" w:hAnsi="Times New Roman"/>
                <w:lang w:eastAsia="lv-LV"/>
              </w:rPr>
              <w:t>6,84</w:t>
            </w:r>
            <w:r w:rsidRPr="00671A71">
              <w:rPr>
                <w:rFonts w:ascii="Times New Roman" w:eastAsia="Times New Roman" w:hAnsi="Times New Roman"/>
                <w:lang w:eastAsia="lv-LV"/>
              </w:rPr>
              <w:t xml:space="preserve"> x 1) x (1 x 1) = </w:t>
            </w:r>
            <w:r w:rsidRPr="00671A71" w:rsidR="00EC3848">
              <w:rPr>
                <w:rFonts w:ascii="Times New Roman" w:eastAsia="Times New Roman" w:hAnsi="Times New Roman"/>
                <w:lang w:eastAsia="lv-LV"/>
              </w:rPr>
              <w:t>6,84</w:t>
            </w:r>
            <w:r w:rsidRPr="00671A71">
              <w:rPr>
                <w:rFonts w:ascii="Times New Roman" w:eastAsia="Times New Roman" w:hAnsi="Times New Roman"/>
                <w:lang w:eastAsia="lv-LV"/>
              </w:rPr>
              <w:t xml:space="preserve"> </w:t>
            </w:r>
            <w:r w:rsidRPr="00671A71">
              <w:rPr>
                <w:rFonts w:ascii="Times New Roman" w:eastAsia="Times New Roman" w:hAnsi="Times New Roman"/>
                <w:i/>
                <w:lang w:eastAsia="lv-LV"/>
              </w:rPr>
              <w:t>euro</w:t>
            </w:r>
          </w:p>
          <w:p w:rsidR="00451729" w:rsidRPr="00671A71" w:rsidP="00451729" w14:paraId="267329C9" w14:textId="77777777">
            <w:pPr>
              <w:pStyle w:val="ListParagraph"/>
              <w:numPr>
                <w:ilvl w:val="0"/>
                <w:numId w:val="33"/>
              </w:numPr>
              <w:spacing w:after="120" w:line="240" w:lineRule="auto"/>
              <w:ind w:left="415"/>
              <w:jc w:val="both"/>
              <w:rPr>
                <w:rFonts w:ascii="Times New Roman" w:hAnsi="Times New Roman"/>
                <w:sz w:val="24"/>
                <w:szCs w:val="24"/>
              </w:rPr>
            </w:pPr>
            <w:r w:rsidRPr="00671A71">
              <w:rPr>
                <w:rFonts w:ascii="Times New Roman" w:eastAsia="Times New Roman" w:hAnsi="Times New Roman"/>
                <w:sz w:val="24"/>
                <w:szCs w:val="24"/>
                <w:lang w:eastAsia="lv-LV"/>
              </w:rPr>
              <w:t>SAM 5.6.2</w:t>
            </w:r>
            <w:r w:rsidRPr="00671A71">
              <w:rPr>
                <w:rFonts w:ascii="Times New Roman" w:eastAsia="Times New Roman" w:hAnsi="Times New Roman"/>
                <w:sz w:val="24"/>
                <w:szCs w:val="24"/>
                <w:lang w:eastAsia="lv-LV"/>
              </w:rPr>
              <w:t xml:space="preserve">. finansējuma saņēmējs informēs CFLA par enerģijas patēriņu (ēkām, notekūdeņu attīrīšanās infrastruktūrai, ielu apgaismojumam u.c.) trīs gadus pēc projekta īstenošanas. SAM </w:t>
            </w:r>
            <w:r w:rsidRPr="00671A71">
              <w:rPr>
                <w:rFonts w:ascii="Times New Roman" w:eastAsia="Times New Roman" w:hAnsi="Times New Roman"/>
                <w:sz w:val="24"/>
                <w:szCs w:val="24"/>
                <w:lang w:eastAsia="lv-LV"/>
              </w:rPr>
              <w:t>5.6.2</w:t>
            </w:r>
            <w:r w:rsidRPr="00671A71">
              <w:rPr>
                <w:rFonts w:ascii="Times New Roman" w:eastAsia="Times New Roman" w:hAnsi="Times New Roman"/>
                <w:sz w:val="24"/>
                <w:szCs w:val="24"/>
                <w:lang w:eastAsia="lv-LV"/>
              </w:rPr>
              <w:t xml:space="preserve">. indikatīvais kopējais projektu skaits ir </w:t>
            </w:r>
            <w:r w:rsidRPr="00671A71">
              <w:rPr>
                <w:rFonts w:ascii="Times New Roman" w:eastAsia="Times New Roman" w:hAnsi="Times New Roman"/>
                <w:sz w:val="24"/>
                <w:szCs w:val="24"/>
                <w:lang w:eastAsia="lv-LV"/>
              </w:rPr>
              <w:t>114</w:t>
            </w:r>
            <w:r w:rsidRPr="00671A71">
              <w:rPr>
                <w:rFonts w:ascii="Times New Roman" w:eastAsia="Times New Roman" w:hAnsi="Times New Roman"/>
                <w:sz w:val="24"/>
                <w:szCs w:val="24"/>
                <w:lang w:eastAsia="lv-LV"/>
              </w:rPr>
              <w:t xml:space="preserve"> projekti. Indikatīvās izmaksas vienam projektam ir </w:t>
            </w:r>
            <w:r w:rsidRPr="00671A71" w:rsidR="000E6E25">
              <w:rPr>
                <w:rFonts w:ascii="Times New Roman" w:eastAsia="Times New Roman" w:hAnsi="Times New Roman"/>
                <w:sz w:val="24"/>
                <w:szCs w:val="24"/>
                <w:lang w:eastAsia="lv-LV"/>
              </w:rPr>
              <w:t>41,04</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i/>
                <w:sz w:val="24"/>
                <w:szCs w:val="24"/>
                <w:lang w:eastAsia="lv-LV"/>
              </w:rPr>
              <w:t>euro</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sz w:val="24"/>
                <w:szCs w:val="24"/>
                <w:lang w:eastAsia="lv-LV"/>
              </w:rPr>
              <w:t>114</w:t>
            </w:r>
            <w:r w:rsidRPr="00671A71">
              <w:rPr>
                <w:rFonts w:ascii="Times New Roman" w:eastAsia="Times New Roman" w:hAnsi="Times New Roman"/>
                <w:sz w:val="24"/>
                <w:szCs w:val="24"/>
                <w:lang w:eastAsia="lv-LV"/>
              </w:rPr>
              <w:t xml:space="preserve"> projektiem – </w:t>
            </w:r>
            <w:r w:rsidRPr="00671A71" w:rsidR="001D6C8F">
              <w:rPr>
                <w:rFonts w:ascii="Times New Roman" w:eastAsia="Times New Roman" w:hAnsi="Times New Roman"/>
                <w:sz w:val="24"/>
                <w:szCs w:val="24"/>
                <w:lang w:eastAsia="lv-LV"/>
              </w:rPr>
              <w:t>4</w:t>
            </w:r>
            <w:r w:rsidRPr="00671A71" w:rsidR="000E6E25">
              <w:rPr>
                <w:rFonts w:ascii="Times New Roman" w:eastAsia="Times New Roman" w:hAnsi="Times New Roman"/>
                <w:sz w:val="24"/>
                <w:szCs w:val="24"/>
                <w:lang w:eastAsia="lv-LV"/>
              </w:rPr>
              <w:t> 678,56</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i/>
                <w:sz w:val="24"/>
                <w:szCs w:val="24"/>
                <w:lang w:eastAsia="lv-LV"/>
              </w:rPr>
              <w:t>euro</w:t>
            </w:r>
            <w:r w:rsidRPr="00671A71">
              <w:rPr>
                <w:rFonts w:ascii="Times New Roman" w:eastAsia="Times New Roman" w:hAnsi="Times New Roman"/>
                <w:sz w:val="24"/>
                <w:szCs w:val="24"/>
                <w:lang w:eastAsia="lv-LV"/>
              </w:rPr>
              <w:t>).</w:t>
            </w:r>
          </w:p>
          <w:p w:rsidR="00451729" w:rsidRPr="00671A71" w:rsidP="00451729" w14:paraId="2B16BCD1" w14:textId="77777777">
            <w:pPr>
              <w:pStyle w:val="ListParagraph"/>
              <w:spacing w:after="120" w:line="240" w:lineRule="auto"/>
              <w:ind w:left="415"/>
              <w:jc w:val="both"/>
              <w:rPr>
                <w:rFonts w:ascii="Times New Roman" w:eastAsia="Times New Roman" w:hAnsi="Times New Roman"/>
                <w:sz w:val="24"/>
                <w:szCs w:val="24"/>
                <w:lang w:eastAsia="lv-LV"/>
              </w:rPr>
            </w:pPr>
          </w:p>
          <w:p w:rsidR="00451729" w:rsidRPr="00671A71" w:rsidP="00451729" w14:paraId="22566BA1" w14:textId="77777777">
            <w:pPr>
              <w:pStyle w:val="ListParagraph"/>
              <w:spacing w:after="120" w:line="240" w:lineRule="auto"/>
              <w:ind w:left="415"/>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 xml:space="preserve">Administratīvo izmaksu novērtējums veikts, ņemot vērā šādus pieņēmumus un informāciju par iespējamām izmaksām enerģijas patēriņa rādītāju ziņošanai </w:t>
            </w:r>
            <w:r w:rsidRPr="00671A71">
              <w:rPr>
                <w:rFonts w:ascii="Times New Roman" w:eastAsia="Times New Roman" w:hAnsi="Times New Roman"/>
                <w:sz w:val="24"/>
                <w:szCs w:val="24"/>
                <w:u w:val="single"/>
                <w:lang w:eastAsia="lv-LV"/>
              </w:rPr>
              <w:t>vienam</w:t>
            </w:r>
            <w:r w:rsidRPr="00671A71">
              <w:rPr>
                <w:rFonts w:ascii="Times New Roman" w:eastAsia="Times New Roman" w:hAnsi="Times New Roman"/>
                <w:sz w:val="24"/>
                <w:szCs w:val="24"/>
                <w:lang w:eastAsia="lv-LV"/>
              </w:rPr>
              <w:t xml:space="preserve"> projektam:</w:t>
            </w:r>
          </w:p>
          <w:p w:rsidR="00451729" w:rsidRPr="00671A71" w:rsidP="00451729" w14:paraId="686BC0D3" w14:textId="77777777">
            <w:pPr>
              <w:jc w:val="center"/>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C = (f x l) x (n x b), kur</w:t>
            </w:r>
          </w:p>
          <w:p w:rsidR="00451729" w:rsidRPr="00671A71" w:rsidP="00451729" w14:paraId="08D1477B"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f – finanšu līdzekļu apjoms, kas nepieciešams, lai nodrošinātu projektā paredzētā informācijas sniegšanas pienākuma izpildi:</w:t>
            </w:r>
          </w:p>
          <w:tbl>
            <w:tblPr>
              <w:tblW w:w="4780" w:type="dxa"/>
              <w:jc w:val="center"/>
              <w:tblLook w:val="04A0"/>
            </w:tblPr>
            <w:tblGrid>
              <w:gridCol w:w="1900"/>
              <w:gridCol w:w="960"/>
              <w:gridCol w:w="960"/>
              <w:gridCol w:w="960"/>
            </w:tblGrid>
            <w:tr w14:paraId="20120EF2" w14:textId="77777777" w:rsidTr="00A36722">
              <w:tblPrEx>
                <w:tblW w:w="4780" w:type="dxa"/>
                <w:jc w:val="center"/>
                <w:tblLook w:val="04A0"/>
              </w:tblPrEx>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E6E25" w:rsidRPr="00671A71" w:rsidP="000D63B6" w14:paraId="5FAFF194"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 xml:space="preserve">Vidējā mēneša bruto darba samaksa sabiedriskajā sektorā  2016.g. III cet. </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0E6E25" w:rsidRPr="00671A71" w:rsidP="000D63B6" w14:paraId="7BD3A7EF"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0E6E25" w:rsidRPr="00671A71" w:rsidP="000D63B6" w14:paraId="01DE6E9E"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0E6E25" w:rsidRPr="00671A71" w:rsidP="000D63B6" w14:paraId="4D46615D"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Izmaksas par 1 h</w:t>
                  </w:r>
                </w:p>
              </w:tc>
            </w:tr>
            <w:tr w14:paraId="312949EB" w14:textId="77777777" w:rsidTr="00A36722">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0E6E25" w:rsidRPr="00671A71" w:rsidP="000D63B6" w14:paraId="6FD42271"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0E6E25" w:rsidRPr="00671A71" w:rsidP="000D63B6" w14:paraId="383A42A9"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0E6E25" w:rsidRPr="00671A71" w:rsidP="000D63B6" w14:paraId="2E1C1FBE"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0E6E25" w:rsidRPr="00671A71" w:rsidP="000D63B6" w14:paraId="07FA8768"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4=3/160h</w:t>
                  </w:r>
                </w:p>
              </w:tc>
            </w:tr>
            <w:tr w14:paraId="3A3B5D05" w14:textId="77777777" w:rsidTr="00A36722">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0E6E25" w:rsidRPr="00671A71" w:rsidP="000D63B6" w14:paraId="18058B80"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0E6E25" w:rsidRPr="00671A71" w:rsidP="000D63B6" w14:paraId="27C559C9"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0E6E25" w:rsidRPr="00671A71" w:rsidP="000D63B6" w14:paraId="591234E8"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0E6E25" w:rsidRPr="00671A71" w:rsidP="000D63B6" w14:paraId="2A848DA9"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6,84</w:t>
                  </w:r>
                </w:p>
              </w:tc>
            </w:tr>
          </w:tbl>
          <w:p w:rsidR="00451729" w:rsidRPr="00671A71" w:rsidP="00451729" w14:paraId="126C4D61" w14:textId="77777777">
            <w:pPr>
              <w:jc w:val="both"/>
            </w:pPr>
          </w:p>
          <w:p w:rsidR="00451729" w:rsidRPr="00671A71" w:rsidP="00451729" w14:paraId="5FE13D6E" w14:textId="77777777">
            <w:pPr>
              <w:ind w:left="415"/>
              <w:jc w:val="both"/>
              <w:rPr>
                <w:rFonts w:ascii="Times New Roman" w:eastAsia="Times New Roman" w:hAnsi="Times New Roman"/>
                <w:lang w:eastAsia="lv-LV"/>
              </w:rPr>
            </w:pPr>
            <w:r w:rsidRPr="00671A71">
              <w:rPr>
                <w:rFonts w:ascii="Times New Roman" w:eastAsia="Times New Roman" w:hAnsi="Times New Roman"/>
                <w:i/>
                <w:lang w:eastAsia="lv-LV"/>
              </w:rPr>
              <w:t xml:space="preserve">l – laika patēriņš, kas nepieciešams, lai sagatavotu informāciju, kuras sniegšanu paredz projekts: </w:t>
            </w:r>
            <w:r w:rsidRPr="00671A71">
              <w:rPr>
                <w:rFonts w:ascii="Times New Roman" w:eastAsia="Times New Roman" w:hAnsi="Times New Roman"/>
                <w:lang w:eastAsia="lv-LV"/>
              </w:rPr>
              <w:t>2 stundas;</w:t>
            </w:r>
          </w:p>
          <w:p w:rsidR="00451729" w:rsidRPr="00671A71" w:rsidP="00451729" w14:paraId="5EFE91D5"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 xml:space="preserve">n – subjektu skaits, uz ko attiecas projektā paredzētās informācijas sniegšanas prasības: </w:t>
            </w:r>
            <w:r w:rsidRPr="00671A71">
              <w:rPr>
                <w:rFonts w:ascii="Times New Roman" w:eastAsia="Times New Roman" w:hAnsi="Times New Roman"/>
                <w:lang w:eastAsia="lv-LV"/>
              </w:rPr>
              <w:t xml:space="preserve">aprēķins tiek veikts uz </w:t>
            </w:r>
            <w:r w:rsidRPr="00671A71">
              <w:rPr>
                <w:rFonts w:ascii="Times New Roman" w:eastAsia="Times New Roman" w:hAnsi="Times New Roman"/>
                <w:u w:val="single"/>
                <w:lang w:eastAsia="lv-LV"/>
              </w:rPr>
              <w:t xml:space="preserve">vienu </w:t>
            </w:r>
            <w:r w:rsidRPr="00671A71" w:rsidR="00ED3704">
              <w:rPr>
                <w:rFonts w:ascii="Times New Roman" w:eastAsia="Times New Roman" w:hAnsi="Times New Roman"/>
                <w:lang w:eastAsia="lv-LV"/>
              </w:rPr>
              <w:t>SAM 5.6.2</w:t>
            </w:r>
            <w:r w:rsidRPr="00671A71">
              <w:rPr>
                <w:rFonts w:ascii="Times New Roman" w:eastAsia="Times New Roman" w:hAnsi="Times New Roman"/>
                <w:lang w:eastAsia="lv-LV"/>
              </w:rPr>
              <w:t>. finansējuma saņēmēju;</w:t>
            </w:r>
          </w:p>
          <w:p w:rsidR="00451729" w:rsidRPr="00671A71" w:rsidP="00451729" w14:paraId="672D6F4B"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 xml:space="preserve">b – paredzētais informācijas sniegšanas reižu skaits: </w:t>
            </w:r>
            <w:r w:rsidRPr="00671A71">
              <w:rPr>
                <w:rFonts w:ascii="Times New Roman" w:eastAsia="Times New Roman" w:hAnsi="Times New Roman"/>
                <w:lang w:eastAsia="lv-LV"/>
              </w:rPr>
              <w:t>3 reizes projekta dzīves ciklā</w:t>
            </w:r>
            <w:r w:rsidRPr="00671A71">
              <w:rPr>
                <w:rFonts w:ascii="Times New Roman" w:eastAsia="Times New Roman" w:hAnsi="Times New Roman"/>
                <w:i/>
                <w:lang w:eastAsia="lv-LV"/>
              </w:rPr>
              <w:t>;</w:t>
            </w:r>
          </w:p>
          <w:p w:rsidR="00451729" w:rsidRPr="00671A71" w:rsidP="00451729" w14:paraId="5513850F"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C – informācijas sniegšanas pienākuma radītās izmaksas jeb administratīvās izmaksas:</w:t>
            </w:r>
          </w:p>
          <w:p w:rsidR="00451729" w:rsidRPr="00671A71" w:rsidP="00451729" w14:paraId="68E4711B" w14:textId="77777777">
            <w:pPr>
              <w:ind w:left="415"/>
              <w:jc w:val="center"/>
              <w:rPr>
                <w:rFonts w:ascii="Times New Roman" w:eastAsia="Times New Roman" w:hAnsi="Times New Roman"/>
                <w:i/>
                <w:lang w:eastAsia="lv-LV"/>
              </w:rPr>
            </w:pPr>
            <w:r w:rsidRPr="00671A71">
              <w:rPr>
                <w:rFonts w:ascii="Times New Roman" w:eastAsia="Times New Roman" w:hAnsi="Times New Roman"/>
                <w:lang w:eastAsia="lv-LV"/>
              </w:rPr>
              <w:t>(</w:t>
            </w:r>
            <w:r w:rsidRPr="00671A71" w:rsidR="000E6E25">
              <w:rPr>
                <w:rFonts w:ascii="Times New Roman" w:eastAsia="Times New Roman" w:hAnsi="Times New Roman"/>
                <w:lang w:eastAsia="lv-LV"/>
              </w:rPr>
              <w:t>6,84</w:t>
            </w:r>
            <w:r w:rsidRPr="00671A71">
              <w:rPr>
                <w:rFonts w:ascii="Times New Roman" w:eastAsia="Times New Roman" w:hAnsi="Times New Roman"/>
                <w:lang w:eastAsia="lv-LV"/>
              </w:rPr>
              <w:t xml:space="preserve"> x 2) x (1 x 3) = </w:t>
            </w:r>
            <w:r w:rsidRPr="00671A71" w:rsidR="000E6E25">
              <w:rPr>
                <w:rFonts w:ascii="Times New Roman" w:eastAsia="Times New Roman" w:hAnsi="Times New Roman"/>
                <w:lang w:eastAsia="lv-LV"/>
              </w:rPr>
              <w:t>41,04</w:t>
            </w:r>
            <w:r w:rsidRPr="00671A71">
              <w:rPr>
                <w:rFonts w:ascii="Times New Roman" w:eastAsia="Times New Roman" w:hAnsi="Times New Roman"/>
                <w:lang w:eastAsia="lv-LV"/>
              </w:rPr>
              <w:t xml:space="preserve"> </w:t>
            </w:r>
            <w:r w:rsidRPr="00671A71">
              <w:rPr>
                <w:rFonts w:ascii="Times New Roman" w:eastAsia="Times New Roman" w:hAnsi="Times New Roman"/>
                <w:i/>
                <w:lang w:eastAsia="lv-LV"/>
              </w:rPr>
              <w:t>euro</w:t>
            </w:r>
          </w:p>
          <w:p w:rsidR="00451729" w:rsidRPr="00671A71" w:rsidP="00451729" w14:paraId="1ED3FECA" w14:textId="77777777">
            <w:pPr>
              <w:pStyle w:val="ListParagraph"/>
              <w:numPr>
                <w:ilvl w:val="0"/>
                <w:numId w:val="33"/>
              </w:numPr>
              <w:spacing w:after="120" w:line="240" w:lineRule="auto"/>
              <w:jc w:val="both"/>
              <w:rPr>
                <w:rFonts w:ascii="Times New Roman" w:hAnsi="Times New Roman"/>
                <w:sz w:val="24"/>
                <w:szCs w:val="24"/>
              </w:rPr>
            </w:pPr>
            <w:r w:rsidRPr="00671A71">
              <w:rPr>
                <w:rFonts w:ascii="Times New Roman" w:eastAsia="Times New Roman" w:hAnsi="Times New Roman"/>
                <w:sz w:val="24"/>
                <w:szCs w:val="24"/>
                <w:lang w:eastAsia="lv-LV"/>
              </w:rPr>
              <w:t>SAM 5.6.2</w:t>
            </w:r>
            <w:r w:rsidRPr="00671A71">
              <w:rPr>
                <w:rFonts w:ascii="Times New Roman" w:eastAsia="Times New Roman" w:hAnsi="Times New Roman"/>
                <w:sz w:val="24"/>
                <w:szCs w:val="24"/>
                <w:lang w:eastAsia="lv-LV"/>
              </w:rPr>
              <w:t>. finansējuma saņēmējs, kuram</w:t>
            </w:r>
            <w:r w:rsidRPr="00671A71">
              <w:rPr>
                <w:rFonts w:ascii="Times New Roman" w:hAnsi="Times New Roman"/>
                <w:sz w:val="24"/>
                <w:szCs w:val="24"/>
              </w:rPr>
              <w:t xml:space="preserve"> </w:t>
            </w:r>
            <w:r w:rsidRPr="00671A71">
              <w:rPr>
                <w:rFonts w:ascii="Times New Roman" w:eastAsia="Times New Roman" w:hAnsi="Times New Roman"/>
                <w:sz w:val="24"/>
                <w:szCs w:val="24"/>
                <w:lang w:eastAsia="lv-LV"/>
              </w:rPr>
              <w:t>valsts atbalstu sniegts saskaņā ar Komisijas regulas Nr. 651/2014 48. un 56. pantu</w:t>
            </w:r>
            <w:r w:rsidRPr="00671A71">
              <w:rPr>
                <w:rFonts w:ascii="Times New Roman" w:hAnsi="Times New Roman"/>
                <w:sz w:val="24"/>
                <w:szCs w:val="24"/>
              </w:rPr>
              <w:t xml:space="preserve">, jāveic atbalsta likmes pārrēķinu projekta dzīves cikla beigās (vienu reizi) un jāatmaksā starpību starp faktisko peļņu no pamatdarbības un plānoto pelņu no pamatdarbības. </w:t>
            </w:r>
            <w:r w:rsidRPr="00671A71">
              <w:rPr>
                <w:rFonts w:ascii="Times New Roman" w:eastAsia="Times New Roman" w:hAnsi="Times New Roman"/>
                <w:sz w:val="24"/>
                <w:szCs w:val="24"/>
                <w:lang w:eastAsia="lv-LV"/>
              </w:rPr>
              <w:t xml:space="preserve">SAM </w:t>
            </w:r>
            <w:r w:rsidRPr="00671A71">
              <w:rPr>
                <w:rFonts w:ascii="Times New Roman" w:eastAsia="Times New Roman" w:hAnsi="Times New Roman"/>
                <w:sz w:val="24"/>
                <w:szCs w:val="24"/>
                <w:lang w:eastAsia="lv-LV"/>
              </w:rPr>
              <w:t>5.6.2</w:t>
            </w:r>
            <w:r w:rsidRPr="00671A71">
              <w:rPr>
                <w:rFonts w:ascii="Times New Roman" w:eastAsia="Times New Roman" w:hAnsi="Times New Roman"/>
                <w:sz w:val="24"/>
                <w:szCs w:val="24"/>
                <w:lang w:eastAsia="lv-LV"/>
              </w:rPr>
              <w:t xml:space="preserve">. ietvaros indikatīvi šādu projektu skaits ir </w:t>
            </w:r>
            <w:r w:rsidRPr="00671A71">
              <w:rPr>
                <w:rFonts w:ascii="Times New Roman" w:eastAsia="Times New Roman" w:hAnsi="Times New Roman"/>
                <w:sz w:val="24"/>
                <w:szCs w:val="24"/>
                <w:lang w:eastAsia="lv-LV"/>
              </w:rPr>
              <w:t xml:space="preserve">57 </w:t>
            </w:r>
            <w:r w:rsidRPr="00671A71">
              <w:rPr>
                <w:rFonts w:ascii="Times New Roman" w:eastAsia="Times New Roman" w:hAnsi="Times New Roman"/>
                <w:sz w:val="24"/>
                <w:szCs w:val="24"/>
                <w:lang w:eastAsia="lv-LV"/>
              </w:rPr>
              <w:t xml:space="preserve">projekti. Indikatīvās izmaksas vienam projektam ir </w:t>
            </w:r>
            <w:r w:rsidRPr="00671A71" w:rsidR="00C30474">
              <w:rPr>
                <w:rFonts w:ascii="Times New Roman" w:eastAsia="Times New Roman" w:hAnsi="Times New Roman"/>
                <w:sz w:val="24"/>
                <w:szCs w:val="24"/>
                <w:lang w:eastAsia="lv-LV"/>
              </w:rPr>
              <w:t>54,72</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i/>
                <w:sz w:val="24"/>
                <w:szCs w:val="24"/>
                <w:lang w:eastAsia="lv-LV"/>
              </w:rPr>
              <w:t>euro</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sz w:val="24"/>
                <w:szCs w:val="24"/>
                <w:lang w:eastAsia="lv-LV"/>
              </w:rPr>
              <w:t>57</w:t>
            </w:r>
            <w:r w:rsidRPr="00671A71">
              <w:rPr>
                <w:rFonts w:ascii="Times New Roman" w:eastAsia="Times New Roman" w:hAnsi="Times New Roman"/>
                <w:sz w:val="24"/>
                <w:szCs w:val="24"/>
                <w:lang w:eastAsia="lv-LV"/>
              </w:rPr>
              <w:t xml:space="preserve"> projektiem – </w:t>
            </w:r>
            <w:r w:rsidRPr="00671A71" w:rsidR="00C30474">
              <w:rPr>
                <w:rFonts w:ascii="Times New Roman" w:eastAsia="Times New Roman" w:hAnsi="Times New Roman"/>
                <w:sz w:val="24"/>
                <w:szCs w:val="24"/>
                <w:lang w:eastAsia="lv-LV"/>
              </w:rPr>
              <w:t>3 119,04</w:t>
            </w:r>
            <w:r w:rsidRPr="00671A71">
              <w:rPr>
                <w:rFonts w:ascii="Times New Roman" w:eastAsia="Times New Roman" w:hAnsi="Times New Roman"/>
                <w:sz w:val="24"/>
                <w:szCs w:val="24"/>
                <w:lang w:eastAsia="lv-LV"/>
              </w:rPr>
              <w:t xml:space="preserve"> </w:t>
            </w:r>
            <w:r w:rsidRPr="00671A71">
              <w:rPr>
                <w:rFonts w:ascii="Times New Roman" w:eastAsia="Times New Roman" w:hAnsi="Times New Roman"/>
                <w:i/>
                <w:sz w:val="24"/>
                <w:szCs w:val="24"/>
                <w:lang w:eastAsia="lv-LV"/>
              </w:rPr>
              <w:t>euro</w:t>
            </w:r>
            <w:r w:rsidRPr="00671A71">
              <w:rPr>
                <w:rFonts w:ascii="Times New Roman" w:eastAsia="Times New Roman" w:hAnsi="Times New Roman"/>
                <w:sz w:val="24"/>
                <w:szCs w:val="24"/>
                <w:lang w:eastAsia="lv-LV"/>
              </w:rPr>
              <w:t>).</w:t>
            </w:r>
          </w:p>
          <w:p w:rsidR="00451729" w:rsidRPr="00671A71" w:rsidP="00451729" w14:paraId="45E24707" w14:textId="77777777">
            <w:pPr>
              <w:pStyle w:val="ListParagraph"/>
              <w:spacing w:after="120" w:line="240" w:lineRule="auto"/>
              <w:ind w:left="415"/>
              <w:jc w:val="both"/>
              <w:rPr>
                <w:rFonts w:ascii="Times New Roman" w:eastAsia="Times New Roman" w:hAnsi="Times New Roman"/>
                <w:sz w:val="24"/>
                <w:szCs w:val="24"/>
                <w:lang w:eastAsia="lv-LV"/>
              </w:rPr>
            </w:pPr>
          </w:p>
          <w:p w:rsidR="00451729" w:rsidRPr="00671A71" w:rsidP="00451729" w14:paraId="14CBA180" w14:textId="77777777">
            <w:pPr>
              <w:pStyle w:val="ListParagraph"/>
              <w:spacing w:after="120" w:line="240" w:lineRule="auto"/>
              <w:ind w:left="415"/>
              <w:jc w:val="both"/>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 xml:space="preserve">Administratīvo izmaksu novērtējums veikts, ņemot vērā šādus pieņēmumus un informāciju par iespējamām izmaksām atbalsta likmes pārrēķinam </w:t>
            </w:r>
            <w:r w:rsidRPr="00671A71">
              <w:rPr>
                <w:rFonts w:ascii="Times New Roman" w:eastAsia="Times New Roman" w:hAnsi="Times New Roman"/>
                <w:sz w:val="24"/>
                <w:szCs w:val="24"/>
                <w:u w:val="single"/>
                <w:lang w:eastAsia="lv-LV"/>
              </w:rPr>
              <w:t>vienam</w:t>
            </w:r>
            <w:r w:rsidRPr="00671A71">
              <w:rPr>
                <w:rFonts w:ascii="Times New Roman" w:eastAsia="Times New Roman" w:hAnsi="Times New Roman"/>
                <w:sz w:val="24"/>
                <w:szCs w:val="24"/>
                <w:lang w:eastAsia="lv-LV"/>
              </w:rPr>
              <w:t xml:space="preserve"> projektam:</w:t>
            </w:r>
          </w:p>
          <w:p w:rsidR="00451729" w:rsidRPr="00671A71" w:rsidP="00451729" w14:paraId="62FF69B0" w14:textId="77777777">
            <w:pPr>
              <w:jc w:val="center"/>
              <w:rPr>
                <w:rFonts w:ascii="Times New Roman" w:eastAsia="Times New Roman" w:hAnsi="Times New Roman"/>
                <w:sz w:val="24"/>
                <w:szCs w:val="24"/>
                <w:lang w:eastAsia="lv-LV"/>
              </w:rPr>
            </w:pPr>
            <w:r w:rsidRPr="00671A71">
              <w:rPr>
                <w:rFonts w:ascii="Times New Roman" w:eastAsia="Times New Roman" w:hAnsi="Times New Roman"/>
                <w:sz w:val="24"/>
                <w:szCs w:val="24"/>
                <w:lang w:eastAsia="lv-LV"/>
              </w:rPr>
              <w:t>C = (f x l) x (n x b), kur</w:t>
            </w:r>
          </w:p>
          <w:p w:rsidR="00451729" w:rsidRPr="00671A71" w:rsidP="00451729" w14:paraId="7B867BFF"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f – finanšu līdzekļu apjoms, kas nepieciešams, lai nodrošinātu projektā paredzētā informācijas sniegšanas pienākuma izpildi:</w:t>
            </w:r>
          </w:p>
          <w:tbl>
            <w:tblPr>
              <w:tblW w:w="4780" w:type="dxa"/>
              <w:jc w:val="center"/>
              <w:tblLook w:val="04A0"/>
            </w:tblPr>
            <w:tblGrid>
              <w:gridCol w:w="1900"/>
              <w:gridCol w:w="960"/>
              <w:gridCol w:w="960"/>
              <w:gridCol w:w="960"/>
            </w:tblGrid>
            <w:tr w14:paraId="12AE2EA4" w14:textId="77777777" w:rsidTr="00A36722">
              <w:tblPrEx>
                <w:tblW w:w="4780" w:type="dxa"/>
                <w:jc w:val="center"/>
                <w:tblLook w:val="04A0"/>
              </w:tblPrEx>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A96CC2" w:rsidRPr="00671A71" w:rsidP="000D63B6" w14:paraId="714FD786"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Vidējā mēneša bruto darba samaksa sabiedriskajā sektorā  2016.g. III cet.</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A96CC2" w:rsidRPr="00671A71" w:rsidP="000D63B6" w14:paraId="1F0C337B"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A96CC2" w:rsidRPr="00671A71" w:rsidP="000D63B6" w14:paraId="321FBCA4"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rsidR="00A96CC2" w:rsidRPr="00671A71" w:rsidP="000D63B6" w14:paraId="0694B9F2"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Izmaksas par 1 h</w:t>
                  </w:r>
                </w:p>
              </w:tc>
            </w:tr>
            <w:tr w14:paraId="1D2854DA" w14:textId="77777777" w:rsidTr="00A36722">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A96CC2" w:rsidRPr="00671A71" w:rsidP="000D63B6" w14:paraId="3F40061F"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A96CC2" w:rsidRPr="00671A71" w:rsidP="000D63B6" w14:paraId="1637A41D"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A96CC2" w:rsidRPr="00671A71" w:rsidP="000D63B6" w14:paraId="6F9F9FA2"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3=1+2</w:t>
                  </w:r>
                </w:p>
              </w:tc>
              <w:tc>
                <w:tcPr>
                  <w:tcW w:w="960" w:type="dxa"/>
                  <w:tcBorders>
                    <w:top w:val="nil"/>
                    <w:left w:val="nil"/>
                    <w:bottom w:val="single" w:sz="4" w:space="0" w:color="auto"/>
                    <w:right w:val="single" w:sz="4" w:space="0" w:color="auto"/>
                  </w:tcBorders>
                  <w:shd w:val="clear" w:color="auto" w:fill="auto"/>
                  <w:vAlign w:val="bottom"/>
                  <w:hideMark/>
                </w:tcPr>
                <w:p w:rsidR="00A96CC2" w:rsidRPr="00671A71" w:rsidP="000D63B6" w14:paraId="59BC0568" w14:textId="77777777">
                  <w:pPr>
                    <w:framePr w:hSpace="180" w:wrap="around" w:vAnchor="text" w:hAnchor="margin" w:xAlign="center" w:y="119"/>
                    <w:spacing w:after="0" w:line="240" w:lineRule="auto"/>
                    <w:jc w:val="center"/>
                    <w:rPr>
                      <w:rFonts w:ascii="Times New Roman" w:eastAsia="Times New Roman" w:hAnsi="Times New Roman"/>
                      <w:i/>
                      <w:iCs/>
                      <w:color w:val="000000"/>
                      <w:sz w:val="18"/>
                      <w:szCs w:val="18"/>
                      <w:lang w:eastAsia="lv-LV"/>
                    </w:rPr>
                  </w:pPr>
                  <w:r w:rsidRPr="00671A71">
                    <w:rPr>
                      <w:rFonts w:ascii="Times New Roman" w:eastAsia="Times New Roman" w:hAnsi="Times New Roman"/>
                      <w:i/>
                      <w:iCs/>
                      <w:color w:val="000000"/>
                      <w:sz w:val="18"/>
                      <w:szCs w:val="18"/>
                      <w:lang w:eastAsia="lv-LV"/>
                    </w:rPr>
                    <w:t>4=3/160h</w:t>
                  </w:r>
                </w:p>
              </w:tc>
            </w:tr>
            <w:tr w14:paraId="12011CF2" w14:textId="77777777" w:rsidTr="00A36722">
              <w:tblPrEx>
                <w:tblW w:w="4780" w:type="dxa"/>
                <w:jc w:val="center"/>
                <w:tblLook w:val="04A0"/>
              </w:tblPrEx>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A96CC2" w:rsidRPr="00671A71" w:rsidP="000D63B6" w14:paraId="2F4C0284"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885,00</w:t>
                  </w:r>
                </w:p>
              </w:tc>
              <w:tc>
                <w:tcPr>
                  <w:tcW w:w="960" w:type="dxa"/>
                  <w:tcBorders>
                    <w:top w:val="nil"/>
                    <w:left w:val="nil"/>
                    <w:bottom w:val="single" w:sz="4" w:space="0" w:color="auto"/>
                    <w:right w:val="single" w:sz="4" w:space="0" w:color="auto"/>
                  </w:tcBorders>
                  <w:shd w:val="clear" w:color="auto" w:fill="auto"/>
                  <w:noWrap/>
                  <w:vAlign w:val="center"/>
                  <w:hideMark/>
                </w:tcPr>
                <w:p w:rsidR="00A96CC2" w:rsidRPr="00671A71" w:rsidP="000D63B6" w14:paraId="12095B32"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208,77</w:t>
                  </w:r>
                </w:p>
              </w:tc>
              <w:tc>
                <w:tcPr>
                  <w:tcW w:w="960" w:type="dxa"/>
                  <w:tcBorders>
                    <w:top w:val="nil"/>
                    <w:left w:val="nil"/>
                    <w:bottom w:val="single" w:sz="4" w:space="0" w:color="auto"/>
                    <w:right w:val="single" w:sz="4" w:space="0" w:color="auto"/>
                  </w:tcBorders>
                  <w:shd w:val="clear" w:color="auto" w:fill="auto"/>
                  <w:noWrap/>
                  <w:vAlign w:val="center"/>
                  <w:hideMark/>
                </w:tcPr>
                <w:p w:rsidR="00A96CC2" w:rsidRPr="00671A71" w:rsidP="000D63B6" w14:paraId="0BFC4D75"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1 093,77</w:t>
                  </w:r>
                </w:p>
              </w:tc>
              <w:tc>
                <w:tcPr>
                  <w:tcW w:w="960" w:type="dxa"/>
                  <w:tcBorders>
                    <w:top w:val="nil"/>
                    <w:left w:val="nil"/>
                    <w:bottom w:val="single" w:sz="4" w:space="0" w:color="auto"/>
                    <w:right w:val="single" w:sz="4" w:space="0" w:color="auto"/>
                  </w:tcBorders>
                  <w:shd w:val="clear" w:color="auto" w:fill="auto"/>
                  <w:noWrap/>
                  <w:vAlign w:val="center"/>
                  <w:hideMark/>
                </w:tcPr>
                <w:p w:rsidR="00A96CC2" w:rsidRPr="00671A71" w:rsidP="000D63B6" w14:paraId="69342F22" w14:textId="77777777">
                  <w:pPr>
                    <w:framePr w:hSpace="180" w:wrap="around" w:vAnchor="text" w:hAnchor="margin" w:xAlign="center" w:y="119"/>
                    <w:spacing w:after="0" w:line="240" w:lineRule="auto"/>
                    <w:jc w:val="center"/>
                    <w:rPr>
                      <w:rFonts w:ascii="Times New Roman" w:eastAsia="Times New Roman" w:hAnsi="Times New Roman"/>
                      <w:color w:val="000000"/>
                      <w:sz w:val="18"/>
                      <w:szCs w:val="18"/>
                      <w:lang w:eastAsia="lv-LV"/>
                    </w:rPr>
                  </w:pPr>
                  <w:r w:rsidRPr="00671A71">
                    <w:rPr>
                      <w:rFonts w:ascii="Times New Roman" w:eastAsia="Times New Roman" w:hAnsi="Times New Roman"/>
                      <w:color w:val="000000"/>
                      <w:sz w:val="18"/>
                      <w:szCs w:val="18"/>
                      <w:lang w:eastAsia="lv-LV"/>
                    </w:rPr>
                    <w:t>6,84</w:t>
                  </w:r>
                </w:p>
              </w:tc>
            </w:tr>
          </w:tbl>
          <w:p w:rsidR="00451729" w:rsidRPr="00671A71" w:rsidP="00451729" w14:paraId="4FC0317A" w14:textId="77777777">
            <w:pPr>
              <w:jc w:val="both"/>
            </w:pPr>
          </w:p>
          <w:p w:rsidR="00451729" w:rsidRPr="00671A71" w:rsidP="00451729" w14:paraId="1B36ECB0" w14:textId="77777777">
            <w:pPr>
              <w:ind w:left="415"/>
              <w:jc w:val="both"/>
              <w:rPr>
                <w:rFonts w:ascii="Times New Roman" w:eastAsia="Times New Roman" w:hAnsi="Times New Roman"/>
                <w:lang w:eastAsia="lv-LV"/>
              </w:rPr>
            </w:pPr>
            <w:r w:rsidRPr="00671A71">
              <w:rPr>
                <w:rFonts w:ascii="Times New Roman" w:eastAsia="Times New Roman" w:hAnsi="Times New Roman"/>
                <w:i/>
                <w:lang w:eastAsia="lv-LV"/>
              </w:rPr>
              <w:t xml:space="preserve">l – laika patēriņš, kas nepieciešams, lai sagatavotu informāciju, kuras sniegšanu paredz projekts: </w:t>
            </w:r>
            <w:r w:rsidRPr="00671A71">
              <w:rPr>
                <w:rFonts w:ascii="Times New Roman" w:eastAsia="Times New Roman" w:hAnsi="Times New Roman"/>
                <w:lang w:eastAsia="lv-LV"/>
              </w:rPr>
              <w:t>8 stundas;</w:t>
            </w:r>
          </w:p>
          <w:p w:rsidR="00451729" w:rsidRPr="00671A71" w:rsidP="00451729" w14:paraId="2522EDD6"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 xml:space="preserve">n – subjektu skaits, uz ko attiecas projektā paredzētās informācijas sniegšanas prasības: </w:t>
            </w:r>
            <w:r w:rsidRPr="00671A71">
              <w:rPr>
                <w:rFonts w:ascii="Times New Roman" w:eastAsia="Times New Roman" w:hAnsi="Times New Roman"/>
                <w:lang w:eastAsia="lv-LV"/>
              </w:rPr>
              <w:t xml:space="preserve">aprēķins tiek veikts uz </w:t>
            </w:r>
            <w:r w:rsidRPr="00671A71">
              <w:rPr>
                <w:rFonts w:ascii="Times New Roman" w:eastAsia="Times New Roman" w:hAnsi="Times New Roman"/>
                <w:u w:val="single"/>
                <w:lang w:eastAsia="lv-LV"/>
              </w:rPr>
              <w:t>vienu</w:t>
            </w:r>
            <w:r w:rsidRPr="00671A71">
              <w:rPr>
                <w:rFonts w:ascii="Times New Roman" w:eastAsia="Times New Roman" w:hAnsi="Times New Roman"/>
                <w:lang w:eastAsia="lv-LV"/>
              </w:rPr>
              <w:t xml:space="preserve"> SAM </w:t>
            </w:r>
            <w:r w:rsidRPr="00671A71" w:rsidR="0030731F">
              <w:rPr>
                <w:rFonts w:ascii="Times New Roman" w:eastAsia="Times New Roman" w:hAnsi="Times New Roman"/>
                <w:lang w:eastAsia="lv-LV"/>
              </w:rPr>
              <w:t>5.6.2</w:t>
            </w:r>
            <w:r w:rsidRPr="00671A71">
              <w:rPr>
                <w:rFonts w:ascii="Times New Roman" w:eastAsia="Times New Roman" w:hAnsi="Times New Roman"/>
                <w:lang w:eastAsia="lv-LV"/>
              </w:rPr>
              <w:t>. finansējuma saņēmēju;</w:t>
            </w:r>
          </w:p>
          <w:p w:rsidR="00451729" w:rsidRPr="00671A71" w:rsidP="00451729" w14:paraId="480AF2AC"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 xml:space="preserve">b – paredzētais informācijas sniegšanas reižu skaits: </w:t>
            </w:r>
            <w:r w:rsidRPr="00671A71">
              <w:rPr>
                <w:rFonts w:ascii="Times New Roman" w:eastAsia="Times New Roman" w:hAnsi="Times New Roman"/>
                <w:lang w:eastAsia="lv-LV"/>
              </w:rPr>
              <w:t>1 reizi projekta dzīves cikla beigās</w:t>
            </w:r>
            <w:r w:rsidRPr="00671A71">
              <w:rPr>
                <w:rFonts w:ascii="Times New Roman" w:eastAsia="Times New Roman" w:hAnsi="Times New Roman"/>
                <w:i/>
                <w:lang w:eastAsia="lv-LV"/>
              </w:rPr>
              <w:t>;</w:t>
            </w:r>
          </w:p>
          <w:p w:rsidR="00451729" w:rsidRPr="00671A71" w:rsidP="00451729" w14:paraId="670C98B5" w14:textId="77777777">
            <w:pPr>
              <w:ind w:left="415"/>
              <w:jc w:val="both"/>
              <w:rPr>
                <w:rFonts w:ascii="Times New Roman" w:eastAsia="Times New Roman" w:hAnsi="Times New Roman"/>
                <w:i/>
                <w:lang w:eastAsia="lv-LV"/>
              </w:rPr>
            </w:pPr>
            <w:r w:rsidRPr="00671A71">
              <w:rPr>
                <w:rFonts w:ascii="Times New Roman" w:eastAsia="Times New Roman" w:hAnsi="Times New Roman"/>
                <w:i/>
                <w:lang w:eastAsia="lv-LV"/>
              </w:rPr>
              <w:t>C – informācijas sniegšanas pienākuma radītās izmaksas jeb administratīvās izmaksas:</w:t>
            </w:r>
          </w:p>
          <w:p w:rsidR="00CC1A56" w:rsidRPr="00671A71" w:rsidP="007C75E9" w14:paraId="694B4AFE" w14:textId="77777777">
            <w:pPr>
              <w:spacing w:after="0" w:line="240" w:lineRule="auto"/>
              <w:ind w:left="57" w:right="113"/>
              <w:jc w:val="center"/>
              <w:rPr>
                <w:rFonts w:ascii="Times New Roman" w:hAnsi="Times New Roman"/>
                <w:sz w:val="24"/>
                <w:szCs w:val="24"/>
              </w:rPr>
            </w:pPr>
            <w:r w:rsidRPr="00671A71">
              <w:rPr>
                <w:rFonts w:ascii="Times New Roman" w:eastAsia="Times New Roman" w:hAnsi="Times New Roman"/>
                <w:lang w:eastAsia="lv-LV"/>
              </w:rPr>
              <w:t>(6,84</w:t>
            </w:r>
            <w:r w:rsidRPr="00671A71" w:rsidR="00451729">
              <w:rPr>
                <w:rFonts w:ascii="Times New Roman" w:eastAsia="Times New Roman" w:hAnsi="Times New Roman"/>
                <w:lang w:eastAsia="lv-LV"/>
              </w:rPr>
              <w:t xml:space="preserve"> x 8) x (1 x 1) = </w:t>
            </w:r>
            <w:r w:rsidRPr="00671A71" w:rsidR="007C75E9">
              <w:rPr>
                <w:rFonts w:ascii="Times New Roman" w:eastAsia="Times New Roman" w:hAnsi="Times New Roman"/>
                <w:lang w:eastAsia="lv-LV"/>
              </w:rPr>
              <w:t>54,72</w:t>
            </w:r>
            <w:r w:rsidRPr="00671A71" w:rsidR="00451729">
              <w:rPr>
                <w:rFonts w:ascii="Times New Roman" w:eastAsia="Times New Roman" w:hAnsi="Times New Roman"/>
                <w:lang w:eastAsia="lv-LV"/>
              </w:rPr>
              <w:t xml:space="preserve"> </w:t>
            </w:r>
            <w:r w:rsidRPr="00671A71" w:rsidR="00451729">
              <w:rPr>
                <w:rFonts w:ascii="Times New Roman" w:eastAsia="Times New Roman" w:hAnsi="Times New Roman"/>
                <w:i/>
                <w:lang w:eastAsia="lv-LV"/>
              </w:rPr>
              <w:t>euro</w:t>
            </w:r>
          </w:p>
        </w:tc>
      </w:tr>
      <w:tr w14:paraId="6CE8EB73" w14:textId="77777777" w:rsidTr="00061A66">
        <w:tblPrEx>
          <w:tblW w:w="9640" w:type="dxa"/>
          <w:tblCellMar>
            <w:left w:w="0" w:type="dxa"/>
            <w:right w:w="0" w:type="dxa"/>
          </w:tblCellMar>
          <w:tblLook w:val="0000"/>
        </w:tblPrEx>
        <w:trPr>
          <w:trHeight w:val="357"/>
        </w:trPr>
        <w:tc>
          <w:tcPr>
            <w:tcW w:w="431" w:type="dxa"/>
          </w:tcPr>
          <w:p w:rsidR="00CC1A56" w:rsidRPr="00671A71" w:rsidP="00734441" w14:paraId="0521EE28" w14:textId="77777777">
            <w:pPr>
              <w:pStyle w:val="naiskr"/>
              <w:spacing w:before="0" w:beforeAutospacing="0" w:after="0" w:afterAutospacing="0"/>
              <w:ind w:left="57" w:right="57"/>
            </w:pPr>
            <w:r w:rsidRPr="00671A71">
              <w:t>4.</w:t>
            </w:r>
          </w:p>
        </w:tc>
        <w:tc>
          <w:tcPr>
            <w:tcW w:w="2268" w:type="dxa"/>
            <w:shd w:val="clear" w:color="auto" w:fill="auto"/>
          </w:tcPr>
          <w:p w:rsidR="00CC1A56" w:rsidRPr="00671A71" w:rsidP="00734441" w14:paraId="01BA2850" w14:textId="77777777">
            <w:pPr>
              <w:pStyle w:val="naiskr"/>
              <w:spacing w:before="0" w:beforeAutospacing="0" w:after="0" w:afterAutospacing="0"/>
              <w:ind w:left="57" w:right="57"/>
            </w:pPr>
            <w:r w:rsidRPr="00671A71">
              <w:t>Cita</w:t>
            </w:r>
            <w:r w:rsidRPr="00671A71" w:rsidR="00F01597">
              <w:t xml:space="preserve"> </w:t>
            </w:r>
            <w:r w:rsidRPr="00671A71">
              <w:t>informācija</w:t>
            </w:r>
          </w:p>
        </w:tc>
        <w:tc>
          <w:tcPr>
            <w:tcW w:w="6941" w:type="dxa"/>
            <w:shd w:val="clear" w:color="auto" w:fill="auto"/>
          </w:tcPr>
          <w:p w:rsidR="00B81348" w:rsidRPr="00671A71" w:rsidP="00B81348" w14:paraId="5DA925E1" w14:textId="77777777">
            <w:pPr>
              <w:spacing w:after="0" w:line="240" w:lineRule="auto"/>
              <w:ind w:left="57" w:right="113"/>
              <w:rPr>
                <w:rFonts w:ascii="Times New Roman" w:hAnsi="Times New Roman"/>
                <w:spacing w:val="-2"/>
                <w:sz w:val="24"/>
                <w:szCs w:val="24"/>
              </w:rPr>
            </w:pPr>
            <w:r w:rsidRPr="00671A71">
              <w:rPr>
                <w:rFonts w:ascii="Times New Roman" w:hAnsi="Times New Roman"/>
                <w:spacing w:val="-2"/>
                <w:sz w:val="24"/>
                <w:szCs w:val="24"/>
              </w:rPr>
              <w:t>Nav</w:t>
            </w:r>
          </w:p>
          <w:p w:rsidR="00CC1A56" w:rsidRPr="00671A71" w:rsidP="00734441" w14:paraId="3D1F1802" w14:textId="77777777">
            <w:pPr>
              <w:spacing w:after="0" w:line="240" w:lineRule="auto"/>
              <w:ind w:left="57" w:right="113"/>
              <w:rPr>
                <w:rFonts w:ascii="Times New Roman" w:hAnsi="Times New Roman"/>
                <w:sz w:val="24"/>
                <w:szCs w:val="24"/>
                <w:lang w:eastAsia="lv-LV"/>
              </w:rPr>
            </w:pPr>
          </w:p>
        </w:tc>
      </w:tr>
    </w:tbl>
    <w:p w:rsidR="00CC1A56" w:rsidRPr="00671A71" w:rsidP="00734441" w14:paraId="3E9D9C1B" w14:textId="77777777">
      <w:pPr>
        <w:spacing w:after="0" w:line="240" w:lineRule="auto"/>
        <w:rPr>
          <w:rFonts w:ascii="Times New Roman" w:hAnsi="Times New Roman"/>
          <w:sz w:val="24"/>
          <w:szCs w:val="2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1422"/>
        <w:gridCol w:w="1677"/>
        <w:gridCol w:w="1276"/>
        <w:gridCol w:w="1284"/>
        <w:gridCol w:w="1287"/>
      </w:tblGrid>
      <w:tr w14:paraId="59697F0C" w14:textId="77777777" w:rsidTr="00DC2BA7">
        <w:tblPrEx>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jc w:val="center"/>
        </w:trPr>
        <w:tc>
          <w:tcPr>
            <w:tcW w:w="9610" w:type="dxa"/>
            <w:gridSpan w:val="6"/>
            <w:vAlign w:val="center"/>
          </w:tcPr>
          <w:p w:rsidR="005A7179" w:rsidRPr="00671A71" w:rsidP="00734441" w14:paraId="3F7A7F11" w14:textId="77777777">
            <w:pPr>
              <w:pStyle w:val="naisnod"/>
              <w:spacing w:before="0" w:beforeAutospacing="0" w:after="0" w:afterAutospacing="0"/>
              <w:jc w:val="center"/>
              <w:rPr>
                <w:b/>
                <w:i/>
              </w:rPr>
            </w:pPr>
            <w:r w:rsidRPr="00671A71">
              <w:br w:type="page"/>
            </w:r>
            <w:r w:rsidRPr="00671A71">
              <w:rPr>
                <w:b/>
              </w:rPr>
              <w:t>III.</w:t>
            </w:r>
            <w:r w:rsidRPr="00671A71" w:rsidR="00F01597">
              <w:rPr>
                <w:b/>
              </w:rPr>
              <w:t xml:space="preserve"> </w:t>
            </w:r>
            <w:r w:rsidRPr="00671A71">
              <w:rPr>
                <w:b/>
              </w:rPr>
              <w:t>Tiesību</w:t>
            </w:r>
            <w:r w:rsidRPr="00671A71" w:rsidR="00F01597">
              <w:rPr>
                <w:b/>
              </w:rPr>
              <w:t xml:space="preserve"> </w:t>
            </w:r>
            <w:r w:rsidRPr="00671A71">
              <w:rPr>
                <w:b/>
              </w:rPr>
              <w:t>akta</w:t>
            </w:r>
            <w:r w:rsidRPr="00671A71" w:rsidR="00F01597">
              <w:rPr>
                <w:b/>
              </w:rPr>
              <w:t xml:space="preserve"> </w:t>
            </w:r>
            <w:r w:rsidRPr="00671A71">
              <w:rPr>
                <w:b/>
              </w:rPr>
              <w:t>projekta</w:t>
            </w:r>
            <w:r w:rsidRPr="00671A71" w:rsidR="00F01597">
              <w:rPr>
                <w:b/>
              </w:rPr>
              <w:t xml:space="preserve"> </w:t>
            </w:r>
            <w:r w:rsidRPr="00671A71">
              <w:rPr>
                <w:b/>
              </w:rPr>
              <w:t>ietekme</w:t>
            </w:r>
            <w:r w:rsidRPr="00671A71" w:rsidR="00F01597">
              <w:rPr>
                <w:b/>
              </w:rPr>
              <w:t xml:space="preserve"> </w:t>
            </w:r>
            <w:r w:rsidRPr="00671A71">
              <w:rPr>
                <w:b/>
              </w:rPr>
              <w:t>uz</w:t>
            </w:r>
            <w:r w:rsidRPr="00671A71" w:rsidR="00F01597">
              <w:rPr>
                <w:b/>
              </w:rPr>
              <w:t xml:space="preserve"> </w:t>
            </w:r>
            <w:r w:rsidRPr="00671A71">
              <w:rPr>
                <w:b/>
              </w:rPr>
              <w:t>valsts</w:t>
            </w:r>
            <w:r w:rsidRPr="00671A71" w:rsidR="00F01597">
              <w:rPr>
                <w:b/>
              </w:rPr>
              <w:t xml:space="preserve"> </w:t>
            </w:r>
            <w:r w:rsidRPr="00671A71">
              <w:rPr>
                <w:b/>
              </w:rPr>
              <w:t>budžetu</w:t>
            </w:r>
            <w:r w:rsidRPr="00671A71" w:rsidR="00F01597">
              <w:rPr>
                <w:b/>
              </w:rPr>
              <w:t xml:space="preserve"> </w:t>
            </w:r>
            <w:r w:rsidRPr="00671A71">
              <w:rPr>
                <w:b/>
              </w:rPr>
              <w:t>un</w:t>
            </w:r>
            <w:r w:rsidRPr="00671A71" w:rsidR="00F01597">
              <w:rPr>
                <w:b/>
              </w:rPr>
              <w:t xml:space="preserve"> </w:t>
            </w:r>
            <w:r w:rsidRPr="00671A71">
              <w:rPr>
                <w:b/>
              </w:rPr>
              <w:t>pašvaldību</w:t>
            </w:r>
            <w:r w:rsidRPr="00671A71" w:rsidR="00F01597">
              <w:rPr>
                <w:b/>
              </w:rPr>
              <w:t xml:space="preserve"> </w:t>
            </w:r>
            <w:r w:rsidRPr="00671A71">
              <w:rPr>
                <w:b/>
              </w:rPr>
              <w:t>budžetiem</w:t>
            </w:r>
          </w:p>
        </w:tc>
      </w:tr>
      <w:tr w14:paraId="268DE2F7" w14:textId="77777777" w:rsidTr="00524B4E">
        <w:tblPrEx>
          <w:tblW w:w="9610" w:type="dxa"/>
          <w:jc w:val="center"/>
          <w:tblLook w:val="01E0"/>
        </w:tblPrEx>
        <w:trPr>
          <w:trHeight w:val="20"/>
          <w:jc w:val="center"/>
        </w:trPr>
        <w:tc>
          <w:tcPr>
            <w:tcW w:w="2664" w:type="dxa"/>
            <w:vMerge w:val="restart"/>
            <w:shd w:val="clear" w:color="auto" w:fill="auto"/>
            <w:vAlign w:val="center"/>
          </w:tcPr>
          <w:p w:rsidR="005A7179" w:rsidRPr="00671A71" w:rsidP="00734441" w14:paraId="3F3BE153" w14:textId="77777777">
            <w:pPr>
              <w:pStyle w:val="naisf"/>
              <w:spacing w:before="0" w:beforeAutospacing="0" w:after="0" w:afterAutospacing="0"/>
              <w:jc w:val="center"/>
            </w:pPr>
            <w:r w:rsidRPr="00671A71">
              <w:t>Rādītāji</w:t>
            </w:r>
          </w:p>
        </w:tc>
        <w:tc>
          <w:tcPr>
            <w:tcW w:w="3099" w:type="dxa"/>
            <w:gridSpan w:val="2"/>
            <w:vMerge w:val="restart"/>
            <w:shd w:val="clear" w:color="auto" w:fill="auto"/>
            <w:vAlign w:val="center"/>
          </w:tcPr>
          <w:p w:rsidR="005A7179" w:rsidRPr="00671A71" w:rsidP="00734441" w14:paraId="7740118E" w14:textId="77777777">
            <w:pPr>
              <w:pStyle w:val="naisf"/>
              <w:spacing w:before="0" w:beforeAutospacing="0" w:after="0" w:afterAutospacing="0"/>
              <w:jc w:val="center"/>
            </w:pPr>
            <w:r w:rsidRPr="00671A71">
              <w:t>201</w:t>
            </w:r>
            <w:r w:rsidRPr="00671A71" w:rsidR="00772B6E">
              <w:t>7</w:t>
            </w:r>
            <w:r w:rsidRPr="00671A71" w:rsidR="00790575">
              <w:t>. gad</w:t>
            </w:r>
            <w:r w:rsidRPr="00671A71">
              <w:t>s</w:t>
            </w:r>
          </w:p>
        </w:tc>
        <w:tc>
          <w:tcPr>
            <w:tcW w:w="3847" w:type="dxa"/>
            <w:gridSpan w:val="3"/>
            <w:shd w:val="clear" w:color="auto" w:fill="auto"/>
            <w:vAlign w:val="center"/>
          </w:tcPr>
          <w:p w:rsidR="005A7179" w:rsidRPr="00671A71" w:rsidP="00734441" w14:paraId="6FEE5DB5" w14:textId="77777777">
            <w:pPr>
              <w:pStyle w:val="naisf"/>
              <w:spacing w:before="0" w:beforeAutospacing="0" w:after="0" w:afterAutospacing="0"/>
              <w:jc w:val="center"/>
              <w:rPr>
                <w:i/>
              </w:rPr>
            </w:pPr>
            <w:r w:rsidRPr="00671A71">
              <w:t>Turpmākie</w:t>
            </w:r>
            <w:r w:rsidRPr="00671A71" w:rsidR="00F01597">
              <w:t xml:space="preserve"> </w:t>
            </w:r>
            <w:r w:rsidRPr="00671A71">
              <w:t>trīs</w:t>
            </w:r>
            <w:r w:rsidRPr="00671A71" w:rsidR="00F01597">
              <w:t xml:space="preserve"> </w:t>
            </w:r>
            <w:r w:rsidRPr="00671A71">
              <w:t>gadi</w:t>
            </w:r>
            <w:r w:rsidRPr="00671A71" w:rsidR="00F01597">
              <w:t xml:space="preserve"> </w:t>
            </w:r>
            <w:r w:rsidRPr="00671A71">
              <w:t>(</w:t>
            </w:r>
            <w:r w:rsidRPr="00671A71" w:rsidR="000E58F2">
              <w:rPr>
                <w:i/>
              </w:rPr>
              <w:t>euro</w:t>
            </w:r>
            <w:r w:rsidRPr="00671A71">
              <w:t>)</w:t>
            </w:r>
          </w:p>
        </w:tc>
      </w:tr>
      <w:tr w14:paraId="559B8704" w14:textId="77777777" w:rsidTr="00524B4E">
        <w:tblPrEx>
          <w:tblW w:w="9610" w:type="dxa"/>
          <w:jc w:val="center"/>
          <w:tblLook w:val="01E0"/>
        </w:tblPrEx>
        <w:trPr>
          <w:trHeight w:val="20"/>
          <w:jc w:val="center"/>
        </w:trPr>
        <w:tc>
          <w:tcPr>
            <w:tcW w:w="2664" w:type="dxa"/>
            <w:vMerge/>
            <w:shd w:val="clear" w:color="auto" w:fill="auto"/>
            <w:vAlign w:val="center"/>
          </w:tcPr>
          <w:p w:rsidR="005A7179" w:rsidRPr="00671A71" w:rsidP="00734441" w14:paraId="2C48DB19" w14:textId="77777777">
            <w:pPr>
              <w:pStyle w:val="naisf"/>
              <w:spacing w:before="0" w:beforeAutospacing="0" w:after="0" w:afterAutospacing="0"/>
              <w:jc w:val="center"/>
              <w:rPr>
                <w:i/>
              </w:rPr>
            </w:pPr>
          </w:p>
        </w:tc>
        <w:tc>
          <w:tcPr>
            <w:tcW w:w="3099" w:type="dxa"/>
            <w:gridSpan w:val="2"/>
            <w:vMerge/>
            <w:shd w:val="clear" w:color="auto" w:fill="auto"/>
            <w:vAlign w:val="center"/>
          </w:tcPr>
          <w:p w:rsidR="005A7179" w:rsidRPr="00671A71" w:rsidP="00734441" w14:paraId="020A1EDC" w14:textId="77777777">
            <w:pPr>
              <w:pStyle w:val="naisf"/>
              <w:spacing w:before="0" w:beforeAutospacing="0" w:after="0" w:afterAutospacing="0"/>
              <w:jc w:val="center"/>
              <w:rPr>
                <w:i/>
              </w:rPr>
            </w:pPr>
          </w:p>
        </w:tc>
        <w:tc>
          <w:tcPr>
            <w:tcW w:w="1276" w:type="dxa"/>
            <w:shd w:val="clear" w:color="auto" w:fill="auto"/>
            <w:vAlign w:val="center"/>
          </w:tcPr>
          <w:p w:rsidR="005A7179" w:rsidRPr="00671A71" w:rsidP="00772B6E" w14:paraId="594E8A0E" w14:textId="77777777">
            <w:pPr>
              <w:pStyle w:val="naisf"/>
              <w:spacing w:before="0" w:beforeAutospacing="0" w:after="0" w:afterAutospacing="0"/>
              <w:jc w:val="center"/>
              <w:rPr>
                <w:i/>
              </w:rPr>
            </w:pPr>
            <w:r w:rsidRPr="00671A71">
              <w:t>201</w:t>
            </w:r>
            <w:r w:rsidRPr="00671A71" w:rsidR="00772B6E">
              <w:t>8</w:t>
            </w:r>
            <w:r w:rsidRPr="00671A71" w:rsidR="00790575">
              <w:t>.</w:t>
            </w:r>
            <w:r w:rsidRPr="00671A71" w:rsidR="00790575">
              <w:rPr>
                <w:bCs/>
              </w:rPr>
              <w:t> gad</w:t>
            </w:r>
            <w:r w:rsidRPr="00671A71" w:rsidR="002E61AD">
              <w:t>s</w:t>
            </w:r>
          </w:p>
        </w:tc>
        <w:tc>
          <w:tcPr>
            <w:tcW w:w="1284" w:type="dxa"/>
            <w:shd w:val="clear" w:color="auto" w:fill="auto"/>
            <w:vAlign w:val="center"/>
          </w:tcPr>
          <w:p w:rsidR="005A7179" w:rsidRPr="00671A71" w:rsidP="00772B6E" w14:paraId="35131467" w14:textId="77777777">
            <w:pPr>
              <w:pStyle w:val="naisf"/>
              <w:spacing w:before="0" w:beforeAutospacing="0" w:after="0" w:afterAutospacing="0"/>
              <w:jc w:val="center"/>
              <w:rPr>
                <w:i/>
              </w:rPr>
            </w:pPr>
            <w:r w:rsidRPr="00671A71">
              <w:t>201</w:t>
            </w:r>
            <w:r w:rsidRPr="00671A71" w:rsidR="00772B6E">
              <w:t>9</w:t>
            </w:r>
            <w:r w:rsidRPr="00671A71" w:rsidR="00790575">
              <w:t>.</w:t>
            </w:r>
            <w:r w:rsidRPr="00671A71" w:rsidR="00790575">
              <w:rPr>
                <w:bCs/>
              </w:rPr>
              <w:t> gad</w:t>
            </w:r>
            <w:r w:rsidRPr="00671A71" w:rsidR="002E61AD">
              <w:t>s</w:t>
            </w:r>
          </w:p>
        </w:tc>
        <w:tc>
          <w:tcPr>
            <w:tcW w:w="1287" w:type="dxa"/>
            <w:shd w:val="clear" w:color="auto" w:fill="auto"/>
            <w:vAlign w:val="center"/>
          </w:tcPr>
          <w:p w:rsidR="005A7179" w:rsidRPr="00671A71" w:rsidP="00772B6E" w14:paraId="380291AE" w14:textId="77777777">
            <w:pPr>
              <w:pStyle w:val="naisf"/>
              <w:spacing w:before="0" w:beforeAutospacing="0" w:after="0" w:afterAutospacing="0"/>
              <w:jc w:val="center"/>
              <w:rPr>
                <w:i/>
              </w:rPr>
            </w:pPr>
            <w:r w:rsidRPr="00671A71">
              <w:t>2020</w:t>
            </w:r>
            <w:r w:rsidRPr="00671A71" w:rsidR="00790575">
              <w:t>.</w:t>
            </w:r>
            <w:r w:rsidRPr="00671A71" w:rsidR="00790575">
              <w:rPr>
                <w:bCs/>
              </w:rPr>
              <w:t> gad</w:t>
            </w:r>
            <w:r w:rsidRPr="00671A71" w:rsidR="002E61AD">
              <w:t>s</w:t>
            </w:r>
          </w:p>
        </w:tc>
      </w:tr>
      <w:tr w14:paraId="043A9DF5" w14:textId="77777777" w:rsidTr="00524B4E">
        <w:tblPrEx>
          <w:tblW w:w="9610" w:type="dxa"/>
          <w:jc w:val="center"/>
          <w:tblLook w:val="01E0"/>
        </w:tblPrEx>
        <w:trPr>
          <w:trHeight w:val="20"/>
          <w:jc w:val="center"/>
        </w:trPr>
        <w:tc>
          <w:tcPr>
            <w:tcW w:w="2664" w:type="dxa"/>
            <w:vMerge/>
            <w:shd w:val="clear" w:color="auto" w:fill="auto"/>
            <w:vAlign w:val="center"/>
          </w:tcPr>
          <w:p w:rsidR="005A7179" w:rsidRPr="00671A71" w:rsidP="00734441" w14:paraId="4A97973E" w14:textId="77777777">
            <w:pPr>
              <w:pStyle w:val="naisf"/>
              <w:spacing w:before="0" w:beforeAutospacing="0" w:after="0" w:afterAutospacing="0"/>
              <w:jc w:val="center"/>
              <w:rPr>
                <w:b/>
                <w:i/>
              </w:rPr>
            </w:pPr>
          </w:p>
        </w:tc>
        <w:tc>
          <w:tcPr>
            <w:tcW w:w="1422" w:type="dxa"/>
            <w:shd w:val="clear" w:color="auto" w:fill="auto"/>
            <w:vAlign w:val="center"/>
          </w:tcPr>
          <w:p w:rsidR="005A7179" w:rsidRPr="00671A71" w:rsidP="00734441" w14:paraId="349209DA" w14:textId="77777777">
            <w:pPr>
              <w:pStyle w:val="naisf"/>
              <w:spacing w:before="0" w:beforeAutospacing="0" w:after="0" w:afterAutospacing="0"/>
              <w:jc w:val="center"/>
              <w:rPr>
                <w:b/>
                <w:i/>
              </w:rPr>
            </w:pPr>
            <w:r w:rsidRPr="00671A71">
              <w:t>saskaņā</w:t>
            </w:r>
            <w:r w:rsidRPr="00671A71" w:rsidR="00F01597">
              <w:t xml:space="preserve"> </w:t>
            </w:r>
            <w:r w:rsidRPr="00671A71">
              <w:t>ar</w:t>
            </w:r>
            <w:r w:rsidRPr="00671A71" w:rsidR="00F01597">
              <w:t xml:space="preserve"> </w:t>
            </w:r>
            <w:r w:rsidRPr="00671A71">
              <w:t>valsts</w:t>
            </w:r>
            <w:r w:rsidRPr="00671A71" w:rsidR="00F01597">
              <w:t xml:space="preserve"> </w:t>
            </w:r>
            <w:r w:rsidRPr="00671A71">
              <w:t>budžetu</w:t>
            </w:r>
            <w:r w:rsidRPr="00671A71" w:rsidR="00F01597">
              <w:t xml:space="preserve"> </w:t>
            </w:r>
            <w:r w:rsidRPr="00671A71">
              <w:t>kārtējam</w:t>
            </w:r>
            <w:r w:rsidRPr="00671A71" w:rsidR="00F01597">
              <w:t xml:space="preserve"> </w:t>
            </w:r>
            <w:r w:rsidRPr="00671A71">
              <w:t>gadam</w:t>
            </w:r>
          </w:p>
        </w:tc>
        <w:tc>
          <w:tcPr>
            <w:tcW w:w="1677" w:type="dxa"/>
            <w:shd w:val="clear" w:color="auto" w:fill="auto"/>
            <w:vAlign w:val="center"/>
          </w:tcPr>
          <w:p w:rsidR="005A7179" w:rsidRPr="00671A71" w:rsidP="00734441" w14:paraId="6190D25A" w14:textId="77777777">
            <w:pPr>
              <w:pStyle w:val="naisf"/>
              <w:spacing w:before="0" w:beforeAutospacing="0" w:after="0" w:afterAutospacing="0"/>
              <w:jc w:val="center"/>
              <w:rPr>
                <w:b/>
                <w:i/>
                <w:spacing w:val="-6"/>
              </w:rPr>
            </w:pPr>
            <w:r w:rsidRPr="00671A71">
              <w:rPr>
                <w:spacing w:val="-6"/>
              </w:rPr>
              <w:t>izmaiņas</w:t>
            </w:r>
            <w:r w:rsidRPr="00671A71" w:rsidR="00F01597">
              <w:rPr>
                <w:spacing w:val="-6"/>
              </w:rPr>
              <w:t xml:space="preserve"> </w:t>
            </w:r>
            <w:r w:rsidRPr="00671A71">
              <w:rPr>
                <w:spacing w:val="-6"/>
              </w:rPr>
              <w:t>kārtējā</w:t>
            </w:r>
            <w:r w:rsidRPr="00671A71" w:rsidR="00F01597">
              <w:rPr>
                <w:spacing w:val="-6"/>
              </w:rPr>
              <w:t xml:space="preserve"> </w:t>
            </w:r>
            <w:r w:rsidRPr="00671A71">
              <w:rPr>
                <w:spacing w:val="-6"/>
              </w:rPr>
              <w:t>gadā,</w:t>
            </w:r>
            <w:r w:rsidRPr="00671A71" w:rsidR="00F01597">
              <w:rPr>
                <w:spacing w:val="-6"/>
              </w:rPr>
              <w:t xml:space="preserve"> </w:t>
            </w:r>
            <w:r w:rsidRPr="00671A71">
              <w:rPr>
                <w:spacing w:val="-6"/>
              </w:rPr>
              <w:t>salīdzinot</w:t>
            </w:r>
            <w:r w:rsidRPr="00671A71" w:rsidR="00F01597">
              <w:rPr>
                <w:spacing w:val="-6"/>
              </w:rPr>
              <w:t xml:space="preserve"> </w:t>
            </w:r>
            <w:r w:rsidRPr="00671A71">
              <w:rPr>
                <w:spacing w:val="-6"/>
              </w:rPr>
              <w:t>ar</w:t>
            </w:r>
            <w:r w:rsidRPr="00671A71" w:rsidR="00F01597">
              <w:rPr>
                <w:spacing w:val="-6"/>
              </w:rPr>
              <w:t xml:space="preserve"> </w:t>
            </w:r>
            <w:r w:rsidRPr="00671A71">
              <w:rPr>
                <w:spacing w:val="-6"/>
              </w:rPr>
              <w:t>valsts</w:t>
            </w:r>
            <w:r w:rsidRPr="00671A71" w:rsidR="00F01597">
              <w:rPr>
                <w:spacing w:val="-6"/>
              </w:rPr>
              <w:t xml:space="preserve"> </w:t>
            </w:r>
            <w:r w:rsidRPr="00671A71">
              <w:rPr>
                <w:spacing w:val="-6"/>
              </w:rPr>
              <w:t>budžetu</w:t>
            </w:r>
            <w:r w:rsidRPr="00671A71" w:rsidR="00F01597">
              <w:rPr>
                <w:spacing w:val="-6"/>
              </w:rPr>
              <w:t xml:space="preserve"> </w:t>
            </w:r>
            <w:r w:rsidRPr="00671A71">
              <w:rPr>
                <w:spacing w:val="-6"/>
              </w:rPr>
              <w:t>kārtējam</w:t>
            </w:r>
            <w:r w:rsidRPr="00671A71" w:rsidR="00F01597">
              <w:rPr>
                <w:spacing w:val="-6"/>
              </w:rPr>
              <w:t xml:space="preserve"> </w:t>
            </w:r>
            <w:r w:rsidRPr="00671A71">
              <w:rPr>
                <w:spacing w:val="-6"/>
              </w:rPr>
              <w:t>gadam</w:t>
            </w:r>
          </w:p>
        </w:tc>
        <w:tc>
          <w:tcPr>
            <w:tcW w:w="1276" w:type="dxa"/>
            <w:shd w:val="clear" w:color="auto" w:fill="auto"/>
            <w:vAlign w:val="center"/>
          </w:tcPr>
          <w:p w:rsidR="00B64E6C" w:rsidRPr="005103A4" w:rsidP="00DE731C" w14:paraId="0BE29E97" w14:textId="77777777">
            <w:pPr>
              <w:pStyle w:val="naisf"/>
              <w:spacing w:before="0" w:beforeAutospacing="0" w:after="0" w:afterAutospacing="0"/>
              <w:jc w:val="center"/>
            </w:pPr>
            <w:r w:rsidRPr="005103A4">
              <w:t>izmaiņas,</w:t>
            </w:r>
            <w:r w:rsidRPr="005103A4" w:rsidR="00F01597">
              <w:t xml:space="preserve"> </w:t>
            </w:r>
            <w:r w:rsidRPr="005103A4">
              <w:t>salīdzinot</w:t>
            </w:r>
            <w:r w:rsidRPr="005103A4" w:rsidR="00F01597">
              <w:t xml:space="preserve"> </w:t>
            </w:r>
            <w:r w:rsidRPr="005103A4">
              <w:t>ar</w:t>
            </w:r>
            <w:r w:rsidRPr="005103A4" w:rsidR="00F01597">
              <w:t xml:space="preserve"> </w:t>
            </w:r>
            <w:r w:rsidRPr="005103A4">
              <w:t>kārtējo</w:t>
            </w:r>
            <w:r w:rsidRPr="005103A4" w:rsidR="00F01597">
              <w:t xml:space="preserve"> </w:t>
            </w:r>
            <w:r w:rsidRPr="005103A4" w:rsidR="00061F3D">
              <w:t>(</w:t>
            </w:r>
            <w:r w:rsidRPr="005103A4" w:rsidR="00DE731C">
              <w:t>2017</w:t>
            </w:r>
            <w:r w:rsidRPr="005103A4" w:rsidR="00061F3D">
              <w:t>)</w:t>
            </w:r>
          </w:p>
          <w:p w:rsidR="005A7179" w:rsidRPr="005103A4" w:rsidP="00DE731C" w14:paraId="0FEABCCF" w14:textId="77777777">
            <w:pPr>
              <w:pStyle w:val="naisf"/>
              <w:spacing w:before="0" w:beforeAutospacing="0" w:after="0" w:afterAutospacing="0"/>
              <w:jc w:val="center"/>
              <w:rPr>
                <w:i/>
              </w:rPr>
            </w:pPr>
            <w:r w:rsidRPr="005103A4">
              <w:t>gadu</w:t>
            </w:r>
          </w:p>
        </w:tc>
        <w:tc>
          <w:tcPr>
            <w:tcW w:w="1284" w:type="dxa"/>
            <w:shd w:val="clear" w:color="auto" w:fill="auto"/>
            <w:vAlign w:val="center"/>
          </w:tcPr>
          <w:p w:rsidR="005A7179" w:rsidRPr="005103A4" w:rsidP="00DE731C" w14:paraId="3B59FC49" w14:textId="77777777">
            <w:pPr>
              <w:pStyle w:val="naisf"/>
              <w:spacing w:before="0" w:beforeAutospacing="0" w:after="0" w:afterAutospacing="0"/>
              <w:jc w:val="center"/>
              <w:rPr>
                <w:i/>
              </w:rPr>
            </w:pPr>
            <w:r w:rsidRPr="005103A4">
              <w:t>izmaiņas,</w:t>
            </w:r>
            <w:r w:rsidRPr="005103A4" w:rsidR="00F01597">
              <w:t xml:space="preserve"> </w:t>
            </w:r>
            <w:r w:rsidRPr="005103A4">
              <w:t>salīdzinot</w:t>
            </w:r>
            <w:r w:rsidRPr="005103A4" w:rsidR="00F01597">
              <w:t xml:space="preserve"> </w:t>
            </w:r>
            <w:r w:rsidRPr="005103A4">
              <w:t>ar</w:t>
            </w:r>
            <w:r w:rsidRPr="005103A4" w:rsidR="00F01597">
              <w:t xml:space="preserve"> </w:t>
            </w:r>
            <w:r w:rsidRPr="005103A4">
              <w:t>kārtējo</w:t>
            </w:r>
            <w:r w:rsidRPr="005103A4" w:rsidR="00F01597">
              <w:t xml:space="preserve"> </w:t>
            </w:r>
            <w:r w:rsidRPr="005103A4" w:rsidR="00061F3D">
              <w:t>(</w:t>
            </w:r>
            <w:r w:rsidRPr="005103A4" w:rsidR="00DE731C">
              <w:t>2017</w:t>
            </w:r>
            <w:r w:rsidRPr="005103A4" w:rsidR="00061F3D">
              <w:t xml:space="preserve">) </w:t>
            </w:r>
            <w:r w:rsidRPr="005103A4">
              <w:t>gadu</w:t>
            </w:r>
          </w:p>
        </w:tc>
        <w:tc>
          <w:tcPr>
            <w:tcW w:w="1287" w:type="dxa"/>
            <w:shd w:val="clear" w:color="auto" w:fill="auto"/>
            <w:vAlign w:val="center"/>
          </w:tcPr>
          <w:p w:rsidR="005A7179" w:rsidRPr="005103A4" w:rsidP="00DE731C" w14:paraId="06304102" w14:textId="77777777">
            <w:pPr>
              <w:pStyle w:val="naisf"/>
              <w:spacing w:before="0" w:beforeAutospacing="0" w:after="0" w:afterAutospacing="0"/>
              <w:jc w:val="center"/>
              <w:rPr>
                <w:i/>
              </w:rPr>
            </w:pPr>
            <w:r w:rsidRPr="005103A4">
              <w:t>izmaiņas,</w:t>
            </w:r>
            <w:r w:rsidRPr="005103A4" w:rsidR="00F01597">
              <w:t xml:space="preserve"> </w:t>
            </w:r>
            <w:r w:rsidRPr="005103A4">
              <w:t>salīdzinot</w:t>
            </w:r>
            <w:r w:rsidRPr="005103A4" w:rsidR="00F01597">
              <w:t xml:space="preserve"> </w:t>
            </w:r>
            <w:r w:rsidRPr="005103A4">
              <w:t>ar</w:t>
            </w:r>
            <w:r w:rsidRPr="005103A4" w:rsidR="00F01597">
              <w:t xml:space="preserve"> </w:t>
            </w:r>
            <w:r w:rsidRPr="005103A4">
              <w:t>kārtējo</w:t>
            </w:r>
            <w:r w:rsidRPr="005103A4" w:rsidR="00F01597">
              <w:t xml:space="preserve"> </w:t>
            </w:r>
            <w:r w:rsidRPr="005103A4" w:rsidR="00061F3D">
              <w:t>(</w:t>
            </w:r>
            <w:r w:rsidRPr="005103A4" w:rsidR="00DE731C">
              <w:t>2017</w:t>
            </w:r>
            <w:r w:rsidRPr="005103A4" w:rsidR="00061F3D">
              <w:t>)</w:t>
            </w:r>
            <w:r w:rsidRPr="005103A4" w:rsidR="00F01597">
              <w:t xml:space="preserve"> </w:t>
            </w:r>
            <w:r w:rsidRPr="005103A4">
              <w:t>gadu</w:t>
            </w:r>
          </w:p>
        </w:tc>
      </w:tr>
      <w:tr w14:paraId="25DEDFE8" w14:textId="77777777" w:rsidTr="009676B0">
        <w:tblPrEx>
          <w:tblW w:w="9610" w:type="dxa"/>
          <w:jc w:val="center"/>
          <w:tblLook w:val="01E0"/>
        </w:tblPrEx>
        <w:trPr>
          <w:trHeight w:val="20"/>
          <w:jc w:val="center"/>
        </w:trPr>
        <w:tc>
          <w:tcPr>
            <w:tcW w:w="2664" w:type="dxa"/>
            <w:shd w:val="clear" w:color="auto" w:fill="auto"/>
            <w:vAlign w:val="center"/>
          </w:tcPr>
          <w:p w:rsidR="009A16E3" w:rsidRPr="00671A71" w:rsidP="00734441" w14:paraId="57CA6445" w14:textId="77777777">
            <w:pPr>
              <w:pStyle w:val="naisf"/>
              <w:spacing w:before="0" w:beforeAutospacing="0" w:after="0" w:afterAutospacing="0"/>
              <w:jc w:val="center"/>
              <w:rPr>
                <w:sz w:val="22"/>
              </w:rPr>
            </w:pPr>
            <w:r w:rsidRPr="00671A71">
              <w:rPr>
                <w:sz w:val="22"/>
              </w:rPr>
              <w:t>1</w:t>
            </w:r>
          </w:p>
        </w:tc>
        <w:tc>
          <w:tcPr>
            <w:tcW w:w="1422" w:type="dxa"/>
            <w:shd w:val="clear" w:color="auto" w:fill="auto"/>
            <w:vAlign w:val="center"/>
          </w:tcPr>
          <w:p w:rsidR="009A16E3" w:rsidRPr="00671A71" w:rsidP="00734441" w14:paraId="0A75819D" w14:textId="77777777">
            <w:pPr>
              <w:pStyle w:val="naisf"/>
              <w:spacing w:before="0" w:beforeAutospacing="0" w:after="0" w:afterAutospacing="0"/>
              <w:jc w:val="center"/>
              <w:rPr>
                <w:sz w:val="22"/>
              </w:rPr>
            </w:pPr>
            <w:r w:rsidRPr="00671A71">
              <w:rPr>
                <w:sz w:val="22"/>
              </w:rPr>
              <w:t>2</w:t>
            </w:r>
          </w:p>
        </w:tc>
        <w:tc>
          <w:tcPr>
            <w:tcW w:w="1677" w:type="dxa"/>
            <w:shd w:val="clear" w:color="auto" w:fill="auto"/>
            <w:vAlign w:val="center"/>
          </w:tcPr>
          <w:p w:rsidR="009A16E3" w:rsidRPr="00671A71" w:rsidP="00734441" w14:paraId="58FA0FA4" w14:textId="77777777">
            <w:pPr>
              <w:pStyle w:val="naisf"/>
              <w:spacing w:before="0" w:beforeAutospacing="0" w:after="0" w:afterAutospacing="0"/>
              <w:jc w:val="center"/>
              <w:rPr>
                <w:sz w:val="22"/>
              </w:rPr>
            </w:pPr>
            <w:r w:rsidRPr="00671A71">
              <w:rPr>
                <w:sz w:val="22"/>
              </w:rPr>
              <w:t>3</w:t>
            </w:r>
          </w:p>
        </w:tc>
        <w:tc>
          <w:tcPr>
            <w:tcW w:w="1276" w:type="dxa"/>
            <w:shd w:val="clear" w:color="auto" w:fill="auto"/>
            <w:vAlign w:val="center"/>
          </w:tcPr>
          <w:p w:rsidR="009A16E3" w:rsidRPr="00671A71" w:rsidP="00734441" w14:paraId="0C36FBD8" w14:textId="77777777">
            <w:pPr>
              <w:pStyle w:val="naisf"/>
              <w:spacing w:before="0" w:beforeAutospacing="0" w:after="0" w:afterAutospacing="0"/>
              <w:jc w:val="center"/>
              <w:rPr>
                <w:sz w:val="22"/>
              </w:rPr>
            </w:pPr>
            <w:r w:rsidRPr="00671A71">
              <w:rPr>
                <w:sz w:val="22"/>
              </w:rPr>
              <w:t>4</w:t>
            </w:r>
          </w:p>
        </w:tc>
        <w:tc>
          <w:tcPr>
            <w:tcW w:w="1284" w:type="dxa"/>
            <w:shd w:val="clear" w:color="auto" w:fill="auto"/>
            <w:vAlign w:val="center"/>
          </w:tcPr>
          <w:p w:rsidR="009A16E3" w:rsidRPr="00671A71" w:rsidP="00734441" w14:paraId="34684B36" w14:textId="77777777">
            <w:pPr>
              <w:pStyle w:val="naisf"/>
              <w:spacing w:before="0" w:beforeAutospacing="0" w:after="0" w:afterAutospacing="0"/>
              <w:jc w:val="center"/>
              <w:rPr>
                <w:sz w:val="22"/>
              </w:rPr>
            </w:pPr>
            <w:r w:rsidRPr="00671A71">
              <w:rPr>
                <w:sz w:val="22"/>
              </w:rPr>
              <w:t>5</w:t>
            </w:r>
          </w:p>
        </w:tc>
        <w:tc>
          <w:tcPr>
            <w:tcW w:w="1287" w:type="dxa"/>
            <w:shd w:val="clear" w:color="auto" w:fill="auto"/>
            <w:vAlign w:val="center"/>
          </w:tcPr>
          <w:p w:rsidR="009A16E3" w:rsidRPr="00671A71" w:rsidP="00734441" w14:paraId="201A23DF" w14:textId="77777777">
            <w:pPr>
              <w:pStyle w:val="naisf"/>
              <w:spacing w:before="0" w:beforeAutospacing="0" w:after="0" w:afterAutospacing="0"/>
              <w:jc w:val="center"/>
              <w:rPr>
                <w:sz w:val="22"/>
              </w:rPr>
            </w:pPr>
            <w:r w:rsidRPr="00671A71">
              <w:rPr>
                <w:sz w:val="22"/>
              </w:rPr>
              <w:t>6</w:t>
            </w:r>
          </w:p>
        </w:tc>
      </w:tr>
      <w:tr w14:paraId="3E1F07D8" w14:textId="77777777" w:rsidTr="00E17F80">
        <w:tblPrEx>
          <w:tblW w:w="9610" w:type="dxa"/>
          <w:jc w:val="center"/>
          <w:tblLook w:val="01E0"/>
        </w:tblPrEx>
        <w:trPr>
          <w:trHeight w:val="20"/>
          <w:jc w:val="center"/>
        </w:trPr>
        <w:tc>
          <w:tcPr>
            <w:tcW w:w="2664" w:type="dxa"/>
            <w:shd w:val="clear" w:color="auto" w:fill="auto"/>
          </w:tcPr>
          <w:p w:rsidR="000B75E2" w:rsidRPr="00671A71" w:rsidP="000B75E2" w14:paraId="72407C1A" w14:textId="77777777">
            <w:pPr>
              <w:pStyle w:val="naisf"/>
              <w:spacing w:before="0" w:beforeAutospacing="0" w:after="0" w:afterAutospacing="0"/>
              <w:rPr>
                <w:i/>
                <w:spacing w:val="-4"/>
              </w:rPr>
            </w:pPr>
            <w:r w:rsidRPr="00671A71">
              <w:rPr>
                <w:spacing w:val="-4"/>
              </w:rPr>
              <w:t>1. Budžeta ieņēmumi</w:t>
            </w:r>
          </w:p>
        </w:tc>
        <w:tc>
          <w:tcPr>
            <w:tcW w:w="1422" w:type="dxa"/>
            <w:shd w:val="clear" w:color="auto" w:fill="auto"/>
          </w:tcPr>
          <w:p w:rsidR="000B75E2" w:rsidRPr="00671A71" w:rsidP="000B75E2" w14:paraId="2EE5F3D2" w14:textId="77777777">
            <w:pPr>
              <w:pStyle w:val="naisf"/>
              <w:spacing w:before="0" w:beforeAutospacing="0" w:after="0" w:afterAutospacing="0"/>
              <w:jc w:val="center"/>
              <w:rPr>
                <w:spacing w:val="-4"/>
              </w:rPr>
            </w:pPr>
            <w:r w:rsidRPr="00671A71">
              <w:rPr>
                <w:spacing w:val="-4"/>
              </w:rPr>
              <w:t>0</w:t>
            </w:r>
          </w:p>
        </w:tc>
        <w:tc>
          <w:tcPr>
            <w:tcW w:w="1677" w:type="dxa"/>
            <w:shd w:val="clear" w:color="auto" w:fill="auto"/>
          </w:tcPr>
          <w:p w:rsidR="000B75E2" w:rsidRPr="00671A71" w:rsidP="000B75E2" w14:paraId="46C79B3A" w14:textId="77777777">
            <w:pPr>
              <w:pStyle w:val="naisf"/>
              <w:spacing w:before="0" w:beforeAutospacing="0" w:after="0" w:afterAutospacing="0"/>
              <w:jc w:val="center"/>
              <w:rPr>
                <w:spacing w:val="-4"/>
              </w:rPr>
            </w:pPr>
            <w:r w:rsidRPr="00671A71">
              <w:rPr>
                <w:spacing w:val="-4"/>
              </w:rPr>
              <w:t>0</w:t>
            </w:r>
          </w:p>
        </w:tc>
        <w:tc>
          <w:tcPr>
            <w:tcW w:w="1276" w:type="dxa"/>
            <w:shd w:val="clear" w:color="auto" w:fill="auto"/>
          </w:tcPr>
          <w:p w:rsidR="000B75E2" w:rsidRPr="00671A71" w:rsidP="000B75E2" w14:paraId="729AD509" w14:textId="77777777">
            <w:pPr>
              <w:pStyle w:val="naisf"/>
              <w:spacing w:before="0" w:beforeAutospacing="0" w:after="0" w:afterAutospacing="0"/>
              <w:jc w:val="center"/>
              <w:rPr>
                <w:spacing w:val="-4"/>
              </w:rPr>
            </w:pPr>
            <w:r w:rsidRPr="00671A71">
              <w:rPr>
                <w:spacing w:val="-4"/>
              </w:rPr>
              <w:t>0</w:t>
            </w:r>
          </w:p>
        </w:tc>
        <w:tc>
          <w:tcPr>
            <w:tcW w:w="1284" w:type="dxa"/>
            <w:shd w:val="clear" w:color="auto" w:fill="auto"/>
          </w:tcPr>
          <w:p w:rsidR="000B75E2" w:rsidRPr="00671A71" w:rsidP="000B75E2" w14:paraId="38EBB9B9" w14:textId="77777777">
            <w:pPr>
              <w:pStyle w:val="naisf"/>
              <w:spacing w:before="0" w:beforeAutospacing="0" w:after="0" w:afterAutospacing="0"/>
              <w:jc w:val="center"/>
              <w:rPr>
                <w:spacing w:val="-4"/>
              </w:rPr>
            </w:pPr>
            <w:r w:rsidRPr="00671A71">
              <w:rPr>
                <w:spacing w:val="-4"/>
              </w:rPr>
              <w:t>0</w:t>
            </w:r>
          </w:p>
        </w:tc>
        <w:tc>
          <w:tcPr>
            <w:tcW w:w="1287" w:type="dxa"/>
            <w:shd w:val="clear" w:color="auto" w:fill="auto"/>
          </w:tcPr>
          <w:p w:rsidR="000B75E2" w:rsidRPr="00671A71" w:rsidP="000B75E2" w14:paraId="4640C6FF" w14:textId="77777777">
            <w:pPr>
              <w:pStyle w:val="naisf"/>
              <w:spacing w:before="0" w:beforeAutospacing="0" w:after="0" w:afterAutospacing="0"/>
              <w:jc w:val="center"/>
              <w:rPr>
                <w:spacing w:val="-4"/>
              </w:rPr>
            </w:pPr>
            <w:r w:rsidRPr="00671A71">
              <w:rPr>
                <w:spacing w:val="-4"/>
              </w:rPr>
              <w:t>0</w:t>
            </w:r>
          </w:p>
        </w:tc>
      </w:tr>
      <w:tr w14:paraId="70AA22F3" w14:textId="77777777" w:rsidTr="00E17F80">
        <w:tblPrEx>
          <w:tblW w:w="9610" w:type="dxa"/>
          <w:jc w:val="center"/>
          <w:tblLook w:val="01E0"/>
        </w:tblPrEx>
        <w:trPr>
          <w:trHeight w:val="20"/>
          <w:jc w:val="center"/>
        </w:trPr>
        <w:tc>
          <w:tcPr>
            <w:tcW w:w="2664" w:type="dxa"/>
            <w:shd w:val="clear" w:color="auto" w:fill="auto"/>
          </w:tcPr>
          <w:p w:rsidR="000B75E2" w:rsidRPr="00671A71" w:rsidP="000B75E2" w14:paraId="477CAFD4"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2. Budžeta izdevumi</w:t>
            </w:r>
          </w:p>
        </w:tc>
        <w:tc>
          <w:tcPr>
            <w:tcW w:w="1422" w:type="dxa"/>
            <w:shd w:val="clear" w:color="auto" w:fill="auto"/>
          </w:tcPr>
          <w:p w:rsidR="000B75E2" w:rsidRPr="00671A71" w:rsidP="000B75E2" w14:paraId="15722100" w14:textId="77777777">
            <w:pPr>
              <w:pStyle w:val="naisf"/>
              <w:spacing w:before="0" w:beforeAutospacing="0" w:after="0" w:afterAutospacing="0"/>
              <w:jc w:val="center"/>
              <w:rPr>
                <w:spacing w:val="-4"/>
              </w:rPr>
            </w:pPr>
            <w:r w:rsidRPr="00671A71">
              <w:rPr>
                <w:spacing w:val="-4"/>
              </w:rPr>
              <w:t>0</w:t>
            </w:r>
          </w:p>
        </w:tc>
        <w:tc>
          <w:tcPr>
            <w:tcW w:w="1677" w:type="dxa"/>
            <w:shd w:val="clear" w:color="auto" w:fill="auto"/>
          </w:tcPr>
          <w:p w:rsidR="000B75E2" w:rsidRPr="00671A71" w:rsidP="000B75E2" w14:paraId="5668AD54" w14:textId="77777777">
            <w:pPr>
              <w:pStyle w:val="naisf"/>
              <w:spacing w:before="0" w:beforeAutospacing="0" w:after="0" w:afterAutospacing="0"/>
              <w:jc w:val="center"/>
              <w:rPr>
                <w:spacing w:val="-4"/>
              </w:rPr>
            </w:pPr>
            <w:r w:rsidRPr="00671A71">
              <w:rPr>
                <w:spacing w:val="-4"/>
              </w:rPr>
              <w:t>0</w:t>
            </w:r>
          </w:p>
        </w:tc>
        <w:tc>
          <w:tcPr>
            <w:tcW w:w="1276" w:type="dxa"/>
            <w:shd w:val="clear" w:color="auto" w:fill="auto"/>
          </w:tcPr>
          <w:p w:rsidR="000B75E2" w:rsidRPr="00671A71" w:rsidP="000B75E2" w14:paraId="08CE4F6D" w14:textId="77777777">
            <w:pPr>
              <w:pStyle w:val="naisf"/>
              <w:spacing w:before="0" w:beforeAutospacing="0" w:after="0" w:afterAutospacing="0"/>
              <w:jc w:val="center"/>
              <w:rPr>
                <w:spacing w:val="-4"/>
              </w:rPr>
            </w:pPr>
            <w:r w:rsidRPr="00671A71">
              <w:rPr>
                <w:spacing w:val="-4"/>
              </w:rPr>
              <w:t>0</w:t>
            </w:r>
          </w:p>
        </w:tc>
        <w:tc>
          <w:tcPr>
            <w:tcW w:w="1284" w:type="dxa"/>
            <w:shd w:val="clear" w:color="auto" w:fill="auto"/>
          </w:tcPr>
          <w:p w:rsidR="000B75E2" w:rsidRPr="00671A71" w:rsidP="000B75E2" w14:paraId="6DC9CF41" w14:textId="77777777">
            <w:pPr>
              <w:pStyle w:val="naisf"/>
              <w:spacing w:before="0" w:beforeAutospacing="0" w:after="0" w:afterAutospacing="0"/>
              <w:jc w:val="center"/>
              <w:rPr>
                <w:spacing w:val="-4"/>
              </w:rPr>
            </w:pPr>
            <w:r w:rsidRPr="00671A71">
              <w:rPr>
                <w:spacing w:val="-4"/>
              </w:rPr>
              <w:t>0</w:t>
            </w:r>
          </w:p>
        </w:tc>
        <w:tc>
          <w:tcPr>
            <w:tcW w:w="1287" w:type="dxa"/>
            <w:shd w:val="clear" w:color="auto" w:fill="auto"/>
          </w:tcPr>
          <w:p w:rsidR="000B75E2" w:rsidRPr="00671A71" w:rsidP="000B75E2" w14:paraId="7220D577" w14:textId="77777777">
            <w:pPr>
              <w:pStyle w:val="naisf"/>
              <w:spacing w:before="0" w:beforeAutospacing="0" w:after="0" w:afterAutospacing="0"/>
              <w:jc w:val="center"/>
              <w:rPr>
                <w:spacing w:val="-4"/>
              </w:rPr>
            </w:pPr>
            <w:r w:rsidRPr="00671A71">
              <w:rPr>
                <w:spacing w:val="-4"/>
              </w:rPr>
              <w:t>0</w:t>
            </w:r>
          </w:p>
        </w:tc>
      </w:tr>
      <w:tr w14:paraId="24C24891" w14:textId="77777777" w:rsidTr="00E17F80">
        <w:tblPrEx>
          <w:tblW w:w="9610" w:type="dxa"/>
          <w:jc w:val="center"/>
          <w:tblLook w:val="01E0"/>
        </w:tblPrEx>
        <w:trPr>
          <w:trHeight w:val="20"/>
          <w:jc w:val="center"/>
        </w:trPr>
        <w:tc>
          <w:tcPr>
            <w:tcW w:w="2664" w:type="dxa"/>
            <w:shd w:val="clear" w:color="auto" w:fill="auto"/>
          </w:tcPr>
          <w:p w:rsidR="000B75E2" w:rsidRPr="00671A71" w:rsidP="000B75E2" w14:paraId="4A0BB3B2"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3. Finansiālā ietekme</w:t>
            </w:r>
          </w:p>
        </w:tc>
        <w:tc>
          <w:tcPr>
            <w:tcW w:w="1422" w:type="dxa"/>
            <w:shd w:val="clear" w:color="auto" w:fill="auto"/>
          </w:tcPr>
          <w:p w:rsidR="000B75E2" w:rsidRPr="00671A71" w:rsidP="000B75E2" w14:paraId="3DF99166" w14:textId="77777777">
            <w:pPr>
              <w:pStyle w:val="naisf"/>
              <w:spacing w:before="0" w:beforeAutospacing="0" w:after="0" w:afterAutospacing="0"/>
              <w:jc w:val="center"/>
              <w:rPr>
                <w:spacing w:val="-4"/>
              </w:rPr>
            </w:pPr>
            <w:r w:rsidRPr="00671A71">
              <w:rPr>
                <w:spacing w:val="-4"/>
              </w:rPr>
              <w:t>0</w:t>
            </w:r>
          </w:p>
        </w:tc>
        <w:tc>
          <w:tcPr>
            <w:tcW w:w="1677" w:type="dxa"/>
            <w:shd w:val="clear" w:color="auto" w:fill="auto"/>
          </w:tcPr>
          <w:p w:rsidR="000B75E2" w:rsidRPr="00671A71" w:rsidP="000B75E2" w14:paraId="2A4BD8D0" w14:textId="77777777">
            <w:pPr>
              <w:pStyle w:val="naisf"/>
              <w:spacing w:before="0" w:beforeAutospacing="0" w:after="0" w:afterAutospacing="0"/>
              <w:jc w:val="center"/>
              <w:rPr>
                <w:spacing w:val="-4"/>
              </w:rPr>
            </w:pPr>
            <w:r w:rsidRPr="00671A71">
              <w:rPr>
                <w:spacing w:val="-4"/>
              </w:rPr>
              <w:t>0</w:t>
            </w:r>
          </w:p>
        </w:tc>
        <w:tc>
          <w:tcPr>
            <w:tcW w:w="1276" w:type="dxa"/>
            <w:shd w:val="clear" w:color="auto" w:fill="auto"/>
          </w:tcPr>
          <w:p w:rsidR="000B75E2" w:rsidRPr="00671A71" w:rsidP="000B75E2" w14:paraId="3AC96679" w14:textId="77777777">
            <w:pPr>
              <w:pStyle w:val="naisf"/>
              <w:spacing w:before="0" w:beforeAutospacing="0" w:after="0" w:afterAutospacing="0"/>
              <w:jc w:val="center"/>
              <w:rPr>
                <w:spacing w:val="-4"/>
              </w:rPr>
            </w:pPr>
            <w:r w:rsidRPr="00671A71">
              <w:rPr>
                <w:spacing w:val="-4"/>
              </w:rPr>
              <w:t>0</w:t>
            </w:r>
          </w:p>
        </w:tc>
        <w:tc>
          <w:tcPr>
            <w:tcW w:w="1284" w:type="dxa"/>
            <w:shd w:val="clear" w:color="auto" w:fill="auto"/>
          </w:tcPr>
          <w:p w:rsidR="000B75E2" w:rsidRPr="00671A71" w:rsidP="000B75E2" w14:paraId="5B6D11AA" w14:textId="77777777">
            <w:pPr>
              <w:pStyle w:val="naisf"/>
              <w:spacing w:before="0" w:beforeAutospacing="0" w:after="0" w:afterAutospacing="0"/>
              <w:jc w:val="center"/>
              <w:rPr>
                <w:spacing w:val="-4"/>
              </w:rPr>
            </w:pPr>
            <w:r w:rsidRPr="00671A71">
              <w:rPr>
                <w:spacing w:val="-4"/>
              </w:rPr>
              <w:t>0</w:t>
            </w:r>
          </w:p>
        </w:tc>
        <w:tc>
          <w:tcPr>
            <w:tcW w:w="1287" w:type="dxa"/>
            <w:shd w:val="clear" w:color="auto" w:fill="auto"/>
          </w:tcPr>
          <w:p w:rsidR="000B75E2" w:rsidRPr="00671A71" w:rsidP="000B75E2" w14:paraId="024B7B35" w14:textId="77777777">
            <w:pPr>
              <w:pStyle w:val="naisf"/>
              <w:spacing w:before="0" w:beforeAutospacing="0" w:after="0" w:afterAutospacing="0"/>
              <w:jc w:val="center"/>
              <w:rPr>
                <w:spacing w:val="-4"/>
              </w:rPr>
            </w:pPr>
            <w:r w:rsidRPr="00671A71">
              <w:rPr>
                <w:spacing w:val="-4"/>
              </w:rPr>
              <w:t>0</w:t>
            </w:r>
          </w:p>
        </w:tc>
      </w:tr>
      <w:tr w14:paraId="48BA577B" w14:textId="77777777" w:rsidTr="00E17F80">
        <w:tblPrEx>
          <w:tblW w:w="9610" w:type="dxa"/>
          <w:jc w:val="center"/>
          <w:tblLook w:val="01E0"/>
        </w:tblPrEx>
        <w:trPr>
          <w:trHeight w:val="20"/>
          <w:jc w:val="center"/>
        </w:trPr>
        <w:tc>
          <w:tcPr>
            <w:tcW w:w="2664" w:type="dxa"/>
            <w:shd w:val="clear" w:color="auto" w:fill="auto"/>
          </w:tcPr>
          <w:p w:rsidR="000B75E2" w:rsidRPr="00671A71" w:rsidP="000B75E2" w14:paraId="4C66B1E0"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4. Finanšu līdzekļi papildu izdevumu finansēšanai (kompensējošu izdevumu samazinājumu norāda ar "+" zīmi)</w:t>
            </w:r>
          </w:p>
        </w:tc>
        <w:tc>
          <w:tcPr>
            <w:tcW w:w="1422" w:type="dxa"/>
            <w:shd w:val="clear" w:color="auto" w:fill="auto"/>
          </w:tcPr>
          <w:p w:rsidR="000B75E2" w:rsidRPr="00671A71" w:rsidP="000B75E2" w14:paraId="1AC2CEFF" w14:textId="77777777">
            <w:pPr>
              <w:pStyle w:val="naisf"/>
              <w:spacing w:before="0" w:beforeAutospacing="0" w:after="0" w:afterAutospacing="0"/>
              <w:jc w:val="center"/>
              <w:rPr>
                <w:spacing w:val="-4"/>
              </w:rPr>
            </w:pPr>
            <w:r w:rsidRPr="00671A71">
              <w:rPr>
                <w:spacing w:val="-4"/>
              </w:rPr>
              <w:t>0</w:t>
            </w:r>
          </w:p>
        </w:tc>
        <w:tc>
          <w:tcPr>
            <w:tcW w:w="1677" w:type="dxa"/>
            <w:shd w:val="clear" w:color="auto" w:fill="auto"/>
          </w:tcPr>
          <w:p w:rsidR="000B75E2" w:rsidRPr="00671A71" w:rsidP="000B75E2" w14:paraId="3E8BC056" w14:textId="77777777">
            <w:pPr>
              <w:pStyle w:val="naisf"/>
              <w:spacing w:before="0" w:beforeAutospacing="0" w:after="0" w:afterAutospacing="0"/>
              <w:jc w:val="center"/>
              <w:rPr>
                <w:spacing w:val="-4"/>
              </w:rPr>
            </w:pPr>
            <w:r w:rsidRPr="00671A71">
              <w:rPr>
                <w:spacing w:val="-4"/>
              </w:rPr>
              <w:t>0</w:t>
            </w:r>
          </w:p>
        </w:tc>
        <w:tc>
          <w:tcPr>
            <w:tcW w:w="1276" w:type="dxa"/>
            <w:shd w:val="clear" w:color="auto" w:fill="auto"/>
          </w:tcPr>
          <w:p w:rsidR="000B75E2" w:rsidRPr="00671A71" w:rsidP="000B75E2" w14:paraId="125E89D2" w14:textId="77777777">
            <w:pPr>
              <w:pStyle w:val="naisf"/>
              <w:spacing w:before="0" w:beforeAutospacing="0" w:after="0" w:afterAutospacing="0"/>
              <w:jc w:val="center"/>
              <w:rPr>
                <w:spacing w:val="-4"/>
              </w:rPr>
            </w:pPr>
            <w:r w:rsidRPr="00671A71">
              <w:rPr>
                <w:spacing w:val="-4"/>
              </w:rPr>
              <w:t>0</w:t>
            </w:r>
          </w:p>
        </w:tc>
        <w:tc>
          <w:tcPr>
            <w:tcW w:w="1284" w:type="dxa"/>
            <w:shd w:val="clear" w:color="auto" w:fill="auto"/>
          </w:tcPr>
          <w:p w:rsidR="000B75E2" w:rsidRPr="00671A71" w:rsidP="000B75E2" w14:paraId="4FDA0A51" w14:textId="77777777">
            <w:pPr>
              <w:pStyle w:val="naisf"/>
              <w:spacing w:before="0" w:beforeAutospacing="0" w:after="0" w:afterAutospacing="0"/>
              <w:jc w:val="center"/>
              <w:rPr>
                <w:spacing w:val="-4"/>
              </w:rPr>
            </w:pPr>
            <w:r w:rsidRPr="00671A71">
              <w:rPr>
                <w:spacing w:val="-4"/>
              </w:rPr>
              <w:t>0</w:t>
            </w:r>
          </w:p>
        </w:tc>
        <w:tc>
          <w:tcPr>
            <w:tcW w:w="1287" w:type="dxa"/>
            <w:shd w:val="clear" w:color="auto" w:fill="auto"/>
          </w:tcPr>
          <w:p w:rsidR="000B75E2" w:rsidRPr="00671A71" w:rsidP="000B75E2" w14:paraId="7ACA94C6" w14:textId="77777777">
            <w:pPr>
              <w:pStyle w:val="naisf"/>
              <w:spacing w:before="0" w:beforeAutospacing="0" w:after="0" w:afterAutospacing="0"/>
              <w:jc w:val="center"/>
              <w:rPr>
                <w:spacing w:val="-4"/>
              </w:rPr>
            </w:pPr>
            <w:r w:rsidRPr="00671A71">
              <w:rPr>
                <w:spacing w:val="-4"/>
              </w:rPr>
              <w:t>0</w:t>
            </w:r>
          </w:p>
        </w:tc>
      </w:tr>
      <w:tr w14:paraId="5BDA22F4" w14:textId="77777777" w:rsidTr="00E17F80">
        <w:tblPrEx>
          <w:tblW w:w="9610" w:type="dxa"/>
          <w:jc w:val="center"/>
          <w:tblLook w:val="01E0"/>
        </w:tblPrEx>
        <w:trPr>
          <w:trHeight w:val="20"/>
          <w:jc w:val="center"/>
        </w:trPr>
        <w:tc>
          <w:tcPr>
            <w:tcW w:w="2664" w:type="dxa"/>
            <w:shd w:val="clear" w:color="auto" w:fill="auto"/>
          </w:tcPr>
          <w:p w:rsidR="000B75E2" w:rsidRPr="00671A71" w:rsidP="000B75E2" w14:paraId="2FBAE4B9"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5. Precizēta finansiālā ietekme</w:t>
            </w:r>
          </w:p>
        </w:tc>
        <w:tc>
          <w:tcPr>
            <w:tcW w:w="1422" w:type="dxa"/>
            <w:shd w:val="clear" w:color="auto" w:fill="auto"/>
          </w:tcPr>
          <w:p w:rsidR="000B75E2" w:rsidRPr="00671A71" w:rsidP="000B75E2" w14:paraId="2FE55B49" w14:textId="77777777">
            <w:pPr>
              <w:pStyle w:val="naisf"/>
              <w:spacing w:before="0" w:beforeAutospacing="0" w:after="0" w:afterAutospacing="0"/>
              <w:jc w:val="center"/>
              <w:rPr>
                <w:spacing w:val="-4"/>
              </w:rPr>
            </w:pPr>
            <w:r w:rsidRPr="00671A71">
              <w:rPr>
                <w:spacing w:val="-4"/>
              </w:rPr>
              <w:t>0</w:t>
            </w:r>
          </w:p>
        </w:tc>
        <w:tc>
          <w:tcPr>
            <w:tcW w:w="1677" w:type="dxa"/>
            <w:shd w:val="clear" w:color="auto" w:fill="auto"/>
          </w:tcPr>
          <w:p w:rsidR="000B75E2" w:rsidRPr="00671A71" w:rsidP="000B75E2" w14:paraId="0CEBBD57" w14:textId="77777777">
            <w:pPr>
              <w:pStyle w:val="naisf"/>
              <w:spacing w:before="0" w:beforeAutospacing="0" w:after="0" w:afterAutospacing="0"/>
              <w:jc w:val="center"/>
              <w:rPr>
                <w:spacing w:val="-4"/>
              </w:rPr>
            </w:pPr>
            <w:r w:rsidRPr="00671A71">
              <w:rPr>
                <w:spacing w:val="-4"/>
              </w:rPr>
              <w:t>0</w:t>
            </w:r>
          </w:p>
        </w:tc>
        <w:tc>
          <w:tcPr>
            <w:tcW w:w="1276" w:type="dxa"/>
            <w:shd w:val="clear" w:color="auto" w:fill="auto"/>
          </w:tcPr>
          <w:p w:rsidR="000B75E2" w:rsidRPr="00671A71" w:rsidP="000B75E2" w14:paraId="4ACB6076" w14:textId="77777777">
            <w:pPr>
              <w:pStyle w:val="naisf"/>
              <w:spacing w:before="0" w:beforeAutospacing="0" w:after="0" w:afterAutospacing="0"/>
              <w:jc w:val="center"/>
              <w:rPr>
                <w:spacing w:val="-4"/>
              </w:rPr>
            </w:pPr>
            <w:r w:rsidRPr="00671A71">
              <w:rPr>
                <w:spacing w:val="-4"/>
              </w:rPr>
              <w:t>0</w:t>
            </w:r>
          </w:p>
        </w:tc>
        <w:tc>
          <w:tcPr>
            <w:tcW w:w="1284" w:type="dxa"/>
            <w:shd w:val="clear" w:color="auto" w:fill="auto"/>
          </w:tcPr>
          <w:p w:rsidR="000B75E2" w:rsidRPr="00671A71" w:rsidP="000B75E2" w14:paraId="77406EFF" w14:textId="77777777">
            <w:pPr>
              <w:pStyle w:val="naisf"/>
              <w:spacing w:before="0" w:beforeAutospacing="0" w:after="0" w:afterAutospacing="0"/>
              <w:jc w:val="center"/>
              <w:rPr>
                <w:spacing w:val="-4"/>
              </w:rPr>
            </w:pPr>
            <w:r w:rsidRPr="00671A71">
              <w:rPr>
                <w:spacing w:val="-4"/>
              </w:rPr>
              <w:t>0</w:t>
            </w:r>
          </w:p>
        </w:tc>
        <w:tc>
          <w:tcPr>
            <w:tcW w:w="1287" w:type="dxa"/>
            <w:shd w:val="clear" w:color="auto" w:fill="auto"/>
          </w:tcPr>
          <w:p w:rsidR="000B75E2" w:rsidRPr="00671A71" w:rsidP="000B75E2" w14:paraId="7DEF2E8F" w14:textId="77777777">
            <w:pPr>
              <w:pStyle w:val="naisf"/>
              <w:spacing w:before="0" w:beforeAutospacing="0" w:after="0" w:afterAutospacing="0"/>
              <w:jc w:val="center"/>
              <w:rPr>
                <w:spacing w:val="-4"/>
              </w:rPr>
            </w:pPr>
            <w:r w:rsidRPr="00671A71">
              <w:rPr>
                <w:spacing w:val="-4"/>
              </w:rPr>
              <w:t>0</w:t>
            </w:r>
          </w:p>
        </w:tc>
      </w:tr>
      <w:tr w14:paraId="6754CF02" w14:textId="77777777" w:rsidTr="00E17F80">
        <w:tblPrEx>
          <w:tblW w:w="9610" w:type="dxa"/>
          <w:jc w:val="center"/>
          <w:tblLook w:val="01E0"/>
        </w:tblPrEx>
        <w:trPr>
          <w:trHeight w:val="20"/>
          <w:jc w:val="center"/>
        </w:trPr>
        <w:tc>
          <w:tcPr>
            <w:tcW w:w="2664" w:type="dxa"/>
            <w:shd w:val="clear" w:color="auto" w:fill="auto"/>
          </w:tcPr>
          <w:p w:rsidR="004A3684" w:rsidRPr="00671A71" w:rsidP="00734441" w14:paraId="5A7BBFFC"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6.</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Detalizēts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ieņēmumu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un</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izdevumu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aprēķins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(ja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nepieciešams,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detalizētu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ieņēmumu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un</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izdevumu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aprēķinu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var</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pievienot</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anotācijas</w:t>
            </w:r>
            <w:r w:rsidRPr="00671A71" w:rsidR="00F01597">
              <w:rPr>
                <w:rFonts w:ascii="Times New Roman" w:hAnsi="Times New Roman"/>
                <w:spacing w:val="-4"/>
                <w:sz w:val="24"/>
                <w:szCs w:val="24"/>
              </w:rPr>
              <w:t xml:space="preserve"> </w:t>
            </w:r>
            <w:r w:rsidRPr="00671A71" w:rsidR="00522553">
              <w:rPr>
                <w:rFonts w:ascii="Times New Roman" w:hAnsi="Times New Roman"/>
                <w:spacing w:val="-4"/>
                <w:sz w:val="24"/>
                <w:szCs w:val="24"/>
              </w:rPr>
              <w:t>pielikumā)</w:t>
            </w:r>
          </w:p>
        </w:tc>
        <w:tc>
          <w:tcPr>
            <w:tcW w:w="6946" w:type="dxa"/>
            <w:gridSpan w:val="5"/>
            <w:vMerge w:val="restart"/>
            <w:shd w:val="clear" w:color="auto" w:fill="auto"/>
            <w:vAlign w:val="center"/>
          </w:tcPr>
          <w:p w:rsidR="00CA2521" w:rsidRPr="00671A71" w:rsidP="00734441" w14:paraId="5880FC1D" w14:textId="77777777">
            <w:pPr>
              <w:spacing w:after="0" w:line="240" w:lineRule="auto"/>
              <w:ind w:right="113"/>
              <w:rPr>
                <w:rFonts w:ascii="Times New Roman" w:eastAsia="Times New Roman" w:hAnsi="Times New Roman"/>
                <w:color w:val="FF0000"/>
                <w:sz w:val="24"/>
                <w:szCs w:val="24"/>
                <w:lang w:eastAsia="lv-LV"/>
              </w:rPr>
            </w:pPr>
            <w:r w:rsidRPr="00671A71">
              <w:rPr>
                <w:rFonts w:ascii="Times New Roman" w:eastAsia="Times New Roman" w:hAnsi="Times New Roman"/>
                <w:sz w:val="24"/>
                <w:szCs w:val="24"/>
                <w:lang w:eastAsia="lv-LV"/>
              </w:rPr>
              <w:t>Nav</w:t>
            </w:r>
          </w:p>
        </w:tc>
      </w:tr>
      <w:tr w14:paraId="54DD807D" w14:textId="77777777" w:rsidTr="00E17F80">
        <w:tblPrEx>
          <w:tblW w:w="9610" w:type="dxa"/>
          <w:jc w:val="center"/>
          <w:tblLook w:val="01E0"/>
        </w:tblPrEx>
        <w:trPr>
          <w:jc w:val="center"/>
        </w:trPr>
        <w:tc>
          <w:tcPr>
            <w:tcW w:w="2664" w:type="dxa"/>
            <w:shd w:val="clear" w:color="auto" w:fill="auto"/>
          </w:tcPr>
          <w:p w:rsidR="004A3684" w:rsidRPr="00671A71" w:rsidP="00734441" w14:paraId="3B965DD6"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6.1.</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detalizēts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ieņēmumu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aprēķins</w:t>
            </w:r>
          </w:p>
        </w:tc>
        <w:tc>
          <w:tcPr>
            <w:tcW w:w="6946" w:type="dxa"/>
            <w:gridSpan w:val="5"/>
            <w:vMerge/>
            <w:shd w:val="clear" w:color="auto" w:fill="auto"/>
          </w:tcPr>
          <w:p w:rsidR="004A3684" w:rsidRPr="00671A71" w:rsidP="00734441" w14:paraId="129AB9FB" w14:textId="77777777">
            <w:pPr>
              <w:pStyle w:val="naisf"/>
              <w:spacing w:before="0" w:beforeAutospacing="0" w:after="0" w:afterAutospacing="0"/>
              <w:ind w:left="57" w:right="113"/>
              <w:rPr>
                <w:b/>
                <w:i/>
              </w:rPr>
            </w:pPr>
          </w:p>
        </w:tc>
      </w:tr>
      <w:tr w14:paraId="41A641E9" w14:textId="77777777" w:rsidTr="00E17F80">
        <w:tblPrEx>
          <w:tblW w:w="9610" w:type="dxa"/>
          <w:jc w:val="center"/>
          <w:tblLook w:val="01E0"/>
        </w:tblPrEx>
        <w:trPr>
          <w:jc w:val="center"/>
        </w:trPr>
        <w:tc>
          <w:tcPr>
            <w:tcW w:w="2664" w:type="dxa"/>
            <w:shd w:val="clear" w:color="auto" w:fill="auto"/>
          </w:tcPr>
          <w:p w:rsidR="004A3684" w:rsidRPr="00671A71" w:rsidP="00734441" w14:paraId="50971EFD"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6.2.</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detalizēts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izdevumu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aprēķins</w:t>
            </w:r>
          </w:p>
        </w:tc>
        <w:tc>
          <w:tcPr>
            <w:tcW w:w="6946" w:type="dxa"/>
            <w:gridSpan w:val="5"/>
            <w:vMerge/>
            <w:shd w:val="clear" w:color="auto" w:fill="auto"/>
          </w:tcPr>
          <w:p w:rsidR="004A3684" w:rsidRPr="00671A71" w:rsidP="00734441" w14:paraId="508CB91C" w14:textId="77777777">
            <w:pPr>
              <w:pStyle w:val="naisf"/>
              <w:spacing w:before="0" w:beforeAutospacing="0" w:after="0" w:afterAutospacing="0"/>
              <w:ind w:left="57" w:right="113"/>
              <w:rPr>
                <w:b/>
                <w:i/>
              </w:rPr>
            </w:pPr>
          </w:p>
        </w:tc>
      </w:tr>
      <w:tr w14:paraId="0BDF8ABC" w14:textId="77777777" w:rsidTr="006B1987">
        <w:tblPrEx>
          <w:tblW w:w="9610" w:type="dxa"/>
          <w:jc w:val="center"/>
          <w:tblLook w:val="01E0"/>
        </w:tblPrEx>
        <w:trPr>
          <w:trHeight w:val="556"/>
          <w:jc w:val="center"/>
        </w:trPr>
        <w:tc>
          <w:tcPr>
            <w:tcW w:w="2664" w:type="dxa"/>
            <w:shd w:val="clear" w:color="auto" w:fill="auto"/>
          </w:tcPr>
          <w:p w:rsidR="004A3684" w:rsidRPr="00671A71" w:rsidP="00734441" w14:paraId="223B6036" w14:textId="77777777">
            <w:pPr>
              <w:spacing w:after="0" w:line="240" w:lineRule="auto"/>
              <w:rPr>
                <w:rFonts w:ascii="Times New Roman" w:hAnsi="Times New Roman"/>
                <w:sz w:val="24"/>
                <w:szCs w:val="24"/>
              </w:rPr>
            </w:pPr>
            <w:r w:rsidRPr="00671A71">
              <w:rPr>
                <w:rFonts w:ascii="Times New Roman" w:hAnsi="Times New Roman"/>
                <w:sz w:val="24"/>
                <w:szCs w:val="24"/>
              </w:rPr>
              <w:t>7.</w:t>
            </w:r>
            <w:r w:rsidRPr="00671A71" w:rsidR="00F01597">
              <w:rPr>
                <w:rFonts w:ascii="Times New Roman" w:hAnsi="Times New Roman"/>
                <w:sz w:val="24"/>
                <w:szCs w:val="24"/>
              </w:rPr>
              <w:t xml:space="preserve"> </w:t>
            </w:r>
            <w:r w:rsidRPr="00671A71">
              <w:rPr>
                <w:rFonts w:ascii="Times New Roman" w:hAnsi="Times New Roman"/>
                <w:sz w:val="24"/>
                <w:szCs w:val="24"/>
              </w:rPr>
              <w:t>Cita</w:t>
            </w:r>
            <w:r w:rsidRPr="00671A71" w:rsidR="00F01597">
              <w:rPr>
                <w:rFonts w:ascii="Times New Roman" w:hAnsi="Times New Roman"/>
                <w:sz w:val="24"/>
                <w:szCs w:val="24"/>
              </w:rPr>
              <w:t xml:space="preserve"> </w:t>
            </w:r>
            <w:r w:rsidRPr="00671A71">
              <w:rPr>
                <w:rFonts w:ascii="Times New Roman" w:hAnsi="Times New Roman"/>
                <w:sz w:val="24"/>
                <w:szCs w:val="24"/>
              </w:rPr>
              <w:t>informācija</w:t>
            </w:r>
          </w:p>
        </w:tc>
        <w:tc>
          <w:tcPr>
            <w:tcW w:w="6946" w:type="dxa"/>
            <w:gridSpan w:val="5"/>
            <w:shd w:val="clear" w:color="auto" w:fill="auto"/>
          </w:tcPr>
          <w:p w:rsidR="004333E4" w:rsidRPr="005103A4" w:rsidP="0054080A" w14:paraId="5AE6C5EA" w14:textId="4BD7A251">
            <w:pPr>
              <w:pStyle w:val="naisf"/>
              <w:tabs>
                <w:tab w:val="left" w:pos="4644"/>
              </w:tabs>
              <w:spacing w:before="0" w:beforeAutospacing="0" w:after="0" w:afterAutospacing="0"/>
              <w:ind w:right="57"/>
              <w:jc w:val="both"/>
            </w:pPr>
            <w:r w:rsidRPr="005103A4">
              <w:t>Projektā ietvertajam tiesiskajam regulējumam būs ietekme uz valsts budžetu indikatīvi no 2021.-2047. gadam, kā arī būs ietekme uz pašvaldību budžetu</w:t>
            </w:r>
            <w:r w:rsidRPr="005103A4" w:rsidR="005C3025">
              <w:t xml:space="preserve"> sais</w:t>
            </w:r>
            <w:r w:rsidRPr="005103A4" w:rsidR="00DF26E1">
              <w:t>tībā ar MK noteikuma projekta 12</w:t>
            </w:r>
            <w:r w:rsidRPr="005103A4" w:rsidR="005C3025">
              <w:t>.</w:t>
            </w:r>
            <w:r w:rsidRPr="005103A4" w:rsidR="00DF26E1">
              <w:t>, 14</w:t>
            </w:r>
            <w:r w:rsidRPr="005103A4" w:rsidR="00D77D1B">
              <w:t>.</w:t>
            </w:r>
            <w:r w:rsidRPr="005103A4" w:rsidR="005C3025">
              <w:t xml:space="preserve"> un </w:t>
            </w:r>
            <w:r w:rsidRPr="005103A4" w:rsidR="00DF26E1">
              <w:t>20</w:t>
            </w:r>
            <w:r w:rsidRPr="005103A4" w:rsidR="005C3025">
              <w:t>. punktu</w:t>
            </w:r>
            <w:r w:rsidRPr="005103A4">
              <w:t xml:space="preserve">. </w:t>
            </w:r>
            <w:r w:rsidRPr="005103A4" w:rsidR="00CF0EF6">
              <w:t>Tomēr ņ</w:t>
            </w:r>
            <w:r w:rsidRPr="005103A4">
              <w:t xml:space="preserve">emot vērā, ka SAM 5.6.2. </w:t>
            </w:r>
            <w:r w:rsidRPr="005103A4" w:rsidR="00CF0EF6">
              <w:t>1.</w:t>
            </w:r>
            <w:r w:rsidRPr="005103A4" w:rsidR="006B1987">
              <w:t> </w:t>
            </w:r>
            <w:r w:rsidRPr="005103A4" w:rsidR="00CF0EF6">
              <w:t xml:space="preserve">kārtas atlases termiņš ir līdz 01.12.2017. un SAM 5.6.2. 2. un 3. kārtas atlases termiņš ir līdz 25.09.2017., šobrīd nevar precīzi prognozēt projektā paredzēto </w:t>
            </w:r>
            <w:r w:rsidRPr="005103A4" w:rsidR="00CF0EF6">
              <w:t>pasākumu plānoto fiskālo ietekmi.</w:t>
            </w:r>
            <w:r w:rsidRPr="005103A4" w:rsidR="00A36722">
              <w:t xml:space="preserve"> Indikatīvo izmaksu aprēķinu skatīt anotācijas II sadaļas </w:t>
            </w:r>
            <w:r w:rsidRPr="005103A4" w:rsidR="0054080A">
              <w:t>"</w:t>
            </w:r>
            <w:r w:rsidRPr="005103A4" w:rsidR="00A36722">
              <w:t>Tiesību akta projekta ietekme uz sabiedrību, tautsaimniecības</w:t>
            </w:r>
            <w:r w:rsidRPr="005103A4" w:rsidR="0054080A">
              <w:t xml:space="preserve"> attīstību un </w:t>
            </w:r>
            <w:r w:rsidRPr="005103A4" w:rsidR="00A36722">
              <w:t>administratīvo slogu</w:t>
            </w:r>
            <w:r w:rsidRPr="005103A4" w:rsidR="0054080A">
              <w:t xml:space="preserve">" </w:t>
            </w:r>
            <w:r w:rsidRPr="005103A4" w:rsidR="00A36722">
              <w:t>3.</w:t>
            </w:r>
            <w:r w:rsidRPr="005103A4" w:rsidR="006B1987">
              <w:t> </w:t>
            </w:r>
            <w:r w:rsidRPr="005103A4" w:rsidR="00A36722">
              <w:t>punktā</w:t>
            </w:r>
            <w:r w:rsidRPr="005103A4" w:rsidR="0054080A">
              <w:t xml:space="preserve"> "Administratīvo izmaksu monetārs novērtējums".</w:t>
            </w:r>
          </w:p>
          <w:p w:rsidR="007909E1" w:rsidRPr="005103A4" w:rsidP="0054080A" w14:paraId="62439B17" w14:textId="77777777">
            <w:pPr>
              <w:pStyle w:val="naisf"/>
              <w:tabs>
                <w:tab w:val="left" w:pos="4644"/>
              </w:tabs>
              <w:spacing w:before="0" w:beforeAutospacing="0" w:after="0" w:afterAutospacing="0"/>
              <w:ind w:right="57"/>
              <w:jc w:val="both"/>
            </w:pPr>
          </w:p>
          <w:p w:rsidR="007909E1" w:rsidRPr="005103A4" w:rsidP="00E6169B" w14:paraId="56A1AF93" w14:textId="77777777">
            <w:pPr>
              <w:pStyle w:val="Default"/>
              <w:jc w:val="both"/>
              <w:rPr>
                <w:color w:val="auto"/>
              </w:rPr>
            </w:pPr>
            <w:r w:rsidRPr="005103A4">
              <w:rPr>
                <w:color w:val="auto"/>
              </w:rPr>
              <w:t xml:space="preserve">Ja MK noteikumu </w:t>
            </w:r>
            <w:r w:rsidRPr="005103A4" w:rsidR="00B93E9D">
              <w:rPr>
                <w:color w:val="auto"/>
              </w:rPr>
              <w:t xml:space="preserve">Nr. 645 </w:t>
            </w:r>
            <w:r w:rsidRPr="005103A4" w:rsidR="00E6169B">
              <w:rPr>
                <w:color w:val="auto"/>
              </w:rPr>
              <w:t>72</w:t>
            </w:r>
            <w:r w:rsidRPr="005103A4">
              <w:rPr>
                <w:color w:val="auto"/>
              </w:rPr>
              <w:t>.</w:t>
            </w:r>
            <w:r w:rsidRPr="005103A4" w:rsidR="00B93E9D">
              <w:rPr>
                <w:color w:val="auto"/>
              </w:rPr>
              <w:t> </w:t>
            </w:r>
            <w:r w:rsidRPr="005103A4">
              <w:rPr>
                <w:color w:val="auto"/>
              </w:rPr>
              <w:t xml:space="preserve">punktā minētās </w:t>
            </w:r>
            <w:r w:rsidRPr="005103A4" w:rsidR="00E6169B">
              <w:rPr>
                <w:color w:val="auto"/>
              </w:rPr>
              <w:t xml:space="preserve">CFLA </w:t>
            </w:r>
            <w:r w:rsidRPr="005103A4">
              <w:rPr>
                <w:color w:val="auto"/>
              </w:rPr>
              <w:t>funkcijas īstenošana pārsniedz ES fondu 2014.–2020.gada plānošanas perioda Tehniskās palīdzības projektu īstenošanas laiku, jautājums par nepieciešamo valsts budžeta finansējumu funkcijas īstenošanai ir skatāms kārtējā valsts budžeta sagatavošanas procesā, ievērojot valst</w:t>
            </w:r>
            <w:r w:rsidRPr="005103A4" w:rsidR="00B93E9D">
              <w:rPr>
                <w:color w:val="auto"/>
              </w:rPr>
              <w:t>s budžeta finansiālās iespējas.</w:t>
            </w:r>
          </w:p>
          <w:p w:rsidR="00D30527" w:rsidRPr="005103A4" w:rsidP="00E6169B" w14:paraId="13D97BAA" w14:textId="77777777">
            <w:pPr>
              <w:pStyle w:val="Default"/>
              <w:jc w:val="both"/>
              <w:rPr>
                <w:color w:val="auto"/>
              </w:rPr>
            </w:pPr>
          </w:p>
          <w:p w:rsidR="00D30527" w:rsidRPr="005103A4" w:rsidP="00DC2B39" w14:paraId="1969D365" w14:textId="77777777">
            <w:pPr>
              <w:pStyle w:val="Default"/>
              <w:jc w:val="both"/>
            </w:pPr>
            <w:r w:rsidRPr="005103A4">
              <w:t xml:space="preserve">Neskatoties uz to, ka </w:t>
            </w:r>
            <w:r w:rsidRPr="005103A4" w:rsidR="00DC2B39">
              <w:t xml:space="preserve">MK </w:t>
            </w:r>
            <w:r w:rsidRPr="005103A4">
              <w:t>noteikumu projekts paredz paplašināt atbalsta saņēmēju loku ar pašvaldību aģentūrām vai pašvaldību iestādēm, kas sniedz sabiedriskos pakalpojumus</w:t>
            </w:r>
            <w:r w:rsidRPr="005103A4" w:rsidR="00DC2B39">
              <w:t xml:space="preserve">, </w:t>
            </w:r>
            <w:r w:rsidRPr="005103A4" w:rsidR="00C000A3">
              <w:t xml:space="preserve">skaidrojam, ka </w:t>
            </w:r>
            <w:r w:rsidRPr="005103A4" w:rsidR="00DC2B39">
              <w:t>MK noteikumu projekts</w:t>
            </w:r>
            <w:r w:rsidRPr="005103A4" w:rsidR="003266F7">
              <w:t xml:space="preserve"> nerada ietekmi uz valsts budžeta dotācijas apmēru un pašvaldību budžetu, jo SAM 5.6.2. tiek īstenots ierobežotas projektu iesniegumu atlases veidā un projektu iesniedzējiem pieejamais </w:t>
            </w:r>
            <w:r w:rsidRPr="005103A4" w:rsidR="004B60B4">
              <w:t>Eiropas Reģionālās attīstības fonda</w:t>
            </w:r>
            <w:r w:rsidRPr="005103A4" w:rsidR="003266F7">
              <w:t xml:space="preserve"> finansējuma un sasniedzamo rādītāju sadalījums ir noteikts ar attiecīgu</w:t>
            </w:r>
            <w:r w:rsidRPr="005103A4" w:rsidR="00060D2E">
              <w:t xml:space="preserve"> MK rīkojumu vai Reģionālās attīstības koordinācijas padomes</w:t>
            </w:r>
            <w:r w:rsidRPr="005103A4" w:rsidR="003266F7">
              <w:t xml:space="preserve"> lēmumu. Ņemot vērā iepriekš minēto, pašvaldībām tiek dota iespēja pārskatīt plānotās atbalstāmās darbības jau iepriekš noteiktā finansējuma (un tam plānotā līdzfinansējuma, kas ietver arī valsts budžeta dotāciju) ietvaros, lai kompleksi risinātu komersantiem nepieciešamās publiskās infrastruktūras attīstības jautājumus.  Paredzam, ka valsts budžeta dotācijas apmērs saglabāsies nemainīgs gan projektā, kurā pašvaldība veic investīcijas publiskajā infrastruktūrā, gan projektā, kurā pašvaldība veic ieguldījums arī sabiedrisko pakalpojumu infrastruktūrā.</w:t>
            </w:r>
          </w:p>
        </w:tc>
      </w:tr>
    </w:tbl>
    <w:p w:rsidR="00445A9C" w:rsidRPr="00671A71" w:rsidP="00734441" w14:paraId="19D9F4E3" w14:textId="77777777">
      <w:pPr>
        <w:spacing w:after="0" w:line="240" w:lineRule="auto"/>
        <w:rPr>
          <w:rFonts w:ascii="Times New Roman" w:hAnsi="Times New Roman"/>
          <w:sz w:val="24"/>
          <w:szCs w:val="2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
        <w:gridCol w:w="2255"/>
        <w:gridCol w:w="6955"/>
      </w:tblGrid>
      <w:tr w14:paraId="2EB9FA24" w14:textId="77777777" w:rsidTr="00DC2BA7">
        <w:tblPrEx>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1"/>
          <w:jc w:val="center"/>
        </w:trPr>
        <w:tc>
          <w:tcPr>
            <w:tcW w:w="9659" w:type="dxa"/>
            <w:gridSpan w:val="3"/>
            <w:vAlign w:val="center"/>
          </w:tcPr>
          <w:p w:rsidR="00CC1A56" w:rsidRPr="00671A71" w:rsidP="00734441" w14:paraId="599470D8" w14:textId="77777777">
            <w:pPr>
              <w:pStyle w:val="naisnod"/>
              <w:spacing w:before="0" w:beforeAutospacing="0" w:after="0" w:afterAutospacing="0"/>
              <w:jc w:val="center"/>
              <w:rPr>
                <w:b/>
              </w:rPr>
            </w:pPr>
            <w:r w:rsidRPr="00671A71">
              <w:br w:type="page"/>
            </w:r>
            <w:r w:rsidRPr="00671A71">
              <w:rPr>
                <w:b/>
              </w:rPr>
              <w:t>IV.</w:t>
            </w:r>
            <w:r w:rsidRPr="00671A71" w:rsidR="00F01597">
              <w:rPr>
                <w:b/>
              </w:rPr>
              <w:t xml:space="preserve"> </w:t>
            </w:r>
            <w:r w:rsidRPr="00671A71">
              <w:rPr>
                <w:b/>
              </w:rPr>
              <w:t>Tiesību</w:t>
            </w:r>
            <w:r w:rsidRPr="00671A71" w:rsidR="00F01597">
              <w:rPr>
                <w:b/>
              </w:rPr>
              <w:t xml:space="preserve"> </w:t>
            </w:r>
            <w:r w:rsidRPr="00671A71">
              <w:rPr>
                <w:b/>
              </w:rPr>
              <w:t>akta</w:t>
            </w:r>
            <w:r w:rsidRPr="00671A71" w:rsidR="00F01597">
              <w:rPr>
                <w:b/>
              </w:rPr>
              <w:t xml:space="preserve"> </w:t>
            </w:r>
            <w:r w:rsidRPr="00671A71">
              <w:rPr>
                <w:b/>
              </w:rPr>
              <w:t>projekta</w:t>
            </w:r>
            <w:r w:rsidRPr="00671A71" w:rsidR="00F01597">
              <w:rPr>
                <w:b/>
              </w:rPr>
              <w:t xml:space="preserve"> </w:t>
            </w:r>
            <w:r w:rsidRPr="00671A71">
              <w:rPr>
                <w:b/>
              </w:rPr>
              <w:t>ietekme</w:t>
            </w:r>
            <w:r w:rsidRPr="00671A71" w:rsidR="00F01597">
              <w:rPr>
                <w:b/>
              </w:rPr>
              <w:t xml:space="preserve"> </w:t>
            </w:r>
            <w:r w:rsidRPr="00671A71">
              <w:rPr>
                <w:b/>
              </w:rPr>
              <w:t>uz</w:t>
            </w:r>
            <w:r w:rsidRPr="00671A71" w:rsidR="00F01597">
              <w:rPr>
                <w:b/>
              </w:rPr>
              <w:t xml:space="preserve"> </w:t>
            </w:r>
            <w:r w:rsidRPr="00671A71">
              <w:rPr>
                <w:b/>
              </w:rPr>
              <w:t>spēkā</w:t>
            </w:r>
            <w:r w:rsidRPr="00671A71" w:rsidR="00F01597">
              <w:rPr>
                <w:b/>
              </w:rPr>
              <w:t xml:space="preserve"> </w:t>
            </w:r>
            <w:r w:rsidRPr="00671A71">
              <w:rPr>
                <w:b/>
              </w:rPr>
              <w:t>esošo</w:t>
            </w:r>
            <w:r w:rsidRPr="00671A71" w:rsidR="00F01597">
              <w:rPr>
                <w:b/>
              </w:rPr>
              <w:t xml:space="preserve"> </w:t>
            </w:r>
            <w:r w:rsidRPr="00671A71">
              <w:rPr>
                <w:b/>
              </w:rPr>
              <w:t>tiesību</w:t>
            </w:r>
            <w:r w:rsidRPr="00671A71" w:rsidR="00F01597">
              <w:rPr>
                <w:b/>
              </w:rPr>
              <w:t xml:space="preserve"> </w:t>
            </w:r>
            <w:r w:rsidRPr="00671A71">
              <w:rPr>
                <w:b/>
              </w:rPr>
              <w:t>normu</w:t>
            </w:r>
            <w:r w:rsidRPr="00671A71" w:rsidR="00F01597">
              <w:rPr>
                <w:b/>
              </w:rPr>
              <w:t xml:space="preserve"> </w:t>
            </w:r>
            <w:r w:rsidRPr="00671A71">
              <w:rPr>
                <w:b/>
              </w:rPr>
              <w:t>sistēmu</w:t>
            </w:r>
          </w:p>
        </w:tc>
      </w:tr>
      <w:tr w14:paraId="557AFA04" w14:textId="77777777" w:rsidTr="00E17F80">
        <w:tblPrEx>
          <w:tblW w:w="9659" w:type="dxa"/>
          <w:jc w:val="center"/>
          <w:tblLook w:val="01E0"/>
        </w:tblPrEx>
        <w:trPr>
          <w:jc w:val="center"/>
        </w:trPr>
        <w:tc>
          <w:tcPr>
            <w:tcW w:w="449" w:type="dxa"/>
            <w:shd w:val="clear" w:color="auto" w:fill="auto"/>
          </w:tcPr>
          <w:p w:rsidR="00CC1A56" w:rsidRPr="00671A71" w:rsidP="00734441" w14:paraId="2FBE1198" w14:textId="77777777">
            <w:pPr>
              <w:pStyle w:val="naiskr"/>
              <w:tabs>
                <w:tab w:val="left" w:pos="2628"/>
              </w:tabs>
              <w:spacing w:before="0" w:beforeAutospacing="0" w:after="0" w:afterAutospacing="0"/>
              <w:jc w:val="both"/>
              <w:rPr>
                <w:iCs/>
              </w:rPr>
            </w:pPr>
            <w:r w:rsidRPr="00671A71">
              <w:rPr>
                <w:iCs/>
              </w:rPr>
              <w:t>1.</w:t>
            </w:r>
          </w:p>
        </w:tc>
        <w:tc>
          <w:tcPr>
            <w:tcW w:w="2255" w:type="dxa"/>
            <w:shd w:val="clear" w:color="auto" w:fill="auto"/>
          </w:tcPr>
          <w:p w:rsidR="00CC1A56" w:rsidRPr="00671A71" w:rsidP="00734441" w14:paraId="29B5B7E1" w14:textId="77777777">
            <w:pPr>
              <w:pStyle w:val="naiskr"/>
              <w:tabs>
                <w:tab w:val="left" w:pos="2628"/>
              </w:tabs>
              <w:spacing w:before="0" w:beforeAutospacing="0" w:after="0" w:afterAutospacing="0"/>
              <w:rPr>
                <w:iCs/>
              </w:rPr>
            </w:pPr>
            <w:r w:rsidRPr="00671A71">
              <w:t>Nepieciešamie</w:t>
            </w:r>
            <w:r w:rsidRPr="00671A71" w:rsidR="00F01597">
              <w:t xml:space="preserve"> </w:t>
            </w:r>
            <w:r w:rsidRPr="00671A71">
              <w:t>saistītie</w:t>
            </w:r>
            <w:r w:rsidRPr="00671A71" w:rsidR="00F01597">
              <w:t xml:space="preserve"> </w:t>
            </w:r>
            <w:r w:rsidRPr="00671A71">
              <w:t>tiesību</w:t>
            </w:r>
            <w:r w:rsidRPr="00671A71" w:rsidR="00F01597">
              <w:t xml:space="preserve"> </w:t>
            </w:r>
            <w:r w:rsidRPr="00671A71">
              <w:t>aktu</w:t>
            </w:r>
            <w:r w:rsidRPr="00671A71" w:rsidR="00F01597">
              <w:t xml:space="preserve"> </w:t>
            </w:r>
            <w:r w:rsidRPr="00671A71">
              <w:t>projekti</w:t>
            </w:r>
          </w:p>
        </w:tc>
        <w:tc>
          <w:tcPr>
            <w:tcW w:w="6955" w:type="dxa"/>
            <w:shd w:val="clear" w:color="auto" w:fill="auto"/>
          </w:tcPr>
          <w:p w:rsidR="00CC1A56" w:rsidRPr="00671A71" w:rsidP="00734441" w14:paraId="3B5C0D67" w14:textId="77777777">
            <w:pPr>
              <w:spacing w:after="0" w:line="240" w:lineRule="auto"/>
              <w:jc w:val="both"/>
              <w:rPr>
                <w:rFonts w:ascii="Times New Roman" w:hAnsi="Times New Roman"/>
                <w:color w:val="000000"/>
                <w:sz w:val="24"/>
                <w:szCs w:val="24"/>
                <w:lang w:eastAsia="lv-LV"/>
              </w:rPr>
            </w:pPr>
            <w:r w:rsidRPr="00671A71">
              <w:rPr>
                <w:rFonts w:ascii="Times New Roman" w:hAnsi="Times New Roman"/>
                <w:sz w:val="24"/>
                <w:szCs w:val="24"/>
              </w:rPr>
              <w:t>P</w:t>
            </w:r>
            <w:r w:rsidRPr="00671A71" w:rsidR="005C3BBF">
              <w:rPr>
                <w:rFonts w:ascii="Times New Roman" w:hAnsi="Times New Roman"/>
                <w:sz w:val="24"/>
                <w:szCs w:val="24"/>
              </w:rPr>
              <w:t>rojekts</w:t>
            </w:r>
            <w:r w:rsidRPr="00671A71" w:rsidR="00F01597">
              <w:rPr>
                <w:rFonts w:ascii="Times New Roman" w:hAnsi="Times New Roman"/>
                <w:sz w:val="24"/>
                <w:szCs w:val="24"/>
              </w:rPr>
              <w:t xml:space="preserve"> </w:t>
            </w:r>
            <w:r w:rsidRPr="00671A71" w:rsidR="005C3BBF">
              <w:rPr>
                <w:rFonts w:ascii="Times New Roman" w:hAnsi="Times New Roman"/>
                <w:sz w:val="24"/>
                <w:szCs w:val="24"/>
              </w:rPr>
              <w:t>šo</w:t>
            </w:r>
            <w:r w:rsidRPr="00671A71" w:rsidR="00F01597">
              <w:rPr>
                <w:rFonts w:ascii="Times New Roman" w:hAnsi="Times New Roman"/>
                <w:sz w:val="24"/>
                <w:szCs w:val="24"/>
              </w:rPr>
              <w:t xml:space="preserve"> </w:t>
            </w:r>
            <w:r w:rsidRPr="00671A71" w:rsidR="005C3BBF">
              <w:rPr>
                <w:rFonts w:ascii="Times New Roman" w:hAnsi="Times New Roman"/>
                <w:sz w:val="24"/>
                <w:szCs w:val="24"/>
              </w:rPr>
              <w:t>jomu</w:t>
            </w:r>
            <w:r w:rsidRPr="00671A71" w:rsidR="00F01597">
              <w:rPr>
                <w:rFonts w:ascii="Times New Roman" w:hAnsi="Times New Roman"/>
                <w:sz w:val="24"/>
                <w:szCs w:val="24"/>
              </w:rPr>
              <w:t xml:space="preserve"> </w:t>
            </w:r>
            <w:r w:rsidRPr="00671A71" w:rsidR="004D4F86">
              <w:rPr>
                <w:rFonts w:ascii="Times New Roman" w:hAnsi="Times New Roman"/>
                <w:sz w:val="24"/>
                <w:szCs w:val="24"/>
              </w:rPr>
              <w:t>neskar</w:t>
            </w:r>
            <w:r w:rsidRPr="00671A71" w:rsidR="00141E85">
              <w:rPr>
                <w:rFonts w:ascii="Times New Roman" w:hAnsi="Times New Roman"/>
                <w:sz w:val="24"/>
                <w:szCs w:val="24"/>
              </w:rPr>
              <w:t>.</w:t>
            </w:r>
          </w:p>
        </w:tc>
      </w:tr>
      <w:tr w14:paraId="27CD29FE" w14:textId="77777777" w:rsidTr="00E17F80">
        <w:tblPrEx>
          <w:tblW w:w="9659" w:type="dxa"/>
          <w:jc w:val="center"/>
          <w:tblLook w:val="01E0"/>
        </w:tblPrEx>
        <w:trPr>
          <w:jc w:val="center"/>
        </w:trPr>
        <w:tc>
          <w:tcPr>
            <w:tcW w:w="449" w:type="dxa"/>
            <w:shd w:val="clear" w:color="auto" w:fill="auto"/>
          </w:tcPr>
          <w:p w:rsidR="00CC1A56" w:rsidRPr="00671A71" w:rsidP="00734441" w14:paraId="69D63DDF" w14:textId="77777777">
            <w:pPr>
              <w:pStyle w:val="naiskr"/>
              <w:tabs>
                <w:tab w:val="left" w:pos="2628"/>
              </w:tabs>
              <w:spacing w:before="0" w:beforeAutospacing="0" w:after="0" w:afterAutospacing="0"/>
              <w:jc w:val="both"/>
              <w:rPr>
                <w:iCs/>
              </w:rPr>
            </w:pPr>
            <w:r w:rsidRPr="00671A71">
              <w:rPr>
                <w:iCs/>
              </w:rPr>
              <w:t>2.</w:t>
            </w:r>
          </w:p>
        </w:tc>
        <w:tc>
          <w:tcPr>
            <w:tcW w:w="2255" w:type="dxa"/>
            <w:shd w:val="clear" w:color="auto" w:fill="auto"/>
          </w:tcPr>
          <w:p w:rsidR="00CC1A56" w:rsidRPr="00671A71" w:rsidP="00734441" w14:paraId="5B108CB8" w14:textId="77777777">
            <w:pPr>
              <w:pStyle w:val="naiskr"/>
              <w:tabs>
                <w:tab w:val="left" w:pos="2628"/>
              </w:tabs>
              <w:spacing w:before="0" w:beforeAutospacing="0" w:after="0" w:afterAutospacing="0"/>
              <w:jc w:val="both"/>
            </w:pPr>
            <w:r w:rsidRPr="00671A71">
              <w:t>Atbildīgā</w:t>
            </w:r>
            <w:r w:rsidRPr="00671A71" w:rsidR="00F01597">
              <w:t xml:space="preserve"> </w:t>
            </w:r>
            <w:r w:rsidRPr="00671A71">
              <w:t>institūcija</w:t>
            </w:r>
          </w:p>
        </w:tc>
        <w:tc>
          <w:tcPr>
            <w:tcW w:w="6955" w:type="dxa"/>
            <w:shd w:val="clear" w:color="auto" w:fill="auto"/>
          </w:tcPr>
          <w:p w:rsidR="00CC1A56" w:rsidRPr="00671A71" w:rsidP="00734441" w14:paraId="24F36096" w14:textId="77777777">
            <w:pPr>
              <w:spacing w:after="0" w:line="240" w:lineRule="auto"/>
              <w:jc w:val="both"/>
              <w:rPr>
                <w:rFonts w:ascii="Times New Roman" w:hAnsi="Times New Roman"/>
                <w:color w:val="000000"/>
                <w:sz w:val="24"/>
                <w:szCs w:val="24"/>
                <w:lang w:eastAsia="lv-LV"/>
              </w:rPr>
            </w:pPr>
            <w:r w:rsidRPr="00671A71">
              <w:rPr>
                <w:rFonts w:ascii="Times New Roman" w:hAnsi="Times New Roman"/>
                <w:sz w:val="24"/>
                <w:szCs w:val="24"/>
              </w:rPr>
              <w:t>Vides aizsardzības un reģionālās attīstības ministrija.</w:t>
            </w:r>
          </w:p>
        </w:tc>
      </w:tr>
      <w:tr w14:paraId="4956222C" w14:textId="77777777" w:rsidTr="00E17F80">
        <w:tblPrEx>
          <w:tblW w:w="9659" w:type="dxa"/>
          <w:jc w:val="center"/>
          <w:tblLook w:val="01E0"/>
        </w:tblPrEx>
        <w:trPr>
          <w:jc w:val="center"/>
        </w:trPr>
        <w:tc>
          <w:tcPr>
            <w:tcW w:w="449" w:type="dxa"/>
            <w:shd w:val="clear" w:color="auto" w:fill="auto"/>
          </w:tcPr>
          <w:p w:rsidR="00CC1A56" w:rsidRPr="00671A71" w:rsidP="00734441" w14:paraId="04D0C467" w14:textId="77777777">
            <w:pPr>
              <w:pStyle w:val="naiskr"/>
              <w:tabs>
                <w:tab w:val="left" w:pos="2628"/>
              </w:tabs>
              <w:spacing w:before="0" w:beforeAutospacing="0" w:after="0" w:afterAutospacing="0"/>
              <w:jc w:val="both"/>
              <w:rPr>
                <w:iCs/>
              </w:rPr>
            </w:pPr>
            <w:r w:rsidRPr="00671A71">
              <w:rPr>
                <w:iCs/>
              </w:rPr>
              <w:t>3.</w:t>
            </w:r>
          </w:p>
        </w:tc>
        <w:tc>
          <w:tcPr>
            <w:tcW w:w="2255" w:type="dxa"/>
            <w:shd w:val="clear" w:color="auto" w:fill="auto"/>
          </w:tcPr>
          <w:p w:rsidR="00CC1A56" w:rsidRPr="00671A71" w:rsidP="00734441" w14:paraId="580B4FB3" w14:textId="77777777">
            <w:pPr>
              <w:pStyle w:val="naiskr"/>
              <w:tabs>
                <w:tab w:val="left" w:pos="2628"/>
              </w:tabs>
              <w:spacing w:before="0" w:beforeAutospacing="0" w:after="0" w:afterAutospacing="0"/>
              <w:jc w:val="both"/>
              <w:rPr>
                <w:iCs/>
              </w:rPr>
            </w:pPr>
            <w:r w:rsidRPr="00671A71">
              <w:t>Cita</w:t>
            </w:r>
            <w:r w:rsidRPr="00671A71" w:rsidR="00F01597">
              <w:t xml:space="preserve"> </w:t>
            </w:r>
            <w:r w:rsidRPr="00671A71">
              <w:t>informācija</w:t>
            </w:r>
          </w:p>
        </w:tc>
        <w:tc>
          <w:tcPr>
            <w:tcW w:w="6955" w:type="dxa"/>
            <w:shd w:val="clear" w:color="auto" w:fill="auto"/>
          </w:tcPr>
          <w:p w:rsidR="00CC1A56" w:rsidRPr="00671A71" w:rsidP="00734441" w14:paraId="44FD6D47" w14:textId="77777777">
            <w:pPr>
              <w:pStyle w:val="naiskr"/>
              <w:tabs>
                <w:tab w:val="left" w:pos="2628"/>
              </w:tabs>
              <w:spacing w:before="0" w:beforeAutospacing="0" w:after="0" w:afterAutospacing="0"/>
              <w:jc w:val="both"/>
              <w:rPr>
                <w:iCs/>
              </w:rPr>
            </w:pPr>
            <w:r w:rsidRPr="00671A71">
              <w:rPr>
                <w:iCs/>
              </w:rPr>
              <w:t>Nav</w:t>
            </w:r>
          </w:p>
        </w:tc>
      </w:tr>
    </w:tbl>
    <w:p w:rsidR="00CC1A56" w:rsidRPr="00671A71" w:rsidP="00734441" w14:paraId="0869C29C" w14:textId="77777777">
      <w:pPr>
        <w:spacing w:after="0" w:line="240" w:lineRule="auto"/>
        <w:rPr>
          <w:rFonts w:ascii="Times New Roman" w:hAnsi="Times New Roman"/>
          <w:sz w:val="24"/>
          <w:szCs w:val="24"/>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9"/>
        <w:gridCol w:w="2149"/>
        <w:gridCol w:w="2268"/>
        <w:gridCol w:w="715"/>
        <w:gridCol w:w="1664"/>
        <w:gridCol w:w="2292"/>
      </w:tblGrid>
      <w:tr w14:paraId="41F87BFE" w14:textId="77777777" w:rsidTr="00DC2BA7">
        <w:tblPrEx>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vAlign w:val="center"/>
          </w:tcPr>
          <w:p w:rsidR="008260C4" w:rsidRPr="00671A71" w:rsidP="002862C4" w14:paraId="5C5B9F3B" w14:textId="77777777">
            <w:pPr>
              <w:spacing w:after="0" w:line="240" w:lineRule="auto"/>
              <w:jc w:val="center"/>
              <w:rPr>
                <w:rFonts w:ascii="Times New Roman" w:hAnsi="Times New Roman"/>
                <w:b/>
                <w:sz w:val="24"/>
                <w:szCs w:val="24"/>
              </w:rPr>
            </w:pPr>
            <w:r w:rsidRPr="00671A71">
              <w:rPr>
                <w:rFonts w:ascii="Times New Roman" w:hAnsi="Times New Roman"/>
                <w:b/>
                <w:sz w:val="24"/>
                <w:szCs w:val="24"/>
              </w:rPr>
              <w:t>V.</w:t>
            </w:r>
            <w:r w:rsidRPr="00671A71" w:rsidR="00F01597">
              <w:rPr>
                <w:rFonts w:ascii="Times New Roman" w:hAnsi="Times New Roman"/>
                <w:b/>
                <w:sz w:val="24"/>
                <w:szCs w:val="24"/>
              </w:rPr>
              <w:t xml:space="preserve"> </w:t>
            </w:r>
            <w:r w:rsidRPr="00671A71">
              <w:rPr>
                <w:rFonts w:ascii="Times New Roman" w:hAnsi="Times New Roman"/>
                <w:b/>
                <w:sz w:val="24"/>
                <w:szCs w:val="24"/>
              </w:rPr>
              <w:t>Tiesību</w:t>
            </w:r>
            <w:r w:rsidRPr="00671A71" w:rsidR="00F01597">
              <w:rPr>
                <w:rFonts w:ascii="Times New Roman" w:hAnsi="Times New Roman"/>
                <w:b/>
                <w:sz w:val="24"/>
                <w:szCs w:val="24"/>
              </w:rPr>
              <w:t xml:space="preserve"> </w:t>
            </w:r>
            <w:r w:rsidRPr="00671A71">
              <w:rPr>
                <w:rFonts w:ascii="Times New Roman" w:hAnsi="Times New Roman"/>
                <w:b/>
                <w:sz w:val="24"/>
                <w:szCs w:val="24"/>
              </w:rPr>
              <w:t>akta</w:t>
            </w:r>
            <w:r w:rsidRPr="00671A71" w:rsidR="00F01597">
              <w:rPr>
                <w:rFonts w:ascii="Times New Roman" w:hAnsi="Times New Roman"/>
                <w:b/>
                <w:sz w:val="24"/>
                <w:szCs w:val="24"/>
              </w:rPr>
              <w:t xml:space="preserve"> </w:t>
            </w:r>
            <w:r w:rsidRPr="00671A71">
              <w:rPr>
                <w:rFonts w:ascii="Times New Roman" w:hAnsi="Times New Roman"/>
                <w:b/>
                <w:sz w:val="24"/>
                <w:szCs w:val="24"/>
              </w:rPr>
              <w:t>projekta</w:t>
            </w:r>
            <w:r w:rsidRPr="00671A71" w:rsidR="00F01597">
              <w:rPr>
                <w:rFonts w:ascii="Times New Roman" w:hAnsi="Times New Roman"/>
                <w:b/>
                <w:sz w:val="24"/>
                <w:szCs w:val="24"/>
              </w:rPr>
              <w:t xml:space="preserve"> </w:t>
            </w:r>
            <w:r w:rsidRPr="00671A71">
              <w:rPr>
                <w:rFonts w:ascii="Times New Roman" w:hAnsi="Times New Roman"/>
                <w:b/>
                <w:sz w:val="24"/>
                <w:szCs w:val="24"/>
              </w:rPr>
              <w:t>atbilstība</w:t>
            </w:r>
            <w:r w:rsidRPr="00671A71" w:rsidR="00F01597">
              <w:rPr>
                <w:rFonts w:ascii="Times New Roman" w:hAnsi="Times New Roman"/>
                <w:b/>
                <w:sz w:val="24"/>
                <w:szCs w:val="24"/>
              </w:rPr>
              <w:t xml:space="preserve"> </w:t>
            </w:r>
            <w:r w:rsidRPr="00671A71">
              <w:rPr>
                <w:rFonts w:ascii="Times New Roman" w:hAnsi="Times New Roman"/>
                <w:b/>
                <w:sz w:val="24"/>
                <w:szCs w:val="24"/>
              </w:rPr>
              <w:t>Latvijas</w:t>
            </w:r>
            <w:r w:rsidRPr="00671A71" w:rsidR="00F01597">
              <w:rPr>
                <w:rFonts w:ascii="Times New Roman" w:hAnsi="Times New Roman"/>
                <w:b/>
                <w:sz w:val="24"/>
                <w:szCs w:val="24"/>
              </w:rPr>
              <w:t xml:space="preserve"> </w:t>
            </w:r>
            <w:r w:rsidRPr="00671A71">
              <w:rPr>
                <w:rFonts w:ascii="Times New Roman" w:hAnsi="Times New Roman"/>
                <w:b/>
                <w:sz w:val="24"/>
                <w:szCs w:val="24"/>
              </w:rPr>
              <w:t>Republikas</w:t>
            </w:r>
            <w:r w:rsidRPr="00671A71" w:rsidR="00F01597">
              <w:rPr>
                <w:rFonts w:ascii="Times New Roman" w:hAnsi="Times New Roman"/>
                <w:b/>
                <w:sz w:val="24"/>
                <w:szCs w:val="24"/>
              </w:rPr>
              <w:t xml:space="preserve"> </w:t>
            </w:r>
            <w:r w:rsidRPr="00671A71">
              <w:rPr>
                <w:rFonts w:ascii="Times New Roman" w:hAnsi="Times New Roman"/>
                <w:b/>
                <w:sz w:val="24"/>
                <w:szCs w:val="24"/>
              </w:rPr>
              <w:t>starptautiskajām</w:t>
            </w:r>
            <w:r w:rsidRPr="00671A71" w:rsidR="00F01597">
              <w:rPr>
                <w:rFonts w:ascii="Times New Roman" w:hAnsi="Times New Roman"/>
                <w:b/>
                <w:sz w:val="24"/>
                <w:szCs w:val="24"/>
              </w:rPr>
              <w:t xml:space="preserve"> </w:t>
            </w:r>
            <w:r w:rsidRPr="00671A71">
              <w:rPr>
                <w:rFonts w:ascii="Times New Roman" w:hAnsi="Times New Roman"/>
                <w:b/>
                <w:sz w:val="24"/>
                <w:szCs w:val="24"/>
              </w:rPr>
              <w:t>saistībām</w:t>
            </w:r>
          </w:p>
        </w:tc>
      </w:tr>
      <w:tr w14:paraId="596A0CDA" w14:textId="77777777" w:rsidTr="00E17F8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671A71" w:rsidP="002862C4" w14:paraId="74B985C7" w14:textId="77777777">
            <w:pPr>
              <w:spacing w:after="0" w:line="240" w:lineRule="auto"/>
              <w:rPr>
                <w:rFonts w:ascii="Times New Roman" w:hAnsi="Times New Roman"/>
                <w:sz w:val="24"/>
                <w:szCs w:val="24"/>
              </w:rPr>
            </w:pPr>
            <w:r w:rsidRPr="00671A71">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0C4E2094" w14:textId="77777777">
            <w:pPr>
              <w:spacing w:after="0" w:line="240" w:lineRule="auto"/>
              <w:rPr>
                <w:rFonts w:ascii="Times New Roman" w:hAnsi="Times New Roman"/>
                <w:sz w:val="24"/>
                <w:szCs w:val="24"/>
              </w:rPr>
            </w:pPr>
            <w:r w:rsidRPr="00671A71">
              <w:rPr>
                <w:rFonts w:ascii="Times New Roman" w:hAnsi="Times New Roman"/>
                <w:sz w:val="24"/>
                <w:szCs w:val="24"/>
              </w:rPr>
              <w:t>Saistības</w:t>
            </w:r>
            <w:r w:rsidRPr="00671A71" w:rsidR="00F01597">
              <w:rPr>
                <w:rFonts w:ascii="Times New Roman" w:hAnsi="Times New Roman"/>
                <w:sz w:val="24"/>
                <w:szCs w:val="24"/>
              </w:rPr>
              <w:t xml:space="preserve"> </w:t>
            </w:r>
            <w:r w:rsidRPr="00671A71">
              <w:rPr>
                <w:rFonts w:ascii="Times New Roman" w:hAnsi="Times New Roman"/>
                <w:sz w:val="24"/>
                <w:szCs w:val="24"/>
              </w:rPr>
              <w:t>pret</w:t>
            </w:r>
            <w:r w:rsidRPr="00671A71" w:rsidR="00F01597">
              <w:rPr>
                <w:rFonts w:ascii="Times New Roman" w:hAnsi="Times New Roman"/>
                <w:sz w:val="24"/>
                <w:szCs w:val="24"/>
              </w:rPr>
              <w:t xml:space="preserve"> </w:t>
            </w:r>
            <w:r w:rsidRPr="00671A71">
              <w:rPr>
                <w:rFonts w:ascii="Times New Roman" w:hAnsi="Times New Roman"/>
                <w:sz w:val="24"/>
                <w:szCs w:val="24"/>
              </w:rPr>
              <w:t>Eiropas</w:t>
            </w:r>
            <w:r w:rsidRPr="00671A71" w:rsidR="00F01597">
              <w:rPr>
                <w:rFonts w:ascii="Times New Roman" w:hAnsi="Times New Roman"/>
                <w:sz w:val="24"/>
                <w:szCs w:val="24"/>
              </w:rPr>
              <w:t xml:space="preserve"> </w:t>
            </w:r>
            <w:r w:rsidRPr="00671A71">
              <w:rPr>
                <w:rFonts w:ascii="Times New Roman" w:hAnsi="Times New Roman"/>
                <w:sz w:val="24"/>
                <w:szCs w:val="24"/>
              </w:rPr>
              <w:t>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25309" w:rsidRPr="00671A71" w:rsidP="002862C4" w14:paraId="2C4475DB" w14:textId="77777777">
            <w:pPr>
              <w:spacing w:after="0" w:line="240" w:lineRule="auto"/>
              <w:ind w:left="57" w:right="113"/>
              <w:rPr>
                <w:rFonts w:ascii="Times New Roman" w:hAnsi="Times New Roman"/>
                <w:sz w:val="24"/>
                <w:szCs w:val="24"/>
              </w:rPr>
            </w:pPr>
            <w:r w:rsidRPr="00671A71">
              <w:rPr>
                <w:rFonts w:ascii="Times New Roman" w:hAnsi="Times New Roman"/>
                <w:sz w:val="24"/>
                <w:szCs w:val="24"/>
              </w:rPr>
              <w:t>Komisijas regula Nr.</w:t>
            </w:r>
            <w:r w:rsidRPr="00671A71" w:rsidR="00DE5E1E">
              <w:rPr>
                <w:rFonts w:ascii="Times New Roman" w:hAnsi="Times New Roman"/>
                <w:sz w:val="24"/>
                <w:szCs w:val="24"/>
              </w:rPr>
              <w:t> </w:t>
            </w:r>
            <w:r w:rsidRPr="00671A71">
              <w:rPr>
                <w:rFonts w:ascii="Times New Roman" w:hAnsi="Times New Roman"/>
                <w:sz w:val="24"/>
                <w:szCs w:val="24"/>
              </w:rPr>
              <w:t>480/2014, Komisijas regula Nr. </w:t>
            </w:r>
            <w:r>
              <w:fldChar w:fldCharType="begin"/>
            </w:r>
            <w:r>
              <w:instrText xml:space="preserve"> HYPERLINK "http://eur-lex.europa.eu/eli/reg/2014/651/oj/?locale=LV" \t "_blank" </w:instrText>
            </w:r>
            <w:r>
              <w:fldChar w:fldCharType="separate"/>
            </w:r>
            <w:r w:rsidRPr="00671A71">
              <w:rPr>
                <w:rFonts w:ascii="Times New Roman" w:hAnsi="Times New Roman"/>
                <w:sz w:val="24"/>
                <w:szCs w:val="24"/>
              </w:rPr>
              <w:t>651/2014</w:t>
            </w:r>
            <w:r>
              <w:fldChar w:fldCharType="end"/>
            </w:r>
            <w:r w:rsidRPr="00671A71">
              <w:rPr>
                <w:rFonts w:ascii="Times New Roman" w:hAnsi="Times New Roman"/>
                <w:sz w:val="24"/>
                <w:szCs w:val="24"/>
              </w:rPr>
              <w:t>, Komisijas regula Nr. </w:t>
            </w:r>
            <w:r>
              <w:fldChar w:fldCharType="begin"/>
            </w:r>
            <w:r>
              <w:instrText xml:space="preserve"> HYPERLINK "http://eur-lex.europa.eu/eli/reg/2014/702/oj/?locale=LV" \t "_blank" </w:instrText>
            </w:r>
            <w:r>
              <w:fldChar w:fldCharType="separate"/>
            </w:r>
            <w:r w:rsidRPr="00671A71">
              <w:rPr>
                <w:rFonts w:ascii="Times New Roman" w:hAnsi="Times New Roman"/>
                <w:sz w:val="24"/>
                <w:szCs w:val="24"/>
              </w:rPr>
              <w:t>702/2014</w:t>
            </w:r>
            <w:r>
              <w:fldChar w:fldCharType="end"/>
            </w:r>
            <w:r w:rsidRPr="00671A71">
              <w:rPr>
                <w:rFonts w:ascii="Times New Roman" w:hAnsi="Times New Roman"/>
                <w:sz w:val="24"/>
                <w:szCs w:val="24"/>
              </w:rPr>
              <w:t>, Komisijas regula Nr.</w:t>
            </w:r>
            <w:r w:rsidRPr="00671A71" w:rsidR="00DE5E1E">
              <w:rPr>
                <w:rFonts w:ascii="Times New Roman" w:hAnsi="Times New Roman"/>
                <w:sz w:val="24"/>
                <w:szCs w:val="24"/>
              </w:rPr>
              <w:t> </w:t>
            </w:r>
            <w:r>
              <w:fldChar w:fldCharType="begin"/>
            </w:r>
            <w:r>
              <w:instrText xml:space="preserve"> HYPERLINK "http://eur-lex.europa.eu/eli/reg/2014/1388/oj/?locale=LV" \t "_blank" </w:instrText>
            </w:r>
            <w:r>
              <w:fldChar w:fldCharType="separate"/>
            </w:r>
            <w:r w:rsidRPr="00671A71">
              <w:rPr>
                <w:rFonts w:ascii="Times New Roman" w:hAnsi="Times New Roman"/>
                <w:sz w:val="24"/>
                <w:szCs w:val="24"/>
              </w:rPr>
              <w:t>1388/2014</w:t>
            </w:r>
            <w:r>
              <w:fldChar w:fldCharType="end"/>
            </w:r>
          </w:p>
        </w:tc>
      </w:tr>
      <w:tr w14:paraId="411D69A0" w14:textId="77777777" w:rsidTr="00E17F8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671A71" w:rsidP="002862C4" w14:paraId="547BED2C" w14:textId="77777777">
            <w:pPr>
              <w:spacing w:after="0" w:line="240" w:lineRule="auto"/>
              <w:rPr>
                <w:rFonts w:ascii="Times New Roman" w:hAnsi="Times New Roman"/>
                <w:sz w:val="24"/>
                <w:szCs w:val="24"/>
              </w:rPr>
            </w:pPr>
            <w:r w:rsidRPr="00671A71">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314692FE" w14:textId="77777777">
            <w:pPr>
              <w:spacing w:after="0" w:line="240" w:lineRule="auto"/>
              <w:rPr>
                <w:rFonts w:ascii="Times New Roman" w:hAnsi="Times New Roman"/>
                <w:sz w:val="24"/>
                <w:szCs w:val="24"/>
              </w:rPr>
            </w:pPr>
            <w:r w:rsidRPr="00671A71">
              <w:rPr>
                <w:rFonts w:ascii="Times New Roman" w:hAnsi="Times New Roman"/>
                <w:sz w:val="24"/>
                <w:szCs w:val="24"/>
              </w:rPr>
              <w:t>Citas</w:t>
            </w:r>
            <w:r w:rsidRPr="00671A71" w:rsidR="00F01597">
              <w:rPr>
                <w:rFonts w:ascii="Times New Roman" w:hAnsi="Times New Roman"/>
                <w:sz w:val="24"/>
                <w:szCs w:val="24"/>
              </w:rPr>
              <w:t xml:space="preserve"> </w:t>
            </w:r>
            <w:r w:rsidRPr="00671A71">
              <w:rPr>
                <w:rFonts w:ascii="Times New Roman" w:hAnsi="Times New Roman"/>
                <w:sz w:val="24"/>
                <w:szCs w:val="24"/>
              </w:rPr>
              <w:t>starptautiskās</w:t>
            </w:r>
            <w:r w:rsidRPr="00671A71" w:rsidR="00F01597">
              <w:rPr>
                <w:rFonts w:ascii="Times New Roman" w:hAnsi="Times New Roman"/>
                <w:sz w:val="24"/>
                <w:szCs w:val="24"/>
              </w:rPr>
              <w:t xml:space="preserve"> </w:t>
            </w:r>
            <w:r w:rsidRPr="00671A71">
              <w:rPr>
                <w:rFonts w:ascii="Times New Roman" w:hAnsi="Times New Roman"/>
                <w:sz w:val="24"/>
                <w:szCs w:val="24"/>
              </w:rPr>
              <w:t>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7B81E439" w14:textId="77777777">
            <w:pPr>
              <w:spacing w:after="0" w:line="240" w:lineRule="auto"/>
              <w:ind w:left="57" w:right="113"/>
              <w:jc w:val="both"/>
              <w:rPr>
                <w:rFonts w:ascii="Times New Roman" w:hAnsi="Times New Roman"/>
                <w:sz w:val="24"/>
                <w:szCs w:val="24"/>
              </w:rPr>
            </w:pPr>
            <w:r w:rsidRPr="00671A71">
              <w:rPr>
                <w:rFonts w:ascii="Times New Roman" w:hAnsi="Times New Roman"/>
                <w:sz w:val="24"/>
                <w:szCs w:val="24"/>
              </w:rPr>
              <w:t>P</w:t>
            </w:r>
            <w:r w:rsidRPr="00671A71">
              <w:rPr>
                <w:rFonts w:ascii="Times New Roman" w:hAnsi="Times New Roman"/>
                <w:sz w:val="24"/>
                <w:szCs w:val="24"/>
              </w:rPr>
              <w:t>rojekts</w:t>
            </w:r>
            <w:r w:rsidRPr="00671A71" w:rsidR="00F01597">
              <w:rPr>
                <w:rFonts w:ascii="Times New Roman" w:hAnsi="Times New Roman"/>
                <w:sz w:val="24"/>
                <w:szCs w:val="24"/>
              </w:rPr>
              <w:t xml:space="preserve"> </w:t>
            </w:r>
            <w:r w:rsidRPr="00671A71">
              <w:rPr>
                <w:rFonts w:ascii="Times New Roman" w:hAnsi="Times New Roman"/>
                <w:sz w:val="24"/>
                <w:szCs w:val="24"/>
              </w:rPr>
              <w:t>šo</w:t>
            </w:r>
            <w:r w:rsidRPr="00671A71" w:rsidR="00F01597">
              <w:rPr>
                <w:rFonts w:ascii="Times New Roman" w:hAnsi="Times New Roman"/>
                <w:sz w:val="24"/>
                <w:szCs w:val="24"/>
              </w:rPr>
              <w:t xml:space="preserve"> </w:t>
            </w:r>
            <w:r w:rsidRPr="00671A71">
              <w:rPr>
                <w:rFonts w:ascii="Times New Roman" w:hAnsi="Times New Roman"/>
                <w:sz w:val="24"/>
                <w:szCs w:val="24"/>
              </w:rPr>
              <w:t>jomu</w:t>
            </w:r>
            <w:r w:rsidRPr="00671A71" w:rsidR="00F01597">
              <w:rPr>
                <w:rFonts w:ascii="Times New Roman" w:hAnsi="Times New Roman"/>
                <w:sz w:val="24"/>
                <w:szCs w:val="24"/>
              </w:rPr>
              <w:t xml:space="preserve"> </w:t>
            </w:r>
            <w:r w:rsidRPr="00671A71" w:rsidR="004D4F86">
              <w:rPr>
                <w:rFonts w:ascii="Times New Roman" w:hAnsi="Times New Roman"/>
                <w:sz w:val="24"/>
                <w:szCs w:val="24"/>
              </w:rPr>
              <w:t>neskar</w:t>
            </w:r>
            <w:r w:rsidRPr="00671A71" w:rsidR="005D0391">
              <w:rPr>
                <w:rFonts w:ascii="Times New Roman" w:hAnsi="Times New Roman"/>
                <w:sz w:val="24"/>
                <w:szCs w:val="24"/>
              </w:rPr>
              <w:t>.</w:t>
            </w:r>
          </w:p>
        </w:tc>
      </w:tr>
      <w:tr w14:paraId="7E8F7817" w14:textId="77777777" w:rsidTr="00E17F8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39" w:type="dxa"/>
            <w:tcBorders>
              <w:top w:val="outset" w:sz="6" w:space="0" w:color="auto"/>
              <w:left w:val="outset" w:sz="6" w:space="0" w:color="auto"/>
              <w:bottom w:val="outset" w:sz="6" w:space="0" w:color="auto"/>
              <w:right w:val="outset" w:sz="6" w:space="0" w:color="auto"/>
            </w:tcBorders>
          </w:tcPr>
          <w:p w:rsidR="008260C4" w:rsidRPr="00671A71" w:rsidP="002862C4" w14:paraId="2069EFFA" w14:textId="77777777">
            <w:pPr>
              <w:spacing w:after="0" w:line="240" w:lineRule="auto"/>
              <w:rPr>
                <w:rFonts w:ascii="Times New Roman" w:hAnsi="Times New Roman"/>
                <w:sz w:val="24"/>
                <w:szCs w:val="24"/>
              </w:rPr>
            </w:pPr>
            <w:r w:rsidRPr="00671A71">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1B27FCED" w14:textId="77777777">
            <w:pPr>
              <w:spacing w:after="0" w:line="240" w:lineRule="auto"/>
              <w:rPr>
                <w:rFonts w:ascii="Times New Roman" w:hAnsi="Times New Roman"/>
                <w:sz w:val="24"/>
                <w:szCs w:val="24"/>
              </w:rPr>
            </w:pPr>
            <w:r w:rsidRPr="00671A71">
              <w:rPr>
                <w:rFonts w:ascii="Times New Roman" w:hAnsi="Times New Roman"/>
                <w:sz w:val="24"/>
                <w:szCs w:val="24"/>
              </w:rPr>
              <w:t>Cita</w:t>
            </w:r>
            <w:r w:rsidRPr="00671A71" w:rsidR="00F01597">
              <w:rPr>
                <w:rFonts w:ascii="Times New Roman" w:hAnsi="Times New Roman"/>
                <w:sz w:val="24"/>
                <w:szCs w:val="24"/>
              </w:rPr>
              <w:t xml:space="preserve"> </w:t>
            </w:r>
            <w:r w:rsidRPr="00671A71">
              <w:rPr>
                <w:rFonts w:ascii="Times New Roman" w:hAnsi="Times New Roman"/>
                <w:sz w:val="24"/>
                <w:szCs w:val="24"/>
              </w:rPr>
              <w:t>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681EBEED" w14:textId="77777777">
            <w:pPr>
              <w:spacing w:after="0" w:line="240" w:lineRule="auto"/>
              <w:ind w:left="57" w:right="113"/>
              <w:jc w:val="both"/>
              <w:rPr>
                <w:rFonts w:ascii="Times New Roman" w:hAnsi="Times New Roman"/>
                <w:sz w:val="24"/>
                <w:szCs w:val="24"/>
              </w:rPr>
            </w:pPr>
            <w:r w:rsidRPr="00671A71">
              <w:rPr>
                <w:rFonts w:ascii="Times New Roman" w:hAnsi="Times New Roman"/>
                <w:sz w:val="24"/>
                <w:szCs w:val="24"/>
              </w:rPr>
              <w:t>Nav</w:t>
            </w:r>
          </w:p>
        </w:tc>
      </w:tr>
      <w:tr w14:paraId="6B10D5B3" w14:textId="77777777" w:rsidTr="00E17F8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8260C4" w:rsidRPr="00671A71" w:rsidP="002862C4" w14:paraId="60FEFD12" w14:textId="77777777">
            <w:pPr>
              <w:spacing w:after="0" w:line="240" w:lineRule="auto"/>
              <w:rPr>
                <w:rFonts w:ascii="Times New Roman" w:hAnsi="Times New Roman"/>
                <w:b/>
                <w:sz w:val="24"/>
                <w:szCs w:val="24"/>
              </w:rPr>
            </w:pPr>
            <w:r w:rsidRPr="00671A71">
              <w:rPr>
                <w:rFonts w:ascii="Times New Roman" w:hAnsi="Times New Roman"/>
                <w:b/>
                <w:sz w:val="24"/>
                <w:szCs w:val="24"/>
              </w:rPr>
              <w:t>1.</w:t>
            </w:r>
            <w:r w:rsidRPr="00671A71" w:rsidR="001777E6">
              <w:rPr>
                <w:rFonts w:ascii="Times New Roman" w:hAnsi="Times New Roman"/>
                <w:b/>
                <w:sz w:val="24"/>
                <w:szCs w:val="24"/>
              </w:rPr>
              <w:t> </w:t>
            </w:r>
            <w:r w:rsidRPr="00671A71">
              <w:rPr>
                <w:rFonts w:ascii="Times New Roman" w:hAnsi="Times New Roman"/>
                <w:b/>
                <w:sz w:val="24"/>
                <w:szCs w:val="24"/>
              </w:rPr>
              <w:t>tabula</w:t>
            </w:r>
          </w:p>
          <w:p w:rsidR="008260C4" w:rsidRPr="00671A71" w:rsidP="002862C4" w14:paraId="313F78FA" w14:textId="77777777">
            <w:pPr>
              <w:spacing w:after="0" w:line="240" w:lineRule="auto"/>
              <w:rPr>
                <w:rFonts w:ascii="Times New Roman" w:hAnsi="Times New Roman"/>
                <w:sz w:val="24"/>
                <w:szCs w:val="24"/>
              </w:rPr>
            </w:pPr>
            <w:r w:rsidRPr="00671A71">
              <w:rPr>
                <w:rFonts w:ascii="Times New Roman" w:hAnsi="Times New Roman"/>
                <w:b/>
                <w:sz w:val="24"/>
                <w:szCs w:val="24"/>
              </w:rPr>
              <w:t>Tiesību</w:t>
            </w:r>
            <w:r w:rsidRPr="00671A71" w:rsidR="00F01597">
              <w:rPr>
                <w:rFonts w:ascii="Times New Roman" w:hAnsi="Times New Roman"/>
                <w:b/>
                <w:sz w:val="24"/>
                <w:szCs w:val="24"/>
              </w:rPr>
              <w:t xml:space="preserve"> </w:t>
            </w:r>
            <w:r w:rsidRPr="00671A71">
              <w:rPr>
                <w:rFonts w:ascii="Times New Roman" w:hAnsi="Times New Roman"/>
                <w:b/>
                <w:sz w:val="24"/>
                <w:szCs w:val="24"/>
              </w:rPr>
              <w:t>akta</w:t>
            </w:r>
            <w:r w:rsidRPr="00671A71" w:rsidR="00F01597">
              <w:rPr>
                <w:rFonts w:ascii="Times New Roman" w:hAnsi="Times New Roman"/>
                <w:b/>
                <w:sz w:val="24"/>
                <w:szCs w:val="24"/>
              </w:rPr>
              <w:t xml:space="preserve"> </w:t>
            </w:r>
            <w:r w:rsidRPr="00671A71">
              <w:rPr>
                <w:rFonts w:ascii="Times New Roman" w:hAnsi="Times New Roman"/>
                <w:b/>
                <w:sz w:val="24"/>
                <w:szCs w:val="24"/>
              </w:rPr>
              <w:t>projekta</w:t>
            </w:r>
            <w:r w:rsidRPr="00671A71" w:rsidR="00F01597">
              <w:rPr>
                <w:rFonts w:ascii="Times New Roman" w:hAnsi="Times New Roman"/>
                <w:b/>
                <w:sz w:val="24"/>
                <w:szCs w:val="24"/>
              </w:rPr>
              <w:t xml:space="preserve"> </w:t>
            </w:r>
            <w:r w:rsidRPr="00671A71">
              <w:rPr>
                <w:rFonts w:ascii="Times New Roman" w:hAnsi="Times New Roman"/>
                <w:b/>
                <w:sz w:val="24"/>
                <w:szCs w:val="24"/>
              </w:rPr>
              <w:t>atbilstība</w:t>
            </w:r>
            <w:r w:rsidRPr="00671A71" w:rsidR="00F01597">
              <w:rPr>
                <w:rFonts w:ascii="Times New Roman" w:hAnsi="Times New Roman"/>
                <w:b/>
                <w:sz w:val="24"/>
                <w:szCs w:val="24"/>
              </w:rPr>
              <w:t xml:space="preserve"> </w:t>
            </w:r>
            <w:r w:rsidRPr="00671A71">
              <w:rPr>
                <w:rFonts w:ascii="Times New Roman" w:hAnsi="Times New Roman"/>
                <w:b/>
                <w:sz w:val="24"/>
                <w:szCs w:val="24"/>
              </w:rPr>
              <w:t>ES</w:t>
            </w:r>
            <w:r w:rsidRPr="00671A71" w:rsidR="00F01597">
              <w:rPr>
                <w:rFonts w:ascii="Times New Roman" w:hAnsi="Times New Roman"/>
                <w:b/>
                <w:sz w:val="24"/>
                <w:szCs w:val="24"/>
              </w:rPr>
              <w:t xml:space="preserve"> </w:t>
            </w:r>
            <w:r w:rsidRPr="00671A71">
              <w:rPr>
                <w:rFonts w:ascii="Times New Roman" w:hAnsi="Times New Roman"/>
                <w:b/>
                <w:sz w:val="24"/>
                <w:szCs w:val="24"/>
              </w:rPr>
              <w:t>tiesību</w:t>
            </w:r>
            <w:r w:rsidRPr="00671A71" w:rsidR="00F01597">
              <w:rPr>
                <w:rFonts w:ascii="Times New Roman" w:hAnsi="Times New Roman"/>
                <w:b/>
                <w:sz w:val="24"/>
                <w:szCs w:val="24"/>
              </w:rPr>
              <w:t xml:space="preserve"> </w:t>
            </w:r>
            <w:r w:rsidRPr="00671A71">
              <w:rPr>
                <w:rFonts w:ascii="Times New Roman" w:hAnsi="Times New Roman"/>
                <w:b/>
                <w:sz w:val="24"/>
                <w:szCs w:val="24"/>
              </w:rPr>
              <w:t>aktiem</w:t>
            </w:r>
          </w:p>
        </w:tc>
      </w:tr>
      <w:tr w14:paraId="10286B8D" w14:textId="77777777" w:rsidTr="00E17F8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7FE32DC8" w14:textId="77777777">
            <w:pPr>
              <w:spacing w:after="0" w:line="240" w:lineRule="auto"/>
              <w:rPr>
                <w:rFonts w:ascii="Times New Roman" w:hAnsi="Times New Roman"/>
                <w:spacing w:val="-4"/>
                <w:sz w:val="24"/>
                <w:szCs w:val="24"/>
              </w:rPr>
            </w:pPr>
            <w:r w:rsidRPr="00671A71">
              <w:rPr>
                <w:rFonts w:ascii="Times New Roman" w:hAnsi="Times New Roman"/>
                <w:spacing w:val="-4"/>
                <w:sz w:val="24"/>
                <w:szCs w:val="24"/>
              </w:rPr>
              <w:t>Attiecīgā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datums,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numurs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un</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4960584D" w14:textId="77777777">
            <w:pPr>
              <w:spacing w:after="0" w:line="240" w:lineRule="auto"/>
              <w:rPr>
                <w:rFonts w:ascii="Times New Roman" w:hAnsi="Times New Roman"/>
                <w:spacing w:val="-4"/>
                <w:sz w:val="24"/>
                <w:szCs w:val="24"/>
              </w:rPr>
            </w:pPr>
            <w:r w:rsidRPr="00671A71">
              <w:rPr>
                <w:rFonts w:ascii="Times New Roman" w:hAnsi="Times New Roman"/>
                <w:sz w:val="24"/>
                <w:szCs w:val="24"/>
              </w:rPr>
              <w:t>Komisijas regula Nr.</w:t>
            </w:r>
            <w:r w:rsidRPr="00671A71" w:rsidR="00897CDF">
              <w:rPr>
                <w:rFonts w:ascii="Times New Roman" w:hAnsi="Times New Roman"/>
                <w:sz w:val="24"/>
                <w:szCs w:val="24"/>
              </w:rPr>
              <w:t> </w:t>
            </w:r>
            <w:r w:rsidRPr="00671A71">
              <w:rPr>
                <w:rFonts w:ascii="Times New Roman" w:hAnsi="Times New Roman"/>
                <w:sz w:val="24"/>
                <w:szCs w:val="24"/>
              </w:rPr>
              <w:t>480/2014, Komisijas regula Nr. </w:t>
            </w:r>
            <w:r>
              <w:fldChar w:fldCharType="begin"/>
            </w:r>
            <w:r>
              <w:instrText xml:space="preserve"> HYPERLINK "http://eur-lex.europa.eu/eli/reg/2014/651/oj/?locale=LV" \t "_blank" </w:instrText>
            </w:r>
            <w:r>
              <w:fldChar w:fldCharType="separate"/>
            </w:r>
            <w:r w:rsidRPr="00671A71">
              <w:rPr>
                <w:rFonts w:ascii="Times New Roman" w:hAnsi="Times New Roman"/>
                <w:sz w:val="24"/>
                <w:szCs w:val="24"/>
              </w:rPr>
              <w:t>651/2014</w:t>
            </w:r>
            <w:r>
              <w:fldChar w:fldCharType="end"/>
            </w:r>
            <w:r w:rsidRPr="00671A71">
              <w:rPr>
                <w:rFonts w:ascii="Times New Roman" w:hAnsi="Times New Roman"/>
                <w:sz w:val="24"/>
                <w:szCs w:val="24"/>
              </w:rPr>
              <w:t>, Komisijas regula Nr. </w:t>
            </w:r>
            <w:r>
              <w:fldChar w:fldCharType="begin"/>
            </w:r>
            <w:r>
              <w:instrText xml:space="preserve"> HYPERLINK "http://eur-lex.europa.eu/eli/reg/2014/702/oj/?locale=LV" \t "_blank" </w:instrText>
            </w:r>
            <w:r>
              <w:fldChar w:fldCharType="separate"/>
            </w:r>
            <w:r w:rsidRPr="00671A71">
              <w:rPr>
                <w:rFonts w:ascii="Times New Roman" w:hAnsi="Times New Roman"/>
                <w:sz w:val="24"/>
                <w:szCs w:val="24"/>
              </w:rPr>
              <w:t>702/2014</w:t>
            </w:r>
            <w:r>
              <w:fldChar w:fldCharType="end"/>
            </w:r>
            <w:r w:rsidRPr="00671A71">
              <w:rPr>
                <w:rFonts w:ascii="Times New Roman" w:hAnsi="Times New Roman"/>
                <w:sz w:val="24"/>
                <w:szCs w:val="24"/>
              </w:rPr>
              <w:t>, Komisijas regula Nr.</w:t>
            </w:r>
            <w:r w:rsidRPr="00671A71" w:rsidR="00897CDF">
              <w:rPr>
                <w:rFonts w:ascii="Times New Roman" w:hAnsi="Times New Roman"/>
                <w:sz w:val="24"/>
                <w:szCs w:val="24"/>
              </w:rPr>
              <w:t> </w:t>
            </w:r>
            <w:r>
              <w:fldChar w:fldCharType="begin"/>
            </w:r>
            <w:r>
              <w:instrText xml:space="preserve"> HYPERLINK "http://eur-lex.europa.eu/eli/reg/2014/1388/oj/?locale=LV" \t "_blank" </w:instrText>
            </w:r>
            <w:r>
              <w:fldChar w:fldCharType="separate"/>
            </w:r>
            <w:r w:rsidRPr="00671A71">
              <w:rPr>
                <w:rFonts w:ascii="Times New Roman" w:hAnsi="Times New Roman"/>
                <w:sz w:val="24"/>
                <w:szCs w:val="24"/>
              </w:rPr>
              <w:t>1388/2014</w:t>
            </w:r>
            <w:r>
              <w:fldChar w:fldCharType="end"/>
            </w:r>
          </w:p>
        </w:tc>
      </w:tr>
      <w:tr w14:paraId="7FAF00CF" w14:textId="77777777" w:rsidTr="00B83EB2">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671A71" w:rsidP="002862C4" w14:paraId="79B2B113" w14:textId="77777777">
            <w:pPr>
              <w:spacing w:after="0" w:line="240" w:lineRule="auto"/>
              <w:rPr>
                <w:rFonts w:ascii="Times New Roman" w:hAnsi="Times New Roman"/>
                <w:sz w:val="24"/>
                <w:szCs w:val="24"/>
              </w:rPr>
            </w:pPr>
            <w:r w:rsidRPr="00671A7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671A71" w:rsidP="002862C4" w14:paraId="57401039" w14:textId="77777777">
            <w:pPr>
              <w:spacing w:after="0" w:line="240" w:lineRule="auto"/>
              <w:rPr>
                <w:rFonts w:ascii="Times New Roman" w:hAnsi="Times New Roman"/>
                <w:sz w:val="24"/>
                <w:szCs w:val="24"/>
              </w:rPr>
            </w:pPr>
            <w:r w:rsidRPr="00671A7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0C4" w:rsidRPr="00671A71" w:rsidP="002862C4" w14:paraId="4FBB5151" w14:textId="77777777">
            <w:pPr>
              <w:spacing w:after="0" w:line="240" w:lineRule="auto"/>
              <w:rPr>
                <w:rFonts w:ascii="Times New Roman" w:hAnsi="Times New Roman"/>
                <w:sz w:val="24"/>
                <w:szCs w:val="24"/>
              </w:rPr>
            </w:pPr>
            <w:r w:rsidRPr="00671A7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rsidR="008260C4" w:rsidRPr="00671A71" w:rsidP="002862C4" w14:paraId="602B7EDE" w14:textId="77777777">
            <w:pPr>
              <w:spacing w:after="0" w:line="240" w:lineRule="auto"/>
              <w:rPr>
                <w:rFonts w:ascii="Times New Roman" w:hAnsi="Times New Roman"/>
                <w:sz w:val="24"/>
                <w:szCs w:val="24"/>
              </w:rPr>
            </w:pPr>
            <w:r w:rsidRPr="00671A71">
              <w:rPr>
                <w:rFonts w:ascii="Times New Roman" w:hAnsi="Times New Roman"/>
                <w:sz w:val="24"/>
                <w:szCs w:val="24"/>
              </w:rPr>
              <w:t>D</w:t>
            </w:r>
          </w:p>
        </w:tc>
      </w:tr>
      <w:tr w14:paraId="18540C8E" w14:textId="77777777" w:rsidTr="006256FF">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77BEF032"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Attiecīgā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panta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numurs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(uzskaitot</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katru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vienību</w:t>
            </w:r>
            <w:r w:rsidRPr="00671A71" w:rsidR="00C44745">
              <w:rPr>
                <w:rFonts w:ascii="Times New Roman" w:hAnsi="Times New Roman"/>
                <w:spacing w:val="-4"/>
                <w:sz w:val="24"/>
                <w:szCs w:val="24"/>
              </w:rPr>
              <w:t> </w:t>
            </w:r>
            <w:r w:rsidRPr="00671A71">
              <w:rPr>
                <w:rFonts w:ascii="Times New Roman" w:hAnsi="Times New Roman"/>
                <w:spacing w:val="-4"/>
                <w:sz w:val="24"/>
                <w:szCs w:val="24"/>
              </w:rPr>
              <w:t>–</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pantu,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daļu,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punktu,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731196B0"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Projekta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pārņem</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ievieš</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katru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šīs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tabulas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ailē</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minēto</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vienību</w:t>
            </w:r>
            <w:r w:rsidRPr="00671A71" w:rsidR="000E5367">
              <w:rPr>
                <w:rFonts w:ascii="Times New Roman" w:hAnsi="Times New Roman"/>
                <w:spacing w:val="-4"/>
                <w:sz w:val="24"/>
                <w:szCs w:val="24"/>
              </w:rPr>
              <w:t>,</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akts, kur</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attiecīgā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pārņemta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04CEC6C4"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Informācija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par</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to,</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šīs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tabulas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ailē</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minētās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tiek</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pārņemtas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ieviestas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pilnībā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daļēji.</w:t>
            </w:r>
          </w:p>
          <w:p w:rsidR="008260C4" w:rsidRPr="00671A71" w:rsidP="002862C4" w14:paraId="0BAC052E"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Ja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attiecīgā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tiek</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pārņemta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ieviesta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daļēji,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sniedz</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attiecīgu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skaidrojumu,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arī</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precīzi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norāda,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kad</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un</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kādā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veidā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tiks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pārņemta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ieviesta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pilnībā.</w:t>
            </w:r>
          </w:p>
          <w:p w:rsidR="008260C4" w:rsidRPr="00671A71" w:rsidP="002862C4" w14:paraId="614F5D1F"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Norāda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institūciju,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ir</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atbildīga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par</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šo</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saistību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izpildi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8260C4" w:rsidRPr="00671A71" w:rsidP="002862C4" w14:paraId="3CB45CEE"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Informācija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par</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to,</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vai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šīs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tabulas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B</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ailē</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minētās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projekta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paredz</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stingrākas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prasības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nekā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šīs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tabulas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ailē</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minētās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vienības.</w:t>
            </w:r>
          </w:p>
          <w:p w:rsidR="008260C4" w:rsidRPr="00671A71" w:rsidP="002862C4" w14:paraId="6E5DFB29"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Ja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projekts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satur</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stingrākas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prasības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nekā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attiecīgais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norāda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pamatojumu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un</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samērīgumu.</w:t>
            </w:r>
          </w:p>
          <w:p w:rsidR="008260C4" w:rsidRPr="00671A71" w:rsidP="002862C4" w14:paraId="267958E5"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Norāda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iespējamās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alternatīvas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w:t>
            </w:r>
            <w:r w:rsidRPr="00671A71" w:rsidR="00FF00FE">
              <w:rPr>
                <w:rFonts w:ascii="Times New Roman" w:hAnsi="Times New Roman"/>
                <w:spacing w:val="-4"/>
                <w:sz w:val="24"/>
                <w:szCs w:val="24"/>
              </w:rPr>
              <w:t>.</w:t>
            </w:r>
            <w:r w:rsidRPr="00671A71" w:rsidR="00F01597">
              <w:rPr>
                <w:rFonts w:ascii="Times New Roman" w:hAnsi="Times New Roman"/>
                <w:spacing w:val="-4"/>
                <w:sz w:val="24"/>
                <w:szCs w:val="24"/>
              </w:rPr>
              <w:t xml:space="preserve"> </w:t>
            </w:r>
            <w:r w:rsidRPr="00671A71" w:rsidR="00FF00FE">
              <w:rPr>
                <w:rFonts w:ascii="Times New Roman" w:hAnsi="Times New Roman"/>
                <w:spacing w:val="-4"/>
                <w:sz w:val="24"/>
                <w:szCs w:val="24"/>
              </w:rPr>
              <w:t>s</w:t>
            </w:r>
            <w:r w:rsidRPr="00671A71">
              <w:rPr>
                <w:rFonts w:ascii="Times New Roman" w:hAnsi="Times New Roman"/>
                <w:spacing w:val="-4"/>
                <w:sz w:val="24"/>
                <w:szCs w:val="24"/>
              </w:rPr>
              <w:t>k.</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alternatīvas,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neparedz</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tiesiskā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regulējuma</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izstrādi)</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kādos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gadījumos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būtu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iespējams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izvairīties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no</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stingrāku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prasību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noteikšanas,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nekā</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paredzēts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attiecīgajos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ES</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tiesību</w:t>
            </w:r>
            <w:r w:rsidRPr="00671A71" w:rsidR="00F01597">
              <w:rPr>
                <w:rFonts w:ascii="Times New Roman" w:hAnsi="Times New Roman"/>
                <w:spacing w:val="-4"/>
                <w:sz w:val="24"/>
                <w:szCs w:val="24"/>
              </w:rPr>
              <w:t xml:space="preserve"> </w:t>
            </w:r>
            <w:r w:rsidRPr="00671A71">
              <w:rPr>
                <w:rFonts w:ascii="Times New Roman" w:hAnsi="Times New Roman"/>
                <w:spacing w:val="-4"/>
                <w:sz w:val="24"/>
                <w:szCs w:val="24"/>
              </w:rPr>
              <w:t>aktos</w:t>
            </w:r>
          </w:p>
        </w:tc>
      </w:tr>
      <w:tr w14:paraId="1ADA455F"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2862C4" w:rsidP="002862C4" w14:paraId="6B726260" w14:textId="77777777">
            <w:pPr>
              <w:spacing w:after="0" w:line="240" w:lineRule="auto"/>
              <w:rPr>
                <w:rFonts w:ascii="Times New Roman" w:hAnsi="Times New Roman"/>
                <w:sz w:val="24"/>
                <w:szCs w:val="24"/>
              </w:rPr>
            </w:pPr>
            <w:r w:rsidRPr="002862C4">
              <w:rPr>
                <w:rFonts w:ascii="Times New Roman" w:hAnsi="Times New Roman"/>
                <w:sz w:val="24"/>
                <w:szCs w:val="24"/>
              </w:rPr>
              <w:t>Komisijas regulas Nr.480/2014</w:t>
            </w:r>
            <w:r w:rsidRPr="002862C4" w:rsidR="005942A5">
              <w:rPr>
                <w:rFonts w:ascii="Times New Roman" w:hAnsi="Times New Roman"/>
                <w:sz w:val="24"/>
                <w:szCs w:val="24"/>
              </w:rPr>
              <w:t xml:space="preserve"> </w:t>
            </w:r>
            <w:r w:rsidRPr="002862C4" w:rsidR="005942A5">
              <w:rPr>
                <w:rFonts w:ascii="Times New Roman" w:hAnsi="Times New Roman"/>
                <w:iCs/>
                <w:sz w:val="24"/>
                <w:szCs w:val="24"/>
                <w:shd w:val="clear" w:color="auto" w:fill="FFFFFF"/>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4A51B4" w:rsidRPr="002862C4" w:rsidP="002862C4" w14:paraId="1E34DEF5" w14:textId="3C45047D">
            <w:pPr>
              <w:spacing w:after="0" w:line="240" w:lineRule="auto"/>
              <w:ind w:left="57" w:right="57"/>
              <w:rPr>
                <w:rFonts w:ascii="Times New Roman" w:hAnsi="Times New Roman"/>
                <w:sz w:val="24"/>
                <w:szCs w:val="24"/>
              </w:rPr>
            </w:pPr>
            <w:r w:rsidRPr="002862C4">
              <w:rPr>
                <w:rFonts w:ascii="Times New Roman" w:hAnsi="Times New Roman"/>
                <w:sz w:val="24"/>
                <w:szCs w:val="24"/>
              </w:rPr>
              <w:t>MK n</w:t>
            </w:r>
            <w:r w:rsidRPr="002862C4" w:rsidR="000A7803">
              <w:rPr>
                <w:rFonts w:ascii="Times New Roman" w:hAnsi="Times New Roman"/>
                <w:sz w:val="24"/>
                <w:szCs w:val="24"/>
              </w:rPr>
              <w:t>oteikumu</w:t>
            </w:r>
            <w:r w:rsidRPr="002862C4" w:rsidR="00F01597">
              <w:rPr>
                <w:rFonts w:ascii="Times New Roman" w:hAnsi="Times New Roman"/>
                <w:sz w:val="24"/>
                <w:szCs w:val="24"/>
              </w:rPr>
              <w:t xml:space="preserve"> </w:t>
            </w:r>
            <w:r w:rsidRPr="002862C4" w:rsidR="000A7803">
              <w:rPr>
                <w:rFonts w:ascii="Times New Roman" w:hAnsi="Times New Roman"/>
                <w:sz w:val="24"/>
                <w:szCs w:val="24"/>
              </w:rPr>
              <w:t>projekta</w:t>
            </w:r>
            <w:r w:rsidRPr="002862C4" w:rsidR="00F01597">
              <w:rPr>
                <w:rFonts w:ascii="Times New Roman" w:hAnsi="Times New Roman"/>
                <w:sz w:val="24"/>
                <w:szCs w:val="24"/>
              </w:rPr>
              <w:t xml:space="preserve"> </w:t>
            </w:r>
            <w:r w:rsidRPr="002862C4" w:rsidR="00FA78A8">
              <w:rPr>
                <w:rFonts w:ascii="Times New Roman" w:hAnsi="Times New Roman"/>
                <w:sz w:val="24"/>
                <w:szCs w:val="24"/>
              </w:rPr>
              <w:t>14</w:t>
            </w:r>
            <w:r w:rsidRPr="002862C4" w:rsidR="00FF00FE">
              <w:rPr>
                <w:rFonts w:ascii="Times New Roman" w:hAnsi="Times New Roman"/>
                <w:sz w:val="24"/>
                <w:szCs w:val="24"/>
              </w:rPr>
              <w:t>.</w:t>
            </w:r>
            <w:r w:rsidRPr="002862C4" w:rsidR="00981CA0">
              <w:rPr>
                <w:rFonts w:ascii="Times New Roman" w:hAnsi="Times New Roman"/>
                <w:sz w:val="24"/>
                <w:szCs w:val="24"/>
              </w:rPr>
              <w:t> </w:t>
            </w:r>
            <w:r w:rsidRPr="002862C4">
              <w:rPr>
                <w:rFonts w:ascii="Times New Roman" w:hAnsi="Times New Roman"/>
                <w:sz w:val="24"/>
                <w:szCs w:val="24"/>
              </w:rPr>
              <w:t xml:space="preserve">un </w:t>
            </w:r>
            <w:r w:rsidRPr="002862C4" w:rsidR="00FA78A8">
              <w:rPr>
                <w:rFonts w:ascii="Times New Roman" w:hAnsi="Times New Roman"/>
                <w:sz w:val="24"/>
                <w:szCs w:val="24"/>
              </w:rPr>
              <w:t>24</w:t>
            </w:r>
            <w:r w:rsidRPr="002862C4">
              <w:rPr>
                <w:rFonts w:ascii="Times New Roman" w:hAnsi="Times New Roman"/>
                <w:sz w:val="24"/>
                <w:szCs w:val="24"/>
              </w:rPr>
              <w:t>.</w:t>
            </w:r>
            <w:r w:rsidRPr="002862C4" w:rsidR="00022C1B">
              <w:rPr>
                <w:rFonts w:ascii="Times New Roman" w:hAnsi="Times New Roman"/>
                <w:sz w:val="24"/>
                <w:szCs w:val="24"/>
              </w:rPr>
              <w:t> </w:t>
            </w:r>
            <w:r w:rsidRPr="002862C4" w:rsidR="001A7012">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4A51B4" w:rsidRPr="002862C4" w:rsidP="002862C4" w14:paraId="6D5A2E00"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4A51B4" w:rsidRPr="002862C4" w:rsidP="002862C4" w14:paraId="37A39D67"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Netiek</w:t>
            </w:r>
            <w:r w:rsidRPr="002862C4" w:rsidR="00F01597">
              <w:rPr>
                <w:rFonts w:ascii="Times New Roman" w:hAnsi="Times New Roman"/>
                <w:sz w:val="24"/>
                <w:szCs w:val="24"/>
              </w:rPr>
              <w:t xml:space="preserve"> </w:t>
            </w:r>
            <w:r w:rsidRPr="002862C4">
              <w:rPr>
                <w:rFonts w:ascii="Times New Roman" w:hAnsi="Times New Roman"/>
                <w:sz w:val="24"/>
                <w:szCs w:val="24"/>
              </w:rPr>
              <w:t>paredzētas</w:t>
            </w:r>
            <w:r w:rsidRPr="002862C4" w:rsidR="00F01597">
              <w:rPr>
                <w:rFonts w:ascii="Times New Roman" w:hAnsi="Times New Roman"/>
                <w:sz w:val="24"/>
                <w:szCs w:val="24"/>
              </w:rPr>
              <w:t xml:space="preserve"> </w:t>
            </w:r>
            <w:r w:rsidRPr="002862C4">
              <w:rPr>
                <w:rFonts w:ascii="Times New Roman" w:hAnsi="Times New Roman"/>
                <w:sz w:val="24"/>
                <w:szCs w:val="24"/>
              </w:rPr>
              <w:t>stingrākas</w:t>
            </w:r>
            <w:r w:rsidRPr="002862C4" w:rsidR="00F01597">
              <w:rPr>
                <w:rFonts w:ascii="Times New Roman" w:hAnsi="Times New Roman"/>
                <w:sz w:val="24"/>
                <w:szCs w:val="24"/>
              </w:rPr>
              <w:t xml:space="preserve"> </w:t>
            </w:r>
            <w:r w:rsidRPr="002862C4" w:rsidR="004D4F86">
              <w:rPr>
                <w:rFonts w:ascii="Times New Roman" w:hAnsi="Times New Roman"/>
                <w:sz w:val="24"/>
                <w:szCs w:val="24"/>
              </w:rPr>
              <w:t>prasības</w:t>
            </w:r>
          </w:p>
        </w:tc>
      </w:tr>
      <w:tr w14:paraId="1409A034"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2862C4" w:rsidP="002862C4" w14:paraId="42A415E5" w14:textId="77777777">
            <w:pPr>
              <w:spacing w:after="0" w:line="240" w:lineRule="auto"/>
              <w:rPr>
                <w:rFonts w:ascii="Times New Roman" w:hAnsi="Times New Roman"/>
                <w:sz w:val="24"/>
                <w:szCs w:val="24"/>
              </w:rPr>
            </w:pPr>
            <w:r w:rsidRPr="002862C4">
              <w:rPr>
                <w:rFonts w:ascii="Times New Roman" w:hAnsi="Times New Roman"/>
                <w:sz w:val="24"/>
                <w:szCs w:val="24"/>
              </w:rPr>
              <w:t>Komisijas regulas Nr. </w:t>
            </w:r>
            <w:r>
              <w:fldChar w:fldCharType="begin"/>
            </w:r>
            <w:r>
              <w:instrText xml:space="preserve"> HYPERLINK "http://eur-lex.europa.eu/eli/reg/2014/651/oj/?locale=LV" \t "_blank" </w:instrText>
            </w:r>
            <w:r>
              <w:fldChar w:fldCharType="separate"/>
            </w:r>
            <w:r w:rsidRPr="002862C4">
              <w:rPr>
                <w:rFonts w:ascii="Times New Roman" w:hAnsi="Times New Roman"/>
                <w:sz w:val="24"/>
                <w:szCs w:val="24"/>
              </w:rPr>
              <w:t>651/2014</w:t>
            </w:r>
            <w:r>
              <w:fldChar w:fldCharType="end"/>
            </w:r>
            <w:r w:rsidRPr="002862C4">
              <w:rPr>
                <w:rFonts w:ascii="Times New Roman" w:hAnsi="Times New Roman"/>
                <w:sz w:val="24"/>
                <w:szCs w:val="24"/>
              </w:rPr>
              <w:t xml:space="preserve"> 2. panta 23.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FC7E9A" w:rsidRPr="002862C4" w:rsidP="002862C4" w14:paraId="2BE8B780"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MK n</w:t>
            </w:r>
            <w:r w:rsidRPr="002862C4">
              <w:rPr>
                <w:rFonts w:ascii="Times New Roman" w:hAnsi="Times New Roman"/>
                <w:sz w:val="24"/>
                <w:szCs w:val="24"/>
              </w:rPr>
              <w:t xml:space="preserve">oteikumu projekta </w:t>
            </w:r>
            <w:r w:rsidRPr="002862C4" w:rsidR="009F1645">
              <w:rPr>
                <w:rFonts w:ascii="Times New Roman" w:hAnsi="Times New Roman"/>
                <w:sz w:val="24"/>
                <w:szCs w:val="24"/>
              </w:rPr>
              <w:t>22</w:t>
            </w:r>
            <w:r w:rsidRPr="002862C4">
              <w:rPr>
                <w:rFonts w:ascii="Times New Roman" w:hAnsi="Times New Roman"/>
                <w:sz w:val="24"/>
                <w:szCs w:val="24"/>
              </w:rPr>
              <w:t>. </w:t>
            </w:r>
            <w:r w:rsidRPr="002862C4">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FC7E9A" w:rsidRPr="002862C4" w:rsidP="002862C4" w14:paraId="19D48404"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FC7E9A" w:rsidRPr="002862C4" w:rsidP="002862C4" w14:paraId="08D9511E"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4AF3E0DA"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2862C4" w:rsidP="002862C4" w14:paraId="50539620" w14:textId="77777777">
            <w:pPr>
              <w:spacing w:after="0" w:line="240" w:lineRule="auto"/>
              <w:rPr>
                <w:rFonts w:ascii="Times New Roman" w:hAnsi="Times New Roman"/>
                <w:sz w:val="24"/>
                <w:szCs w:val="24"/>
              </w:rPr>
            </w:pPr>
            <w:r w:rsidRPr="002862C4">
              <w:rPr>
                <w:rFonts w:ascii="Times New Roman" w:hAnsi="Times New Roman"/>
                <w:sz w:val="24"/>
                <w:szCs w:val="24"/>
              </w:rPr>
              <w:t>Komisijas regulas Nr. </w:t>
            </w:r>
            <w:r>
              <w:fldChar w:fldCharType="begin"/>
            </w:r>
            <w:r>
              <w:instrText xml:space="preserve"> HYPERLINK "http://eur-lex.europa.eu/eli/reg/2014/651/oj/?locale=LV" \t "_blank" </w:instrText>
            </w:r>
            <w:r>
              <w:fldChar w:fldCharType="separate"/>
            </w:r>
            <w:r w:rsidRPr="002862C4">
              <w:rPr>
                <w:rFonts w:ascii="Times New Roman" w:hAnsi="Times New Roman"/>
                <w:sz w:val="24"/>
                <w:szCs w:val="24"/>
              </w:rPr>
              <w:t>651/2014</w:t>
            </w:r>
            <w:r>
              <w:fldChar w:fldCharType="end"/>
            </w:r>
            <w:r w:rsidRPr="002862C4">
              <w:rPr>
                <w:rFonts w:ascii="Times New Roman" w:hAnsi="Times New Roman"/>
                <w:sz w:val="24"/>
                <w:szCs w:val="24"/>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27FBF" w:rsidRPr="002862C4" w:rsidP="002862C4" w14:paraId="31B31C0C"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MK n</w:t>
            </w:r>
            <w:r w:rsidRPr="002862C4">
              <w:rPr>
                <w:rFonts w:ascii="Times New Roman" w:hAnsi="Times New Roman"/>
                <w:sz w:val="24"/>
                <w:szCs w:val="24"/>
              </w:rPr>
              <w:t xml:space="preserve">oteikumu projekta </w:t>
            </w:r>
            <w:r w:rsidRPr="002862C4" w:rsidR="009F1645">
              <w:rPr>
                <w:rFonts w:ascii="Times New Roman" w:hAnsi="Times New Roman"/>
                <w:sz w:val="24"/>
                <w:szCs w:val="24"/>
              </w:rPr>
              <w:t>23</w:t>
            </w:r>
            <w:r w:rsidRPr="002862C4">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27FBF" w:rsidRPr="002862C4" w:rsidP="002862C4" w14:paraId="3F47CAB5"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27FBF" w:rsidRPr="002862C4" w:rsidP="002862C4" w14:paraId="40384D22"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27129C48"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2862C4" w:rsidP="002862C4" w14:paraId="0905DA53" w14:textId="77777777">
            <w:pPr>
              <w:spacing w:after="0" w:line="240" w:lineRule="auto"/>
              <w:rPr>
                <w:rFonts w:ascii="Times New Roman" w:hAnsi="Times New Roman"/>
                <w:sz w:val="24"/>
                <w:szCs w:val="24"/>
              </w:rPr>
            </w:pPr>
            <w:r w:rsidRPr="002862C4">
              <w:rPr>
                <w:rFonts w:ascii="Times New Roman" w:hAnsi="Times New Roman"/>
                <w:sz w:val="24"/>
                <w:szCs w:val="24"/>
              </w:rPr>
              <w:t>Komisijas regulas Nr. </w:t>
            </w:r>
            <w:r>
              <w:fldChar w:fldCharType="begin"/>
            </w:r>
            <w:r>
              <w:instrText xml:space="preserve"> HYPERLINK "http://eur-lex.europa.eu/eli/reg/2014/651/oj/?locale=LV" \t "_blank" </w:instrText>
            </w:r>
            <w:r>
              <w:fldChar w:fldCharType="separate"/>
            </w:r>
            <w:r w:rsidRPr="002862C4">
              <w:rPr>
                <w:rFonts w:ascii="Times New Roman" w:hAnsi="Times New Roman"/>
                <w:sz w:val="24"/>
                <w:szCs w:val="24"/>
              </w:rPr>
              <w:t>651/2014</w:t>
            </w:r>
            <w:r>
              <w:fldChar w:fldCharType="end"/>
            </w:r>
            <w:r w:rsidRPr="002862C4">
              <w:rPr>
                <w:rFonts w:ascii="Times New Roman" w:hAnsi="Times New Roman"/>
                <w:sz w:val="24"/>
                <w:szCs w:val="24"/>
              </w:rPr>
              <w:t xml:space="preserve"> </w:t>
            </w:r>
            <w:r w:rsidRPr="002862C4">
              <w:rPr>
                <w:rFonts w:ascii="Times New Roman" w:hAnsi="Times New Roman"/>
                <w:bCs/>
                <w:sz w:val="24"/>
                <w:szCs w:val="24"/>
                <w:shd w:val="clear" w:color="auto" w:fill="FFFFFF"/>
              </w:rPr>
              <w:t>48. panta 5. punkts un 56. panta 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F1A84" w:rsidRPr="002862C4" w:rsidP="002862C4" w14:paraId="40954E6F" w14:textId="59A445CB">
            <w:pPr>
              <w:spacing w:after="0" w:line="240" w:lineRule="auto"/>
              <w:ind w:left="57" w:right="57"/>
              <w:rPr>
                <w:rFonts w:ascii="Times New Roman" w:hAnsi="Times New Roman"/>
                <w:sz w:val="24"/>
                <w:szCs w:val="24"/>
              </w:rPr>
            </w:pPr>
            <w:r w:rsidRPr="002862C4">
              <w:rPr>
                <w:rFonts w:ascii="Times New Roman" w:hAnsi="Times New Roman"/>
                <w:sz w:val="24"/>
                <w:szCs w:val="24"/>
              </w:rPr>
              <w:t>MK n</w:t>
            </w:r>
            <w:r w:rsidRPr="002862C4">
              <w:rPr>
                <w:rFonts w:ascii="Times New Roman" w:hAnsi="Times New Roman"/>
                <w:sz w:val="24"/>
                <w:szCs w:val="24"/>
              </w:rPr>
              <w:t xml:space="preserve">oteikumu projekta </w:t>
            </w:r>
            <w:r w:rsidRPr="002862C4" w:rsidR="007244AD">
              <w:rPr>
                <w:rFonts w:ascii="Times New Roman" w:hAnsi="Times New Roman"/>
                <w:sz w:val="24"/>
                <w:szCs w:val="24"/>
              </w:rPr>
              <w:t>14</w:t>
            </w:r>
            <w:r w:rsidRPr="002862C4">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F1A84" w:rsidRPr="002862C4" w:rsidP="002862C4" w14:paraId="3AEEDF93"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F1A84" w:rsidRPr="002862C4" w:rsidP="002862C4" w14:paraId="7903EFC7"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2D584A17"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10023AB8" w14:textId="77777777">
            <w:pPr>
              <w:spacing w:after="0" w:line="240" w:lineRule="auto"/>
              <w:rPr>
                <w:rFonts w:ascii="Times New Roman" w:hAnsi="Times New Roman"/>
                <w:sz w:val="24"/>
                <w:szCs w:val="24"/>
              </w:rPr>
            </w:pPr>
            <w:r w:rsidRPr="002862C4">
              <w:rPr>
                <w:rFonts w:ascii="Times New Roman" w:hAnsi="Times New Roman"/>
                <w:bCs/>
                <w:sz w:val="24"/>
                <w:szCs w:val="24"/>
                <w:shd w:val="clear" w:color="auto" w:fill="FFFFFF"/>
              </w:rPr>
              <w:t>Komisijas regulas Nr. </w:t>
            </w:r>
            <w:r>
              <w:fldChar w:fldCharType="begin"/>
            </w:r>
            <w:r>
              <w:instrText xml:space="preserve"> HYPERLINK "http://eur-lex.europa.eu/eli/reg/2014/702/oj/?locale=LV" \t "_blank" </w:instrText>
            </w:r>
            <w:r>
              <w:fldChar w:fldCharType="separate"/>
            </w:r>
            <w:r w:rsidRPr="002862C4">
              <w:rPr>
                <w:rFonts w:ascii="Times New Roman" w:hAnsi="Times New Roman"/>
                <w:bCs/>
                <w:sz w:val="24"/>
                <w:szCs w:val="24"/>
                <w:shd w:val="clear" w:color="auto" w:fill="FFFFFF"/>
              </w:rPr>
              <w:t>702/2014</w:t>
            </w:r>
            <w:r>
              <w:fldChar w:fldCharType="end"/>
            </w:r>
            <w:r w:rsidRPr="002862C4">
              <w:rPr>
                <w:rFonts w:ascii="Times New Roman" w:hAnsi="Times New Roman"/>
                <w:bCs/>
                <w:sz w:val="24"/>
                <w:szCs w:val="24"/>
                <w:shd w:val="clear" w:color="auto" w:fill="FFFFFF"/>
              </w:rPr>
              <w:t xml:space="preserve"> 9.</w:t>
            </w:r>
            <w:r w:rsidRPr="002862C4" w:rsidR="00877447">
              <w:rPr>
                <w:rFonts w:ascii="Times New Roman" w:hAnsi="Times New Roman"/>
                <w:bCs/>
                <w:sz w:val="24"/>
                <w:szCs w:val="24"/>
                <w:shd w:val="clear" w:color="auto" w:fill="FFFFFF"/>
              </w:rPr>
              <w:t> </w:t>
            </w:r>
            <w:r w:rsidRPr="002862C4">
              <w:rPr>
                <w:rFonts w:ascii="Times New Roman" w:hAnsi="Times New Roman"/>
                <w:bCs/>
                <w:sz w:val="24"/>
                <w:szCs w:val="24"/>
                <w:shd w:val="clear" w:color="auto" w:fill="FFFFFF"/>
              </w:rPr>
              <w:t>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4093600A"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MK n</w:t>
            </w:r>
            <w:r w:rsidRPr="002862C4">
              <w:rPr>
                <w:rFonts w:ascii="Times New Roman" w:hAnsi="Times New Roman"/>
                <w:sz w:val="24"/>
                <w:szCs w:val="24"/>
              </w:rPr>
              <w:t xml:space="preserve">oteikumu projekta </w:t>
            </w:r>
            <w:r w:rsidRPr="002862C4" w:rsidR="009F1645">
              <w:rPr>
                <w:rFonts w:ascii="Times New Roman" w:hAnsi="Times New Roman"/>
                <w:sz w:val="24"/>
                <w:szCs w:val="24"/>
              </w:rPr>
              <w:t>23</w:t>
            </w:r>
            <w:r w:rsidRPr="002862C4">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70D82623"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2F3C09FF"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4D1CF53F"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2F1F0EA7" w14:textId="77777777">
            <w:pPr>
              <w:spacing w:after="0" w:line="240" w:lineRule="auto"/>
              <w:rPr>
                <w:rFonts w:ascii="Times New Roman" w:hAnsi="Times New Roman"/>
                <w:bCs/>
                <w:sz w:val="24"/>
                <w:szCs w:val="24"/>
                <w:shd w:val="clear" w:color="auto" w:fill="FFFFFF"/>
              </w:rPr>
            </w:pPr>
            <w:r w:rsidRPr="002862C4">
              <w:rPr>
                <w:rFonts w:ascii="Times New Roman" w:hAnsi="Times New Roman"/>
                <w:bCs/>
                <w:sz w:val="24"/>
                <w:szCs w:val="24"/>
                <w:shd w:val="clear" w:color="auto" w:fill="FFFFFF"/>
              </w:rPr>
              <w:t>Komisijas regulas Nr.</w:t>
            </w:r>
            <w:r>
              <w:fldChar w:fldCharType="begin"/>
            </w:r>
            <w:r>
              <w:instrText xml:space="preserve"> HYPERLINK "http://eur-lex.europa.eu/eli/reg/2014/1388/oj/?locale=LV" \t "_blank" </w:instrText>
            </w:r>
            <w:r>
              <w:fldChar w:fldCharType="separate"/>
            </w:r>
            <w:r w:rsidRPr="002862C4">
              <w:rPr>
                <w:rFonts w:ascii="Times New Roman" w:hAnsi="Times New Roman"/>
                <w:bCs/>
                <w:sz w:val="24"/>
                <w:szCs w:val="24"/>
                <w:shd w:val="clear" w:color="auto" w:fill="FFFFFF"/>
              </w:rPr>
              <w:t>1388/2014</w:t>
            </w:r>
            <w:r>
              <w:fldChar w:fldCharType="end"/>
            </w:r>
            <w:r w:rsidRPr="002862C4">
              <w:rPr>
                <w:rFonts w:ascii="Times New Roman" w:hAnsi="Times New Roman"/>
                <w:bCs/>
                <w:sz w:val="24"/>
                <w:szCs w:val="24"/>
                <w:shd w:val="clear" w:color="auto" w:fill="FFFFFF"/>
              </w:rPr>
              <w:t xml:space="preserve"> 9.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5581DC48"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MK n</w:t>
            </w:r>
            <w:r w:rsidRPr="002862C4">
              <w:rPr>
                <w:rFonts w:ascii="Times New Roman" w:hAnsi="Times New Roman"/>
                <w:sz w:val="24"/>
                <w:szCs w:val="24"/>
              </w:rPr>
              <w:t xml:space="preserve">oteikumu projekta </w:t>
            </w:r>
            <w:r w:rsidRPr="002862C4" w:rsidR="009F1645">
              <w:rPr>
                <w:rFonts w:ascii="Times New Roman" w:hAnsi="Times New Roman"/>
                <w:sz w:val="24"/>
                <w:szCs w:val="24"/>
              </w:rPr>
              <w:t>23</w:t>
            </w:r>
            <w:r w:rsidRPr="002862C4">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71EC9829" w14:textId="2D15A053">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B40418" w:rsidRPr="002862C4" w:rsidP="002862C4" w14:paraId="1C964D37" w14:textId="77777777">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6B89F599"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5C431E" w:rsidRPr="002862C4" w:rsidP="002862C4" w14:paraId="0557B951" w14:textId="50B5B30D">
            <w:pPr>
              <w:spacing w:after="0" w:line="240" w:lineRule="auto"/>
              <w:rPr>
                <w:rFonts w:ascii="Times New Roman" w:hAnsi="Times New Roman"/>
                <w:bCs/>
                <w:sz w:val="24"/>
                <w:szCs w:val="24"/>
                <w:shd w:val="clear" w:color="auto" w:fill="FFFFFF"/>
              </w:rPr>
            </w:pPr>
            <w:r w:rsidRPr="002862C4">
              <w:rPr>
                <w:rFonts w:ascii="Times New Roman" w:hAnsi="Times New Roman"/>
                <w:sz w:val="24"/>
                <w:szCs w:val="24"/>
              </w:rPr>
              <w:t>Komisijas regulas Nr. </w:t>
            </w:r>
            <w:r>
              <w:fldChar w:fldCharType="begin"/>
            </w:r>
            <w:r>
              <w:instrText xml:space="preserve"> HYPERLINK "http://eur-lex.europa.eu/eli/reg/2014/651/oj/?locale=LV" \t "_blank" </w:instrText>
            </w:r>
            <w:r>
              <w:fldChar w:fldCharType="separate"/>
            </w:r>
            <w:r w:rsidRPr="002862C4">
              <w:rPr>
                <w:rFonts w:ascii="Times New Roman" w:hAnsi="Times New Roman"/>
                <w:sz w:val="24"/>
                <w:szCs w:val="24"/>
              </w:rPr>
              <w:t>651/2014</w:t>
            </w:r>
            <w:r>
              <w:fldChar w:fldCharType="end"/>
            </w:r>
            <w:r w:rsidRPr="002862C4">
              <w:rPr>
                <w:rFonts w:ascii="Times New Roman" w:hAnsi="Times New Roman"/>
                <w:sz w:val="24"/>
                <w:szCs w:val="24"/>
              </w:rPr>
              <w:t xml:space="preserve"> </w:t>
            </w:r>
            <w:r w:rsidRPr="002862C4">
              <w:rPr>
                <w:rFonts w:ascii="Times New Roman" w:hAnsi="Times New Roman"/>
                <w:bCs/>
                <w:sz w:val="24"/>
                <w:szCs w:val="24"/>
                <w:shd w:val="clear" w:color="auto" w:fill="FFFFFF"/>
              </w:rPr>
              <w:t>8.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5C431E" w:rsidRPr="002862C4" w:rsidP="002862C4" w14:paraId="116D0E4D" w14:textId="3ACE95DF">
            <w:pPr>
              <w:spacing w:after="0" w:line="240" w:lineRule="auto"/>
              <w:ind w:left="57" w:right="57"/>
              <w:rPr>
                <w:rFonts w:ascii="Times New Roman" w:hAnsi="Times New Roman"/>
                <w:sz w:val="24"/>
                <w:szCs w:val="24"/>
              </w:rPr>
            </w:pPr>
            <w:r w:rsidRPr="002862C4">
              <w:rPr>
                <w:rFonts w:ascii="Times New Roman" w:hAnsi="Times New Roman"/>
                <w:sz w:val="24"/>
                <w:szCs w:val="24"/>
              </w:rPr>
              <w:t>MK noteikumu projekta 21.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5C431E" w:rsidRPr="002862C4" w:rsidP="002862C4" w14:paraId="1FCA6A74" w14:textId="4EA947D8">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5C431E" w:rsidRPr="002862C4" w:rsidP="002862C4" w14:paraId="3362ACBF" w14:textId="4ABBDA99">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50093564"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8626A6" w:rsidRPr="002862C4" w:rsidP="002862C4" w14:paraId="5BD6C73B" w14:textId="4D044403">
            <w:pPr>
              <w:spacing w:after="0" w:line="240" w:lineRule="auto"/>
              <w:rPr>
                <w:rFonts w:ascii="Times New Roman" w:hAnsi="Times New Roman"/>
                <w:sz w:val="24"/>
                <w:szCs w:val="24"/>
              </w:rPr>
            </w:pPr>
            <w:r w:rsidRPr="002862C4">
              <w:rPr>
                <w:rFonts w:ascii="Times New Roman" w:hAnsi="Times New Roman"/>
                <w:bCs/>
                <w:sz w:val="24"/>
                <w:szCs w:val="24"/>
                <w:shd w:val="clear" w:color="auto" w:fill="FFFFFF"/>
              </w:rPr>
              <w:t>Komisijas regulas Nr. </w:t>
            </w:r>
            <w:r>
              <w:fldChar w:fldCharType="begin"/>
            </w:r>
            <w:r>
              <w:instrText xml:space="preserve"> HYPERLINK "http://eur-lex.europa.eu/eli/reg/2014/702/oj/?locale=LV" \t "_blank" </w:instrText>
            </w:r>
            <w:r>
              <w:fldChar w:fldCharType="separate"/>
            </w:r>
            <w:r w:rsidRPr="002862C4">
              <w:rPr>
                <w:rFonts w:ascii="Times New Roman" w:hAnsi="Times New Roman"/>
                <w:bCs/>
                <w:sz w:val="24"/>
                <w:szCs w:val="24"/>
                <w:shd w:val="clear" w:color="auto" w:fill="FFFFFF"/>
              </w:rPr>
              <w:t>702/2014</w:t>
            </w:r>
            <w:r>
              <w:fldChar w:fldCharType="end"/>
            </w:r>
            <w:r w:rsidRPr="002862C4">
              <w:rPr>
                <w:rFonts w:ascii="Times New Roman" w:hAnsi="Times New Roman"/>
                <w:bCs/>
                <w:sz w:val="24"/>
                <w:szCs w:val="24"/>
                <w:shd w:val="clear" w:color="auto" w:fill="FFFFFF"/>
              </w:rPr>
              <w:t xml:space="preserve"> 8.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8626A6" w:rsidRPr="002862C4" w:rsidP="002862C4" w14:paraId="59A6129A" w14:textId="35008112">
            <w:pPr>
              <w:spacing w:after="0" w:line="240" w:lineRule="auto"/>
              <w:ind w:left="57" w:right="57"/>
              <w:rPr>
                <w:rFonts w:ascii="Times New Roman" w:hAnsi="Times New Roman"/>
                <w:sz w:val="24"/>
                <w:szCs w:val="24"/>
              </w:rPr>
            </w:pPr>
            <w:r w:rsidRPr="002862C4">
              <w:rPr>
                <w:rFonts w:ascii="Times New Roman" w:hAnsi="Times New Roman"/>
                <w:sz w:val="24"/>
                <w:szCs w:val="24"/>
              </w:rPr>
              <w:t>MK noteikumu projekta 21.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8626A6" w:rsidRPr="002862C4" w:rsidP="002862C4" w14:paraId="53247490" w14:textId="6F644E1A">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8626A6" w:rsidRPr="002862C4" w:rsidP="002862C4" w14:paraId="38989141" w14:textId="76152EFB">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043880E9" w14:textId="77777777" w:rsidTr="000062A5">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2862C4" w:rsidP="002862C4" w14:paraId="3CB1E970" w14:textId="2AB7E38A">
            <w:pPr>
              <w:spacing w:after="0" w:line="240" w:lineRule="auto"/>
              <w:rPr>
                <w:rFonts w:ascii="Times New Roman" w:hAnsi="Times New Roman"/>
                <w:bCs/>
                <w:sz w:val="24"/>
                <w:szCs w:val="24"/>
                <w:shd w:val="clear" w:color="auto" w:fill="FFFFFF"/>
              </w:rPr>
            </w:pPr>
            <w:r w:rsidRPr="002862C4">
              <w:rPr>
                <w:rFonts w:ascii="Times New Roman" w:hAnsi="Times New Roman"/>
                <w:bCs/>
                <w:sz w:val="24"/>
                <w:szCs w:val="24"/>
                <w:shd w:val="clear" w:color="auto" w:fill="FFFFFF"/>
              </w:rPr>
              <w:t>Komisijas regulas Nr.</w:t>
            </w:r>
            <w:r>
              <w:fldChar w:fldCharType="begin"/>
            </w:r>
            <w:r>
              <w:instrText xml:space="preserve"> HYPERLINK "http://eur-lex.europa.eu/eli/reg/2014/1388/oj/?locale=LV" \t "_blank" </w:instrText>
            </w:r>
            <w:r>
              <w:fldChar w:fldCharType="separate"/>
            </w:r>
            <w:r w:rsidRPr="002862C4">
              <w:rPr>
                <w:rFonts w:ascii="Times New Roman" w:hAnsi="Times New Roman"/>
                <w:bCs/>
                <w:sz w:val="24"/>
                <w:szCs w:val="24"/>
                <w:shd w:val="clear" w:color="auto" w:fill="FFFFFF"/>
              </w:rPr>
              <w:t>1388/2014</w:t>
            </w:r>
            <w:r>
              <w:fldChar w:fldCharType="end"/>
            </w:r>
            <w:r w:rsidRPr="002862C4">
              <w:rPr>
                <w:rFonts w:ascii="Times New Roman" w:hAnsi="Times New Roman"/>
                <w:bCs/>
                <w:sz w:val="24"/>
                <w:szCs w:val="24"/>
                <w:shd w:val="clear" w:color="auto" w:fill="FFFFFF"/>
              </w:rPr>
              <w:t xml:space="preserve"> 8.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AD3528" w:rsidRPr="002862C4" w:rsidP="002862C4" w14:paraId="10553E8A" w14:textId="24AFF147">
            <w:pPr>
              <w:spacing w:after="0" w:line="240" w:lineRule="auto"/>
              <w:ind w:left="57" w:right="57"/>
              <w:rPr>
                <w:rFonts w:ascii="Times New Roman" w:hAnsi="Times New Roman"/>
                <w:sz w:val="24"/>
                <w:szCs w:val="24"/>
              </w:rPr>
            </w:pPr>
            <w:r w:rsidRPr="002862C4">
              <w:rPr>
                <w:rFonts w:ascii="Times New Roman" w:hAnsi="Times New Roman"/>
                <w:sz w:val="24"/>
                <w:szCs w:val="24"/>
              </w:rPr>
              <w:t>MK noteikumu projekta 21.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2862C4" w:rsidP="002862C4" w14:paraId="314CE73C" w14:textId="0CC7F761">
            <w:pPr>
              <w:spacing w:after="0" w:line="240" w:lineRule="auto"/>
              <w:ind w:left="57" w:right="57"/>
              <w:rPr>
                <w:rFonts w:ascii="Times New Roman" w:hAnsi="Times New Roman"/>
                <w:sz w:val="24"/>
                <w:szCs w:val="24"/>
              </w:rPr>
            </w:pPr>
            <w:r w:rsidRPr="002862C4">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AD3528" w:rsidRPr="002862C4" w:rsidP="002862C4" w14:paraId="6E4FBDFD" w14:textId="6E69FBC2">
            <w:pPr>
              <w:spacing w:after="0" w:line="240" w:lineRule="auto"/>
              <w:ind w:left="57" w:right="57"/>
              <w:rPr>
                <w:rFonts w:ascii="Times New Roman" w:hAnsi="Times New Roman"/>
                <w:sz w:val="24"/>
                <w:szCs w:val="24"/>
              </w:rPr>
            </w:pPr>
            <w:r w:rsidRPr="002862C4">
              <w:rPr>
                <w:rFonts w:ascii="Times New Roman" w:hAnsi="Times New Roman"/>
                <w:sz w:val="24"/>
                <w:szCs w:val="24"/>
              </w:rPr>
              <w:t>Netiek paredzētas stingrākas prasības</w:t>
            </w:r>
          </w:p>
        </w:tc>
      </w:tr>
      <w:tr w14:paraId="0445552A" w14:textId="77777777" w:rsidTr="005002D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6AF9498D"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788793FD" w14:textId="77777777">
            <w:pPr>
              <w:spacing w:after="0" w:line="240" w:lineRule="auto"/>
              <w:ind w:left="57" w:right="113"/>
              <w:rPr>
                <w:rFonts w:ascii="Times New Roman" w:hAnsi="Times New Roman"/>
                <w:sz w:val="24"/>
                <w:szCs w:val="24"/>
              </w:rPr>
            </w:pPr>
            <w:r w:rsidRPr="00671A71">
              <w:rPr>
                <w:rFonts w:ascii="Times New Roman" w:hAnsi="Times New Roman"/>
                <w:sz w:val="24"/>
                <w:szCs w:val="24"/>
              </w:rPr>
              <w:t>Projekts šo jomu neskar</w:t>
            </w:r>
          </w:p>
        </w:tc>
      </w:tr>
      <w:tr w14:paraId="6A2CCE01" w14:textId="77777777" w:rsidTr="005002D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72E0D04C"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Saistības sniegt paziņojumu ES institū</w:t>
            </w:r>
            <w:r w:rsidRPr="00671A71">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35A3DB9C" w14:textId="77777777">
            <w:pPr>
              <w:spacing w:after="0" w:line="240" w:lineRule="auto"/>
              <w:ind w:right="113"/>
              <w:rPr>
                <w:rFonts w:ascii="Times New Roman" w:hAnsi="Times New Roman"/>
                <w:sz w:val="24"/>
                <w:szCs w:val="24"/>
              </w:rPr>
            </w:pPr>
            <w:r w:rsidRPr="00671A71">
              <w:rPr>
                <w:rFonts w:ascii="Times New Roman" w:hAnsi="Times New Roman"/>
                <w:sz w:val="24"/>
                <w:szCs w:val="24"/>
              </w:rPr>
              <w:t>Projekts šo jomu neskar</w:t>
            </w:r>
          </w:p>
        </w:tc>
      </w:tr>
      <w:tr w14:paraId="67574F53" w14:textId="77777777" w:rsidTr="005002D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53E7F080" w14:textId="77777777">
            <w:pPr>
              <w:spacing w:after="0" w:line="240" w:lineRule="auto"/>
              <w:ind w:left="57" w:right="113"/>
              <w:rPr>
                <w:rFonts w:ascii="Times New Roman" w:hAnsi="Times New Roman"/>
                <w:sz w:val="24"/>
                <w:szCs w:val="24"/>
              </w:rPr>
            </w:pPr>
            <w:r w:rsidRPr="00671A71">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04024D2C" w14:textId="77777777">
            <w:pPr>
              <w:spacing w:after="0" w:line="240" w:lineRule="auto"/>
              <w:ind w:left="57" w:right="113"/>
              <w:rPr>
                <w:rFonts w:ascii="Times New Roman" w:hAnsi="Times New Roman"/>
                <w:sz w:val="24"/>
                <w:szCs w:val="24"/>
              </w:rPr>
            </w:pPr>
            <w:r w:rsidRPr="00671A71">
              <w:rPr>
                <w:rFonts w:ascii="Times New Roman" w:hAnsi="Times New Roman"/>
                <w:sz w:val="24"/>
                <w:szCs w:val="24"/>
              </w:rPr>
              <w:t>Nav</w:t>
            </w:r>
          </w:p>
        </w:tc>
      </w:tr>
      <w:tr w14:paraId="35F8A98A" w14:textId="77777777" w:rsidTr="00C65B6B">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AD3528" w:rsidRPr="00671A71" w:rsidP="002862C4" w14:paraId="1B8B01CA" w14:textId="77777777">
            <w:pPr>
              <w:spacing w:after="0" w:line="240" w:lineRule="auto"/>
              <w:ind w:left="57" w:right="113"/>
              <w:rPr>
                <w:rFonts w:ascii="Times New Roman Bold" w:hAnsi="Times New Roman Bold"/>
                <w:b/>
                <w:spacing w:val="-4"/>
                <w:sz w:val="24"/>
                <w:szCs w:val="24"/>
              </w:rPr>
            </w:pPr>
            <w:r w:rsidRPr="00671A71">
              <w:rPr>
                <w:rFonts w:ascii="Times New Roman Bold" w:hAnsi="Times New Roman Bold"/>
                <w:b/>
                <w:spacing w:val="-4"/>
                <w:sz w:val="24"/>
                <w:szCs w:val="24"/>
              </w:rPr>
              <w:t>2. tabula</w:t>
            </w:r>
          </w:p>
          <w:p w:rsidR="00AD3528" w:rsidRPr="00671A71" w:rsidP="002862C4" w14:paraId="3ED065AB" w14:textId="77777777">
            <w:pPr>
              <w:spacing w:after="0" w:line="240" w:lineRule="auto"/>
              <w:ind w:left="57" w:right="113"/>
              <w:rPr>
                <w:rFonts w:ascii="Times New Roman Bold" w:hAnsi="Times New Roman Bold"/>
                <w:b/>
                <w:spacing w:val="-4"/>
                <w:sz w:val="24"/>
                <w:szCs w:val="24"/>
              </w:rPr>
            </w:pPr>
            <w:r w:rsidRPr="00671A71">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rsidR="00AD3528" w:rsidRPr="00671A71" w:rsidP="002862C4" w14:paraId="5BD92F4E" w14:textId="77777777">
            <w:pPr>
              <w:spacing w:after="0" w:line="240" w:lineRule="auto"/>
              <w:ind w:left="57" w:right="113"/>
              <w:rPr>
                <w:rFonts w:ascii="Times New Roman Bold" w:hAnsi="Times New Roman Bold"/>
                <w:b/>
                <w:spacing w:val="-4"/>
                <w:sz w:val="24"/>
                <w:szCs w:val="24"/>
              </w:rPr>
            </w:pPr>
            <w:r w:rsidRPr="00671A71">
              <w:rPr>
                <w:rFonts w:ascii="Times New Roman Bold" w:hAnsi="Times New Roman Bold"/>
                <w:b/>
                <w:spacing w:val="-4"/>
                <w:sz w:val="24"/>
                <w:szCs w:val="24"/>
              </w:rPr>
              <w:t>Pasākumi šo saistību izpildei</w:t>
            </w:r>
          </w:p>
        </w:tc>
      </w:tr>
      <w:tr w14:paraId="671A26EF" w14:textId="77777777" w:rsidTr="005002D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D3528" w:rsidRPr="00671A71" w:rsidP="002862C4" w14:paraId="1F8CE3AF"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Attiecīgā starptautiskā tiesību akta vai starptau</w:t>
            </w:r>
            <w:r w:rsidRPr="00671A71">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7B076E29" w14:textId="77777777">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14:paraId="2FBCB99D" w14:textId="77777777" w:rsidTr="005D0391">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D3528" w:rsidRPr="00671A71" w:rsidP="002862C4" w14:paraId="71548B65" w14:textId="77777777">
            <w:pPr>
              <w:spacing w:after="0" w:line="240" w:lineRule="auto"/>
              <w:rPr>
                <w:rFonts w:ascii="Times New Roman" w:hAnsi="Times New Roman"/>
                <w:sz w:val="24"/>
                <w:szCs w:val="24"/>
              </w:rPr>
            </w:pPr>
            <w:r w:rsidRPr="00671A71">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D3528" w:rsidRPr="00671A71" w:rsidP="002862C4" w14:paraId="53748319" w14:textId="77777777">
            <w:pPr>
              <w:spacing w:after="0" w:line="240" w:lineRule="auto"/>
              <w:rPr>
                <w:rFonts w:ascii="Times New Roman" w:hAnsi="Times New Roman"/>
                <w:sz w:val="24"/>
                <w:szCs w:val="24"/>
              </w:rPr>
            </w:pPr>
            <w:r w:rsidRPr="00671A71">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AD3528" w:rsidRPr="00671A71" w:rsidP="002862C4" w14:paraId="37D63504" w14:textId="77777777">
            <w:pPr>
              <w:spacing w:after="0" w:line="240" w:lineRule="auto"/>
              <w:rPr>
                <w:rFonts w:ascii="Times New Roman" w:hAnsi="Times New Roman"/>
                <w:sz w:val="24"/>
                <w:szCs w:val="24"/>
              </w:rPr>
            </w:pPr>
            <w:r w:rsidRPr="00671A71">
              <w:rPr>
                <w:rFonts w:ascii="Times New Roman" w:hAnsi="Times New Roman"/>
                <w:sz w:val="24"/>
                <w:szCs w:val="24"/>
              </w:rPr>
              <w:t>C</w:t>
            </w:r>
          </w:p>
        </w:tc>
      </w:tr>
      <w:tr w14:paraId="79E71218" w14:textId="77777777" w:rsidTr="005D0391">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762989BC"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Starptautiskās saistības (pēc būtības), kas izriet no norādītā starptautiskā dokumenta.</w:t>
            </w:r>
          </w:p>
          <w:p w:rsidR="00AD3528" w:rsidRPr="00671A71" w:rsidP="002862C4" w14:paraId="3295D900"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39B29776"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13696821" w14:textId="77777777">
            <w:pPr>
              <w:spacing w:after="0" w:line="240" w:lineRule="auto"/>
              <w:ind w:left="57" w:right="113"/>
              <w:rPr>
                <w:rFonts w:ascii="Times New Roman" w:hAnsi="Times New Roman"/>
                <w:spacing w:val="-6"/>
                <w:sz w:val="24"/>
                <w:szCs w:val="24"/>
              </w:rPr>
            </w:pPr>
            <w:r w:rsidRPr="00671A71">
              <w:rPr>
                <w:rFonts w:ascii="Times New Roman" w:hAnsi="Times New Roman"/>
                <w:spacing w:val="-6"/>
                <w:sz w:val="24"/>
                <w:szCs w:val="24"/>
              </w:rPr>
              <w:t>Informācija par to, vai starptautiskās saistības, kas minētas šīs tabulas A ailē, tiek izpildītas pilnībā vai daļēji.</w:t>
            </w:r>
          </w:p>
          <w:p w:rsidR="00AD3528" w:rsidRPr="00671A71" w:rsidP="002862C4" w14:paraId="4DCC80CC" w14:textId="77777777">
            <w:pPr>
              <w:spacing w:after="0" w:line="240" w:lineRule="auto"/>
              <w:ind w:left="57" w:right="113"/>
              <w:rPr>
                <w:rFonts w:ascii="Times New Roman" w:hAnsi="Times New Roman"/>
                <w:spacing w:val="-6"/>
                <w:sz w:val="24"/>
                <w:szCs w:val="24"/>
              </w:rPr>
            </w:pPr>
            <w:r w:rsidRPr="00671A71">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rsidR="00AD3528" w:rsidRPr="00671A71" w:rsidP="002862C4" w14:paraId="3975DE89"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Norāda institūciju, kas ir atbildīga par šo saistību izpildi pilnībā</w:t>
            </w:r>
          </w:p>
        </w:tc>
      </w:tr>
      <w:tr w14:paraId="7803E47F" w14:textId="77777777" w:rsidTr="005002D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30AE2B3D" w14:textId="77777777">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24BD9B34" w14:textId="77777777">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18F7DDC7" w14:textId="77777777">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14:paraId="0C9C0841" w14:textId="77777777" w:rsidTr="005002D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4861C7BC"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Vai starptautiskajā dokumentā paredzētās saistības nav pretrunā ar jau esošajām Latvijas Republikas starptautis</w:t>
            </w:r>
            <w:r w:rsidRPr="00671A71">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6A384AD7" w14:textId="77777777">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14:paraId="520CF647" w14:textId="77777777" w:rsidTr="005002D0">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58F5598A"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AD3528" w:rsidRPr="00671A71" w:rsidP="002862C4" w14:paraId="5778D840" w14:textId="77777777">
            <w:pPr>
              <w:spacing w:after="0" w:line="240" w:lineRule="auto"/>
              <w:ind w:left="57" w:right="113"/>
              <w:rPr>
                <w:rFonts w:ascii="Times New Roman" w:hAnsi="Times New Roman"/>
                <w:spacing w:val="-4"/>
                <w:sz w:val="24"/>
                <w:szCs w:val="24"/>
              </w:rPr>
            </w:pPr>
            <w:r w:rsidRPr="00671A71">
              <w:rPr>
                <w:rFonts w:ascii="Times New Roman" w:hAnsi="Times New Roman"/>
                <w:spacing w:val="-4"/>
                <w:sz w:val="24"/>
                <w:szCs w:val="24"/>
              </w:rPr>
              <w:t>Nav</w:t>
            </w:r>
          </w:p>
        </w:tc>
      </w:tr>
    </w:tbl>
    <w:p w:rsidR="008260C4" w:rsidRPr="00671A71" w:rsidP="000C1B81" w14:paraId="5650D244" w14:textId="77777777">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3"/>
        <w:gridCol w:w="2132"/>
        <w:gridCol w:w="6916"/>
      </w:tblGrid>
      <w:tr w14:paraId="7CF3E4BC" w14:textId="77777777" w:rsidTr="000C1B81">
        <w:tblPrEx>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581" w:type="dxa"/>
            <w:gridSpan w:val="3"/>
            <w:shd w:val="clear" w:color="auto" w:fill="auto"/>
            <w:vAlign w:val="center"/>
          </w:tcPr>
          <w:p w:rsidR="00CC1A56" w:rsidRPr="00671A71" w:rsidP="000C1B81" w14:paraId="759F57B0" w14:textId="77777777">
            <w:pPr>
              <w:pStyle w:val="naisnod"/>
              <w:spacing w:before="0" w:beforeAutospacing="0" w:after="0" w:afterAutospacing="0"/>
              <w:ind w:left="57" w:right="57"/>
              <w:jc w:val="center"/>
            </w:pPr>
            <w:r w:rsidRPr="00671A71">
              <w:rPr>
                <w:b/>
              </w:rPr>
              <w:t>VI.</w:t>
            </w:r>
            <w:r w:rsidRPr="00671A71" w:rsidR="00F01597">
              <w:rPr>
                <w:b/>
              </w:rPr>
              <w:t xml:space="preserve"> </w:t>
            </w:r>
            <w:r w:rsidRPr="00671A71">
              <w:rPr>
                <w:b/>
              </w:rPr>
              <w:t>Sabiedrības</w:t>
            </w:r>
            <w:r w:rsidRPr="00671A71" w:rsidR="00F01597">
              <w:rPr>
                <w:b/>
              </w:rPr>
              <w:t xml:space="preserve"> </w:t>
            </w:r>
            <w:r w:rsidRPr="00671A71">
              <w:rPr>
                <w:b/>
              </w:rPr>
              <w:t>līdzdalība</w:t>
            </w:r>
            <w:r w:rsidRPr="00671A71" w:rsidR="00F01597">
              <w:rPr>
                <w:b/>
              </w:rPr>
              <w:t xml:space="preserve"> </w:t>
            </w:r>
            <w:r w:rsidRPr="00671A71">
              <w:rPr>
                <w:b/>
              </w:rPr>
              <w:t>un</w:t>
            </w:r>
            <w:r w:rsidRPr="00671A71" w:rsidR="00F01597">
              <w:rPr>
                <w:b/>
              </w:rPr>
              <w:t xml:space="preserve"> </w:t>
            </w:r>
            <w:r w:rsidRPr="00671A71">
              <w:rPr>
                <w:b/>
              </w:rPr>
              <w:t>komunikācijas</w:t>
            </w:r>
            <w:r w:rsidRPr="00671A71" w:rsidR="00F01597">
              <w:rPr>
                <w:b/>
              </w:rPr>
              <w:t xml:space="preserve"> </w:t>
            </w:r>
            <w:r w:rsidRPr="00671A71">
              <w:rPr>
                <w:b/>
              </w:rPr>
              <w:t>aktivitātes</w:t>
            </w:r>
          </w:p>
        </w:tc>
      </w:tr>
      <w:tr w14:paraId="117A87AA" w14:textId="77777777" w:rsidTr="005002D0">
        <w:tblPrEx>
          <w:tblW w:w="9581" w:type="dxa"/>
          <w:jc w:val="center"/>
          <w:tblCellMar>
            <w:left w:w="0" w:type="dxa"/>
            <w:right w:w="0" w:type="dxa"/>
          </w:tblCellMar>
          <w:tblLook w:val="0000"/>
        </w:tblPrEx>
        <w:trPr>
          <w:trHeight w:val="553"/>
          <w:jc w:val="center"/>
        </w:trPr>
        <w:tc>
          <w:tcPr>
            <w:tcW w:w="533" w:type="dxa"/>
            <w:shd w:val="clear" w:color="auto" w:fill="auto"/>
          </w:tcPr>
          <w:p w:rsidR="00CC1A56" w:rsidRPr="00671A71" w:rsidP="000C1B81" w14:paraId="339AEC6B" w14:textId="77777777">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1.</w:t>
            </w:r>
          </w:p>
        </w:tc>
        <w:tc>
          <w:tcPr>
            <w:tcW w:w="2132" w:type="dxa"/>
            <w:shd w:val="clear" w:color="auto" w:fill="auto"/>
          </w:tcPr>
          <w:p w:rsidR="00CC1A56" w:rsidRPr="00671A71" w:rsidP="000C1B81" w14:paraId="596CA2E8" w14:textId="77777777">
            <w:pPr>
              <w:tabs>
                <w:tab w:val="left" w:pos="170"/>
              </w:tabs>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Plānotās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sabiedrības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līdzdalības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un</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komunikācijas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aktivitātes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saistībā</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ar</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projektu</w:t>
            </w:r>
          </w:p>
        </w:tc>
        <w:tc>
          <w:tcPr>
            <w:tcW w:w="6916" w:type="dxa"/>
            <w:shd w:val="clear" w:color="auto" w:fill="auto"/>
          </w:tcPr>
          <w:p w:rsidR="00380792" w:rsidRPr="00671A71" w:rsidP="00463B1C" w14:paraId="37B2768C" w14:textId="77777777">
            <w:pPr>
              <w:spacing w:after="0" w:line="240" w:lineRule="auto"/>
              <w:ind w:left="57" w:right="113"/>
              <w:jc w:val="both"/>
              <w:rPr>
                <w:rFonts w:ascii="Times New Roman" w:hAnsi="Times New Roman"/>
                <w:sz w:val="24"/>
                <w:szCs w:val="24"/>
              </w:rPr>
            </w:pPr>
            <w:bookmarkStart w:id="1" w:name="p61"/>
            <w:bookmarkEnd w:id="1"/>
            <w:r w:rsidRPr="00671A71">
              <w:rPr>
                <w:rFonts w:ascii="Times New Roman" w:hAnsi="Times New Roman"/>
                <w:sz w:val="24"/>
                <w:szCs w:val="24"/>
              </w:rPr>
              <w:t>Sabiedrībai ir iespējas līdzdarboties noteikumu projekta izstrādē šādā veidā:</w:t>
            </w:r>
          </w:p>
          <w:p w:rsidR="007130D5" w:rsidRPr="00671A71" w:rsidP="00463B1C" w14:paraId="547AB1A6" w14:textId="2B0C993A">
            <w:pPr>
              <w:numPr>
                <w:ilvl w:val="0"/>
                <w:numId w:val="31"/>
              </w:numPr>
              <w:spacing w:after="0" w:line="240" w:lineRule="auto"/>
              <w:ind w:right="113"/>
              <w:jc w:val="both"/>
              <w:rPr>
                <w:rFonts w:ascii="Times New Roman" w:hAnsi="Times New Roman"/>
                <w:sz w:val="24"/>
                <w:szCs w:val="24"/>
              </w:rPr>
            </w:pPr>
            <w:r w:rsidRPr="00671A71">
              <w:rPr>
                <w:rFonts w:ascii="Times New Roman" w:hAnsi="Times New Roman"/>
                <w:sz w:val="24"/>
                <w:szCs w:val="24"/>
              </w:rPr>
              <w:t>rakstiski sniegt viedokli par</w:t>
            </w:r>
            <w:r w:rsidRPr="00671A71" w:rsidR="004D597F">
              <w:rPr>
                <w:rFonts w:ascii="Times New Roman" w:hAnsi="Times New Roman"/>
                <w:sz w:val="24"/>
                <w:szCs w:val="24"/>
              </w:rPr>
              <w:t xml:space="preserve"> MK</w:t>
            </w:r>
            <w:r w:rsidRPr="00671A71">
              <w:rPr>
                <w:rFonts w:ascii="Times New Roman" w:hAnsi="Times New Roman"/>
                <w:sz w:val="24"/>
                <w:szCs w:val="24"/>
              </w:rPr>
              <w:t xml:space="preserve"> noteikumu projektu tā izstrādes stadijā, pēc </w:t>
            </w:r>
            <w:r w:rsidRPr="00671A71" w:rsidR="004D597F">
              <w:rPr>
                <w:rFonts w:ascii="Times New Roman" w:hAnsi="Times New Roman"/>
                <w:sz w:val="24"/>
                <w:szCs w:val="24"/>
              </w:rPr>
              <w:t xml:space="preserve">MK </w:t>
            </w:r>
            <w:r w:rsidRPr="00671A71">
              <w:rPr>
                <w:rFonts w:ascii="Times New Roman" w:hAnsi="Times New Roman"/>
                <w:sz w:val="24"/>
                <w:szCs w:val="24"/>
              </w:rPr>
              <w:t>noteikumu proj</w:t>
            </w:r>
            <w:r w:rsidRPr="00671A71" w:rsidR="00080E9D">
              <w:rPr>
                <w:rFonts w:ascii="Times New Roman" w:hAnsi="Times New Roman"/>
                <w:sz w:val="24"/>
                <w:szCs w:val="24"/>
              </w:rPr>
              <w:t>ekta ievietošanas VARAM tīmekļ</w:t>
            </w:r>
            <w:r w:rsidRPr="00671A71">
              <w:rPr>
                <w:rFonts w:ascii="Times New Roman" w:hAnsi="Times New Roman"/>
                <w:sz w:val="24"/>
                <w:szCs w:val="24"/>
              </w:rPr>
              <w:t xml:space="preserve">vietnes </w:t>
            </w:r>
            <w:r w:rsidRPr="00671A71" w:rsidR="000C1B81">
              <w:rPr>
                <w:rFonts w:ascii="Times New Roman" w:hAnsi="Times New Roman"/>
                <w:sz w:val="24"/>
                <w:szCs w:val="24"/>
              </w:rPr>
              <w:t>sadaļā</w:t>
            </w:r>
            <w:r w:rsidRPr="00671A71">
              <w:rPr>
                <w:rFonts w:ascii="Times New Roman" w:hAnsi="Times New Roman"/>
                <w:sz w:val="24"/>
                <w:szCs w:val="24"/>
              </w:rPr>
              <w:t xml:space="preserve"> "Sabiedrības līdzdalība"</w:t>
            </w:r>
            <w:r w:rsidRPr="00671A71" w:rsidR="00B32BF2">
              <w:rPr>
                <w:rFonts w:ascii="Times New Roman" w:hAnsi="Times New Roman"/>
                <w:sz w:val="24"/>
                <w:szCs w:val="24"/>
              </w:rPr>
              <w:t xml:space="preserve"> laika periodā no 2017. gada 21. februāra līdz 2017. gada 7. martam</w:t>
            </w:r>
            <w:r w:rsidRPr="00671A71" w:rsidR="000C1B81">
              <w:rPr>
                <w:rFonts w:ascii="Times New Roman" w:hAnsi="Times New Roman"/>
                <w:sz w:val="24"/>
                <w:szCs w:val="24"/>
              </w:rPr>
              <w:t>;</w:t>
            </w:r>
          </w:p>
          <w:p w:rsidR="000C1B81" w:rsidRPr="00671A71" w:rsidP="00463B1C" w14:paraId="01FE1084" w14:textId="77777777">
            <w:pPr>
              <w:numPr>
                <w:ilvl w:val="0"/>
                <w:numId w:val="31"/>
              </w:numPr>
              <w:spacing w:after="0" w:line="240" w:lineRule="auto"/>
              <w:ind w:right="113"/>
              <w:jc w:val="both"/>
              <w:rPr>
                <w:rFonts w:ascii="Times New Roman" w:hAnsi="Times New Roman"/>
                <w:sz w:val="24"/>
                <w:szCs w:val="24"/>
              </w:rPr>
            </w:pPr>
            <w:r w:rsidRPr="00671A71">
              <w:rPr>
                <w:rFonts w:ascii="Times New Roman" w:hAnsi="Times New Roman"/>
                <w:sz w:val="24"/>
                <w:szCs w:val="24"/>
              </w:rPr>
              <w:t xml:space="preserve">sagatavot atzinumu par </w:t>
            </w:r>
            <w:r w:rsidRPr="00671A71" w:rsidR="004D597F">
              <w:rPr>
                <w:rFonts w:ascii="Times New Roman" w:hAnsi="Times New Roman"/>
                <w:sz w:val="24"/>
                <w:szCs w:val="24"/>
              </w:rPr>
              <w:t xml:space="preserve">MK </w:t>
            </w:r>
            <w:r w:rsidRPr="00671A71">
              <w:rPr>
                <w:rFonts w:ascii="Times New Roman" w:hAnsi="Times New Roman"/>
                <w:sz w:val="24"/>
                <w:szCs w:val="24"/>
              </w:rPr>
              <w:t>noteikumu projektu pēc tā izsludināšanas VSS.</w:t>
            </w:r>
          </w:p>
          <w:p w:rsidR="005C51A1" w:rsidRPr="00671A71" w:rsidP="005C51A1" w14:paraId="0ACC37F3" w14:textId="77777777">
            <w:pPr>
              <w:spacing w:after="0" w:line="240" w:lineRule="auto"/>
              <w:ind w:left="417" w:right="113"/>
              <w:jc w:val="both"/>
              <w:rPr>
                <w:rFonts w:ascii="Times New Roman" w:hAnsi="Times New Roman"/>
                <w:sz w:val="24"/>
                <w:szCs w:val="24"/>
              </w:rPr>
            </w:pPr>
          </w:p>
          <w:p w:rsidR="00D837AC" w:rsidRPr="00671A71" w:rsidP="00D837AC" w14:paraId="578B2E42" w14:textId="77777777">
            <w:pPr>
              <w:spacing w:after="0" w:line="240" w:lineRule="auto"/>
              <w:ind w:right="113"/>
              <w:jc w:val="both"/>
              <w:rPr>
                <w:rFonts w:ascii="Times New Roman" w:hAnsi="Times New Roman"/>
                <w:bCs/>
                <w:sz w:val="24"/>
                <w:szCs w:val="24"/>
                <w:lang w:eastAsia="lv-LV"/>
              </w:rPr>
            </w:pPr>
            <w:r w:rsidRPr="00671A71">
              <w:rPr>
                <w:rFonts w:ascii="Times New Roman" w:hAnsi="Times New Roman"/>
                <w:spacing w:val="-3"/>
                <w:sz w:val="24"/>
                <w:szCs w:val="24"/>
              </w:rPr>
              <w:t>MK n</w:t>
            </w:r>
            <w:r w:rsidRPr="00671A71">
              <w:rPr>
                <w:rFonts w:ascii="Times New Roman" w:hAnsi="Times New Roman"/>
                <w:sz w:val="24"/>
                <w:szCs w:val="24"/>
              </w:rPr>
              <w:t>oteikumu projekts tiks skaņots ar Latvijas Pašvaldību savienību, Latvijas Lielo pilsētu asociāciju, Reģionālo attīstības centru apvienību,</w:t>
            </w:r>
            <w:r w:rsidRPr="00671A71" w:rsidR="005002D0">
              <w:rPr>
                <w:rFonts w:ascii="Times New Roman" w:hAnsi="Times New Roman"/>
                <w:sz w:val="24"/>
                <w:szCs w:val="24"/>
              </w:rPr>
              <w:t xml:space="preserve"> Latgales plānošanas reģionu,</w:t>
            </w:r>
            <w:r w:rsidRPr="00671A71">
              <w:rPr>
                <w:rFonts w:ascii="Times New Roman" w:hAnsi="Times New Roman"/>
                <w:sz w:val="24"/>
                <w:szCs w:val="24"/>
              </w:rPr>
              <w:t xml:space="preserve">  FM, Tieslietu ministriju, Ekonomikas ministriju, Zemkopības ministriju, CFLA.</w:t>
            </w:r>
          </w:p>
        </w:tc>
      </w:tr>
      <w:tr w14:paraId="2EF42B1D" w14:textId="77777777" w:rsidTr="005002D0">
        <w:tblPrEx>
          <w:tblW w:w="9581" w:type="dxa"/>
          <w:jc w:val="center"/>
          <w:tblCellMar>
            <w:left w:w="0" w:type="dxa"/>
            <w:right w:w="0" w:type="dxa"/>
          </w:tblCellMar>
          <w:tblLook w:val="0000"/>
        </w:tblPrEx>
        <w:trPr>
          <w:trHeight w:val="339"/>
          <w:jc w:val="center"/>
        </w:trPr>
        <w:tc>
          <w:tcPr>
            <w:tcW w:w="533" w:type="dxa"/>
            <w:shd w:val="clear" w:color="auto" w:fill="auto"/>
          </w:tcPr>
          <w:p w:rsidR="004C5E6A" w:rsidRPr="00671A71" w:rsidP="000C1B81" w14:paraId="24B34C51" w14:textId="77777777">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2.</w:t>
            </w:r>
          </w:p>
        </w:tc>
        <w:tc>
          <w:tcPr>
            <w:tcW w:w="2132" w:type="dxa"/>
            <w:shd w:val="clear" w:color="auto" w:fill="auto"/>
          </w:tcPr>
          <w:p w:rsidR="004C5E6A" w:rsidRPr="00671A71" w:rsidP="000C1B81" w14:paraId="0D8384D0" w14:textId="77777777">
            <w:pPr>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Sabiedrības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līdzdalība</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projekta</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izstrādē</w:t>
            </w:r>
          </w:p>
        </w:tc>
        <w:tc>
          <w:tcPr>
            <w:tcW w:w="6916" w:type="dxa"/>
            <w:shd w:val="clear" w:color="auto" w:fill="auto"/>
          </w:tcPr>
          <w:p w:rsidR="0070388D" w:rsidRPr="00671A71" w:rsidP="000C1B81" w14:paraId="098ADAAF" w14:textId="77777777">
            <w:pPr>
              <w:spacing w:after="0" w:line="240" w:lineRule="auto"/>
              <w:ind w:left="79" w:right="93"/>
              <w:rPr>
                <w:rFonts w:ascii="Times New Roman" w:hAnsi="Times New Roman"/>
                <w:sz w:val="24"/>
                <w:szCs w:val="24"/>
                <w:lang w:eastAsia="lv-LV"/>
              </w:rPr>
            </w:pPr>
            <w:bookmarkStart w:id="2" w:name="p62"/>
            <w:bookmarkEnd w:id="2"/>
            <w:r w:rsidRPr="00671A71">
              <w:rPr>
                <w:rFonts w:ascii="Times New Roman" w:hAnsi="Times New Roman"/>
                <w:spacing w:val="-4"/>
                <w:sz w:val="24"/>
                <w:szCs w:val="24"/>
              </w:rPr>
              <w:t>MK n</w:t>
            </w:r>
            <w:r w:rsidRPr="00671A71" w:rsidR="00AE4822">
              <w:rPr>
                <w:rFonts w:ascii="Times New Roman" w:hAnsi="Times New Roman"/>
                <w:spacing w:val="-4"/>
                <w:sz w:val="24"/>
                <w:szCs w:val="24"/>
              </w:rPr>
              <w:t>oteikumu pro</w:t>
            </w:r>
            <w:r w:rsidRPr="00671A71" w:rsidR="00867A4D">
              <w:rPr>
                <w:rFonts w:ascii="Times New Roman" w:hAnsi="Times New Roman"/>
                <w:spacing w:val="-4"/>
                <w:sz w:val="24"/>
                <w:szCs w:val="24"/>
              </w:rPr>
              <w:t>jekta izstrādes procesā ir notikušas konsultācijas ar FM un CFLA.</w:t>
            </w:r>
          </w:p>
        </w:tc>
      </w:tr>
      <w:tr w14:paraId="796755B7" w14:textId="77777777" w:rsidTr="005002D0">
        <w:tblPrEx>
          <w:tblW w:w="9581" w:type="dxa"/>
          <w:jc w:val="center"/>
          <w:tblCellMar>
            <w:left w:w="0" w:type="dxa"/>
            <w:right w:w="0" w:type="dxa"/>
          </w:tblCellMar>
          <w:tblLook w:val="0000"/>
        </w:tblPrEx>
        <w:trPr>
          <w:trHeight w:val="476"/>
          <w:jc w:val="center"/>
        </w:trPr>
        <w:tc>
          <w:tcPr>
            <w:tcW w:w="533" w:type="dxa"/>
            <w:shd w:val="clear" w:color="auto" w:fill="auto"/>
          </w:tcPr>
          <w:p w:rsidR="004C5E6A" w:rsidRPr="00671A71" w:rsidP="000C1B81" w14:paraId="6826D292" w14:textId="77777777">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3.</w:t>
            </w:r>
          </w:p>
        </w:tc>
        <w:tc>
          <w:tcPr>
            <w:tcW w:w="2132" w:type="dxa"/>
            <w:shd w:val="clear" w:color="auto" w:fill="auto"/>
          </w:tcPr>
          <w:p w:rsidR="004C5E6A" w:rsidRPr="00671A71" w:rsidP="000C1B81" w14:paraId="34691F7B" w14:textId="77777777">
            <w:pPr>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Sabiedrības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līdzdalības</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rezultāti</w:t>
            </w:r>
          </w:p>
        </w:tc>
        <w:tc>
          <w:tcPr>
            <w:tcW w:w="6916" w:type="dxa"/>
            <w:shd w:val="clear" w:color="auto" w:fill="auto"/>
          </w:tcPr>
          <w:p w:rsidR="004C5E6A" w:rsidRPr="00671A71" w:rsidP="000C1B81" w14:paraId="3FE96F80" w14:textId="77777777">
            <w:pPr>
              <w:spacing w:after="0" w:line="240" w:lineRule="auto"/>
              <w:ind w:left="79" w:right="93"/>
              <w:rPr>
                <w:rFonts w:ascii="Times New Roman" w:hAnsi="Times New Roman"/>
                <w:sz w:val="24"/>
                <w:szCs w:val="24"/>
              </w:rPr>
            </w:pPr>
            <w:r w:rsidRPr="00671A71">
              <w:rPr>
                <w:rFonts w:ascii="Times New Roman" w:hAnsi="Times New Roman"/>
                <w:sz w:val="24"/>
                <w:szCs w:val="24"/>
                <w:lang w:eastAsia="lv-LV"/>
              </w:rPr>
              <w:t>Nav</w:t>
            </w:r>
          </w:p>
        </w:tc>
      </w:tr>
      <w:tr w14:paraId="0EFD32F2" w14:textId="77777777" w:rsidTr="005002D0">
        <w:tblPrEx>
          <w:tblW w:w="9581" w:type="dxa"/>
          <w:jc w:val="center"/>
          <w:tblCellMar>
            <w:left w:w="0" w:type="dxa"/>
            <w:right w:w="0" w:type="dxa"/>
          </w:tblCellMar>
          <w:tblLook w:val="0000"/>
        </w:tblPrEx>
        <w:trPr>
          <w:trHeight w:val="257"/>
          <w:jc w:val="center"/>
        </w:trPr>
        <w:tc>
          <w:tcPr>
            <w:tcW w:w="533" w:type="dxa"/>
            <w:shd w:val="clear" w:color="auto" w:fill="auto"/>
          </w:tcPr>
          <w:p w:rsidR="004C5E6A" w:rsidRPr="00671A71" w:rsidP="000C1B81" w14:paraId="0C5053FB" w14:textId="77777777">
            <w:pPr>
              <w:spacing w:after="0" w:line="240" w:lineRule="auto"/>
              <w:ind w:left="57" w:right="57"/>
              <w:jc w:val="both"/>
              <w:rPr>
                <w:rFonts w:ascii="Times New Roman" w:hAnsi="Times New Roman"/>
                <w:bCs/>
                <w:sz w:val="24"/>
                <w:szCs w:val="24"/>
              </w:rPr>
            </w:pPr>
            <w:r w:rsidRPr="00671A71">
              <w:rPr>
                <w:rFonts w:ascii="Times New Roman" w:hAnsi="Times New Roman"/>
                <w:bCs/>
                <w:sz w:val="24"/>
                <w:szCs w:val="24"/>
              </w:rPr>
              <w:t>4.</w:t>
            </w:r>
          </w:p>
        </w:tc>
        <w:tc>
          <w:tcPr>
            <w:tcW w:w="2132" w:type="dxa"/>
            <w:shd w:val="clear" w:color="auto" w:fill="auto"/>
          </w:tcPr>
          <w:p w:rsidR="004C5E6A" w:rsidRPr="00671A71" w:rsidP="000C1B81" w14:paraId="00B27976" w14:textId="77777777">
            <w:pPr>
              <w:spacing w:after="0" w:line="240" w:lineRule="auto"/>
              <w:ind w:left="57" w:right="57"/>
              <w:rPr>
                <w:rFonts w:ascii="Times New Roman" w:hAnsi="Times New Roman"/>
                <w:sz w:val="24"/>
                <w:szCs w:val="24"/>
                <w:lang w:eastAsia="lv-LV"/>
              </w:rPr>
            </w:pPr>
            <w:r w:rsidRPr="00671A71">
              <w:rPr>
                <w:rFonts w:ascii="Times New Roman" w:hAnsi="Times New Roman"/>
                <w:sz w:val="24"/>
                <w:szCs w:val="24"/>
                <w:lang w:eastAsia="lv-LV"/>
              </w:rPr>
              <w:t>Cita</w:t>
            </w:r>
            <w:r w:rsidRPr="00671A71" w:rsidR="00F01597">
              <w:rPr>
                <w:rFonts w:ascii="Times New Roman" w:hAnsi="Times New Roman"/>
                <w:sz w:val="24"/>
                <w:szCs w:val="24"/>
                <w:lang w:eastAsia="lv-LV"/>
              </w:rPr>
              <w:t xml:space="preserve"> </w:t>
            </w:r>
            <w:r w:rsidRPr="00671A71">
              <w:rPr>
                <w:rFonts w:ascii="Times New Roman" w:hAnsi="Times New Roman"/>
                <w:sz w:val="24"/>
                <w:szCs w:val="24"/>
                <w:lang w:eastAsia="lv-LV"/>
              </w:rPr>
              <w:t>informācija</w:t>
            </w:r>
          </w:p>
        </w:tc>
        <w:tc>
          <w:tcPr>
            <w:tcW w:w="6916" w:type="dxa"/>
            <w:shd w:val="clear" w:color="auto" w:fill="auto"/>
          </w:tcPr>
          <w:p w:rsidR="004C5E6A" w:rsidRPr="00671A71" w:rsidP="000C1B81" w14:paraId="59EA5CF6" w14:textId="77777777">
            <w:pPr>
              <w:spacing w:after="0" w:line="240" w:lineRule="auto"/>
              <w:ind w:left="57" w:right="113"/>
              <w:jc w:val="both"/>
              <w:rPr>
                <w:rFonts w:ascii="Times New Roman" w:hAnsi="Times New Roman"/>
                <w:sz w:val="24"/>
                <w:szCs w:val="24"/>
                <w:lang w:eastAsia="lv-LV"/>
              </w:rPr>
            </w:pPr>
            <w:r w:rsidRPr="00671A71">
              <w:rPr>
                <w:rFonts w:ascii="Times New Roman" w:hAnsi="Times New Roman"/>
                <w:sz w:val="24"/>
                <w:szCs w:val="24"/>
              </w:rPr>
              <w:t>Nav</w:t>
            </w:r>
          </w:p>
        </w:tc>
      </w:tr>
    </w:tbl>
    <w:p w:rsidR="00CC1A56" w:rsidRPr="00671A71" w:rsidP="00734441" w14:paraId="22982A3C" w14:textId="77777777">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473"/>
        <w:gridCol w:w="5608"/>
      </w:tblGrid>
      <w:tr w14:paraId="01FE677E" w14:textId="77777777" w:rsidTr="000C1B81">
        <w:tblPrEx>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jc w:val="center"/>
        </w:trPr>
        <w:tc>
          <w:tcPr>
            <w:tcW w:w="9518" w:type="dxa"/>
            <w:gridSpan w:val="3"/>
            <w:shd w:val="clear" w:color="auto" w:fill="auto"/>
            <w:vAlign w:val="center"/>
          </w:tcPr>
          <w:p w:rsidR="00CC1A56" w:rsidRPr="00671A71" w:rsidP="00734441" w14:paraId="4298FBBD" w14:textId="77777777">
            <w:pPr>
              <w:pStyle w:val="naisnod"/>
              <w:spacing w:before="0" w:beforeAutospacing="0" w:after="0" w:afterAutospacing="0"/>
              <w:ind w:left="57" w:right="57"/>
              <w:jc w:val="center"/>
              <w:rPr>
                <w:spacing w:val="-4"/>
              </w:rPr>
            </w:pPr>
            <w:r w:rsidRPr="00671A71">
              <w:rPr>
                <w:b/>
                <w:spacing w:val="-4"/>
              </w:rPr>
              <w:t>VII.</w:t>
            </w:r>
            <w:r w:rsidRPr="00671A71" w:rsidR="00F01597">
              <w:rPr>
                <w:b/>
                <w:spacing w:val="-4"/>
              </w:rPr>
              <w:t xml:space="preserve"> </w:t>
            </w:r>
            <w:r w:rsidRPr="00671A71">
              <w:rPr>
                <w:b/>
                <w:spacing w:val="-4"/>
              </w:rPr>
              <w:t>Tiesību</w:t>
            </w:r>
            <w:r w:rsidRPr="00671A71" w:rsidR="00F01597">
              <w:rPr>
                <w:b/>
                <w:spacing w:val="-4"/>
              </w:rPr>
              <w:t xml:space="preserve"> </w:t>
            </w:r>
            <w:r w:rsidRPr="00671A71">
              <w:rPr>
                <w:b/>
                <w:spacing w:val="-4"/>
              </w:rPr>
              <w:t>akta</w:t>
            </w:r>
            <w:r w:rsidRPr="00671A71" w:rsidR="00F01597">
              <w:rPr>
                <w:b/>
                <w:spacing w:val="-4"/>
              </w:rPr>
              <w:t xml:space="preserve"> </w:t>
            </w:r>
            <w:r w:rsidRPr="00671A71">
              <w:rPr>
                <w:b/>
                <w:spacing w:val="-4"/>
              </w:rPr>
              <w:t>projekta</w:t>
            </w:r>
            <w:r w:rsidRPr="00671A71" w:rsidR="00F01597">
              <w:rPr>
                <w:b/>
                <w:spacing w:val="-4"/>
              </w:rPr>
              <w:t xml:space="preserve"> </w:t>
            </w:r>
            <w:r w:rsidRPr="00671A71">
              <w:rPr>
                <w:b/>
                <w:spacing w:val="-4"/>
              </w:rPr>
              <w:t>izpildes</w:t>
            </w:r>
            <w:r w:rsidRPr="00671A71" w:rsidR="00F01597">
              <w:rPr>
                <w:b/>
                <w:spacing w:val="-4"/>
              </w:rPr>
              <w:t xml:space="preserve"> </w:t>
            </w:r>
            <w:r w:rsidRPr="00671A71">
              <w:rPr>
                <w:b/>
                <w:spacing w:val="-4"/>
              </w:rPr>
              <w:t>nodrošināšana</w:t>
            </w:r>
            <w:r w:rsidRPr="00671A71" w:rsidR="00F01597">
              <w:rPr>
                <w:b/>
                <w:spacing w:val="-4"/>
              </w:rPr>
              <w:t xml:space="preserve"> </w:t>
            </w:r>
            <w:r w:rsidRPr="00671A71">
              <w:rPr>
                <w:b/>
                <w:spacing w:val="-4"/>
              </w:rPr>
              <w:t>un</w:t>
            </w:r>
            <w:r w:rsidRPr="00671A71" w:rsidR="00F01597">
              <w:rPr>
                <w:b/>
                <w:spacing w:val="-4"/>
              </w:rPr>
              <w:t xml:space="preserve"> </w:t>
            </w:r>
            <w:r w:rsidRPr="00671A71">
              <w:rPr>
                <w:b/>
                <w:spacing w:val="-4"/>
              </w:rPr>
              <w:t>tās</w:t>
            </w:r>
            <w:r w:rsidRPr="00671A71" w:rsidR="00F01597">
              <w:rPr>
                <w:b/>
                <w:spacing w:val="-4"/>
              </w:rPr>
              <w:t xml:space="preserve"> </w:t>
            </w:r>
            <w:r w:rsidRPr="00671A71">
              <w:rPr>
                <w:b/>
                <w:spacing w:val="-4"/>
              </w:rPr>
              <w:t>ietekme</w:t>
            </w:r>
            <w:r w:rsidRPr="00671A71" w:rsidR="00F01597">
              <w:rPr>
                <w:b/>
                <w:spacing w:val="-4"/>
              </w:rPr>
              <w:t xml:space="preserve"> </w:t>
            </w:r>
            <w:r w:rsidRPr="00671A71">
              <w:rPr>
                <w:b/>
                <w:spacing w:val="-4"/>
              </w:rPr>
              <w:t>uz</w:t>
            </w:r>
            <w:r w:rsidRPr="00671A71" w:rsidR="00F01597">
              <w:rPr>
                <w:b/>
                <w:spacing w:val="-4"/>
              </w:rPr>
              <w:t xml:space="preserve"> </w:t>
            </w:r>
            <w:r w:rsidRPr="00671A71">
              <w:rPr>
                <w:b/>
                <w:spacing w:val="-4"/>
              </w:rPr>
              <w:t>institūcijām</w:t>
            </w:r>
          </w:p>
        </w:tc>
      </w:tr>
      <w:tr w14:paraId="6FC69588" w14:textId="77777777" w:rsidTr="00235E0C">
        <w:tblPrEx>
          <w:tblW w:w="9518" w:type="dxa"/>
          <w:jc w:val="center"/>
          <w:tblCellMar>
            <w:top w:w="28" w:type="dxa"/>
            <w:left w:w="28" w:type="dxa"/>
            <w:bottom w:w="28" w:type="dxa"/>
            <w:right w:w="28" w:type="dxa"/>
          </w:tblCellMar>
          <w:tblLook w:val="0000"/>
        </w:tblPrEx>
        <w:trPr>
          <w:trHeight w:val="427"/>
          <w:jc w:val="center"/>
        </w:trPr>
        <w:tc>
          <w:tcPr>
            <w:tcW w:w="437" w:type="dxa"/>
          </w:tcPr>
          <w:p w:rsidR="00CC1A56" w:rsidRPr="00671A71" w:rsidP="00734441" w14:paraId="17D4FA7C" w14:textId="77777777">
            <w:pPr>
              <w:pStyle w:val="naisnod"/>
              <w:spacing w:before="0" w:beforeAutospacing="0" w:after="0" w:afterAutospacing="0"/>
              <w:ind w:left="57" w:right="57"/>
              <w:jc w:val="both"/>
              <w:rPr>
                <w:spacing w:val="-4"/>
              </w:rPr>
            </w:pPr>
            <w:r w:rsidRPr="00671A71">
              <w:rPr>
                <w:spacing w:val="-4"/>
              </w:rPr>
              <w:t>1.</w:t>
            </w:r>
          </w:p>
        </w:tc>
        <w:tc>
          <w:tcPr>
            <w:tcW w:w="3473" w:type="dxa"/>
            <w:shd w:val="clear" w:color="auto" w:fill="auto"/>
          </w:tcPr>
          <w:p w:rsidR="00CC1A56" w:rsidRPr="00671A71" w:rsidP="00734441" w14:paraId="609A12E1" w14:textId="77777777">
            <w:pPr>
              <w:pStyle w:val="naisf"/>
              <w:spacing w:before="0" w:beforeAutospacing="0" w:after="0" w:afterAutospacing="0"/>
              <w:ind w:left="57" w:right="57"/>
              <w:rPr>
                <w:spacing w:val="-4"/>
              </w:rPr>
            </w:pPr>
            <w:r w:rsidRPr="00671A71">
              <w:rPr>
                <w:spacing w:val="-4"/>
              </w:rPr>
              <w:t>Projekta</w:t>
            </w:r>
            <w:r w:rsidRPr="00671A71" w:rsidR="00F01597">
              <w:rPr>
                <w:spacing w:val="-4"/>
              </w:rPr>
              <w:t xml:space="preserve"> </w:t>
            </w:r>
            <w:r w:rsidRPr="00671A71">
              <w:rPr>
                <w:spacing w:val="-4"/>
              </w:rPr>
              <w:t>izpildē</w:t>
            </w:r>
            <w:r w:rsidRPr="00671A71" w:rsidR="00F01597">
              <w:rPr>
                <w:spacing w:val="-4"/>
              </w:rPr>
              <w:t xml:space="preserve"> </w:t>
            </w:r>
            <w:r w:rsidRPr="00671A71">
              <w:rPr>
                <w:spacing w:val="-4"/>
              </w:rPr>
              <w:t>iesaistītās</w:t>
            </w:r>
            <w:r w:rsidRPr="00671A71" w:rsidR="00F01597">
              <w:rPr>
                <w:spacing w:val="-4"/>
              </w:rPr>
              <w:t xml:space="preserve"> </w:t>
            </w:r>
            <w:r w:rsidRPr="00671A71">
              <w:rPr>
                <w:spacing w:val="-4"/>
              </w:rPr>
              <w:t>institūcijas</w:t>
            </w:r>
          </w:p>
        </w:tc>
        <w:tc>
          <w:tcPr>
            <w:tcW w:w="5608" w:type="dxa"/>
            <w:shd w:val="clear" w:color="auto" w:fill="auto"/>
          </w:tcPr>
          <w:p w:rsidR="003165E8" w:rsidRPr="00671A71" w:rsidP="00734441" w14:paraId="11D33C8D" w14:textId="77777777">
            <w:pPr>
              <w:spacing w:after="0" w:line="240" w:lineRule="auto"/>
              <w:ind w:left="57" w:right="113"/>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sidRPr="00671A71">
              <w:rPr>
                <w:rFonts w:ascii="Times New Roman" w:eastAsia="Times New Roman" w:hAnsi="Times New Roman"/>
                <w:spacing w:val="-4"/>
                <w:sz w:val="24"/>
                <w:szCs w:val="24"/>
                <w:lang w:eastAsia="lv-LV"/>
              </w:rPr>
              <w:t>SAM 5.6.2</w:t>
            </w:r>
            <w:r w:rsidRPr="00671A71" w:rsidR="00EE34B8">
              <w:rPr>
                <w:rFonts w:ascii="Times New Roman" w:eastAsia="Times New Roman" w:hAnsi="Times New Roman"/>
                <w:spacing w:val="-4"/>
                <w:sz w:val="24"/>
                <w:szCs w:val="24"/>
                <w:lang w:eastAsia="lv-LV"/>
              </w:rPr>
              <w:t>. </w:t>
            </w:r>
            <w:r w:rsidRPr="00671A71" w:rsidR="00E13060">
              <w:rPr>
                <w:rFonts w:ascii="Times New Roman" w:eastAsia="Times New Roman" w:hAnsi="Times New Roman"/>
                <w:spacing w:val="-4"/>
                <w:sz w:val="24"/>
                <w:szCs w:val="24"/>
                <w:lang w:eastAsia="lv-LV"/>
              </w:rPr>
              <w:t>projektu  iesniegumu iesniedzēji,  to sadarbības partneri un CFLA.</w:t>
            </w:r>
          </w:p>
        </w:tc>
      </w:tr>
      <w:tr w14:paraId="42B38DDD" w14:textId="77777777" w:rsidTr="00235E0C">
        <w:tblPrEx>
          <w:tblW w:w="9518" w:type="dxa"/>
          <w:jc w:val="center"/>
          <w:tblCellMar>
            <w:top w:w="28" w:type="dxa"/>
            <w:left w:w="28" w:type="dxa"/>
            <w:bottom w:w="28" w:type="dxa"/>
            <w:right w:w="28" w:type="dxa"/>
          </w:tblCellMar>
          <w:tblLook w:val="0000"/>
        </w:tblPrEx>
        <w:trPr>
          <w:trHeight w:val="463"/>
          <w:jc w:val="center"/>
        </w:trPr>
        <w:tc>
          <w:tcPr>
            <w:tcW w:w="437" w:type="dxa"/>
          </w:tcPr>
          <w:p w:rsidR="00833BFA" w:rsidRPr="00671A71" w:rsidP="00833BFA" w14:paraId="306377F8" w14:textId="77777777">
            <w:pPr>
              <w:pStyle w:val="naisnod"/>
              <w:spacing w:before="0" w:beforeAutospacing="0" w:after="0" w:afterAutospacing="0"/>
              <w:ind w:left="57" w:right="57"/>
              <w:jc w:val="both"/>
              <w:rPr>
                <w:spacing w:val="-4"/>
              </w:rPr>
            </w:pPr>
            <w:r w:rsidRPr="00671A71">
              <w:rPr>
                <w:spacing w:val="-4"/>
              </w:rPr>
              <w:t>2.</w:t>
            </w:r>
          </w:p>
        </w:tc>
        <w:tc>
          <w:tcPr>
            <w:tcW w:w="3473" w:type="dxa"/>
            <w:shd w:val="clear" w:color="auto" w:fill="auto"/>
          </w:tcPr>
          <w:p w:rsidR="00833BFA" w:rsidRPr="00671A71" w:rsidP="00833BFA" w14:paraId="72FE3EC8" w14:textId="77777777">
            <w:pPr>
              <w:pStyle w:val="naisf"/>
              <w:spacing w:before="0" w:beforeAutospacing="0" w:after="0" w:afterAutospacing="0"/>
              <w:ind w:left="57" w:right="57"/>
              <w:rPr>
                <w:spacing w:val="-4"/>
              </w:rPr>
            </w:pPr>
            <w:r w:rsidRPr="00671A71">
              <w:rPr>
                <w:spacing w:val="-4"/>
              </w:rPr>
              <w:t>Projekta izpildes ietekme uz pārvaldes funkcijām un institucionālo struktūru.</w:t>
            </w:r>
          </w:p>
          <w:p w:rsidR="00833BFA" w:rsidRPr="00671A71" w:rsidP="00833BFA" w14:paraId="1EBB68C2" w14:textId="77777777">
            <w:pPr>
              <w:pStyle w:val="naisf"/>
              <w:spacing w:before="0" w:beforeAutospacing="0" w:after="0" w:afterAutospacing="0"/>
              <w:ind w:left="57" w:right="57"/>
              <w:rPr>
                <w:spacing w:val="-4"/>
              </w:rPr>
            </w:pPr>
            <w:r w:rsidRPr="00671A71">
              <w:rPr>
                <w:spacing w:val="-4"/>
              </w:rPr>
              <w:t>Jaunu institūciju izveide, esošu institūciju likvidācija vai reorga</w:t>
            </w:r>
            <w:r w:rsidRPr="00671A71">
              <w:rPr>
                <w:spacing w:val="-4"/>
              </w:rPr>
              <w:softHyphen/>
              <w:t>nizācija, to ietekme uz institūcijas cilvēkresursiem</w:t>
            </w:r>
          </w:p>
        </w:tc>
        <w:tc>
          <w:tcPr>
            <w:tcW w:w="5608" w:type="dxa"/>
            <w:shd w:val="clear" w:color="auto" w:fill="auto"/>
          </w:tcPr>
          <w:p w:rsidR="00833BFA" w:rsidRPr="00671A71" w:rsidP="00833BFA" w14:paraId="16AE95BF" w14:textId="77777777">
            <w:pPr>
              <w:spacing w:after="0" w:line="240" w:lineRule="auto"/>
              <w:ind w:right="113"/>
              <w:rPr>
                <w:rFonts w:ascii="Times New Roman" w:hAnsi="Times New Roman"/>
                <w:spacing w:val="-4"/>
                <w:sz w:val="24"/>
                <w:szCs w:val="24"/>
              </w:rPr>
            </w:pPr>
            <w:r w:rsidRPr="00671A71">
              <w:rPr>
                <w:rFonts w:ascii="Times New Roman" w:hAnsi="Times New Roman"/>
                <w:spacing w:val="-4"/>
                <w:sz w:val="24"/>
                <w:szCs w:val="24"/>
              </w:rPr>
              <w:t>Projekts šo jomu neskar</w:t>
            </w:r>
          </w:p>
        </w:tc>
      </w:tr>
      <w:tr w14:paraId="6697BE3D" w14:textId="77777777" w:rsidTr="00235E0C">
        <w:tblPrEx>
          <w:tblW w:w="9518" w:type="dxa"/>
          <w:jc w:val="center"/>
          <w:tblCellMar>
            <w:top w:w="28" w:type="dxa"/>
            <w:left w:w="28" w:type="dxa"/>
            <w:bottom w:w="28" w:type="dxa"/>
            <w:right w:w="28" w:type="dxa"/>
          </w:tblCellMar>
          <w:tblLook w:val="0000"/>
        </w:tblPrEx>
        <w:trPr>
          <w:trHeight w:val="289"/>
          <w:jc w:val="center"/>
        </w:trPr>
        <w:tc>
          <w:tcPr>
            <w:tcW w:w="437" w:type="dxa"/>
            <w:tcBorders>
              <w:top w:val="single" w:sz="4" w:space="0" w:color="auto"/>
              <w:left w:val="single" w:sz="4" w:space="0" w:color="auto"/>
              <w:bottom w:val="single" w:sz="4" w:space="0" w:color="auto"/>
              <w:right w:val="single" w:sz="4" w:space="0" w:color="auto"/>
            </w:tcBorders>
          </w:tcPr>
          <w:p w:rsidR="00833BFA" w:rsidRPr="00671A71" w:rsidP="00833BFA" w14:paraId="7D562A14" w14:textId="77777777">
            <w:pPr>
              <w:pStyle w:val="naisnod"/>
              <w:spacing w:before="0" w:beforeAutospacing="0" w:after="0" w:afterAutospacing="0"/>
              <w:ind w:left="57" w:right="57"/>
              <w:jc w:val="both"/>
              <w:rPr>
                <w:spacing w:val="-4"/>
              </w:rPr>
            </w:pPr>
            <w:r w:rsidRPr="00671A71">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833BFA" w:rsidRPr="00671A71" w:rsidP="00833BFA" w14:paraId="6D993673" w14:textId="77777777">
            <w:pPr>
              <w:pStyle w:val="naisf"/>
              <w:spacing w:before="0" w:beforeAutospacing="0" w:after="0" w:afterAutospacing="0"/>
              <w:ind w:left="57" w:right="57"/>
              <w:rPr>
                <w:spacing w:val="-4"/>
              </w:rPr>
            </w:pPr>
            <w:r w:rsidRPr="00671A71">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833BFA" w:rsidRPr="00671A71" w:rsidP="00833BFA" w14:paraId="29CADD47" w14:textId="77777777">
            <w:pPr>
              <w:spacing w:after="0" w:line="240" w:lineRule="auto"/>
              <w:ind w:left="57" w:right="57"/>
              <w:jc w:val="both"/>
              <w:rPr>
                <w:rFonts w:ascii="Times New Roman" w:hAnsi="Times New Roman"/>
                <w:spacing w:val="-4"/>
                <w:sz w:val="24"/>
                <w:szCs w:val="24"/>
                <w:lang w:eastAsia="lv-LV"/>
              </w:rPr>
            </w:pPr>
            <w:r w:rsidRPr="00671A71">
              <w:rPr>
                <w:rFonts w:ascii="Times New Roman" w:hAnsi="Times New Roman"/>
                <w:spacing w:val="-4"/>
                <w:sz w:val="24"/>
                <w:szCs w:val="24"/>
              </w:rPr>
              <w:t>Nav</w:t>
            </w:r>
          </w:p>
        </w:tc>
      </w:tr>
    </w:tbl>
    <w:p w:rsidR="00CA12E8" w:rsidRPr="00671A71" w:rsidP="00940621" w14:paraId="666A1502" w14:textId="77777777">
      <w:pPr>
        <w:spacing w:after="0" w:line="240" w:lineRule="auto"/>
        <w:jc w:val="both"/>
        <w:rPr>
          <w:rFonts w:ascii="Times New Roman" w:eastAsia="Times New Roman" w:hAnsi="Times New Roman"/>
          <w:sz w:val="28"/>
          <w:szCs w:val="28"/>
          <w:lang w:eastAsia="lv-LV"/>
        </w:rPr>
      </w:pPr>
    </w:p>
    <w:p w:rsidR="00734441" w:rsidRPr="00671A71" w:rsidP="00734441" w14:paraId="4875960E" w14:textId="0431E001">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rsidR="00734441" w:rsidRPr="00671A71" w:rsidP="00734441" w14:paraId="620A6DA0" w14:textId="77777777">
      <w:pPr>
        <w:spacing w:after="0"/>
        <w:rPr>
          <w:rFonts w:ascii="Times New Roman" w:hAnsi="Times New Roman"/>
          <w:color w:val="000000"/>
          <w:sz w:val="24"/>
          <w:szCs w:val="24"/>
        </w:rPr>
      </w:pPr>
      <w:r w:rsidRPr="00671A71">
        <w:rPr>
          <w:rFonts w:ascii="Times New Roman" w:hAnsi="Times New Roman"/>
          <w:color w:val="000000"/>
          <w:sz w:val="24"/>
          <w:szCs w:val="24"/>
        </w:rPr>
        <w:t>reģionāl</w:t>
      </w:r>
      <w:r w:rsidRPr="00671A71" w:rsidR="00EE34B8">
        <w:rPr>
          <w:rFonts w:ascii="Times New Roman" w:hAnsi="Times New Roman"/>
          <w:color w:val="000000"/>
          <w:sz w:val="24"/>
          <w:szCs w:val="24"/>
        </w:rPr>
        <w:t>ās attīstības ministrs</w:t>
      </w:r>
      <w:r w:rsidRPr="00671A71" w:rsidR="00EE34B8">
        <w:rPr>
          <w:rFonts w:ascii="Times New Roman" w:hAnsi="Times New Roman"/>
          <w:color w:val="000000"/>
          <w:sz w:val="24"/>
          <w:szCs w:val="24"/>
        </w:rPr>
        <w:tab/>
      </w:r>
      <w:r w:rsidRPr="00671A71" w:rsidR="00EE34B8">
        <w:rPr>
          <w:rFonts w:ascii="Times New Roman" w:hAnsi="Times New Roman"/>
          <w:color w:val="000000"/>
          <w:sz w:val="24"/>
          <w:szCs w:val="24"/>
        </w:rPr>
        <w:tab/>
      </w:r>
      <w:r w:rsidRPr="00671A71" w:rsidR="00EE34B8">
        <w:rPr>
          <w:rFonts w:ascii="Times New Roman" w:hAnsi="Times New Roman"/>
          <w:color w:val="000000"/>
          <w:sz w:val="24"/>
          <w:szCs w:val="24"/>
        </w:rPr>
        <w:tab/>
      </w:r>
      <w:r w:rsidRPr="00671A71" w:rsidR="00EE34B8">
        <w:rPr>
          <w:rFonts w:ascii="Times New Roman" w:hAnsi="Times New Roman"/>
          <w:color w:val="000000"/>
          <w:sz w:val="24"/>
          <w:szCs w:val="24"/>
        </w:rPr>
        <w:tab/>
      </w:r>
      <w:r w:rsidRPr="00671A71" w:rsidR="00EE34B8">
        <w:rPr>
          <w:rFonts w:ascii="Times New Roman" w:hAnsi="Times New Roman"/>
          <w:color w:val="000000"/>
          <w:sz w:val="24"/>
          <w:szCs w:val="24"/>
        </w:rPr>
        <w:tab/>
      </w:r>
      <w:r w:rsidRPr="00671A71" w:rsidR="00EE34B8">
        <w:rPr>
          <w:rFonts w:ascii="Times New Roman" w:hAnsi="Times New Roman"/>
          <w:color w:val="000000"/>
          <w:sz w:val="24"/>
          <w:szCs w:val="24"/>
        </w:rPr>
        <w:tab/>
      </w:r>
      <w:r w:rsidRPr="00671A71" w:rsidR="00EE34B8">
        <w:rPr>
          <w:rFonts w:ascii="Times New Roman" w:hAnsi="Times New Roman"/>
          <w:color w:val="000000"/>
          <w:sz w:val="24"/>
          <w:szCs w:val="24"/>
        </w:rPr>
        <w:tab/>
        <w:t xml:space="preserve">Kaspars </w:t>
      </w:r>
      <w:r w:rsidRPr="00671A71">
        <w:rPr>
          <w:rFonts w:ascii="Times New Roman" w:hAnsi="Times New Roman"/>
          <w:color w:val="000000"/>
          <w:sz w:val="24"/>
          <w:szCs w:val="24"/>
        </w:rPr>
        <w:t xml:space="preserve">Gerhards </w:t>
      </w:r>
    </w:p>
    <w:p w:rsidR="000D63B6" w:rsidP="000D63B6" w14:paraId="451C8B76" w14:textId="77777777">
      <w:pPr>
        <w:spacing w:after="0" w:line="240" w:lineRule="auto"/>
        <w:rPr>
          <w:rFonts w:ascii="Times New Roman" w:hAnsi="Times New Roman"/>
          <w:sz w:val="24"/>
          <w:szCs w:val="24"/>
        </w:rPr>
      </w:pPr>
    </w:p>
    <w:p w:rsidR="000D63B6" w:rsidP="000D63B6" w14:paraId="0AFFDFCB" w14:textId="77777777">
      <w:pPr>
        <w:spacing w:after="0" w:line="240" w:lineRule="auto"/>
        <w:rPr>
          <w:rFonts w:ascii="Times New Roman" w:hAnsi="Times New Roman"/>
          <w:sz w:val="24"/>
          <w:szCs w:val="24"/>
        </w:rPr>
      </w:pPr>
    </w:p>
    <w:p w:rsidR="000D63B6" w:rsidP="000D63B6" w14:paraId="1539169C" w14:textId="77777777">
      <w:pPr>
        <w:spacing w:after="0" w:line="240" w:lineRule="auto"/>
        <w:rPr>
          <w:rFonts w:ascii="Times New Roman" w:hAnsi="Times New Roman"/>
          <w:sz w:val="24"/>
          <w:szCs w:val="24"/>
        </w:rPr>
      </w:pPr>
    </w:p>
    <w:p w:rsidR="000D63B6" w:rsidP="000D63B6" w14:paraId="4A252A6D" w14:textId="77777777">
      <w:pPr>
        <w:spacing w:after="0" w:line="240" w:lineRule="auto"/>
        <w:rPr>
          <w:rFonts w:ascii="Times New Roman" w:hAnsi="Times New Roman"/>
          <w:sz w:val="24"/>
          <w:szCs w:val="24"/>
        </w:rPr>
      </w:pPr>
    </w:p>
    <w:p w:rsidR="000D63B6" w:rsidP="000D63B6" w14:paraId="0ED96394" w14:textId="77777777">
      <w:pPr>
        <w:spacing w:after="0" w:line="240" w:lineRule="auto"/>
        <w:rPr>
          <w:rFonts w:ascii="Times New Roman" w:hAnsi="Times New Roman"/>
          <w:sz w:val="24"/>
          <w:szCs w:val="24"/>
        </w:rPr>
      </w:pPr>
    </w:p>
    <w:p w:rsidR="002862C4" w:rsidP="000D63B6" w14:paraId="4DA83F64" w14:textId="6972F4CF">
      <w:pPr>
        <w:spacing w:after="0" w:line="240" w:lineRule="auto"/>
        <w:rPr>
          <w:rFonts w:ascii="Times New Roman" w:hAnsi="Times New Roman"/>
          <w:color w:val="000000"/>
          <w:sz w:val="20"/>
          <w:szCs w:val="20"/>
        </w:rPr>
      </w:pPr>
      <w:r>
        <w:rPr>
          <w:rFonts w:ascii="Times New Roman" w:hAnsi="Times New Roman"/>
          <w:color w:val="000000"/>
          <w:sz w:val="20"/>
          <w:szCs w:val="20"/>
        </w:rPr>
        <w:t>11.05.2017. 11:15</w:t>
      </w:r>
    </w:p>
    <w:p w:rsidR="002862C4" w:rsidRPr="002862C4" w:rsidP="000D63B6" w14:paraId="3C9982E9" w14:textId="157414D2">
      <w:pPr>
        <w:spacing w:after="0" w:line="240" w:lineRule="auto"/>
        <w:rPr>
          <w:rFonts w:ascii="Times New Roman" w:hAnsi="Times New Roman"/>
          <w:color w:val="000000"/>
          <w:sz w:val="20"/>
          <w:szCs w:val="20"/>
        </w:rPr>
      </w:pPr>
      <w:r>
        <w:rPr>
          <w:rFonts w:ascii="Times New Roman" w:hAnsi="Times New Roman"/>
          <w:color w:val="000000"/>
          <w:sz w:val="20"/>
          <w:szCs w:val="20"/>
        </w:rPr>
        <w:t>6237</w:t>
      </w:r>
      <w:bookmarkStart w:id="7" w:name="_GoBack"/>
      <w:bookmarkEnd w:id="7"/>
    </w:p>
    <w:p w:rsidR="00D30A90" w:rsidRPr="00671A71" w:rsidP="000D63B6" w14:paraId="676C0B7A" w14:textId="0A714F22">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rsidR="00D30A90" w:rsidRPr="00DE0BEB" w:rsidP="000D63B6" w14:paraId="370146C6" w14:textId="77777777">
      <w:pPr>
        <w:spacing w:after="0" w:line="240" w:lineRule="auto"/>
        <w:rPr>
          <w:rFonts w:ascii="Times New Roman" w:hAnsi="Times New Roman"/>
          <w:sz w:val="28"/>
          <w:szCs w:val="28"/>
        </w:rPr>
      </w:pPr>
      <w:r>
        <w:fldChar w:fldCharType="begin"/>
      </w:r>
      <w:r>
        <w:instrText xml:space="preserve"> HYPERLINK "mailto:liene.dorbe@varam.gov.lv" </w:instrText>
      </w:r>
      <w:r>
        <w:fldChar w:fldCharType="separate"/>
      </w:r>
      <w:r w:rsidRPr="00671A71">
        <w:rPr>
          <w:rStyle w:val="Hyperlink"/>
          <w:rFonts w:ascii="Times New Roman" w:hAnsi="Times New Roman"/>
          <w:sz w:val="20"/>
          <w:szCs w:val="20"/>
        </w:rPr>
        <w:t>liene.dorbe@varam.gov.lv</w:t>
      </w:r>
      <w:r>
        <w:fldChar w:fldCharType="end"/>
      </w:r>
    </w:p>
    <w:sectPr w:rsidSect="0036341E">
      <w:headerReference w:type="default" r:id="rId6"/>
      <w:footerReference w:type="default" r:id="rId7"/>
      <w:footerReference w:type="first" r:id="rId8"/>
      <w:pgSz w:w="11906" w:h="16838" w:code="9"/>
      <w:pgMar w:top="709"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3B6" w:rsidRPr="00CB5CED" w:rsidP="00CB5CED" w14:paraId="372FB2E9" w14:textId="39E3FA30">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110517_groz645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3B6" w:rsidRPr="00CB5CED" w:rsidP="00CB5CED" w14:paraId="6CDCDC44" w14:textId="30690B75">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Pr>
        <w:rFonts w:ascii="Times New Roman" w:hAnsi="Times New Roman"/>
        <w:sz w:val="20"/>
        <w:szCs w:val="20"/>
      </w:rPr>
      <w:t>1105</w:t>
    </w:r>
    <w:r w:rsidRPr="009676B0">
      <w:rPr>
        <w:rFonts w:ascii="Times New Roman" w:hAnsi="Times New Roman"/>
        <w:sz w:val="20"/>
        <w:szCs w:val="20"/>
      </w:rPr>
      <w:t>17</w:t>
    </w:r>
    <w:r>
      <w:rPr>
        <w:rFonts w:ascii="Times New Roman" w:hAnsi="Times New Roman"/>
        <w:sz w:val="20"/>
        <w:szCs w:val="20"/>
      </w:rPr>
      <w:t>_groz645</w:t>
    </w:r>
    <w:r w:rsidRPr="009676B0">
      <w:rPr>
        <w:rFonts w:ascii="Times New Roman" w:hAnsi="Times New Roman"/>
        <w:sz w:val="20"/>
        <w:szCs w:val="20"/>
      </w:rPr>
      <w:t xml:space="preserve">; Ministru kabineta noteikumu projekta </w:t>
    </w:r>
    <w:r w:rsidRPr="00CB5CED">
      <w:rPr>
        <w:rFonts w:ascii="Times New Roman" w:hAnsi="Times New Roman"/>
        <w:sz w:val="20"/>
        <w:szCs w:val="20"/>
      </w:rPr>
      <w:t xml:space="preserv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w:t>
    </w:r>
    <w:r w:rsidRPr="007C165A">
      <w:rPr>
        <w:rFonts w:ascii="Times New Roman" w:hAnsi="Times New Roman"/>
        <w:sz w:val="20"/>
        <w:szCs w:val="20"/>
      </w:rPr>
      <w:t>sākotnējās ietekmes novērtējuma ziņojums (anotācija)</w:t>
    </w:r>
  </w:p>
  <w:p w:rsidR="000D63B6" w:rsidRPr="00CB5CED" w:rsidP="00CB5CED" w14:paraId="6FFB053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63B6" w:rsidP="006D6C82" w14:paraId="78FD9BBC" w14:textId="77777777">
      <w:pPr>
        <w:spacing w:after="0" w:line="240" w:lineRule="auto"/>
      </w:pPr>
      <w:r>
        <w:separator/>
      </w:r>
    </w:p>
  </w:footnote>
  <w:footnote w:type="continuationSeparator" w:id="1">
    <w:p w:rsidR="000D63B6" w:rsidP="006D6C82" w14:paraId="75EE2673" w14:textId="77777777">
      <w:pPr>
        <w:spacing w:after="0" w:line="240" w:lineRule="auto"/>
      </w:pPr>
      <w:r>
        <w:continuationSeparator/>
      </w:r>
    </w:p>
  </w:footnote>
  <w:footnote w:type="continuationNotice" w:id="2">
    <w:p w:rsidR="000D63B6" w14:paraId="35335CEE" w14:textId="77777777">
      <w:pPr>
        <w:spacing w:after="0" w:line="240" w:lineRule="auto"/>
      </w:pPr>
    </w:p>
  </w:footnote>
  <w:footnote w:id="3">
    <w:p w:rsidR="000D63B6" w:rsidRPr="00EC3848" w14:paraId="43F855D2" w14:textId="77777777">
      <w:pPr>
        <w:pStyle w:val="FootnoteText"/>
        <w:rPr>
          <w:lang w:val="lv-LV"/>
        </w:rPr>
      </w:pPr>
      <w:r>
        <w:rPr>
          <w:rStyle w:val="FootnoteReference"/>
        </w:rPr>
        <w:footnoteRef/>
      </w:r>
      <w:r>
        <w:t xml:space="preserve"> </w:t>
      </w:r>
      <w:r w:rsidRPr="00EC3848">
        <w:rPr>
          <w:color w:val="000000"/>
          <w:lang w:val="en-US" w:eastAsia="lv-LV"/>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63B6" w:rsidRPr="001116A5" w14:paraId="10EAE13B" w14:textId="77777777">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AE7988">
      <w:rPr>
        <w:rFonts w:ascii="Times New Roman" w:hAnsi="Times New Roman"/>
        <w:noProof/>
      </w:rPr>
      <w:t>18</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43709"/>
    <w:multiLevelType w:val="hybridMultilevel"/>
    <w:tmpl w:val="0750CBEE"/>
    <w:lvl w:ilvl="0">
      <w:start w:val="1"/>
      <w:numFmt w:val="bullet"/>
      <w:lvlText w:val="-"/>
      <w:lvlJc w:val="left"/>
      <w:pPr>
        <w:ind w:left="644" w:hanging="360"/>
      </w:pPr>
      <w:rPr>
        <w:rFonts w:ascii="Times New Roman" w:eastAsia="Times New Roman" w:hAnsi="Times New Roman" w:cs="Times New Roman"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550CB"/>
    <w:multiLevelType w:val="hybridMultilevel"/>
    <w:tmpl w:val="0908B396"/>
    <w:lvl w:ilvl="0">
      <w:start w:val="2014"/>
      <w:numFmt w:val="bullet"/>
      <w:lvlText w:val="-"/>
      <w:lvlJc w:val="left"/>
      <w:pPr>
        <w:ind w:left="499" w:hanging="360"/>
      </w:pPr>
      <w:rPr>
        <w:rFonts w:ascii="Times New Roman" w:eastAsia="Calibri" w:hAnsi="Times New Roman" w:cs="Times New Roman" w:hint="default"/>
      </w:rPr>
    </w:lvl>
    <w:lvl w:ilvl="1" w:tentative="1">
      <w:start w:val="1"/>
      <w:numFmt w:val="bullet"/>
      <w:lvlText w:val="o"/>
      <w:lvlJc w:val="left"/>
      <w:pPr>
        <w:ind w:left="1219" w:hanging="360"/>
      </w:pPr>
      <w:rPr>
        <w:rFonts w:ascii="Courier New" w:hAnsi="Courier New" w:cs="Courier New" w:hint="default"/>
      </w:rPr>
    </w:lvl>
    <w:lvl w:ilvl="2" w:tentative="1">
      <w:start w:val="1"/>
      <w:numFmt w:val="bullet"/>
      <w:lvlText w:val=""/>
      <w:lvlJc w:val="left"/>
      <w:pPr>
        <w:ind w:left="1939" w:hanging="360"/>
      </w:pPr>
      <w:rPr>
        <w:rFonts w:ascii="Wingdings" w:hAnsi="Wingdings" w:hint="default"/>
      </w:rPr>
    </w:lvl>
    <w:lvl w:ilvl="3" w:tentative="1">
      <w:start w:val="1"/>
      <w:numFmt w:val="bullet"/>
      <w:lvlText w:val=""/>
      <w:lvlJc w:val="left"/>
      <w:pPr>
        <w:ind w:left="2659" w:hanging="360"/>
      </w:pPr>
      <w:rPr>
        <w:rFonts w:ascii="Symbol" w:hAnsi="Symbol" w:hint="default"/>
      </w:rPr>
    </w:lvl>
    <w:lvl w:ilvl="4" w:tentative="1">
      <w:start w:val="1"/>
      <w:numFmt w:val="bullet"/>
      <w:lvlText w:val="o"/>
      <w:lvlJc w:val="left"/>
      <w:pPr>
        <w:ind w:left="3379" w:hanging="360"/>
      </w:pPr>
      <w:rPr>
        <w:rFonts w:ascii="Courier New" w:hAnsi="Courier New" w:cs="Courier New" w:hint="default"/>
      </w:rPr>
    </w:lvl>
    <w:lvl w:ilvl="5" w:tentative="1">
      <w:start w:val="1"/>
      <w:numFmt w:val="bullet"/>
      <w:lvlText w:val=""/>
      <w:lvlJc w:val="left"/>
      <w:pPr>
        <w:ind w:left="4099" w:hanging="360"/>
      </w:pPr>
      <w:rPr>
        <w:rFonts w:ascii="Wingdings" w:hAnsi="Wingdings" w:hint="default"/>
      </w:rPr>
    </w:lvl>
    <w:lvl w:ilvl="6" w:tentative="1">
      <w:start w:val="1"/>
      <w:numFmt w:val="bullet"/>
      <w:lvlText w:val=""/>
      <w:lvlJc w:val="left"/>
      <w:pPr>
        <w:ind w:left="4819" w:hanging="360"/>
      </w:pPr>
      <w:rPr>
        <w:rFonts w:ascii="Symbol" w:hAnsi="Symbol" w:hint="default"/>
      </w:rPr>
    </w:lvl>
    <w:lvl w:ilvl="7" w:tentative="1">
      <w:start w:val="1"/>
      <w:numFmt w:val="bullet"/>
      <w:lvlText w:val="o"/>
      <w:lvlJc w:val="left"/>
      <w:pPr>
        <w:ind w:left="5539" w:hanging="360"/>
      </w:pPr>
      <w:rPr>
        <w:rFonts w:ascii="Courier New" w:hAnsi="Courier New" w:cs="Courier New" w:hint="default"/>
      </w:rPr>
    </w:lvl>
    <w:lvl w:ilvl="8" w:tentative="1">
      <w:start w:val="1"/>
      <w:numFmt w:val="bullet"/>
      <w:lvlText w:val=""/>
      <w:lvlJc w:val="left"/>
      <w:pPr>
        <w:ind w:left="6259" w:hanging="360"/>
      </w:pPr>
      <w:rPr>
        <w:rFonts w:ascii="Wingdings" w:hAnsi="Wingdings" w:hint="default"/>
      </w:rPr>
    </w:lvl>
  </w:abstractNum>
  <w:abstractNum w:abstractNumId="4">
    <w:nsid w:val="11E82C1A"/>
    <w:multiLevelType w:val="hybridMultilevel"/>
    <w:tmpl w:val="F7BA3C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297265"/>
    <w:multiLevelType w:val="hybridMultilevel"/>
    <w:tmpl w:val="C834F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4E1453"/>
    <w:multiLevelType w:val="hybridMultilevel"/>
    <w:tmpl w:val="13D4F4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AB523F"/>
    <w:multiLevelType w:val="hybridMultilevel"/>
    <w:tmpl w:val="F61E9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AE0505"/>
    <w:multiLevelType w:val="hybridMultilevel"/>
    <w:tmpl w:val="9A949A50"/>
    <w:lvl w:ilvl="0">
      <w:start w:val="1"/>
      <w:numFmt w:val="decimal"/>
      <w:lvlText w:val="%1)"/>
      <w:lvlJc w:val="left"/>
      <w:pPr>
        <w:ind w:left="777" w:hanging="360"/>
      </w:p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9">
    <w:nsid w:val="2944405F"/>
    <w:multiLevelType w:val="hybridMultilevel"/>
    <w:tmpl w:val="2B12BB3E"/>
    <w:lvl w:ilvl="0">
      <w:start w:val="3"/>
      <w:numFmt w:val="bullet"/>
      <w:lvlText w:val="-"/>
      <w:lvlJc w:val="left"/>
      <w:pPr>
        <w:ind w:left="417" w:hanging="360"/>
      </w:pPr>
      <w:rPr>
        <w:rFonts w:ascii="Times New Roman" w:eastAsia="Calibri"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0">
    <w:nsid w:val="2C4330B4"/>
    <w:multiLevelType w:val="hybridMultilevel"/>
    <w:tmpl w:val="46C6A3A6"/>
    <w:lvl w:ilvl="0">
      <w:start w:val="1"/>
      <w:numFmt w:val="decimal"/>
      <w:lvlText w:val="%1."/>
      <w:lvlJc w:val="left"/>
      <w:pPr>
        <w:ind w:left="499" w:hanging="360"/>
      </w:pPr>
      <w:rPr>
        <w:rFonts w:ascii="Times New Roman" w:eastAsia="Calibri" w:hAnsi="Times New Roman" w:cs="Times New Roman" w:hint="default"/>
      </w:rPr>
    </w:lvl>
    <w:lvl w:ilvl="1" w:tentative="1">
      <w:start w:val="1"/>
      <w:numFmt w:val="lowerLetter"/>
      <w:lvlText w:val="%2."/>
      <w:lvlJc w:val="left"/>
      <w:pPr>
        <w:ind w:left="1219" w:hanging="360"/>
      </w:pPr>
    </w:lvl>
    <w:lvl w:ilvl="2" w:tentative="1">
      <w:start w:val="1"/>
      <w:numFmt w:val="lowerRoman"/>
      <w:lvlText w:val="%3."/>
      <w:lvlJc w:val="right"/>
      <w:pPr>
        <w:ind w:left="1939" w:hanging="180"/>
      </w:pPr>
    </w:lvl>
    <w:lvl w:ilvl="3" w:tentative="1">
      <w:start w:val="1"/>
      <w:numFmt w:val="decimal"/>
      <w:lvlText w:val="%4."/>
      <w:lvlJc w:val="left"/>
      <w:pPr>
        <w:ind w:left="2659" w:hanging="360"/>
      </w:pPr>
    </w:lvl>
    <w:lvl w:ilvl="4" w:tentative="1">
      <w:start w:val="1"/>
      <w:numFmt w:val="lowerLetter"/>
      <w:lvlText w:val="%5."/>
      <w:lvlJc w:val="left"/>
      <w:pPr>
        <w:ind w:left="3379" w:hanging="360"/>
      </w:pPr>
    </w:lvl>
    <w:lvl w:ilvl="5" w:tentative="1">
      <w:start w:val="1"/>
      <w:numFmt w:val="lowerRoman"/>
      <w:lvlText w:val="%6."/>
      <w:lvlJc w:val="right"/>
      <w:pPr>
        <w:ind w:left="4099" w:hanging="180"/>
      </w:pPr>
    </w:lvl>
    <w:lvl w:ilvl="6" w:tentative="1">
      <w:start w:val="1"/>
      <w:numFmt w:val="decimal"/>
      <w:lvlText w:val="%7."/>
      <w:lvlJc w:val="left"/>
      <w:pPr>
        <w:ind w:left="4819" w:hanging="360"/>
      </w:pPr>
    </w:lvl>
    <w:lvl w:ilvl="7" w:tentative="1">
      <w:start w:val="1"/>
      <w:numFmt w:val="lowerLetter"/>
      <w:lvlText w:val="%8."/>
      <w:lvlJc w:val="left"/>
      <w:pPr>
        <w:ind w:left="5539" w:hanging="360"/>
      </w:pPr>
    </w:lvl>
    <w:lvl w:ilvl="8" w:tentative="1">
      <w:start w:val="1"/>
      <w:numFmt w:val="lowerRoman"/>
      <w:lvlText w:val="%9."/>
      <w:lvlJc w:val="right"/>
      <w:pPr>
        <w:ind w:left="6259" w:hanging="180"/>
      </w:pPr>
    </w:lvl>
  </w:abstractNum>
  <w:abstractNum w:abstractNumId="11">
    <w:nsid w:val="32645BEF"/>
    <w:multiLevelType w:val="hybridMultilevel"/>
    <w:tmpl w:val="81066C24"/>
    <w:lvl w:ilvl="0">
      <w:start w:val="2014"/>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2">
    <w:nsid w:val="41D0025A"/>
    <w:multiLevelType w:val="hybridMultilevel"/>
    <w:tmpl w:val="B43289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FE7163"/>
    <w:multiLevelType w:val="hybridMultilevel"/>
    <w:tmpl w:val="459A7C6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4">
    <w:nsid w:val="48B04E60"/>
    <w:multiLevelType w:val="hybridMultilevel"/>
    <w:tmpl w:val="26282DB4"/>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8C02390"/>
    <w:multiLevelType w:val="hybridMultilevel"/>
    <w:tmpl w:val="EF227934"/>
    <w:lvl w:ilvl="0">
      <w:start w:val="201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BED7D84"/>
    <w:multiLevelType w:val="hybridMultilevel"/>
    <w:tmpl w:val="1146179C"/>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7">
    <w:nsid w:val="4C0533FF"/>
    <w:multiLevelType w:val="hybridMultilevel"/>
    <w:tmpl w:val="03A08396"/>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8">
    <w:nsid w:val="4DD644C1"/>
    <w:multiLevelType w:val="hybridMultilevel"/>
    <w:tmpl w:val="A7B2CA6E"/>
    <w:lvl w:ilvl="0">
      <w:start w:val="1"/>
      <w:numFmt w:val="bullet"/>
      <w:lvlText w:val="-"/>
      <w:lvlJc w:val="left"/>
      <w:pPr>
        <w:ind w:left="502" w:hanging="360"/>
      </w:pPr>
      <w:rPr>
        <w:rFonts w:ascii="Times New Roman" w:eastAsia="Times New Roman"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9">
    <w:nsid w:val="4ED0508D"/>
    <w:multiLevelType w:val="hybridMultilevel"/>
    <w:tmpl w:val="80281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332D52"/>
    <w:multiLevelType w:val="hybridMultilevel"/>
    <w:tmpl w:val="0CBE4F80"/>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1">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352C4A"/>
    <w:multiLevelType w:val="hybridMultilevel"/>
    <w:tmpl w:val="BA606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833238"/>
    <w:multiLevelType w:val="hybridMultilevel"/>
    <w:tmpl w:val="FD9A92E0"/>
    <w:lvl w:ilvl="0">
      <w:start w:val="1"/>
      <w:numFmt w:val="decimal"/>
      <w:lvlText w:val="%1."/>
      <w:lvlJc w:val="left"/>
      <w:pPr>
        <w:ind w:left="529" w:hanging="360"/>
      </w:pPr>
      <w:rPr>
        <w:rFonts w:hint="default"/>
      </w:rPr>
    </w:lvl>
    <w:lvl w:ilvl="1" w:tentative="1">
      <w:start w:val="1"/>
      <w:numFmt w:val="lowerLetter"/>
      <w:lvlText w:val="%2."/>
      <w:lvlJc w:val="left"/>
      <w:pPr>
        <w:ind w:left="1249" w:hanging="360"/>
      </w:pPr>
    </w:lvl>
    <w:lvl w:ilvl="2" w:tentative="1">
      <w:start w:val="1"/>
      <w:numFmt w:val="lowerRoman"/>
      <w:lvlText w:val="%3."/>
      <w:lvlJc w:val="right"/>
      <w:pPr>
        <w:ind w:left="1969" w:hanging="180"/>
      </w:pPr>
    </w:lvl>
    <w:lvl w:ilvl="3" w:tentative="1">
      <w:start w:val="1"/>
      <w:numFmt w:val="decimal"/>
      <w:lvlText w:val="%4."/>
      <w:lvlJc w:val="left"/>
      <w:pPr>
        <w:ind w:left="2689" w:hanging="360"/>
      </w:pPr>
    </w:lvl>
    <w:lvl w:ilvl="4" w:tentative="1">
      <w:start w:val="1"/>
      <w:numFmt w:val="lowerLetter"/>
      <w:lvlText w:val="%5."/>
      <w:lvlJc w:val="left"/>
      <w:pPr>
        <w:ind w:left="3409" w:hanging="360"/>
      </w:pPr>
    </w:lvl>
    <w:lvl w:ilvl="5" w:tentative="1">
      <w:start w:val="1"/>
      <w:numFmt w:val="lowerRoman"/>
      <w:lvlText w:val="%6."/>
      <w:lvlJc w:val="right"/>
      <w:pPr>
        <w:ind w:left="4129" w:hanging="180"/>
      </w:pPr>
    </w:lvl>
    <w:lvl w:ilvl="6" w:tentative="1">
      <w:start w:val="1"/>
      <w:numFmt w:val="decimal"/>
      <w:lvlText w:val="%7."/>
      <w:lvlJc w:val="left"/>
      <w:pPr>
        <w:ind w:left="4849" w:hanging="360"/>
      </w:pPr>
    </w:lvl>
    <w:lvl w:ilvl="7" w:tentative="1">
      <w:start w:val="1"/>
      <w:numFmt w:val="lowerLetter"/>
      <w:lvlText w:val="%8."/>
      <w:lvlJc w:val="left"/>
      <w:pPr>
        <w:ind w:left="5569" w:hanging="360"/>
      </w:pPr>
    </w:lvl>
    <w:lvl w:ilvl="8" w:tentative="1">
      <w:start w:val="1"/>
      <w:numFmt w:val="lowerRoman"/>
      <w:lvlText w:val="%9."/>
      <w:lvlJc w:val="right"/>
      <w:pPr>
        <w:ind w:left="6289" w:hanging="180"/>
      </w:pPr>
    </w:lvl>
  </w:abstractNum>
  <w:abstractNum w:abstractNumId="24">
    <w:nsid w:val="5E60637A"/>
    <w:multiLevelType w:val="hybridMultilevel"/>
    <w:tmpl w:val="63B0E60E"/>
    <w:lvl w:ilvl="0">
      <w:start w:val="1"/>
      <w:numFmt w:val="decimal"/>
      <w:lvlText w:val="%1."/>
      <w:lvlJc w:val="left"/>
      <w:pPr>
        <w:ind w:left="499" w:hanging="360"/>
      </w:pPr>
      <w:rPr>
        <w:rFonts w:hint="default"/>
      </w:rPr>
    </w:lvl>
    <w:lvl w:ilvl="1" w:tentative="1">
      <w:start w:val="1"/>
      <w:numFmt w:val="lowerLetter"/>
      <w:lvlText w:val="%2."/>
      <w:lvlJc w:val="left"/>
      <w:pPr>
        <w:ind w:left="1219" w:hanging="360"/>
      </w:pPr>
    </w:lvl>
    <w:lvl w:ilvl="2" w:tentative="1">
      <w:start w:val="1"/>
      <w:numFmt w:val="lowerRoman"/>
      <w:lvlText w:val="%3."/>
      <w:lvlJc w:val="right"/>
      <w:pPr>
        <w:ind w:left="1939" w:hanging="180"/>
      </w:pPr>
    </w:lvl>
    <w:lvl w:ilvl="3" w:tentative="1">
      <w:start w:val="1"/>
      <w:numFmt w:val="decimal"/>
      <w:lvlText w:val="%4."/>
      <w:lvlJc w:val="left"/>
      <w:pPr>
        <w:ind w:left="2659" w:hanging="360"/>
      </w:pPr>
    </w:lvl>
    <w:lvl w:ilvl="4" w:tentative="1">
      <w:start w:val="1"/>
      <w:numFmt w:val="lowerLetter"/>
      <w:lvlText w:val="%5."/>
      <w:lvlJc w:val="left"/>
      <w:pPr>
        <w:ind w:left="3379" w:hanging="360"/>
      </w:pPr>
    </w:lvl>
    <w:lvl w:ilvl="5" w:tentative="1">
      <w:start w:val="1"/>
      <w:numFmt w:val="lowerRoman"/>
      <w:lvlText w:val="%6."/>
      <w:lvlJc w:val="right"/>
      <w:pPr>
        <w:ind w:left="4099" w:hanging="180"/>
      </w:pPr>
    </w:lvl>
    <w:lvl w:ilvl="6" w:tentative="1">
      <w:start w:val="1"/>
      <w:numFmt w:val="decimal"/>
      <w:lvlText w:val="%7."/>
      <w:lvlJc w:val="left"/>
      <w:pPr>
        <w:ind w:left="4819" w:hanging="360"/>
      </w:pPr>
    </w:lvl>
    <w:lvl w:ilvl="7" w:tentative="1">
      <w:start w:val="1"/>
      <w:numFmt w:val="lowerLetter"/>
      <w:lvlText w:val="%8."/>
      <w:lvlJc w:val="left"/>
      <w:pPr>
        <w:ind w:left="5539" w:hanging="360"/>
      </w:pPr>
    </w:lvl>
    <w:lvl w:ilvl="8" w:tentative="1">
      <w:start w:val="1"/>
      <w:numFmt w:val="lowerRoman"/>
      <w:lvlText w:val="%9."/>
      <w:lvlJc w:val="right"/>
      <w:pPr>
        <w:ind w:left="6259" w:hanging="180"/>
      </w:pPr>
    </w:lvl>
  </w:abstractNum>
  <w:abstractNum w:abstractNumId="25">
    <w:nsid w:val="60D761E5"/>
    <w:multiLevelType w:val="hybridMultilevel"/>
    <w:tmpl w:val="80281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2D25EAD"/>
    <w:multiLevelType w:val="hybridMultilevel"/>
    <w:tmpl w:val="052A9822"/>
    <w:lvl w:ilvl="0">
      <w:start w:val="0"/>
      <w:numFmt w:val="bullet"/>
      <w:lvlText w:val="-"/>
      <w:lvlJc w:val="left"/>
      <w:pPr>
        <w:ind w:left="777" w:hanging="360"/>
      </w:pPr>
      <w:rPr>
        <w:rFonts w:ascii="Times New Roman" w:eastAsia="Calibri" w:hAnsi="Times New Roman" w:cs="Times New Roman" w:hint="default"/>
      </w:rPr>
    </w:lvl>
    <w:lvl w:ilvl="1">
      <w:start w:val="1"/>
      <w:numFmt w:val="bullet"/>
      <w:lvlText w:val="•"/>
      <w:lvlJc w:val="left"/>
      <w:pPr>
        <w:ind w:left="1497" w:hanging="360"/>
      </w:pPr>
      <w:rPr>
        <w:rFonts w:ascii="Times New Roman" w:eastAsia="Calibri" w:hAnsi="Times New Roman" w:cs="Times New Roman"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27">
    <w:nsid w:val="63910C64"/>
    <w:multiLevelType w:val="hybridMultilevel"/>
    <w:tmpl w:val="5EC0631E"/>
    <w:lvl w:ilvl="0">
      <w:start w:val="1"/>
      <w:numFmt w:val="bullet"/>
      <w:lvlText w:val="-"/>
      <w:lvlJc w:val="left"/>
      <w:pPr>
        <w:ind w:left="417" w:hanging="360"/>
      </w:pPr>
      <w:rPr>
        <w:rFonts w:ascii="Times New Roman" w:eastAsia="Calibri"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28">
    <w:nsid w:val="66C429B9"/>
    <w:multiLevelType w:val="hybridMultilevel"/>
    <w:tmpl w:val="903819C2"/>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9">
    <w:nsid w:val="66F470F8"/>
    <w:multiLevelType w:val="hybridMultilevel"/>
    <w:tmpl w:val="2F1E01E8"/>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30">
    <w:nsid w:val="69053448"/>
    <w:multiLevelType w:val="hybridMultilevel"/>
    <w:tmpl w:val="ED683456"/>
    <w:lvl w:ilvl="0">
      <w:start w:val="0"/>
      <w:numFmt w:val="bullet"/>
      <w:lvlText w:val="-"/>
      <w:lvlJc w:val="left"/>
      <w:pPr>
        <w:ind w:left="777" w:hanging="360"/>
      </w:pPr>
      <w:rPr>
        <w:rFonts w:ascii="Times New Roman" w:eastAsia="Calibri" w:hAnsi="Times New Roman" w:cs="Times New Roman"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31">
    <w:nsid w:val="6A06318C"/>
    <w:multiLevelType w:val="hybridMultilevel"/>
    <w:tmpl w:val="6FBAAFD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2">
    <w:nsid w:val="6AD41150"/>
    <w:multiLevelType w:val="hybridMultilevel"/>
    <w:tmpl w:val="763C7CEA"/>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33">
    <w:nsid w:val="6B311536"/>
    <w:multiLevelType w:val="hybridMultilevel"/>
    <w:tmpl w:val="75A2611A"/>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4">
    <w:nsid w:val="73FA1807"/>
    <w:multiLevelType w:val="hybridMultilevel"/>
    <w:tmpl w:val="9B80E70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5">
    <w:nsid w:val="797E3890"/>
    <w:multiLevelType w:val="hybridMultilevel"/>
    <w:tmpl w:val="7CF65F7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30"/>
  </w:num>
  <w:num w:numId="5">
    <w:abstractNumId w:val="26"/>
  </w:num>
  <w:num w:numId="6">
    <w:abstractNumId w:val="1"/>
  </w:num>
  <w:num w:numId="7">
    <w:abstractNumId w:val="29"/>
  </w:num>
  <w:num w:numId="8">
    <w:abstractNumId w:val="18"/>
  </w:num>
  <w:num w:numId="9">
    <w:abstractNumId w:val="0"/>
  </w:num>
  <w:num w:numId="10">
    <w:abstractNumId w:val="17"/>
  </w:num>
  <w:num w:numId="11">
    <w:abstractNumId w:val="28"/>
  </w:num>
  <w:num w:numId="12">
    <w:abstractNumId w:val="20"/>
  </w:num>
  <w:num w:numId="13">
    <w:abstractNumId w:val="33"/>
  </w:num>
  <w:num w:numId="14">
    <w:abstractNumId w:val="24"/>
  </w:num>
  <w:num w:numId="15">
    <w:abstractNumId w:val="10"/>
  </w:num>
  <w:num w:numId="16">
    <w:abstractNumId w:val="3"/>
  </w:num>
  <w:num w:numId="17">
    <w:abstractNumId w:val="15"/>
  </w:num>
  <w:num w:numId="18">
    <w:abstractNumId w:val="11"/>
  </w:num>
  <w:num w:numId="19">
    <w:abstractNumId w:val="23"/>
  </w:num>
  <w:num w:numId="20">
    <w:abstractNumId w:val="16"/>
  </w:num>
  <w:num w:numId="21">
    <w:abstractNumId w:val="6"/>
  </w:num>
  <w:num w:numId="22">
    <w:abstractNumId w:val="31"/>
  </w:num>
  <w:num w:numId="23">
    <w:abstractNumId w:val="27"/>
  </w:num>
  <w:num w:numId="24">
    <w:abstractNumId w:val="8"/>
  </w:num>
  <w:num w:numId="25">
    <w:abstractNumId w:val="9"/>
  </w:num>
  <w:num w:numId="26">
    <w:abstractNumId w:val="21"/>
  </w:num>
  <w:num w:numId="27">
    <w:abstractNumId w:val="19"/>
  </w:num>
  <w:num w:numId="28">
    <w:abstractNumId w:val="12"/>
  </w:num>
  <w:num w:numId="29">
    <w:abstractNumId w:val="25"/>
  </w:num>
  <w:num w:numId="30">
    <w:abstractNumId w:val="13"/>
  </w:num>
  <w:num w:numId="31">
    <w:abstractNumId w:val="34"/>
  </w:num>
  <w:num w:numId="32">
    <w:abstractNumId w:val="32"/>
  </w:num>
  <w:num w:numId="33">
    <w:abstractNumId w:val="4"/>
  </w:num>
  <w:num w:numId="34">
    <w:abstractNumId w:val="22"/>
  </w:num>
  <w:num w:numId="35">
    <w:abstractNumId w:val="3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Footnote Char,Fußnote Char,single spa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B1A8-2988-40C6-ABD1-8CF2EA38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18</Pages>
  <Words>33296</Words>
  <Characters>18979</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VKAnot_342_17022015;</vt:lpstr>
      <vt:lpstr>VKAnot_342_17022015;</vt:lpstr>
    </vt:vector>
  </TitlesOfParts>
  <Company>LM</Company>
  <LinksUpToDate>false</LinksUpToDate>
  <CharactersWithSpaces>52171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Liene Dorbe</dc:creator>
  <dc:description>rudolfs.kudla@lm.gov.lv_x000D_
tālr.67021630</dc:description>
  <cp:lastModifiedBy>Madars Laurs</cp:lastModifiedBy>
  <cp:revision>202</cp:revision>
  <cp:lastPrinted>2015-07-07T07:38:00Z</cp:lastPrinted>
  <dcterms:created xsi:type="dcterms:W3CDTF">2017-04-10T16:11:00Z</dcterms:created>
  <dcterms:modified xsi:type="dcterms:W3CDTF">2017-05-11T11:26:00Z</dcterms:modified>
</cp:coreProperties>
</file>