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CD" w:rsidRPr="00B74080" w:rsidRDefault="00E818CD" w:rsidP="00E818CD">
      <w:pPr>
        <w:spacing w:after="0" w:line="240" w:lineRule="auto"/>
        <w:ind w:right="-1"/>
        <w:jc w:val="center"/>
        <w:rPr>
          <w:rFonts w:ascii="Times New Roman" w:hAnsi="Times New Roman"/>
          <w:b/>
          <w:sz w:val="28"/>
          <w:szCs w:val="28"/>
          <w:lang w:val="lv-LV"/>
        </w:rPr>
      </w:pPr>
      <w:bookmarkStart w:id="0" w:name="OLE_LINK9"/>
      <w:bookmarkStart w:id="1" w:name="OLE_LINK10"/>
      <w:bookmarkStart w:id="2" w:name="OLE_LINK7"/>
      <w:bookmarkStart w:id="3" w:name="OLE_LINK8"/>
      <w:bookmarkStart w:id="4" w:name="OLE_LINK1"/>
      <w:bookmarkStart w:id="5" w:name="OLE_LINK2"/>
      <w:bookmarkStart w:id="6" w:name="OLE_LINK11"/>
      <w:bookmarkStart w:id="7" w:name="OLE_LINK12"/>
      <w:r w:rsidRPr="00A92ABE">
        <w:rPr>
          <w:rFonts w:ascii="Times New Roman" w:eastAsia="Times New Roman" w:hAnsi="Times New Roman" w:cs="Times New Roman"/>
          <w:b/>
          <w:bCs/>
          <w:sz w:val="28"/>
          <w:szCs w:val="28"/>
          <w:lang w:val="lv-LV" w:eastAsia="lv-LV"/>
        </w:rPr>
        <w:t xml:space="preserve">Ministru kabineta noteikumu projekta </w:t>
      </w:r>
      <w:r>
        <w:rPr>
          <w:rFonts w:ascii="Times New Roman" w:hAnsi="Times New Roman"/>
          <w:b/>
          <w:sz w:val="28"/>
          <w:szCs w:val="28"/>
          <w:lang w:val="lv-LV"/>
        </w:rPr>
        <w:t>„</w:t>
      </w:r>
      <w:r w:rsidRPr="00E818CD">
        <w:rPr>
          <w:rFonts w:ascii="Times New Roman" w:hAnsi="Times New Roman"/>
          <w:b/>
          <w:sz w:val="28"/>
          <w:szCs w:val="28"/>
          <w:lang w:val="lv-LV"/>
        </w:rPr>
        <w:t>Gr</w:t>
      </w:r>
      <w:r>
        <w:rPr>
          <w:rFonts w:ascii="Times New Roman" w:hAnsi="Times New Roman"/>
          <w:b/>
          <w:sz w:val="28"/>
          <w:szCs w:val="28"/>
          <w:lang w:val="lv-LV"/>
        </w:rPr>
        <w:t>ozījumi Ministru kabineta 2014.</w:t>
      </w:r>
      <w:r w:rsidR="003C361C">
        <w:rPr>
          <w:rFonts w:ascii="Times New Roman" w:hAnsi="Times New Roman"/>
          <w:b/>
          <w:sz w:val="28"/>
          <w:szCs w:val="28"/>
          <w:lang w:val="lv-LV"/>
        </w:rPr>
        <w:t xml:space="preserve"> </w:t>
      </w:r>
      <w:r w:rsidRPr="00E818CD">
        <w:rPr>
          <w:rFonts w:ascii="Times New Roman" w:hAnsi="Times New Roman"/>
          <w:b/>
          <w:sz w:val="28"/>
          <w:szCs w:val="28"/>
          <w:lang w:val="lv-LV"/>
        </w:rPr>
        <w:t>gada 11.</w:t>
      </w:r>
      <w:r w:rsidR="003C361C">
        <w:rPr>
          <w:rFonts w:ascii="Times New Roman" w:hAnsi="Times New Roman"/>
          <w:b/>
          <w:sz w:val="28"/>
          <w:szCs w:val="28"/>
          <w:lang w:val="lv-LV"/>
        </w:rPr>
        <w:t xml:space="preserve"> </w:t>
      </w:r>
      <w:r w:rsidRPr="00E818CD">
        <w:rPr>
          <w:rFonts w:ascii="Times New Roman" w:hAnsi="Times New Roman"/>
          <w:b/>
          <w:sz w:val="28"/>
          <w:szCs w:val="28"/>
          <w:lang w:val="lv-LV"/>
        </w:rPr>
        <w:t>marta noteikumos Nr.134 „Noteikumi par vienoto veselības nozares elektronisko informācijas sistēmu”</w:t>
      </w:r>
      <w:r>
        <w:rPr>
          <w:rFonts w:ascii="Times New Roman" w:hAnsi="Times New Roman"/>
          <w:b/>
          <w:sz w:val="28"/>
          <w:szCs w:val="28"/>
          <w:lang w:val="lv-LV"/>
        </w:rPr>
        <w:t xml:space="preserve">” </w:t>
      </w:r>
      <w:r w:rsidRPr="00A92ABE">
        <w:rPr>
          <w:rFonts w:ascii="Times New Roman" w:eastAsia="Times New Roman" w:hAnsi="Times New Roman" w:cs="Times New Roman"/>
          <w:b/>
          <w:bCs/>
          <w:sz w:val="28"/>
          <w:szCs w:val="28"/>
          <w:lang w:val="lv-LV" w:eastAsia="lv-LV"/>
        </w:rPr>
        <w:t>sākotnējās ietekmes novērtējuma ziņojums (anotācija)</w:t>
      </w:r>
      <w:bookmarkEnd w:id="0"/>
      <w:bookmarkEnd w:id="1"/>
    </w:p>
    <w:bookmarkEnd w:id="2"/>
    <w:bookmarkEnd w:id="3"/>
    <w:bookmarkEnd w:id="4"/>
    <w:bookmarkEnd w:id="5"/>
    <w:p w:rsidR="00E818CD" w:rsidRPr="00A92ABE" w:rsidRDefault="00E818CD" w:rsidP="00E818CD">
      <w:pPr>
        <w:pStyle w:val="NoSpacing"/>
        <w:rPr>
          <w:b/>
          <w:lang w:val="lv-LV"/>
        </w:rPr>
      </w:pPr>
    </w:p>
    <w:tbl>
      <w:tblPr>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23"/>
        <w:gridCol w:w="2397"/>
        <w:gridCol w:w="6311"/>
      </w:tblGrid>
      <w:tr w:rsidR="00E818CD" w:rsidRPr="00A92ABE" w:rsidTr="00E818CD">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6"/>
          <w:bookmarkEnd w:id="7"/>
          <w:p w:rsidR="00E818CD" w:rsidRPr="00A92ABE" w:rsidRDefault="00E818CD" w:rsidP="00E818CD">
            <w:pPr>
              <w:pStyle w:val="NoSpacing"/>
              <w:jc w:val="center"/>
              <w:rPr>
                <w:b/>
                <w:lang w:val="lv-LV"/>
              </w:rPr>
            </w:pPr>
            <w:r w:rsidRPr="00A92ABE">
              <w:rPr>
                <w:b/>
                <w:lang w:val="lv-LV"/>
              </w:rPr>
              <w:t>I. Tiesību akta projekta izstrādes nepieciešamība</w:t>
            </w:r>
          </w:p>
        </w:tc>
      </w:tr>
      <w:tr w:rsidR="00E818CD" w:rsidRPr="00EE039D" w:rsidTr="00E818CD">
        <w:trPr>
          <w:trHeight w:val="40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1.</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Pamatojums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spacing w:after="0" w:line="240" w:lineRule="auto"/>
              <w:jc w:val="both"/>
              <w:rPr>
                <w:rFonts w:ascii="Times New Roman" w:hAnsi="Times New Roman" w:cs="Times New Roman"/>
                <w:sz w:val="24"/>
                <w:szCs w:val="24"/>
                <w:lang w:val="lv-LV"/>
              </w:rPr>
            </w:pPr>
            <w:r w:rsidRPr="00782C19">
              <w:rPr>
                <w:rFonts w:ascii="Times New Roman" w:hAnsi="Times New Roman" w:cs="Times New Roman"/>
                <w:sz w:val="24"/>
                <w:szCs w:val="24"/>
                <w:lang w:val="lv-LV"/>
              </w:rPr>
              <w:t>Mini</w:t>
            </w:r>
            <w:r>
              <w:rPr>
                <w:rFonts w:ascii="Times New Roman" w:hAnsi="Times New Roman" w:cs="Times New Roman"/>
                <w:sz w:val="24"/>
                <w:szCs w:val="24"/>
                <w:lang w:val="lv-LV"/>
              </w:rPr>
              <w:t>stru kabineta noteikumu projekts</w:t>
            </w:r>
            <w:r w:rsidRPr="00782C19">
              <w:rPr>
                <w:rFonts w:ascii="Times New Roman" w:hAnsi="Times New Roman" w:cs="Times New Roman"/>
                <w:sz w:val="24"/>
                <w:szCs w:val="24"/>
                <w:lang w:val="lv-LV"/>
              </w:rPr>
              <w:t xml:space="preserve"> „</w:t>
            </w:r>
            <w:r w:rsidR="00E44699" w:rsidRPr="00E44699">
              <w:rPr>
                <w:rFonts w:ascii="Times New Roman" w:hAnsi="Times New Roman" w:cs="Times New Roman"/>
                <w:sz w:val="24"/>
                <w:szCs w:val="24"/>
                <w:lang w:val="lv-LV"/>
              </w:rPr>
              <w:t>Grozījumi Ministru kabineta 2014.</w:t>
            </w:r>
            <w:r w:rsidR="003C361C">
              <w:rPr>
                <w:rFonts w:ascii="Times New Roman" w:hAnsi="Times New Roman" w:cs="Times New Roman"/>
                <w:sz w:val="24"/>
                <w:szCs w:val="24"/>
                <w:lang w:val="lv-LV"/>
              </w:rPr>
              <w:t xml:space="preserve"> </w:t>
            </w:r>
            <w:r w:rsidR="00E44699" w:rsidRPr="00E44699">
              <w:rPr>
                <w:rFonts w:ascii="Times New Roman" w:hAnsi="Times New Roman" w:cs="Times New Roman"/>
                <w:sz w:val="24"/>
                <w:szCs w:val="24"/>
                <w:lang w:val="lv-LV"/>
              </w:rPr>
              <w:t>gada 11.</w:t>
            </w:r>
            <w:r w:rsidR="003C361C">
              <w:rPr>
                <w:rFonts w:ascii="Times New Roman" w:hAnsi="Times New Roman" w:cs="Times New Roman"/>
                <w:sz w:val="24"/>
                <w:szCs w:val="24"/>
                <w:lang w:val="lv-LV"/>
              </w:rPr>
              <w:t xml:space="preserve"> </w:t>
            </w:r>
            <w:r w:rsidR="00E44699" w:rsidRPr="00E44699">
              <w:rPr>
                <w:rFonts w:ascii="Times New Roman" w:hAnsi="Times New Roman" w:cs="Times New Roman"/>
                <w:sz w:val="24"/>
                <w:szCs w:val="24"/>
                <w:lang w:val="lv-LV"/>
              </w:rPr>
              <w:t>marta noteikumos Nr.134 „Noteikumi par vienoto veselības nozares elektronisko informācijas sistēmu</w:t>
            </w:r>
            <w:r w:rsidRPr="00782C19">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(turpmāk – Noteikumu projekts) izstrādāts, pamatojoties uz </w:t>
            </w:r>
            <w:r w:rsidRPr="00E818CD">
              <w:rPr>
                <w:rFonts w:ascii="Times New Roman" w:hAnsi="Times New Roman" w:cs="Times New Roman"/>
                <w:sz w:val="24"/>
                <w:szCs w:val="24"/>
                <w:lang w:val="lv-LV"/>
              </w:rPr>
              <w:t>Ārstniecības likuma 78.panta otro daļu un 79.panta 1.</w:t>
            </w:r>
            <w:r w:rsidRPr="00E818CD">
              <w:rPr>
                <w:rFonts w:ascii="Times New Roman" w:hAnsi="Times New Roman" w:cs="Times New Roman"/>
                <w:sz w:val="24"/>
                <w:szCs w:val="24"/>
                <w:vertAlign w:val="superscript"/>
                <w:lang w:val="lv-LV"/>
              </w:rPr>
              <w:t>1</w:t>
            </w:r>
            <w:r w:rsidRPr="00E818CD">
              <w:rPr>
                <w:rFonts w:ascii="Times New Roman" w:hAnsi="Times New Roman" w:cs="Times New Roman"/>
                <w:sz w:val="24"/>
                <w:szCs w:val="24"/>
                <w:lang w:val="lv-LV"/>
              </w:rPr>
              <w:t xml:space="preserve"> daļu</w:t>
            </w:r>
          </w:p>
        </w:tc>
      </w:tr>
      <w:tr w:rsidR="00E818CD" w:rsidRPr="00EE039D" w:rsidTr="00E818CD">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2.</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Pašreizējā situācija un problēmas, kuru risināšanai tiesību akta projekts izstrādāts, tiesiskā regulējuma mērķis un būtība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061948" w:rsidRDefault="00061948" w:rsidP="00193CB6">
            <w:pPr>
              <w:spacing w:after="0" w:line="240" w:lineRule="auto"/>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Noteikumu projekta </w:t>
            </w:r>
            <w:r w:rsidR="00A27FC1">
              <w:rPr>
                <w:rFonts w:ascii="Times New Roman" w:eastAsia="Batang" w:hAnsi="Times New Roman" w:cs="Times New Roman"/>
                <w:sz w:val="24"/>
                <w:szCs w:val="24"/>
                <w:lang w:val="lv-LV" w:eastAsia="ko-KR"/>
              </w:rPr>
              <w:t>1.</w:t>
            </w:r>
            <w:r>
              <w:rPr>
                <w:rFonts w:ascii="Times New Roman" w:eastAsia="Batang" w:hAnsi="Times New Roman" w:cs="Times New Roman"/>
                <w:sz w:val="24"/>
                <w:szCs w:val="24"/>
                <w:lang w:val="lv-LV" w:eastAsia="ko-KR"/>
              </w:rPr>
              <w:t>1.</w:t>
            </w:r>
            <w:r w:rsidR="00A27FC1">
              <w:rPr>
                <w:rFonts w:ascii="Times New Roman" w:eastAsia="Batang" w:hAnsi="Times New Roman" w:cs="Times New Roman"/>
                <w:sz w:val="24"/>
                <w:szCs w:val="24"/>
                <w:lang w:val="lv-LV" w:eastAsia="ko-KR"/>
              </w:rPr>
              <w:t>apakš</w:t>
            </w:r>
            <w:r>
              <w:rPr>
                <w:rFonts w:ascii="Times New Roman" w:eastAsia="Batang" w:hAnsi="Times New Roman" w:cs="Times New Roman"/>
                <w:sz w:val="24"/>
                <w:szCs w:val="24"/>
                <w:lang w:val="lv-LV" w:eastAsia="ko-KR"/>
              </w:rPr>
              <w:t xml:space="preserve">punkts paredz ārstniecības iestādei </w:t>
            </w:r>
            <w:r w:rsidR="004D5BCC">
              <w:rPr>
                <w:rFonts w:ascii="Times New Roman" w:eastAsia="Batang" w:hAnsi="Times New Roman" w:cs="Times New Roman"/>
                <w:sz w:val="24"/>
                <w:szCs w:val="24"/>
                <w:lang w:val="lv-LV" w:eastAsia="ko-KR"/>
              </w:rPr>
              <w:t>tiesības</w:t>
            </w:r>
            <w:r>
              <w:rPr>
                <w:rFonts w:ascii="Times New Roman" w:eastAsia="Batang" w:hAnsi="Times New Roman" w:cs="Times New Roman"/>
                <w:sz w:val="24"/>
                <w:szCs w:val="24"/>
                <w:lang w:val="lv-LV" w:eastAsia="ko-KR"/>
              </w:rPr>
              <w:t xml:space="preserve"> ievadīt Veselības informācijas sistēmā papildus pārējai šajos noteikumos noteiktajai informācijai arī </w:t>
            </w:r>
            <w:r w:rsidR="004D5BCC" w:rsidRPr="004D5BCC">
              <w:rPr>
                <w:rFonts w:ascii="Times New Roman" w:eastAsia="Batang" w:hAnsi="Times New Roman" w:cs="Times New Roman"/>
                <w:sz w:val="24"/>
                <w:szCs w:val="24"/>
                <w:lang w:val="lv-LV" w:eastAsia="ko-KR"/>
              </w:rPr>
              <w:t>tādus pamatdatus par pacientu kā veselības dati. Esošajos noteikumos šādas tiesības ir paredzētas tikai ģimenes ārstam, taču tajā pašā laikā tādi veselības dati kā alerģijas vai veiktās ķirurģiskās operācijas varētu būt zināmi arī citām ārstniecības personām un minētās ārstniecības personas šos datus varētu Veselības informācijas sistēmā ievadīt</w:t>
            </w:r>
            <w:r>
              <w:rPr>
                <w:rFonts w:ascii="Times New Roman" w:eastAsia="Batang" w:hAnsi="Times New Roman" w:cs="Times New Roman"/>
                <w:sz w:val="24"/>
                <w:szCs w:val="24"/>
                <w:lang w:val="lv-LV" w:eastAsia="ko-KR"/>
              </w:rPr>
              <w:t>.</w:t>
            </w:r>
          </w:p>
          <w:p w:rsidR="00061948" w:rsidRDefault="00EF616A" w:rsidP="00193CB6">
            <w:pPr>
              <w:spacing w:after="0" w:line="240" w:lineRule="auto"/>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Noteikumu projekta </w:t>
            </w:r>
            <w:r w:rsidR="00A27FC1">
              <w:rPr>
                <w:rFonts w:ascii="Times New Roman" w:eastAsia="Batang" w:hAnsi="Times New Roman" w:cs="Times New Roman"/>
                <w:sz w:val="24"/>
                <w:szCs w:val="24"/>
                <w:lang w:val="lv-LV" w:eastAsia="ko-KR"/>
              </w:rPr>
              <w:t>1.</w:t>
            </w:r>
            <w:r w:rsidRPr="00A27FC1">
              <w:rPr>
                <w:rFonts w:ascii="Times New Roman" w:eastAsia="Batang" w:hAnsi="Times New Roman" w:cs="Times New Roman"/>
                <w:sz w:val="24"/>
                <w:szCs w:val="24"/>
                <w:lang w:val="lv-LV" w:eastAsia="ko-KR"/>
              </w:rPr>
              <w:t>2.</w:t>
            </w:r>
            <w:r w:rsidR="00A27FC1" w:rsidRPr="00A27FC1">
              <w:rPr>
                <w:rFonts w:ascii="Times New Roman" w:eastAsia="Batang" w:hAnsi="Times New Roman" w:cs="Times New Roman"/>
                <w:sz w:val="24"/>
                <w:szCs w:val="24"/>
                <w:lang w:val="lv-LV" w:eastAsia="ko-KR"/>
              </w:rPr>
              <w:t>apakš</w:t>
            </w:r>
            <w:r w:rsidRPr="00A27FC1">
              <w:rPr>
                <w:rFonts w:ascii="Times New Roman" w:eastAsia="Batang" w:hAnsi="Times New Roman" w:cs="Times New Roman"/>
                <w:sz w:val="24"/>
                <w:szCs w:val="24"/>
                <w:lang w:val="lv-LV" w:eastAsia="ko-KR"/>
              </w:rPr>
              <w:t>punkts</w:t>
            </w:r>
            <w:r>
              <w:rPr>
                <w:rFonts w:ascii="Times New Roman" w:eastAsia="Batang" w:hAnsi="Times New Roman" w:cs="Times New Roman"/>
                <w:sz w:val="24"/>
                <w:szCs w:val="24"/>
                <w:lang w:val="lv-LV" w:eastAsia="ko-KR"/>
              </w:rPr>
              <w:t xml:space="preserve"> </w:t>
            </w:r>
            <w:r w:rsidR="00A27FC1">
              <w:rPr>
                <w:rFonts w:ascii="Times New Roman" w:eastAsia="Batang" w:hAnsi="Times New Roman" w:cs="Times New Roman"/>
                <w:sz w:val="24"/>
                <w:szCs w:val="24"/>
                <w:lang w:val="lv-LV" w:eastAsia="ko-KR"/>
              </w:rPr>
              <w:t xml:space="preserve">tehniski </w:t>
            </w:r>
            <w:r>
              <w:rPr>
                <w:rFonts w:ascii="Times New Roman" w:eastAsia="Batang" w:hAnsi="Times New Roman" w:cs="Times New Roman"/>
                <w:sz w:val="24"/>
                <w:szCs w:val="24"/>
                <w:lang w:val="lv-LV" w:eastAsia="ko-KR"/>
              </w:rPr>
              <w:t>precizē</w:t>
            </w:r>
            <w:r w:rsidR="00A27FC1">
              <w:rPr>
                <w:rFonts w:ascii="Times New Roman" w:eastAsia="Batang" w:hAnsi="Times New Roman" w:cs="Times New Roman"/>
                <w:sz w:val="24"/>
                <w:szCs w:val="24"/>
                <w:lang w:val="lv-LV" w:eastAsia="ko-KR"/>
              </w:rPr>
              <w:t>ts, tajā ietverta atsauce uz šo noteikumu 4.pielikumu, kas nosaka</w:t>
            </w:r>
            <w:r>
              <w:rPr>
                <w:rFonts w:ascii="Times New Roman" w:eastAsia="Batang" w:hAnsi="Times New Roman" w:cs="Times New Roman"/>
                <w:sz w:val="24"/>
                <w:szCs w:val="24"/>
                <w:lang w:val="lv-LV" w:eastAsia="ko-KR"/>
              </w:rPr>
              <w:t xml:space="preserve"> ārstniecības iestādei ievadāmo datu apjomu Veselības informācijas sistēmā attiecībā uz darbnespējas lapā ietverto informāciju</w:t>
            </w:r>
            <w:r w:rsidR="001D2FC6">
              <w:rPr>
                <w:rFonts w:ascii="Times New Roman" w:eastAsia="Batang" w:hAnsi="Times New Roman" w:cs="Times New Roman"/>
                <w:sz w:val="24"/>
                <w:szCs w:val="24"/>
                <w:lang w:val="lv-LV" w:eastAsia="ko-KR"/>
              </w:rPr>
              <w:t xml:space="preserve">, savukārt </w:t>
            </w:r>
            <w:r w:rsidR="00564206">
              <w:rPr>
                <w:rFonts w:ascii="Times New Roman" w:eastAsia="Batang" w:hAnsi="Times New Roman" w:cs="Times New Roman"/>
                <w:sz w:val="24"/>
                <w:szCs w:val="24"/>
                <w:lang w:val="lv-LV" w:eastAsia="ko-KR"/>
              </w:rPr>
              <w:t xml:space="preserve">spēkā esošajā redakcijā ietvertā </w:t>
            </w:r>
            <w:r w:rsidR="001D2FC6">
              <w:rPr>
                <w:rFonts w:ascii="Times New Roman" w:eastAsia="Batang" w:hAnsi="Times New Roman" w:cs="Times New Roman"/>
                <w:sz w:val="24"/>
                <w:szCs w:val="24"/>
                <w:lang w:val="lv-LV" w:eastAsia="ko-KR"/>
              </w:rPr>
              <w:t>atruna par to, ka p</w:t>
            </w:r>
            <w:r w:rsidR="001D2FC6" w:rsidRPr="001D2FC6">
              <w:rPr>
                <w:rFonts w:ascii="Times New Roman" w:eastAsia="Batang" w:hAnsi="Times New Roman" w:cs="Times New Roman"/>
                <w:sz w:val="24"/>
                <w:szCs w:val="24"/>
                <w:lang w:val="lv-LV" w:eastAsia="ko-KR"/>
              </w:rPr>
              <w:t>ēc pacienta lūguma ārstniecības iestād</w:t>
            </w:r>
            <w:r w:rsidR="001D2FC6">
              <w:rPr>
                <w:rFonts w:ascii="Times New Roman" w:eastAsia="Batang" w:hAnsi="Times New Roman" w:cs="Times New Roman"/>
                <w:sz w:val="24"/>
                <w:szCs w:val="24"/>
                <w:lang w:val="lv-LV" w:eastAsia="ko-KR"/>
              </w:rPr>
              <w:t>e var nenorādīt šo noteikumu 4.pielikuma 12.</w:t>
            </w:r>
            <w:r w:rsidR="001D2FC6" w:rsidRPr="001D2FC6">
              <w:rPr>
                <w:rFonts w:ascii="Times New Roman" w:eastAsia="Batang" w:hAnsi="Times New Roman" w:cs="Times New Roman"/>
                <w:sz w:val="24"/>
                <w:szCs w:val="24"/>
                <w:lang w:val="lv-LV" w:eastAsia="ko-KR"/>
              </w:rPr>
              <w:t>punktā minēto informāciju</w:t>
            </w:r>
            <w:r w:rsidR="001D2FC6">
              <w:rPr>
                <w:rFonts w:ascii="Times New Roman" w:eastAsia="Batang" w:hAnsi="Times New Roman" w:cs="Times New Roman"/>
                <w:sz w:val="24"/>
                <w:szCs w:val="24"/>
                <w:lang w:val="lv-LV" w:eastAsia="ko-KR"/>
              </w:rPr>
              <w:t xml:space="preserve">, nav nepieciešama, jo Noteikumu projekta </w:t>
            </w:r>
            <w:r w:rsidR="00564206">
              <w:rPr>
                <w:rFonts w:ascii="Times New Roman" w:eastAsia="Batang" w:hAnsi="Times New Roman" w:cs="Times New Roman"/>
                <w:sz w:val="24"/>
                <w:szCs w:val="24"/>
                <w:lang w:val="lv-LV" w:eastAsia="ko-KR"/>
              </w:rPr>
              <w:t>1.</w:t>
            </w:r>
            <w:r w:rsidR="001D2FC6">
              <w:rPr>
                <w:rFonts w:ascii="Times New Roman" w:eastAsia="Batang" w:hAnsi="Times New Roman" w:cs="Times New Roman"/>
                <w:sz w:val="24"/>
                <w:szCs w:val="24"/>
                <w:lang w:val="lv-LV" w:eastAsia="ko-KR"/>
              </w:rPr>
              <w:t>7.</w:t>
            </w:r>
            <w:r w:rsidR="00564206">
              <w:rPr>
                <w:rFonts w:ascii="Times New Roman" w:eastAsia="Batang" w:hAnsi="Times New Roman" w:cs="Times New Roman"/>
                <w:sz w:val="24"/>
                <w:szCs w:val="24"/>
                <w:lang w:val="lv-LV" w:eastAsia="ko-KR"/>
              </w:rPr>
              <w:t>apakš</w:t>
            </w:r>
            <w:r w:rsidR="001D2FC6">
              <w:rPr>
                <w:rFonts w:ascii="Times New Roman" w:eastAsia="Batang" w:hAnsi="Times New Roman" w:cs="Times New Roman"/>
                <w:sz w:val="24"/>
                <w:szCs w:val="24"/>
                <w:lang w:val="lv-LV" w:eastAsia="ko-KR"/>
              </w:rPr>
              <w:t>punkts paredz šo informāciju – 4.pielikuma 12.punktā minēto diagnozi – svītrot.</w:t>
            </w:r>
          </w:p>
          <w:p w:rsidR="00E818CD" w:rsidRDefault="00077D8C" w:rsidP="00193CB6">
            <w:pPr>
              <w:spacing w:after="0" w:line="240" w:lineRule="auto"/>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Noteikumu projekta </w:t>
            </w:r>
            <w:r w:rsidR="00A27FC1">
              <w:rPr>
                <w:rFonts w:ascii="Times New Roman" w:eastAsia="Batang" w:hAnsi="Times New Roman" w:cs="Times New Roman"/>
                <w:sz w:val="24"/>
                <w:szCs w:val="24"/>
                <w:lang w:val="lv-LV" w:eastAsia="ko-KR"/>
              </w:rPr>
              <w:t>1</w:t>
            </w:r>
            <w:r w:rsidR="00A27FC1" w:rsidRPr="00A27FC1">
              <w:rPr>
                <w:rFonts w:ascii="Times New Roman" w:eastAsia="Batang" w:hAnsi="Times New Roman" w:cs="Times New Roman"/>
                <w:sz w:val="24"/>
                <w:szCs w:val="24"/>
                <w:lang w:val="lv-LV" w:eastAsia="ko-KR"/>
              </w:rPr>
              <w:t>.</w:t>
            </w:r>
            <w:r w:rsidR="002953C3" w:rsidRPr="00A27FC1">
              <w:rPr>
                <w:rFonts w:ascii="Times New Roman" w:eastAsia="Batang" w:hAnsi="Times New Roman" w:cs="Times New Roman"/>
                <w:sz w:val="24"/>
                <w:szCs w:val="24"/>
                <w:lang w:val="lv-LV" w:eastAsia="ko-KR"/>
              </w:rPr>
              <w:t>3</w:t>
            </w:r>
            <w:r w:rsidRPr="00A27FC1">
              <w:rPr>
                <w:rFonts w:ascii="Times New Roman" w:eastAsia="Batang" w:hAnsi="Times New Roman" w:cs="Times New Roman"/>
                <w:sz w:val="24"/>
                <w:szCs w:val="24"/>
                <w:lang w:val="lv-LV" w:eastAsia="ko-KR"/>
              </w:rPr>
              <w:t>.</w:t>
            </w:r>
            <w:r w:rsidR="00A27FC1" w:rsidRPr="00A27FC1">
              <w:rPr>
                <w:rFonts w:ascii="Times New Roman" w:eastAsia="Batang" w:hAnsi="Times New Roman" w:cs="Times New Roman"/>
                <w:sz w:val="24"/>
                <w:szCs w:val="24"/>
                <w:lang w:val="lv-LV" w:eastAsia="ko-KR"/>
              </w:rPr>
              <w:t>apakš</w:t>
            </w:r>
            <w:r w:rsidRPr="00A27FC1">
              <w:rPr>
                <w:rFonts w:ascii="Times New Roman" w:eastAsia="Batang" w:hAnsi="Times New Roman" w:cs="Times New Roman"/>
                <w:sz w:val="24"/>
                <w:szCs w:val="24"/>
                <w:lang w:val="lv-LV" w:eastAsia="ko-KR"/>
              </w:rPr>
              <w:t>punkts</w:t>
            </w:r>
            <w:r>
              <w:rPr>
                <w:rFonts w:ascii="Times New Roman" w:eastAsia="Batang" w:hAnsi="Times New Roman" w:cs="Times New Roman"/>
                <w:sz w:val="24"/>
                <w:szCs w:val="24"/>
                <w:lang w:val="lv-LV" w:eastAsia="ko-KR"/>
              </w:rPr>
              <w:t xml:space="preserve"> </w:t>
            </w:r>
            <w:r w:rsidR="00193CB6">
              <w:rPr>
                <w:rFonts w:ascii="Times New Roman" w:eastAsia="Batang" w:hAnsi="Times New Roman" w:cs="Times New Roman"/>
                <w:sz w:val="24"/>
                <w:szCs w:val="24"/>
                <w:lang w:val="lv-LV" w:eastAsia="ko-KR"/>
              </w:rPr>
              <w:t xml:space="preserve">paredz izteikt šo noteikumu </w:t>
            </w:r>
            <w:r w:rsidR="00193CB6" w:rsidRPr="00193CB6">
              <w:rPr>
                <w:rFonts w:ascii="Times New Roman" w:eastAsia="Batang" w:hAnsi="Times New Roman" w:cs="Times New Roman"/>
                <w:sz w:val="24"/>
                <w:szCs w:val="24"/>
                <w:lang w:val="lv-LV" w:eastAsia="ko-KR"/>
              </w:rPr>
              <w:t>33.</w:t>
            </w:r>
            <w:r w:rsidR="00193CB6" w:rsidRPr="00193CB6">
              <w:rPr>
                <w:rFonts w:ascii="Times New Roman" w:eastAsia="Batang" w:hAnsi="Times New Roman" w:cs="Times New Roman"/>
                <w:sz w:val="24"/>
                <w:szCs w:val="24"/>
                <w:vertAlign w:val="superscript"/>
                <w:lang w:val="lv-LV" w:eastAsia="ko-KR"/>
              </w:rPr>
              <w:t>2</w:t>
            </w:r>
            <w:r w:rsidR="00193CB6" w:rsidRPr="00193CB6">
              <w:rPr>
                <w:rFonts w:ascii="Times New Roman" w:eastAsia="Batang" w:hAnsi="Times New Roman" w:cs="Times New Roman"/>
                <w:sz w:val="24"/>
                <w:szCs w:val="24"/>
                <w:lang w:val="lv-LV" w:eastAsia="ko-KR"/>
              </w:rPr>
              <w:t xml:space="preserve"> 6.</w:t>
            </w:r>
            <w:r w:rsidR="00564206">
              <w:rPr>
                <w:rFonts w:ascii="Times New Roman" w:eastAsia="Batang" w:hAnsi="Times New Roman" w:cs="Times New Roman"/>
                <w:sz w:val="24"/>
                <w:szCs w:val="24"/>
                <w:lang w:val="lv-LV" w:eastAsia="ko-KR"/>
              </w:rPr>
              <w:t>apakš</w:t>
            </w:r>
            <w:r w:rsidR="00193CB6" w:rsidRPr="00193CB6">
              <w:rPr>
                <w:rFonts w:ascii="Times New Roman" w:eastAsia="Batang" w:hAnsi="Times New Roman" w:cs="Times New Roman"/>
                <w:sz w:val="24"/>
                <w:szCs w:val="24"/>
                <w:lang w:val="lv-LV" w:eastAsia="ko-KR"/>
              </w:rPr>
              <w:t>punktu</w:t>
            </w:r>
            <w:r w:rsidR="00193CB6">
              <w:rPr>
                <w:rFonts w:ascii="Times New Roman" w:eastAsia="Batang" w:hAnsi="Times New Roman" w:cs="Times New Roman"/>
                <w:sz w:val="24"/>
                <w:szCs w:val="24"/>
                <w:lang w:val="lv-LV" w:eastAsia="ko-KR"/>
              </w:rPr>
              <w:t xml:space="preserve"> jaunā redakcijā, samazinot </w:t>
            </w:r>
            <w:r w:rsidR="00193CB6" w:rsidRPr="00193CB6">
              <w:rPr>
                <w:rFonts w:ascii="Times New Roman" w:eastAsia="Batang" w:hAnsi="Times New Roman" w:cs="Times New Roman"/>
                <w:sz w:val="24"/>
                <w:szCs w:val="24"/>
                <w:lang w:val="lv-LV" w:eastAsia="ko-KR"/>
              </w:rPr>
              <w:t xml:space="preserve">Valsts ieņēmumu dienesta Elektroniskās deklarēšanas sistēmai un Nodokļu informācijas sistēmai </w:t>
            </w:r>
            <w:r w:rsidR="00193CB6">
              <w:rPr>
                <w:rFonts w:ascii="Times New Roman" w:eastAsia="Batang" w:hAnsi="Times New Roman" w:cs="Times New Roman"/>
                <w:sz w:val="24"/>
                <w:szCs w:val="24"/>
                <w:lang w:val="lv-LV" w:eastAsia="ko-KR"/>
              </w:rPr>
              <w:t xml:space="preserve">nododamo </w:t>
            </w:r>
            <w:r w:rsidR="00193CB6" w:rsidRPr="00193CB6">
              <w:rPr>
                <w:rFonts w:ascii="Times New Roman" w:eastAsia="Batang" w:hAnsi="Times New Roman" w:cs="Times New Roman"/>
                <w:sz w:val="24"/>
                <w:szCs w:val="24"/>
                <w:lang w:val="lv-LV" w:eastAsia="ko-KR"/>
              </w:rPr>
              <w:t>darbnespējas lapā norādīto informāciju</w:t>
            </w:r>
            <w:r w:rsidR="00193CB6">
              <w:rPr>
                <w:rFonts w:ascii="Times New Roman" w:eastAsia="Batang" w:hAnsi="Times New Roman" w:cs="Times New Roman"/>
                <w:sz w:val="24"/>
                <w:szCs w:val="24"/>
                <w:lang w:val="lv-LV" w:eastAsia="ko-KR"/>
              </w:rPr>
              <w:t xml:space="preserve"> attiecībā uz pārejošas darbnespējas cēloni, turpmāk neatšifrējot darbnespējas cēloni, proti, norādot „</w:t>
            </w:r>
            <w:r w:rsidR="00193CB6" w:rsidRPr="00193CB6">
              <w:rPr>
                <w:rFonts w:ascii="Times New Roman" w:eastAsia="Batang" w:hAnsi="Times New Roman" w:cs="Times New Roman"/>
                <w:sz w:val="24"/>
                <w:szCs w:val="24"/>
                <w:lang w:val="lv-LV" w:eastAsia="ko-KR"/>
              </w:rPr>
              <w:t>cits cēlonis (nenorādot konkrēti)</w:t>
            </w:r>
            <w:r w:rsidR="00193CB6">
              <w:rPr>
                <w:rFonts w:ascii="Times New Roman" w:eastAsia="Batang" w:hAnsi="Times New Roman" w:cs="Times New Roman"/>
                <w:sz w:val="24"/>
                <w:szCs w:val="24"/>
                <w:lang w:val="lv-LV" w:eastAsia="ko-KR"/>
              </w:rPr>
              <w:t>”, izņemot tos gadījumus, kad normatīvie akti uzliek darba devējam veikt kādus pienākumus, kas izriet no darbnespējas cēloņa. Šie gadījumi, kas arī turpmāk tiks norādīti darbnespējas lapās kā darbnespējas cēlonis ir arodslimība, nelaimes gadījums darbā un ceļu satiksmes negadījums.</w:t>
            </w:r>
          </w:p>
          <w:p w:rsidR="00193CB6" w:rsidRDefault="00193CB6" w:rsidP="00193CB6">
            <w:pPr>
              <w:spacing w:after="0" w:line="240" w:lineRule="auto"/>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Ņemot vērā, ka darbnespējas cēlonis ir </w:t>
            </w:r>
            <w:r w:rsidRPr="00AA2E1B">
              <w:rPr>
                <w:rFonts w:ascii="Times New Roman" w:eastAsia="Batang" w:hAnsi="Times New Roman" w:cs="Times New Roman"/>
                <w:sz w:val="24"/>
                <w:szCs w:val="24"/>
                <w:lang w:val="lv-LV" w:eastAsia="ko-KR"/>
              </w:rPr>
              <w:t>personas sensitīvie dati</w:t>
            </w:r>
            <w:r>
              <w:rPr>
                <w:rFonts w:ascii="Times New Roman" w:eastAsia="Batang" w:hAnsi="Times New Roman" w:cs="Times New Roman"/>
                <w:sz w:val="24"/>
                <w:szCs w:val="24"/>
                <w:lang w:val="lv-LV" w:eastAsia="ko-KR"/>
              </w:rPr>
              <w:t xml:space="preserve">, kuru apstrāde ir aizliegta, izņemot Fizisko personu datu aizsardzības likuma 11.pantā noteiktos gadījumus, tad Noteikumu projekts paredz šo datu apstrādi </w:t>
            </w:r>
            <w:r w:rsidR="00D32CE0">
              <w:rPr>
                <w:rFonts w:ascii="Times New Roman" w:eastAsia="Batang" w:hAnsi="Times New Roman" w:cs="Times New Roman"/>
                <w:sz w:val="24"/>
                <w:szCs w:val="24"/>
                <w:lang w:val="lv-LV" w:eastAsia="ko-KR"/>
              </w:rPr>
              <w:t>iespējami šaurā apjomā un vienīgi atbilstoši Fizisko personu datu aizsardzības likumā noteiktajam mērķim.</w:t>
            </w:r>
          </w:p>
          <w:p w:rsidR="00D32CE0" w:rsidRDefault="00D32CE0" w:rsidP="00D32CE0">
            <w:pPr>
              <w:spacing w:after="0" w:line="240" w:lineRule="auto"/>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Atbilstoši Latvijas Darba devēju konfederācijas sniegtajam </w:t>
            </w:r>
            <w:r>
              <w:rPr>
                <w:rFonts w:ascii="Times New Roman" w:eastAsia="Batang" w:hAnsi="Times New Roman" w:cs="Times New Roman"/>
                <w:sz w:val="24"/>
                <w:szCs w:val="24"/>
                <w:lang w:val="lv-LV" w:eastAsia="ko-KR"/>
              </w:rPr>
              <w:lastRenderedPageBreak/>
              <w:t>viedoklim, darbnespējas lapā, kas tiek iesniegta darba devējam, kā darbnespējas cēloni nepieciešams norādīt:</w:t>
            </w:r>
          </w:p>
          <w:p w:rsidR="00D32CE0" w:rsidRDefault="000438E6" w:rsidP="00D32CE0">
            <w:pPr>
              <w:pStyle w:val="ListParagraph"/>
              <w:numPr>
                <w:ilvl w:val="0"/>
                <w:numId w:val="1"/>
              </w:numPr>
              <w:jc w:val="both"/>
              <w:rPr>
                <w:rFonts w:eastAsia="Batang"/>
                <w:lang w:val="lv-LV" w:eastAsia="ko-KR"/>
              </w:rPr>
            </w:pPr>
            <w:r>
              <w:rPr>
                <w:rFonts w:eastAsia="Batang"/>
                <w:lang w:val="lv-LV" w:eastAsia="ko-KR"/>
              </w:rPr>
              <w:t>n</w:t>
            </w:r>
            <w:r w:rsidR="00D32CE0">
              <w:rPr>
                <w:rFonts w:eastAsia="Batang"/>
                <w:lang w:val="lv-LV" w:eastAsia="ko-KR"/>
              </w:rPr>
              <w:t>elaimes gadījumu darbā, jo at</w:t>
            </w:r>
            <w:r w:rsidR="00E44699">
              <w:rPr>
                <w:rFonts w:eastAsia="Batang"/>
                <w:lang w:val="lv-LV" w:eastAsia="ko-KR"/>
              </w:rPr>
              <w:t>bilstoši Ministru kabineta 2009.gada 25.</w:t>
            </w:r>
            <w:r w:rsidR="00D32CE0">
              <w:rPr>
                <w:rFonts w:eastAsia="Batang"/>
                <w:lang w:val="lv-LV" w:eastAsia="ko-KR"/>
              </w:rPr>
              <w:t xml:space="preserve">augusta noteikumu Nr.950 „Nelaimes gadījumu darbā izmeklēšanas un uzskaites kārtība” </w:t>
            </w:r>
            <w:r w:rsidR="00E44699">
              <w:rPr>
                <w:rFonts w:eastAsia="Batang"/>
                <w:lang w:val="lv-LV" w:eastAsia="ko-KR"/>
              </w:rPr>
              <w:t xml:space="preserve">(turpmāk – Noteikumi Nr.950) </w:t>
            </w:r>
            <w:r w:rsidR="00D32CE0">
              <w:rPr>
                <w:rFonts w:eastAsia="Batang"/>
                <w:lang w:val="lv-LV" w:eastAsia="ko-KR"/>
              </w:rPr>
              <w:t>5.punktam tiek izmeklēts nelaimes gadījums, kurā cietušajam iestājies darbspēju zaudējums uz laiku, kas ilgāks par vienu diennakti.</w:t>
            </w:r>
          </w:p>
          <w:p w:rsidR="00C900C7" w:rsidRDefault="00E44699" w:rsidP="00E44699">
            <w:pPr>
              <w:pStyle w:val="ListParagraph"/>
              <w:ind w:left="420"/>
              <w:jc w:val="both"/>
              <w:rPr>
                <w:rFonts w:eastAsia="Batang"/>
                <w:lang w:val="lv-LV" w:eastAsia="ko-KR"/>
              </w:rPr>
            </w:pPr>
            <w:r>
              <w:rPr>
                <w:rFonts w:eastAsia="Batang"/>
                <w:lang w:val="lv-LV" w:eastAsia="ko-KR"/>
              </w:rPr>
              <w:t>Ņemot vērā, ka praksē ir sastopami gadījumi, kad darba devējam nav sniegta informācija par notikušu nelaimes gadījumu darbā, bet ārsts to ir fiksējis kā darba traumu, atbilstoši darbnespējas lapā ietvertajai informācijai par darbnespējas cēloni, darba devējs to ir uzzinājis un varējis uzsākt izmeklēšanu atbilstoši Noteikumu Nr.950 22.punktā noteiktajai kārtībai</w:t>
            </w:r>
            <w:r w:rsidR="00B2610B">
              <w:rPr>
                <w:rFonts w:eastAsia="Batang"/>
                <w:lang w:val="lv-LV" w:eastAsia="ko-KR"/>
              </w:rPr>
              <w:t xml:space="preserve"> - j</w:t>
            </w:r>
            <w:r w:rsidR="00B2610B" w:rsidRPr="00B2610B">
              <w:rPr>
                <w:rFonts w:eastAsia="Batang"/>
                <w:lang w:val="lv-LV" w:eastAsia="ko-KR"/>
              </w:rPr>
              <w:t xml:space="preserve">a par nelaimes gadījumu nav paziņots saskaņā ar šo noteikumu 12.punktu vai cietušajam šo noteikumu 5.1.apakšpunktā minētais darbspēju zaudējums iestājies vēlāk, nelaimes gadījuma izmeklēšanu uzsāk nekavējoties pēc cietušā rakstiska iesnieguma iesniegšanas darba devējam vai </w:t>
            </w:r>
            <w:r w:rsidR="002306C6">
              <w:rPr>
                <w:rFonts w:eastAsia="Batang"/>
                <w:lang w:val="lv-LV" w:eastAsia="ko-KR"/>
              </w:rPr>
              <w:t xml:space="preserve">Valsts darba </w:t>
            </w:r>
            <w:r w:rsidR="00B2610B" w:rsidRPr="00B2610B">
              <w:rPr>
                <w:rFonts w:eastAsia="Batang"/>
                <w:lang w:val="lv-LV" w:eastAsia="ko-KR"/>
              </w:rPr>
              <w:t>inspekcijai vai citas informācijas saņemšanas, kas liecina par notikušo nelaimes gadījumu</w:t>
            </w:r>
            <w:r w:rsidR="00B2610B">
              <w:rPr>
                <w:rFonts w:eastAsia="Batang"/>
                <w:lang w:val="lv-LV" w:eastAsia="ko-KR"/>
              </w:rPr>
              <w:t>.</w:t>
            </w:r>
          </w:p>
          <w:p w:rsidR="00B2610B" w:rsidRDefault="00B2610B" w:rsidP="00E44699">
            <w:pPr>
              <w:pStyle w:val="ListParagraph"/>
              <w:ind w:left="420"/>
              <w:jc w:val="both"/>
              <w:rPr>
                <w:rFonts w:eastAsia="Batang"/>
                <w:lang w:val="lv-LV" w:eastAsia="ko-KR"/>
              </w:rPr>
            </w:pPr>
            <w:r>
              <w:rPr>
                <w:rFonts w:eastAsia="Batang"/>
                <w:lang w:val="lv-LV" w:eastAsia="ko-KR"/>
              </w:rPr>
              <w:t>Papildus iepriekš minētajam, ir atšķirīga arī darbnespējas lapas A apmaksas kārtība. Atbilstoši likuma „Par maternitātes un slimības apdrošināšanu” 36.pantam to izmaksā ne mazāk kā 75% apmērā no vidējās izpeļņas par otro un trešo pārejo</w:t>
            </w:r>
            <w:r w:rsidR="006253EC">
              <w:rPr>
                <w:rFonts w:eastAsia="Batang"/>
                <w:lang w:val="lv-LV" w:eastAsia="ko-KR"/>
              </w:rPr>
              <w:t>šas darbnespējas dienu un ne maz</w:t>
            </w:r>
            <w:r>
              <w:rPr>
                <w:rFonts w:eastAsia="Batang"/>
                <w:lang w:val="lv-LV" w:eastAsia="ko-KR"/>
              </w:rPr>
              <w:t>āk kā 80% apmērā – par laiku no ceturtās darbnespējas dienas, taču ne ilgāku par 10 kalendāra dienām.</w:t>
            </w:r>
            <w:r w:rsidR="006253EC">
              <w:rPr>
                <w:rFonts w:eastAsia="Batang"/>
                <w:lang w:val="lv-LV" w:eastAsia="ko-KR"/>
              </w:rPr>
              <w:t xml:space="preserve"> Savukārt, ja darbnespējas cēlonis ir nelaimes gadījums</w:t>
            </w:r>
            <w:r w:rsidR="0056371C">
              <w:rPr>
                <w:rFonts w:eastAsia="Batang"/>
                <w:lang w:val="lv-LV" w:eastAsia="ko-KR"/>
              </w:rPr>
              <w:t xml:space="preserve"> darbā, tad saskaņā ar likumu „P</w:t>
            </w:r>
            <w:r w:rsidR="006253EC">
              <w:rPr>
                <w:rFonts w:eastAsia="Batang"/>
                <w:lang w:val="lv-LV" w:eastAsia="ko-KR"/>
              </w:rPr>
              <w:t>ar obligāto sociālo apdrošināšanu pret nelaimes gadījumiem darbā un arodslimībām” 7.pantu darba devējam ir pienākums izmaksāt no saviem līdzekļiem apdrošinātajai personai, kas cietusi nelaimes gadījumā, slimības naudu par pirmajām 10 kalendārajām dienām ne mazāk kā 80% apmērā no mēneša vidējās izpeļņas.</w:t>
            </w:r>
          </w:p>
          <w:p w:rsidR="006253EC" w:rsidRDefault="006253EC" w:rsidP="006253EC">
            <w:pPr>
              <w:pStyle w:val="ListParagraph"/>
              <w:numPr>
                <w:ilvl w:val="0"/>
                <w:numId w:val="1"/>
              </w:numPr>
              <w:jc w:val="both"/>
              <w:rPr>
                <w:rFonts w:eastAsia="Batang"/>
                <w:lang w:val="lv-LV" w:eastAsia="ko-KR"/>
              </w:rPr>
            </w:pPr>
            <w:r>
              <w:rPr>
                <w:rFonts w:eastAsia="Batang"/>
                <w:lang w:val="lv-LV" w:eastAsia="ko-KR"/>
              </w:rPr>
              <w:t>arodslimību kā darbnespējas cēloni</w:t>
            </w:r>
            <w:r w:rsidR="000A69DB">
              <w:rPr>
                <w:rFonts w:eastAsia="Batang"/>
                <w:lang w:val="lv-LV" w:eastAsia="ko-KR"/>
              </w:rPr>
              <w:t xml:space="preserve"> – ja darbiniekam tiek konstatēta arodslimība, tad darba devējs nedrīkst pieļaut turpmāku darbinieka nodarbināšanu arodslimību izraisījušos apstākļos.</w:t>
            </w:r>
            <w:r w:rsidR="0056371C">
              <w:rPr>
                <w:rFonts w:eastAsia="Batang"/>
                <w:lang w:val="lv-LV" w:eastAsia="ko-KR"/>
              </w:rPr>
              <w:t xml:space="preserve"> </w:t>
            </w:r>
            <w:r w:rsidR="00AA2E1B">
              <w:rPr>
                <w:rFonts w:eastAsia="Batang"/>
                <w:lang w:val="lv-LV" w:eastAsia="ko-KR"/>
              </w:rPr>
              <w:t>Darba devējs ar atbildīgs par Ministru kabineta 2006.gada 6.novembra noteikumos Nr.908 „</w:t>
            </w:r>
            <w:r w:rsidR="00AA2E1B" w:rsidRPr="00AA2E1B">
              <w:rPr>
                <w:rFonts w:eastAsia="Batang"/>
                <w:lang w:val="lv-LV" w:eastAsia="ko-KR"/>
              </w:rPr>
              <w:t>Arodslimību izmeklēšanas un uzskaites kārtība</w:t>
            </w:r>
            <w:r w:rsidR="00AA2E1B">
              <w:rPr>
                <w:rFonts w:eastAsia="Batang"/>
                <w:lang w:val="lv-LV" w:eastAsia="ko-KR"/>
              </w:rPr>
              <w:t xml:space="preserve">” darba dēvējam uzlikto pienākumu ievērošanu. </w:t>
            </w:r>
            <w:r w:rsidR="0056371C">
              <w:rPr>
                <w:rFonts w:eastAsia="Batang"/>
                <w:lang w:val="lv-LV" w:eastAsia="ko-KR"/>
              </w:rPr>
              <w:t>Tāpat arī Darba likums paredz ierobežojumus darba devējam attiecībā uz darba uzteikšanu darbiniekam, kas ieguvis arodslimību.</w:t>
            </w:r>
            <w:r w:rsidR="00EC63A9">
              <w:rPr>
                <w:rFonts w:eastAsia="Batang"/>
                <w:lang w:val="lv-LV" w:eastAsia="ko-KR"/>
              </w:rPr>
              <w:t xml:space="preserve"> Arī gadījumā, kad darbinieks ir uzsācis strādāt pie cita darba devēja, tomēr tādos pašos apstākļos, kā dēļ viņš ir ieguvis arodslimību, jaunajam darba devējam nav citas iespējas uzzināt par darbinieka arodslimību un attiecīgi no tā izrietošiem darba devēja pienākumiem attiecībā uz darba apstākļu nodrošināšanu, kā vien no darbnespējas lapas, ja vien pats </w:t>
            </w:r>
            <w:r w:rsidR="00EC63A9">
              <w:rPr>
                <w:rFonts w:eastAsia="Batang"/>
                <w:lang w:val="lv-LV" w:eastAsia="ko-KR"/>
              </w:rPr>
              <w:lastRenderedPageBreak/>
              <w:t>darbinieks viņu neinformē. Tomēr, lai nezaudētu darbu, darbinieks nebūs ieinteresēts labprātīgi informēt savu darba devēju par arodslimību, kas liedz viņam pildīt darba pienākumus.</w:t>
            </w:r>
          </w:p>
          <w:p w:rsidR="0056371C" w:rsidRDefault="0056371C" w:rsidP="009D2AFA">
            <w:pPr>
              <w:pStyle w:val="ListParagraph"/>
              <w:numPr>
                <w:ilvl w:val="0"/>
                <w:numId w:val="1"/>
              </w:numPr>
              <w:jc w:val="both"/>
              <w:rPr>
                <w:rFonts w:eastAsia="Batang"/>
                <w:lang w:val="lv-LV" w:eastAsia="ko-KR"/>
              </w:rPr>
            </w:pPr>
            <w:r>
              <w:rPr>
                <w:rFonts w:eastAsia="Batang"/>
                <w:lang w:val="lv-LV" w:eastAsia="ko-KR"/>
              </w:rPr>
              <w:t xml:space="preserve">ceļu satiksmes negadījumu kā darbnespējas cēloni </w:t>
            </w:r>
            <w:r w:rsidR="00762376">
              <w:rPr>
                <w:rFonts w:eastAsia="Batang"/>
                <w:lang w:val="lv-LV" w:eastAsia="ko-KR"/>
              </w:rPr>
              <w:t>–</w:t>
            </w:r>
            <w:r w:rsidR="00077D8C">
              <w:rPr>
                <w:rFonts w:eastAsia="Batang"/>
                <w:lang w:val="lv-LV" w:eastAsia="ko-KR"/>
              </w:rPr>
              <w:t xml:space="preserve"> </w:t>
            </w:r>
            <w:r w:rsidR="00E44ACC" w:rsidRPr="00EC63A9">
              <w:rPr>
                <w:rFonts w:eastAsia="Batang"/>
                <w:lang w:val="lv-LV" w:eastAsia="ko-KR"/>
              </w:rPr>
              <w:t>darba devēj</w:t>
            </w:r>
            <w:r w:rsidR="0046065E" w:rsidRPr="00EC63A9">
              <w:rPr>
                <w:rFonts w:eastAsia="Batang"/>
                <w:lang w:val="lv-LV" w:eastAsia="ko-KR"/>
              </w:rPr>
              <w:t xml:space="preserve">am rodas tiesības regresa kārtībā prasīt atlīdzināt izmaksāto </w:t>
            </w:r>
            <w:r w:rsidR="00E44ACC" w:rsidRPr="00EC63A9">
              <w:rPr>
                <w:rFonts w:eastAsia="Batang"/>
                <w:lang w:val="lv-LV" w:eastAsia="ko-KR"/>
              </w:rPr>
              <w:t>pabalstu</w:t>
            </w:r>
            <w:r w:rsidR="00EC63A9" w:rsidRPr="00EC63A9">
              <w:rPr>
                <w:rFonts w:eastAsia="Batang"/>
                <w:lang w:val="lv-LV" w:eastAsia="ko-KR"/>
              </w:rPr>
              <w:t xml:space="preserve"> no ceļu satiksmes negadījuma izraisīšanā vainīgās personas, līdz ar to par darbnespējas cēloni kā ceļu satiksmes negadījumu var uzzināt no darbnespējas lapas</w:t>
            </w:r>
            <w:r w:rsidR="00E44ACC" w:rsidRPr="00EC63A9">
              <w:rPr>
                <w:rFonts w:eastAsia="Batang"/>
                <w:lang w:val="lv-LV" w:eastAsia="ko-KR"/>
              </w:rPr>
              <w:t>.</w:t>
            </w:r>
          </w:p>
          <w:p w:rsidR="0013017E" w:rsidRDefault="0013017E" w:rsidP="00884837">
            <w:pPr>
              <w:pStyle w:val="ListParagraph"/>
              <w:ind w:left="127"/>
              <w:jc w:val="both"/>
              <w:rPr>
                <w:rFonts w:eastAsia="Batang"/>
                <w:lang w:val="lv-LV" w:eastAsia="ko-KR"/>
              </w:rPr>
            </w:pPr>
            <w:r>
              <w:rPr>
                <w:rFonts w:eastAsia="Batang"/>
                <w:lang w:val="lv-LV" w:eastAsia="ko-KR"/>
              </w:rPr>
              <w:t>Ņemot vērā, ka darba devējiem iepriekš uzskaitītie darbnespējas cēloņi uzliek pienākumus attiecībā uz viņiem turpmāk veicamu rīcību vai tiesībām,</w:t>
            </w:r>
            <w:r w:rsidR="00884837">
              <w:rPr>
                <w:rFonts w:eastAsia="Batang"/>
                <w:lang w:val="lv-LV" w:eastAsia="ko-KR"/>
              </w:rPr>
              <w:t xml:space="preserve"> kā arī to, ka šobrīd nav cita mehānisma kā vien nepieciešamās informācijas iegūšana no darbnespējas lapām, tad šos cēloņus </w:t>
            </w:r>
            <w:r w:rsidR="00EC63A9">
              <w:rPr>
                <w:rFonts w:eastAsia="Batang"/>
                <w:lang w:val="lv-LV" w:eastAsia="ko-KR"/>
              </w:rPr>
              <w:t xml:space="preserve">darbnespējas lapā </w:t>
            </w:r>
            <w:r w:rsidR="00884837">
              <w:rPr>
                <w:rFonts w:eastAsia="Batang"/>
                <w:lang w:val="lv-LV" w:eastAsia="ko-KR"/>
              </w:rPr>
              <w:t>nepieciešams norādīt. Cita šīs informācijas avota radīšana būtu saistīta ar papildu administratīvā sloga radīšanu jauna mehānisma vai darbnespējas cēloni saturoša dokumenta izstrādē un sagatavošanā, līdz ar to līdzšinējais informācijas avots ir uzskatāms par samērīgu personas datu apstrādes procesu un lietojams, līdz netiks rasts cits risinājums nepieciešamās informācijas ieguvei ar alternatīviem līdzekļiem.</w:t>
            </w:r>
          </w:p>
          <w:p w:rsidR="00A8059A" w:rsidRDefault="00A8059A" w:rsidP="00F8220C">
            <w:pPr>
              <w:spacing w:after="0" w:line="240" w:lineRule="auto"/>
              <w:ind w:left="6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Noteikumu projekta 1.4.apakšpunkts</w:t>
            </w:r>
            <w:r w:rsidR="00BB3944">
              <w:rPr>
                <w:rFonts w:ascii="Times New Roman" w:eastAsia="Batang" w:hAnsi="Times New Roman" w:cs="Times New Roman"/>
                <w:sz w:val="24"/>
                <w:szCs w:val="24"/>
                <w:lang w:val="lv-LV" w:eastAsia="ko-KR"/>
              </w:rPr>
              <w:t xml:space="preserve"> (grozījums Noteikumu 36.punktā)</w:t>
            </w:r>
            <w:r>
              <w:rPr>
                <w:rFonts w:ascii="Times New Roman" w:eastAsia="Batang" w:hAnsi="Times New Roman" w:cs="Times New Roman"/>
                <w:sz w:val="24"/>
                <w:szCs w:val="24"/>
                <w:lang w:val="lv-LV" w:eastAsia="ko-KR"/>
              </w:rPr>
              <w:t xml:space="preserve"> nosaka, ka</w:t>
            </w:r>
            <w:r w:rsidR="00BE29D8">
              <w:rPr>
                <w:rFonts w:ascii="Times New Roman" w:eastAsia="Batang" w:hAnsi="Times New Roman" w:cs="Times New Roman"/>
                <w:sz w:val="24"/>
                <w:szCs w:val="24"/>
                <w:lang w:val="lv-LV" w:eastAsia="ko-KR"/>
              </w:rPr>
              <w:t xml:space="preserve"> nosūtījumu</w:t>
            </w:r>
            <w:r w:rsidR="00BE29D8" w:rsidRPr="00BE29D8">
              <w:rPr>
                <w:rFonts w:ascii="Times New Roman" w:eastAsia="Batang" w:hAnsi="Times New Roman" w:cs="Times New Roman"/>
                <w:sz w:val="24"/>
                <w:szCs w:val="24"/>
                <w:lang w:val="lv-LV" w:eastAsia="ko-KR"/>
              </w:rPr>
              <w:t xml:space="preserve"> ambulatora/stacionāra pakalpojuma saņemšanai</w:t>
            </w:r>
            <w:r w:rsidR="00BE29D8">
              <w:rPr>
                <w:rFonts w:ascii="Times New Roman" w:eastAsia="Batang" w:hAnsi="Times New Roman" w:cs="Times New Roman"/>
                <w:sz w:val="24"/>
                <w:szCs w:val="24"/>
                <w:lang w:val="lv-LV" w:eastAsia="ko-KR"/>
              </w:rPr>
              <w:t xml:space="preserve"> pacientam papīra formā izsniedz līdz 2018.gada 28.februārim, nevis kā pašreiz spēkā esošajā redakcijā – līdz 2017.gada 31.augustam, tādā veidā par pusgadu pagarinot šo termiņu, </w:t>
            </w:r>
            <w:r w:rsidR="006B2369" w:rsidRPr="009371C0">
              <w:rPr>
                <w:rFonts w:ascii="Times New Roman" w:eastAsia="Batang" w:hAnsi="Times New Roman" w:cs="Times New Roman"/>
                <w:sz w:val="24"/>
                <w:szCs w:val="24"/>
                <w:lang w:val="lv-LV" w:eastAsia="ko-KR"/>
              </w:rPr>
              <w:t>jo</w:t>
            </w:r>
            <w:r w:rsidR="009371C0">
              <w:rPr>
                <w:rFonts w:ascii="Times New Roman" w:eastAsia="Batang" w:hAnsi="Times New Roman" w:cs="Times New Roman"/>
                <w:sz w:val="24"/>
                <w:szCs w:val="24"/>
                <w:lang w:val="lv-LV" w:eastAsia="ko-KR"/>
              </w:rPr>
              <w:t xml:space="preserve"> </w:t>
            </w:r>
            <w:r w:rsidR="009371C0" w:rsidRPr="009371C0">
              <w:rPr>
                <w:rFonts w:ascii="Times New Roman" w:eastAsia="Batang" w:hAnsi="Times New Roman" w:cs="Times New Roman"/>
                <w:sz w:val="24"/>
                <w:szCs w:val="24"/>
                <w:lang w:val="lv-LV" w:eastAsia="ko-KR"/>
              </w:rPr>
              <w:t xml:space="preserve">identificēta nepieciešamība klientu apkalpošanas speciālistu iesaistei </w:t>
            </w:r>
            <w:r w:rsidR="009371C0">
              <w:rPr>
                <w:rFonts w:ascii="Times New Roman" w:eastAsia="Batang" w:hAnsi="Times New Roman" w:cs="Times New Roman"/>
                <w:sz w:val="24"/>
                <w:szCs w:val="24"/>
                <w:lang w:val="lv-LV" w:eastAsia="ko-KR"/>
              </w:rPr>
              <w:t xml:space="preserve">Veselības informācijas sistēmā </w:t>
            </w:r>
            <w:r w:rsidR="009371C0" w:rsidRPr="009371C0">
              <w:rPr>
                <w:rFonts w:ascii="Times New Roman" w:eastAsia="Batang" w:hAnsi="Times New Roman" w:cs="Times New Roman"/>
                <w:sz w:val="24"/>
                <w:szCs w:val="24"/>
                <w:lang w:val="lv-LV" w:eastAsia="ko-KR"/>
              </w:rPr>
              <w:t xml:space="preserve">pacientu pieraksta veidošanā, balstoties uz nosūtījuma datiem, kuri šobrīd </w:t>
            </w:r>
            <w:r w:rsidR="009371C0">
              <w:rPr>
                <w:rFonts w:ascii="Times New Roman" w:eastAsia="Batang" w:hAnsi="Times New Roman" w:cs="Times New Roman"/>
                <w:sz w:val="24"/>
                <w:szCs w:val="24"/>
                <w:lang w:val="lv-LV" w:eastAsia="ko-KR"/>
              </w:rPr>
              <w:t xml:space="preserve">tehniski </w:t>
            </w:r>
            <w:r w:rsidR="009371C0" w:rsidRPr="009371C0">
              <w:rPr>
                <w:rFonts w:ascii="Times New Roman" w:eastAsia="Batang" w:hAnsi="Times New Roman" w:cs="Times New Roman"/>
                <w:sz w:val="24"/>
                <w:szCs w:val="24"/>
                <w:lang w:val="lv-LV" w:eastAsia="ko-KR"/>
              </w:rPr>
              <w:t>nav viņiem pieejami</w:t>
            </w:r>
            <w:r w:rsidR="009371C0">
              <w:rPr>
                <w:rFonts w:ascii="Times New Roman" w:eastAsia="Batang" w:hAnsi="Times New Roman" w:cs="Times New Roman"/>
                <w:sz w:val="24"/>
                <w:szCs w:val="24"/>
                <w:lang w:val="lv-LV" w:eastAsia="ko-KR"/>
              </w:rPr>
              <w:t>.</w:t>
            </w:r>
            <w:r w:rsidR="002D126D">
              <w:rPr>
                <w:rFonts w:ascii="Times New Roman" w:eastAsia="Batang" w:hAnsi="Times New Roman" w:cs="Times New Roman"/>
                <w:sz w:val="24"/>
                <w:szCs w:val="24"/>
                <w:lang w:val="lv-LV" w:eastAsia="ko-KR"/>
              </w:rPr>
              <w:t xml:space="preserve"> Līdz ar to nepieciešams arī Noteikumu projekta 1.6.un 1.7.apakšpunktā minētais grozījums, lai saskaņotu </w:t>
            </w:r>
            <w:r w:rsidR="00DC3128">
              <w:rPr>
                <w:rFonts w:ascii="Times New Roman" w:eastAsia="Batang" w:hAnsi="Times New Roman" w:cs="Times New Roman"/>
                <w:sz w:val="24"/>
                <w:szCs w:val="24"/>
                <w:lang w:val="lv-LV" w:eastAsia="ko-KR"/>
              </w:rPr>
              <w:t>noslēguma jautājumos norādīto laika periodu, kad uzsākama nosūtījuma ambulatora/stacionāra pakalpojuma saņemšanai izsniegšana elektroniski un attiecīgi datu par to ievadīšana veselības informācijas sistēmā.</w:t>
            </w:r>
          </w:p>
          <w:p w:rsidR="0074551B" w:rsidRDefault="0074551B" w:rsidP="00F8220C">
            <w:pPr>
              <w:spacing w:after="0" w:line="240" w:lineRule="auto"/>
              <w:ind w:left="6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Noteikumu </w:t>
            </w:r>
            <w:r w:rsidR="00A8059A">
              <w:rPr>
                <w:rFonts w:ascii="Times New Roman" w:eastAsia="Batang" w:hAnsi="Times New Roman" w:cs="Times New Roman"/>
                <w:sz w:val="24"/>
                <w:szCs w:val="24"/>
                <w:lang w:val="lv-LV" w:eastAsia="ko-KR"/>
              </w:rPr>
              <w:t xml:space="preserve">projekta </w:t>
            </w:r>
            <w:r>
              <w:rPr>
                <w:rFonts w:ascii="Times New Roman" w:eastAsia="Batang" w:hAnsi="Times New Roman" w:cs="Times New Roman"/>
                <w:sz w:val="24"/>
                <w:szCs w:val="24"/>
                <w:lang w:val="lv-LV" w:eastAsia="ko-KR"/>
              </w:rPr>
              <w:t>1.</w:t>
            </w:r>
            <w:r w:rsidR="00A8059A">
              <w:rPr>
                <w:rFonts w:ascii="Times New Roman" w:eastAsia="Batang" w:hAnsi="Times New Roman" w:cs="Times New Roman"/>
                <w:sz w:val="24"/>
                <w:szCs w:val="24"/>
                <w:lang w:val="lv-LV" w:eastAsia="ko-KR"/>
              </w:rPr>
              <w:t>5</w:t>
            </w:r>
            <w:r>
              <w:rPr>
                <w:rFonts w:ascii="Times New Roman" w:eastAsia="Batang" w:hAnsi="Times New Roman" w:cs="Times New Roman"/>
                <w:sz w:val="24"/>
                <w:szCs w:val="24"/>
                <w:lang w:val="lv-LV" w:eastAsia="ko-KR"/>
              </w:rPr>
              <w:t xml:space="preserve">.apakšpunkts paredz precizēt Noteikumos noteikto prasību no 2017.gada 1.jūlija tiešsaistē sniegt datus veselības informācijas sistēmai nevis ģimenes ārstiem, bet gan ģimenes ārstu praksēm, tādā veidā pieļaujot, ka šos datus var sniegt arī ģimenes ārsta </w:t>
            </w:r>
            <w:r w:rsidR="004D5BCC">
              <w:rPr>
                <w:rFonts w:ascii="Times New Roman" w:eastAsia="Batang" w:hAnsi="Times New Roman" w:cs="Times New Roman"/>
                <w:sz w:val="24"/>
                <w:szCs w:val="24"/>
                <w:lang w:val="lv-LV" w:eastAsia="ko-KR"/>
              </w:rPr>
              <w:t xml:space="preserve">praksē strādājošs ārsta </w:t>
            </w:r>
            <w:r>
              <w:rPr>
                <w:rFonts w:ascii="Times New Roman" w:eastAsia="Batang" w:hAnsi="Times New Roman" w:cs="Times New Roman"/>
                <w:sz w:val="24"/>
                <w:szCs w:val="24"/>
                <w:lang w:val="lv-LV" w:eastAsia="ko-KR"/>
              </w:rPr>
              <w:t>palīgs vai māsa.</w:t>
            </w:r>
          </w:p>
          <w:p w:rsidR="00166618" w:rsidRDefault="00166618" w:rsidP="00F8220C">
            <w:pPr>
              <w:spacing w:after="0" w:line="240" w:lineRule="auto"/>
              <w:ind w:left="6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Noteikumu projekta </w:t>
            </w:r>
            <w:r w:rsidR="00A27FC1">
              <w:rPr>
                <w:rFonts w:ascii="Times New Roman" w:eastAsia="Batang" w:hAnsi="Times New Roman" w:cs="Times New Roman"/>
                <w:sz w:val="24"/>
                <w:szCs w:val="24"/>
                <w:lang w:val="lv-LV" w:eastAsia="ko-KR"/>
              </w:rPr>
              <w:t>1.</w:t>
            </w:r>
            <w:r w:rsidR="00DC3128">
              <w:rPr>
                <w:rFonts w:ascii="Times New Roman" w:eastAsia="Batang" w:hAnsi="Times New Roman" w:cs="Times New Roman"/>
                <w:sz w:val="24"/>
                <w:szCs w:val="24"/>
                <w:lang w:val="lv-LV" w:eastAsia="ko-KR"/>
              </w:rPr>
              <w:t>8</w:t>
            </w:r>
            <w:r w:rsidRPr="00A27FC1">
              <w:rPr>
                <w:rFonts w:ascii="Times New Roman" w:eastAsia="Batang" w:hAnsi="Times New Roman" w:cs="Times New Roman"/>
                <w:sz w:val="24"/>
                <w:szCs w:val="24"/>
                <w:lang w:val="lv-LV" w:eastAsia="ko-KR"/>
              </w:rPr>
              <w:t>.</w:t>
            </w:r>
            <w:r w:rsidR="00A27FC1" w:rsidRPr="00A27FC1">
              <w:rPr>
                <w:rFonts w:ascii="Times New Roman" w:eastAsia="Batang" w:hAnsi="Times New Roman" w:cs="Times New Roman"/>
                <w:sz w:val="24"/>
                <w:szCs w:val="24"/>
                <w:lang w:val="lv-LV" w:eastAsia="ko-KR"/>
              </w:rPr>
              <w:t>apakš</w:t>
            </w:r>
            <w:r w:rsidRPr="00A27FC1">
              <w:rPr>
                <w:rFonts w:ascii="Times New Roman" w:eastAsia="Batang" w:hAnsi="Times New Roman" w:cs="Times New Roman"/>
                <w:sz w:val="24"/>
                <w:szCs w:val="24"/>
                <w:lang w:val="lv-LV" w:eastAsia="ko-KR"/>
              </w:rPr>
              <w:t>punkts</w:t>
            </w:r>
            <w:r>
              <w:rPr>
                <w:rFonts w:ascii="Times New Roman" w:eastAsia="Batang" w:hAnsi="Times New Roman" w:cs="Times New Roman"/>
                <w:sz w:val="24"/>
                <w:szCs w:val="24"/>
                <w:lang w:val="lv-LV" w:eastAsia="ko-KR"/>
              </w:rPr>
              <w:t xml:space="preserve"> paredz prasību norādīt pamatojumu, ja </w:t>
            </w:r>
            <w:r w:rsidRPr="00166618">
              <w:rPr>
                <w:rFonts w:ascii="Times New Roman" w:eastAsia="Batang" w:hAnsi="Times New Roman" w:cs="Times New Roman"/>
                <w:sz w:val="24"/>
                <w:szCs w:val="24"/>
                <w:lang w:val="lv-LV" w:eastAsia="ko-KR"/>
              </w:rPr>
              <w:t>darbnespējas lapas reģistrēšanas datums veselības informācijas sistēmā nesakrīt ar darbnespējas perioda pirmo dienu, par kuru izsniegta darbnespējas lapa</w:t>
            </w:r>
            <w:r>
              <w:rPr>
                <w:rFonts w:ascii="Times New Roman" w:eastAsia="Batang" w:hAnsi="Times New Roman" w:cs="Times New Roman"/>
                <w:sz w:val="24"/>
                <w:szCs w:val="24"/>
                <w:lang w:val="lv-LV" w:eastAsia="ko-KR"/>
              </w:rPr>
              <w:t xml:space="preserve">. </w:t>
            </w:r>
            <w:r w:rsidR="00A27FC1">
              <w:rPr>
                <w:rFonts w:ascii="Times New Roman" w:eastAsia="Batang" w:hAnsi="Times New Roman" w:cs="Times New Roman"/>
                <w:sz w:val="24"/>
                <w:szCs w:val="24"/>
                <w:lang w:val="lv-LV" w:eastAsia="ko-KR"/>
              </w:rPr>
              <w:t xml:space="preserve">Minētā redakcija tehniski precizēta, saskaņojot to ar </w:t>
            </w:r>
            <w:r w:rsidR="00A27FC1" w:rsidRPr="00A27FC1">
              <w:rPr>
                <w:rFonts w:ascii="Times New Roman" w:eastAsia="Batang" w:hAnsi="Times New Roman" w:cs="Times New Roman"/>
                <w:sz w:val="24"/>
                <w:szCs w:val="24"/>
                <w:lang w:val="lv-LV" w:eastAsia="ko-KR"/>
              </w:rPr>
              <w:t>Ministru kabineta 2001. gada 3. aprīļa noteikumos Nr.152 „Darbnespējas lapu izsniegšanas kārtība”</w:t>
            </w:r>
            <w:r w:rsidR="00A27FC1">
              <w:rPr>
                <w:rFonts w:ascii="Times New Roman" w:eastAsia="Batang" w:hAnsi="Times New Roman" w:cs="Times New Roman"/>
                <w:sz w:val="24"/>
                <w:szCs w:val="24"/>
                <w:lang w:val="lv-LV" w:eastAsia="ko-KR"/>
              </w:rPr>
              <w:t xml:space="preserve"> noteikto.</w:t>
            </w:r>
          </w:p>
          <w:p w:rsidR="00086DB1" w:rsidRDefault="00050B19" w:rsidP="00355C3A">
            <w:pPr>
              <w:spacing w:after="0" w:line="240" w:lineRule="auto"/>
              <w:ind w:left="6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Noteikumu projekta </w:t>
            </w:r>
            <w:r w:rsidR="00487CF5">
              <w:rPr>
                <w:rFonts w:ascii="Times New Roman" w:eastAsia="Batang" w:hAnsi="Times New Roman" w:cs="Times New Roman"/>
                <w:sz w:val="24"/>
                <w:szCs w:val="24"/>
                <w:lang w:val="lv-LV" w:eastAsia="ko-KR"/>
              </w:rPr>
              <w:t>1.</w:t>
            </w:r>
            <w:r w:rsidR="00DC3128">
              <w:rPr>
                <w:rFonts w:ascii="Times New Roman" w:eastAsia="Batang" w:hAnsi="Times New Roman" w:cs="Times New Roman"/>
                <w:sz w:val="24"/>
                <w:szCs w:val="24"/>
                <w:lang w:val="lv-LV" w:eastAsia="ko-KR"/>
              </w:rPr>
              <w:t>9</w:t>
            </w:r>
            <w:r w:rsidR="00386505" w:rsidRPr="00487CF5">
              <w:rPr>
                <w:rFonts w:ascii="Times New Roman" w:eastAsia="Batang" w:hAnsi="Times New Roman" w:cs="Times New Roman"/>
                <w:sz w:val="24"/>
                <w:szCs w:val="24"/>
                <w:lang w:val="lv-LV" w:eastAsia="ko-KR"/>
              </w:rPr>
              <w:t>.</w:t>
            </w:r>
            <w:r w:rsidR="00487CF5" w:rsidRPr="00487CF5">
              <w:rPr>
                <w:rFonts w:ascii="Times New Roman" w:eastAsia="Batang" w:hAnsi="Times New Roman" w:cs="Times New Roman"/>
                <w:sz w:val="24"/>
                <w:szCs w:val="24"/>
                <w:lang w:val="lv-LV" w:eastAsia="ko-KR"/>
              </w:rPr>
              <w:t>apakš</w:t>
            </w:r>
            <w:r w:rsidR="00386505" w:rsidRPr="00487CF5">
              <w:rPr>
                <w:rFonts w:ascii="Times New Roman" w:eastAsia="Batang" w:hAnsi="Times New Roman" w:cs="Times New Roman"/>
                <w:sz w:val="24"/>
                <w:szCs w:val="24"/>
                <w:lang w:val="lv-LV" w:eastAsia="ko-KR"/>
              </w:rPr>
              <w:t>punkts</w:t>
            </w:r>
            <w:r w:rsidR="00386505">
              <w:rPr>
                <w:rFonts w:ascii="Times New Roman" w:eastAsia="Batang" w:hAnsi="Times New Roman" w:cs="Times New Roman"/>
                <w:sz w:val="24"/>
                <w:szCs w:val="24"/>
                <w:lang w:val="lv-LV" w:eastAsia="ko-KR"/>
              </w:rPr>
              <w:t xml:space="preserve"> paredz samazināt </w:t>
            </w:r>
            <w:r w:rsidR="00386505">
              <w:rPr>
                <w:rFonts w:ascii="Times New Roman" w:eastAsia="Batang" w:hAnsi="Times New Roman" w:cs="Times New Roman"/>
                <w:sz w:val="24"/>
                <w:szCs w:val="24"/>
                <w:lang w:val="lv-LV" w:eastAsia="ko-KR"/>
              </w:rPr>
              <w:lastRenderedPageBreak/>
              <w:t>darbnespējas lapā norādītos darbnespē</w:t>
            </w:r>
            <w:r>
              <w:rPr>
                <w:rFonts w:ascii="Times New Roman" w:eastAsia="Batang" w:hAnsi="Times New Roman" w:cs="Times New Roman"/>
                <w:sz w:val="24"/>
                <w:szCs w:val="24"/>
                <w:lang w:val="lv-LV" w:eastAsia="ko-KR"/>
              </w:rPr>
              <w:t>jas cēloņus, kas tiek ievadīti v</w:t>
            </w:r>
            <w:r w:rsidR="00386505">
              <w:rPr>
                <w:rFonts w:ascii="Times New Roman" w:eastAsia="Batang" w:hAnsi="Times New Roman" w:cs="Times New Roman"/>
                <w:sz w:val="24"/>
                <w:szCs w:val="24"/>
                <w:lang w:val="lv-LV" w:eastAsia="ko-KR"/>
              </w:rPr>
              <w:t xml:space="preserve">eselības informācijas sistēmā. Līdz ar to turpmāk vairs netiks norādīts, ja pārejošas darbnespējas cēlonis ir </w:t>
            </w:r>
            <w:r w:rsidR="00355C3A">
              <w:rPr>
                <w:rFonts w:ascii="Times New Roman" w:eastAsia="Batang" w:hAnsi="Times New Roman" w:cs="Times New Roman"/>
                <w:sz w:val="24"/>
                <w:szCs w:val="24"/>
                <w:lang w:val="lv-LV" w:eastAsia="ko-KR"/>
              </w:rPr>
              <w:t xml:space="preserve">rehabilitācija, protezēšana un ortozēšana, kā arī karantīna, </w:t>
            </w:r>
            <w:r w:rsidR="00355C3A" w:rsidRPr="00086DB1">
              <w:rPr>
                <w:rFonts w:ascii="Times New Roman" w:eastAsia="Batang" w:hAnsi="Times New Roman" w:cs="Times New Roman"/>
                <w:sz w:val="24"/>
                <w:szCs w:val="24"/>
                <w:lang w:val="lv-LV" w:eastAsia="ko-KR"/>
              </w:rPr>
              <w:t>jo šie cēloņi nerada nekādas no normatīvajiem aktiem izrietošas darbības attiecībā uz tālāko rīcību.</w:t>
            </w:r>
            <w:r w:rsidR="00086DB1">
              <w:rPr>
                <w:rFonts w:ascii="Times New Roman" w:eastAsia="Batang" w:hAnsi="Times New Roman" w:cs="Times New Roman"/>
                <w:sz w:val="24"/>
                <w:szCs w:val="24"/>
                <w:lang w:val="lv-LV" w:eastAsia="ko-KR"/>
              </w:rPr>
              <w:t xml:space="preserve"> Tiek saglabāti visi tie darbnespējas cēloņi, kas personai rada tiesības saņemt kādu sociālo pabalstu vai saistīts ar citu atšķirīgu normatīvajos aktos noteiktu regulējumu attiecīgā uz turpmāku rīcību.</w:t>
            </w:r>
            <w:r w:rsidR="00355C3A">
              <w:rPr>
                <w:rFonts w:ascii="Times New Roman" w:eastAsia="Batang" w:hAnsi="Times New Roman" w:cs="Times New Roman"/>
                <w:sz w:val="24"/>
                <w:szCs w:val="24"/>
                <w:lang w:val="lv-LV" w:eastAsia="ko-KR"/>
              </w:rPr>
              <w:t xml:space="preserve"> </w:t>
            </w:r>
          </w:p>
          <w:p w:rsidR="00F8220C" w:rsidRDefault="00355C3A" w:rsidP="00355C3A">
            <w:pPr>
              <w:spacing w:after="0" w:line="240" w:lineRule="auto"/>
              <w:ind w:left="6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Savukārt redakcionāli tiek precizēts darbnespējas cēlonis – grūtniecība un dzemdības, to vietā lietojot terminoloģ</w:t>
            </w:r>
            <w:r w:rsidR="00050B19">
              <w:rPr>
                <w:rFonts w:ascii="Times New Roman" w:eastAsia="Batang" w:hAnsi="Times New Roman" w:cs="Times New Roman"/>
                <w:sz w:val="24"/>
                <w:szCs w:val="24"/>
                <w:lang w:val="lv-LV" w:eastAsia="ko-KR"/>
              </w:rPr>
              <w:t>iju – pirmsdzemdību periods un pēcdzemdību periods</w:t>
            </w:r>
            <w:r w:rsidR="00086DB1">
              <w:rPr>
                <w:rFonts w:ascii="Times New Roman" w:eastAsia="Batang" w:hAnsi="Times New Roman" w:cs="Times New Roman"/>
                <w:sz w:val="24"/>
                <w:szCs w:val="24"/>
                <w:lang w:val="lv-LV" w:eastAsia="ko-KR"/>
              </w:rPr>
              <w:t>, kas pēc būtības ir tehnisks grozījums un paredz termina precizēšanu atbilstoši faktiskajai situācijai. Termins „grūtniecība” un „dzemdības” atspoguļo faktu, savukārt darbnespējas lapa tiek izsniegta, lai pamatotu personas darba nespēju un dotu tiesības saņemt sociālo pabalstu, līdz ar to tā tiek izsniegta uz konkrētu darbnespējas periodu un tādēļ ter</w:t>
            </w:r>
            <w:r w:rsidR="00050B19">
              <w:rPr>
                <w:rFonts w:ascii="Times New Roman" w:eastAsia="Batang" w:hAnsi="Times New Roman" w:cs="Times New Roman"/>
                <w:sz w:val="24"/>
                <w:szCs w:val="24"/>
                <w:lang w:val="lv-LV" w:eastAsia="ko-KR"/>
              </w:rPr>
              <w:t>mins „pirmsdzemdību periods</w:t>
            </w:r>
            <w:r w:rsidR="00086DB1">
              <w:rPr>
                <w:rFonts w:ascii="Times New Roman" w:eastAsia="Batang" w:hAnsi="Times New Roman" w:cs="Times New Roman"/>
                <w:sz w:val="24"/>
                <w:szCs w:val="24"/>
                <w:lang w:val="lv-LV" w:eastAsia="ko-KR"/>
              </w:rPr>
              <w:t xml:space="preserve">” un „pēcdzemdību periods” ir saturiski precīzāks, kā arī vienlaikus </w:t>
            </w:r>
            <w:r w:rsidR="00086DB1" w:rsidRPr="00992A24">
              <w:rPr>
                <w:rFonts w:ascii="Times New Roman" w:eastAsia="Batang" w:hAnsi="Times New Roman" w:cs="Times New Roman"/>
                <w:sz w:val="24"/>
                <w:szCs w:val="24"/>
                <w:lang w:val="lv-LV" w:eastAsia="ko-KR"/>
              </w:rPr>
              <w:t>mazāk aizskar sievietes privāto dzīvi.</w:t>
            </w:r>
          </w:p>
          <w:p w:rsidR="00355C3A" w:rsidRDefault="00355C3A" w:rsidP="00355C3A">
            <w:pPr>
              <w:spacing w:after="0" w:line="240" w:lineRule="auto"/>
              <w:ind w:left="6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Noteikumu projekta</w:t>
            </w:r>
            <w:r w:rsidR="00487CF5">
              <w:rPr>
                <w:rFonts w:ascii="Times New Roman" w:eastAsia="Batang" w:hAnsi="Times New Roman" w:cs="Times New Roman"/>
                <w:sz w:val="24"/>
                <w:szCs w:val="24"/>
                <w:lang w:val="lv-LV" w:eastAsia="ko-KR"/>
              </w:rPr>
              <w:t xml:space="preserve"> 1</w:t>
            </w:r>
            <w:r w:rsidR="00487CF5" w:rsidRPr="00487CF5">
              <w:rPr>
                <w:rFonts w:ascii="Times New Roman" w:eastAsia="Batang" w:hAnsi="Times New Roman" w:cs="Times New Roman"/>
                <w:sz w:val="24"/>
                <w:szCs w:val="24"/>
                <w:lang w:val="lv-LV" w:eastAsia="ko-KR"/>
              </w:rPr>
              <w:t>.</w:t>
            </w:r>
            <w:r w:rsidR="00EF616A" w:rsidRPr="00487CF5">
              <w:rPr>
                <w:rFonts w:ascii="Times New Roman" w:eastAsia="Batang" w:hAnsi="Times New Roman" w:cs="Times New Roman"/>
                <w:sz w:val="24"/>
                <w:szCs w:val="24"/>
                <w:lang w:val="lv-LV" w:eastAsia="ko-KR"/>
              </w:rPr>
              <w:t>2</w:t>
            </w:r>
            <w:r w:rsidR="00A27FC1" w:rsidRPr="00487CF5">
              <w:rPr>
                <w:rFonts w:ascii="Times New Roman" w:eastAsia="Batang" w:hAnsi="Times New Roman" w:cs="Times New Roman"/>
                <w:sz w:val="24"/>
                <w:szCs w:val="24"/>
                <w:lang w:val="lv-LV" w:eastAsia="ko-KR"/>
              </w:rPr>
              <w:t>.</w:t>
            </w:r>
            <w:r w:rsidR="00077D8C" w:rsidRPr="00487CF5">
              <w:rPr>
                <w:rFonts w:ascii="Times New Roman" w:eastAsia="Batang" w:hAnsi="Times New Roman" w:cs="Times New Roman"/>
                <w:sz w:val="24"/>
                <w:szCs w:val="24"/>
                <w:lang w:val="lv-LV" w:eastAsia="ko-KR"/>
              </w:rPr>
              <w:t xml:space="preserve"> un </w:t>
            </w:r>
            <w:r w:rsidR="00487CF5" w:rsidRPr="00487CF5">
              <w:rPr>
                <w:rFonts w:ascii="Times New Roman" w:eastAsia="Batang" w:hAnsi="Times New Roman" w:cs="Times New Roman"/>
                <w:sz w:val="24"/>
                <w:szCs w:val="24"/>
                <w:lang w:val="lv-LV" w:eastAsia="ko-KR"/>
              </w:rPr>
              <w:t>1.</w:t>
            </w:r>
            <w:r w:rsidR="00DC3128">
              <w:rPr>
                <w:rFonts w:ascii="Times New Roman" w:eastAsia="Batang" w:hAnsi="Times New Roman" w:cs="Times New Roman"/>
                <w:sz w:val="24"/>
                <w:szCs w:val="24"/>
                <w:lang w:val="lv-LV" w:eastAsia="ko-KR"/>
              </w:rPr>
              <w:t>10</w:t>
            </w:r>
            <w:r w:rsidRPr="00487CF5">
              <w:rPr>
                <w:rFonts w:ascii="Times New Roman" w:eastAsia="Batang" w:hAnsi="Times New Roman" w:cs="Times New Roman"/>
                <w:sz w:val="24"/>
                <w:szCs w:val="24"/>
                <w:lang w:val="lv-LV" w:eastAsia="ko-KR"/>
              </w:rPr>
              <w:t>.</w:t>
            </w:r>
            <w:r w:rsidR="00487CF5">
              <w:rPr>
                <w:rFonts w:ascii="Times New Roman" w:eastAsia="Batang" w:hAnsi="Times New Roman" w:cs="Times New Roman"/>
                <w:sz w:val="24"/>
                <w:szCs w:val="24"/>
                <w:lang w:val="lv-LV" w:eastAsia="ko-KR"/>
              </w:rPr>
              <w:t>apakš</w:t>
            </w:r>
            <w:r w:rsidRPr="00487CF5">
              <w:rPr>
                <w:rFonts w:ascii="Times New Roman" w:eastAsia="Batang" w:hAnsi="Times New Roman" w:cs="Times New Roman"/>
                <w:sz w:val="24"/>
                <w:szCs w:val="24"/>
                <w:lang w:val="lv-LV" w:eastAsia="ko-KR"/>
              </w:rPr>
              <w:t>punkts</w:t>
            </w:r>
            <w:r>
              <w:rPr>
                <w:rFonts w:ascii="Times New Roman" w:eastAsia="Batang" w:hAnsi="Times New Roman" w:cs="Times New Roman"/>
                <w:sz w:val="24"/>
                <w:szCs w:val="24"/>
                <w:lang w:val="lv-LV" w:eastAsia="ko-KR"/>
              </w:rPr>
              <w:t xml:space="preserve"> paredz svītrot</w:t>
            </w:r>
            <w:r w:rsidR="00077D8C">
              <w:rPr>
                <w:rFonts w:ascii="Times New Roman" w:eastAsia="Batang" w:hAnsi="Times New Roman" w:cs="Times New Roman"/>
                <w:sz w:val="24"/>
                <w:szCs w:val="24"/>
                <w:lang w:val="lv-LV" w:eastAsia="ko-KR"/>
              </w:rPr>
              <w:t xml:space="preserve"> prasību par diagnozes norādīšanu veselības informācijas sistēmā, turpmāk v</w:t>
            </w:r>
            <w:r>
              <w:rPr>
                <w:rFonts w:ascii="Times New Roman" w:eastAsia="Batang" w:hAnsi="Times New Roman" w:cs="Times New Roman"/>
                <w:sz w:val="24"/>
                <w:szCs w:val="24"/>
                <w:lang w:val="lv-LV" w:eastAsia="ko-KR"/>
              </w:rPr>
              <w:t>eselības informācijas sistēmā par darbnespējas lapām neievadot p</w:t>
            </w:r>
            <w:r w:rsidRPr="00355C3A">
              <w:rPr>
                <w:rFonts w:ascii="Times New Roman" w:eastAsia="Batang" w:hAnsi="Times New Roman" w:cs="Times New Roman"/>
                <w:sz w:val="24"/>
                <w:szCs w:val="24"/>
                <w:lang w:val="lv-LV" w:eastAsia="ko-KR"/>
              </w:rPr>
              <w:t>ārejošas darbnespējas cēloni – slimības diagnoz</w:t>
            </w:r>
            <w:r>
              <w:rPr>
                <w:rFonts w:ascii="Times New Roman" w:eastAsia="Batang" w:hAnsi="Times New Roman" w:cs="Times New Roman"/>
                <w:sz w:val="24"/>
                <w:szCs w:val="24"/>
                <w:lang w:val="lv-LV" w:eastAsia="ko-KR"/>
              </w:rPr>
              <w:t>i</w:t>
            </w:r>
            <w:r w:rsidRPr="00355C3A">
              <w:rPr>
                <w:rFonts w:ascii="Times New Roman" w:eastAsia="Batang" w:hAnsi="Times New Roman" w:cs="Times New Roman"/>
                <w:sz w:val="24"/>
                <w:szCs w:val="24"/>
                <w:lang w:val="lv-LV" w:eastAsia="ko-KR"/>
              </w:rPr>
              <w:t xml:space="preserve"> (pamatdiagnoze un blakusdiagnoze) atbilstoši aktuālajai starptautiskajai statistiskās slimību un veselības problēmu klasifikācijas 10.redakcijai (SSK-10)</w:t>
            </w:r>
            <w:r w:rsidR="0013017E">
              <w:rPr>
                <w:rFonts w:ascii="Times New Roman" w:eastAsia="Batang" w:hAnsi="Times New Roman" w:cs="Times New Roman"/>
                <w:sz w:val="24"/>
                <w:szCs w:val="24"/>
                <w:lang w:val="lv-LV" w:eastAsia="ko-KR"/>
              </w:rPr>
              <w:t xml:space="preserve">, </w:t>
            </w:r>
            <w:r w:rsidR="0013017E" w:rsidRPr="00307A9D">
              <w:rPr>
                <w:rFonts w:ascii="Times New Roman" w:eastAsia="Batang" w:hAnsi="Times New Roman" w:cs="Times New Roman"/>
                <w:sz w:val="24"/>
                <w:szCs w:val="24"/>
                <w:lang w:val="lv-LV" w:eastAsia="ko-KR"/>
              </w:rPr>
              <w:t>la</w:t>
            </w:r>
            <w:r w:rsidR="0013017E" w:rsidRPr="00050B19">
              <w:rPr>
                <w:rFonts w:ascii="Times New Roman" w:eastAsia="Batang" w:hAnsi="Times New Roman" w:cs="Times New Roman"/>
                <w:sz w:val="24"/>
                <w:szCs w:val="24"/>
                <w:lang w:val="lv-LV" w:eastAsia="ko-KR"/>
              </w:rPr>
              <w:t xml:space="preserve">i </w:t>
            </w:r>
            <w:r w:rsidR="002D2468">
              <w:rPr>
                <w:rFonts w:ascii="Times New Roman" w:eastAsia="Batang" w:hAnsi="Times New Roman" w:cs="Times New Roman"/>
                <w:sz w:val="24"/>
                <w:szCs w:val="24"/>
                <w:lang w:val="lv-LV" w:eastAsia="ko-KR"/>
              </w:rPr>
              <w:t>pēc iespējas samazinātu personas sensitīvo datu apstrādi atbilstoši Fizisko personu datu aizsardzības likuma prasībām</w:t>
            </w:r>
            <w:r w:rsidR="00307A9D">
              <w:rPr>
                <w:rFonts w:ascii="Times New Roman" w:eastAsia="Batang" w:hAnsi="Times New Roman" w:cs="Times New Roman"/>
                <w:sz w:val="24"/>
                <w:szCs w:val="24"/>
                <w:lang w:val="lv-LV" w:eastAsia="ko-KR"/>
              </w:rPr>
              <w:t>, jo darbnespējas lapas mērķis ir apliecināt personas darba nespēju, līdz ar to informācija par personas diagnozi nav nepieciešama iepriekšminētā mērķa sasniegšanai.</w:t>
            </w:r>
          </w:p>
          <w:p w:rsidR="00487CF5" w:rsidRPr="00AC1EC7" w:rsidRDefault="0013017E" w:rsidP="00984F2A">
            <w:pPr>
              <w:spacing w:after="0" w:line="240" w:lineRule="auto"/>
              <w:ind w:left="62"/>
              <w:jc w:val="both"/>
              <w:rPr>
                <w:rFonts w:ascii="Times New Roman" w:eastAsia="Batang" w:hAnsi="Times New Roman" w:cs="Times New Roman"/>
                <w:sz w:val="24"/>
                <w:szCs w:val="24"/>
                <w:lang w:val="lv-LV" w:eastAsia="ko-KR"/>
              </w:rPr>
            </w:pPr>
            <w:r>
              <w:rPr>
                <w:rFonts w:ascii="Times New Roman" w:eastAsia="Batang" w:hAnsi="Times New Roman" w:cs="Times New Roman"/>
                <w:sz w:val="24"/>
                <w:szCs w:val="24"/>
                <w:lang w:val="lv-LV" w:eastAsia="ko-KR"/>
              </w:rPr>
              <w:t xml:space="preserve">Noteikumu projekta </w:t>
            </w:r>
            <w:r w:rsidR="00DD7783" w:rsidRPr="009B2BC7">
              <w:rPr>
                <w:rFonts w:ascii="Times New Roman" w:eastAsia="Batang" w:hAnsi="Times New Roman" w:cs="Times New Roman"/>
                <w:sz w:val="24"/>
                <w:szCs w:val="24"/>
                <w:lang w:val="lv-LV" w:eastAsia="ko-KR"/>
              </w:rPr>
              <w:t>1.</w:t>
            </w:r>
            <w:r w:rsidR="00DC3128">
              <w:rPr>
                <w:rFonts w:ascii="Times New Roman" w:eastAsia="Batang" w:hAnsi="Times New Roman" w:cs="Times New Roman"/>
                <w:sz w:val="24"/>
                <w:szCs w:val="24"/>
                <w:lang w:val="lv-LV" w:eastAsia="ko-KR"/>
              </w:rPr>
              <w:t>1</w:t>
            </w:r>
            <w:r w:rsidR="00D23BF0">
              <w:rPr>
                <w:rFonts w:ascii="Times New Roman" w:eastAsia="Batang" w:hAnsi="Times New Roman" w:cs="Times New Roman"/>
                <w:sz w:val="24"/>
                <w:szCs w:val="24"/>
                <w:lang w:val="lv-LV" w:eastAsia="ko-KR"/>
              </w:rPr>
              <w:t>1</w:t>
            </w:r>
            <w:r w:rsidR="00DD7783" w:rsidRPr="009B2BC7">
              <w:rPr>
                <w:rFonts w:ascii="Times New Roman" w:eastAsia="Batang" w:hAnsi="Times New Roman" w:cs="Times New Roman"/>
                <w:sz w:val="24"/>
                <w:szCs w:val="24"/>
                <w:lang w:val="lv-LV" w:eastAsia="ko-KR"/>
              </w:rPr>
              <w:t>.apakšpunkts</w:t>
            </w:r>
            <w:r>
              <w:rPr>
                <w:rFonts w:ascii="Times New Roman" w:eastAsia="Batang" w:hAnsi="Times New Roman" w:cs="Times New Roman"/>
                <w:sz w:val="24"/>
                <w:szCs w:val="24"/>
                <w:lang w:val="lv-LV" w:eastAsia="ko-KR"/>
              </w:rPr>
              <w:t xml:space="preserve"> paredz precizēt e-receptē norādāmo informāciju attiecībā uz pacienta diagnozi – norādot diagnozes kodu</w:t>
            </w:r>
            <w:r w:rsidRPr="0013017E">
              <w:rPr>
                <w:rFonts w:ascii="Times New Roman" w:eastAsia="Batang" w:hAnsi="Times New Roman" w:cs="Times New Roman"/>
                <w:sz w:val="24"/>
                <w:szCs w:val="24"/>
                <w:lang w:val="lv-LV" w:eastAsia="ko-KR"/>
              </w:rPr>
              <w:t xml:space="preserve"> (atbilstoši aktuālajai starptautiskās statistiskās slimību un veselības problēmu klasifikācijas 10.redakcijai</w:t>
            </w:r>
            <w:r w:rsidR="00307A9D">
              <w:rPr>
                <w:rFonts w:ascii="Times New Roman" w:eastAsia="Batang" w:hAnsi="Times New Roman" w:cs="Times New Roman"/>
                <w:sz w:val="24"/>
                <w:szCs w:val="24"/>
                <w:lang w:val="lv-LV" w:eastAsia="ko-KR"/>
              </w:rPr>
              <w:t xml:space="preserve"> </w:t>
            </w:r>
            <w:r w:rsidRPr="0013017E">
              <w:rPr>
                <w:rFonts w:ascii="Times New Roman" w:eastAsia="Batang" w:hAnsi="Times New Roman" w:cs="Times New Roman"/>
                <w:sz w:val="24"/>
                <w:szCs w:val="24"/>
                <w:lang w:val="lv-LV" w:eastAsia="ko-KR"/>
              </w:rPr>
              <w:t>(SSK-10)) saskaņā ar normatīvajiem aktiem par recepšu izrakstīšanu un uzglabāšanu</w:t>
            </w:r>
            <w:r>
              <w:rPr>
                <w:rFonts w:ascii="Times New Roman" w:eastAsia="Batang" w:hAnsi="Times New Roman" w:cs="Times New Roman"/>
                <w:sz w:val="24"/>
                <w:szCs w:val="24"/>
                <w:lang w:val="lv-LV" w:eastAsia="ko-KR"/>
              </w:rPr>
              <w:t>.</w:t>
            </w:r>
            <w:r w:rsidR="00D43E92">
              <w:rPr>
                <w:rFonts w:ascii="Times New Roman" w:eastAsia="Batang" w:hAnsi="Times New Roman" w:cs="Times New Roman"/>
                <w:sz w:val="24"/>
                <w:szCs w:val="24"/>
                <w:lang w:val="lv-LV" w:eastAsia="ko-KR"/>
              </w:rPr>
              <w:t xml:space="preserve"> </w:t>
            </w:r>
            <w:r w:rsidR="00307A9D">
              <w:rPr>
                <w:rFonts w:ascii="Times New Roman" w:eastAsia="Batang" w:hAnsi="Times New Roman" w:cs="Times New Roman"/>
                <w:sz w:val="24"/>
                <w:szCs w:val="24"/>
                <w:lang w:val="lv-LV" w:eastAsia="ko-KR"/>
              </w:rPr>
              <w:t>Savukārt šie normatīvie akti paredz, ka diagn</w:t>
            </w:r>
            <w:r w:rsidR="00030C74">
              <w:rPr>
                <w:rFonts w:ascii="Times New Roman" w:eastAsia="Batang" w:hAnsi="Times New Roman" w:cs="Times New Roman"/>
                <w:sz w:val="24"/>
                <w:szCs w:val="24"/>
                <w:lang w:val="lv-LV" w:eastAsia="ko-KR"/>
              </w:rPr>
              <w:t xml:space="preserve">oze norādāma vienīgi, ja zāles izrakstītas uz īpašās receptes veidlapas. Tāpat kā papīra formāta īpašās receptes veidlapā, tā arī </w:t>
            </w:r>
            <w:r w:rsidR="00D43E92">
              <w:rPr>
                <w:rFonts w:ascii="Times New Roman" w:eastAsia="Batang" w:hAnsi="Times New Roman" w:cs="Times New Roman"/>
                <w:sz w:val="24"/>
                <w:szCs w:val="24"/>
                <w:lang w:val="lv-LV" w:eastAsia="ko-KR"/>
              </w:rPr>
              <w:t xml:space="preserve">E-receptē nepieciešams norādīt pacienta diagnozi, jo farmaceits, kurš saņem e-recepti tās atprečošanai aptiekā, sniedz pacientam farmaceitisko aprūpi, kas saskaņā ar Farmācijas likuma 1.pantā ietverto definīciju, </w:t>
            </w:r>
            <w:r w:rsidR="00235B98">
              <w:rPr>
                <w:rFonts w:ascii="Times New Roman" w:eastAsia="Batang" w:hAnsi="Times New Roman" w:cs="Times New Roman"/>
                <w:sz w:val="24"/>
                <w:szCs w:val="24"/>
                <w:lang w:val="lv-LV" w:eastAsia="ko-KR"/>
              </w:rPr>
              <w:t>ir veselības aprūpes sastāvdaļa</w:t>
            </w:r>
            <w:r w:rsidR="00D43E92">
              <w:rPr>
                <w:rFonts w:ascii="Times New Roman" w:eastAsia="Batang" w:hAnsi="Times New Roman" w:cs="Times New Roman"/>
                <w:sz w:val="24"/>
                <w:szCs w:val="24"/>
                <w:lang w:val="lv-LV" w:eastAsia="ko-KR"/>
              </w:rPr>
              <w:t>, ko savas kompetences ietvaros veic farmaceits, sniedzot farmakoterapeitiskās konsultācijas, inform</w:t>
            </w:r>
            <w:r w:rsidR="00030C74">
              <w:rPr>
                <w:rFonts w:ascii="Times New Roman" w:eastAsia="Batang" w:hAnsi="Times New Roman" w:cs="Times New Roman"/>
                <w:sz w:val="24"/>
                <w:szCs w:val="24"/>
                <w:lang w:val="lv-LV" w:eastAsia="ko-KR"/>
              </w:rPr>
              <w:t xml:space="preserve">āciju par zālēm un to lietošanu. </w:t>
            </w:r>
            <w:r w:rsidR="00D43E92">
              <w:rPr>
                <w:rFonts w:ascii="Times New Roman" w:eastAsia="Batang" w:hAnsi="Times New Roman" w:cs="Times New Roman"/>
                <w:sz w:val="24"/>
                <w:szCs w:val="24"/>
                <w:lang w:val="lv-LV" w:eastAsia="ko-KR"/>
              </w:rPr>
              <w:t>Vienlaikus nodrošinot farmaceitisko aprūpi, farmaceits nodrošina arī apmeklētāju datu aizsardzību. Tāpat arī Pacientu tiesību likuma 10.panta</w:t>
            </w:r>
            <w:r w:rsidR="00050B19">
              <w:rPr>
                <w:rFonts w:ascii="Times New Roman" w:eastAsia="Batang" w:hAnsi="Times New Roman" w:cs="Times New Roman"/>
                <w:sz w:val="24"/>
                <w:szCs w:val="24"/>
                <w:lang w:val="lv-LV" w:eastAsia="ko-KR"/>
              </w:rPr>
              <w:t xml:space="preserve"> (5</w:t>
            </w:r>
            <w:r w:rsidR="00050B19">
              <w:rPr>
                <w:rFonts w:ascii="Times New Roman" w:eastAsia="Batang" w:hAnsi="Times New Roman" w:cs="Times New Roman"/>
                <w:sz w:val="24"/>
                <w:szCs w:val="24"/>
                <w:vertAlign w:val="superscript"/>
                <w:lang w:val="lv-LV" w:eastAsia="ko-KR"/>
              </w:rPr>
              <w:t>2</w:t>
            </w:r>
            <w:r w:rsidR="00050B19">
              <w:rPr>
                <w:rFonts w:ascii="Times New Roman" w:eastAsia="Batang" w:hAnsi="Times New Roman" w:cs="Times New Roman"/>
                <w:sz w:val="24"/>
                <w:szCs w:val="24"/>
                <w:lang w:val="lv-LV" w:eastAsia="ko-KR"/>
              </w:rPr>
              <w:t>)</w:t>
            </w:r>
            <w:r w:rsidR="00B314C9">
              <w:rPr>
                <w:rFonts w:ascii="Times New Roman" w:eastAsia="Batang" w:hAnsi="Times New Roman" w:cs="Times New Roman"/>
                <w:sz w:val="24"/>
                <w:szCs w:val="24"/>
                <w:lang w:val="lv-LV" w:eastAsia="ko-KR"/>
              </w:rPr>
              <w:t xml:space="preserve"> daļā noteikts, ka V</w:t>
            </w:r>
            <w:r w:rsidR="00B314C9" w:rsidRPr="00B314C9">
              <w:rPr>
                <w:rFonts w:ascii="Times New Roman" w:eastAsia="Batang" w:hAnsi="Times New Roman" w:cs="Times New Roman"/>
                <w:sz w:val="24"/>
                <w:szCs w:val="24"/>
                <w:lang w:val="lv-LV" w:eastAsia="ko-KR"/>
              </w:rPr>
              <w:t xml:space="preserve">eselības informācijas sistēmā uzkrāto informāciju par pacientu normatīvajos aktos par veselības informācijas </w:t>
            </w:r>
            <w:r w:rsidR="00B314C9" w:rsidRPr="00B314C9">
              <w:rPr>
                <w:rFonts w:ascii="Times New Roman" w:eastAsia="Batang" w:hAnsi="Times New Roman" w:cs="Times New Roman"/>
                <w:sz w:val="24"/>
                <w:szCs w:val="24"/>
                <w:lang w:val="lv-LV" w:eastAsia="ko-KR"/>
              </w:rPr>
              <w:lastRenderedPageBreak/>
              <w:t>sistēmā apstrādājamiem datiem noteiktajā kārtībā un apjomā apstrādā</w:t>
            </w:r>
            <w:r w:rsidR="00D43E92">
              <w:rPr>
                <w:rFonts w:ascii="Times New Roman" w:eastAsia="Batang" w:hAnsi="Times New Roman" w:cs="Times New Roman"/>
                <w:sz w:val="24"/>
                <w:szCs w:val="24"/>
                <w:lang w:val="lv-LV" w:eastAsia="ko-KR"/>
              </w:rPr>
              <w:t xml:space="preserve">  </w:t>
            </w:r>
            <w:r w:rsidR="00B314C9" w:rsidRPr="00B314C9">
              <w:rPr>
                <w:rFonts w:ascii="Times New Roman" w:eastAsia="Batang" w:hAnsi="Times New Roman" w:cs="Times New Roman"/>
                <w:sz w:val="24"/>
                <w:szCs w:val="24"/>
                <w:lang w:val="lv-LV" w:eastAsia="ko-KR"/>
              </w:rPr>
              <w:t>farmaceiti un farmaceitu asistenti — farmaceitiskās aprūpes nodrošināšanai</w:t>
            </w:r>
            <w:r w:rsidR="00B314C9">
              <w:rPr>
                <w:rFonts w:ascii="Times New Roman" w:eastAsia="Batang" w:hAnsi="Times New Roman" w:cs="Times New Roman"/>
                <w:sz w:val="24"/>
                <w:szCs w:val="24"/>
                <w:lang w:val="lv-LV" w:eastAsia="ko-KR"/>
              </w:rPr>
              <w:t>.</w:t>
            </w:r>
            <w:r w:rsidR="00030C74">
              <w:rPr>
                <w:rFonts w:ascii="Times New Roman" w:eastAsia="Batang" w:hAnsi="Times New Roman" w:cs="Times New Roman"/>
                <w:sz w:val="24"/>
                <w:szCs w:val="24"/>
                <w:lang w:val="lv-LV" w:eastAsia="ko-KR"/>
              </w:rPr>
              <w:t xml:space="preserve"> </w:t>
            </w:r>
            <w:r w:rsidR="00193DDF">
              <w:rPr>
                <w:rFonts w:ascii="Times New Roman" w:eastAsia="Batang" w:hAnsi="Times New Roman" w:cs="Times New Roman"/>
                <w:sz w:val="24"/>
                <w:szCs w:val="24"/>
                <w:lang w:val="lv-LV" w:eastAsia="ko-KR"/>
              </w:rPr>
              <w:t xml:space="preserve">Diagnoze šajā gadījumā farmaceitiskās </w:t>
            </w:r>
            <w:r w:rsidR="00050B19">
              <w:rPr>
                <w:rFonts w:ascii="Times New Roman" w:eastAsia="Batang" w:hAnsi="Times New Roman" w:cs="Times New Roman"/>
                <w:sz w:val="24"/>
                <w:szCs w:val="24"/>
                <w:lang w:val="lv-LV" w:eastAsia="ko-KR"/>
              </w:rPr>
              <w:t xml:space="preserve">aprūpes sniegšanai </w:t>
            </w:r>
            <w:r w:rsidR="00393D42">
              <w:rPr>
                <w:rFonts w:ascii="Times New Roman" w:eastAsia="Batang" w:hAnsi="Times New Roman" w:cs="Times New Roman"/>
                <w:sz w:val="24"/>
                <w:szCs w:val="24"/>
                <w:lang w:val="lv-LV" w:eastAsia="ko-KR"/>
              </w:rPr>
              <w:t xml:space="preserve">ir </w:t>
            </w:r>
            <w:r w:rsidR="00050B19">
              <w:rPr>
                <w:rFonts w:ascii="Times New Roman" w:eastAsia="Batang" w:hAnsi="Times New Roman" w:cs="Times New Roman"/>
                <w:sz w:val="24"/>
                <w:szCs w:val="24"/>
                <w:lang w:val="lv-LV" w:eastAsia="ko-KR"/>
              </w:rPr>
              <w:t>nepieciešama. Saskaņā ar Ministru kabineta 2006.gada 31.oktobra noteikumu Nr.899 “Ambulatorajai ārstēšanai paredzēto zāļu un medicīnisko ierīču iegādes izdevumu kompensācijas kārtība” 89. un 90.punktu, ja ārsts ir lietojis zāļu vispārīgo nosaukumu vai nav norādījis, ka izrakstītas zāles nedrīkst aizvietot, farmaceita pienākums ir izsniegt lētāk</w:t>
            </w:r>
            <w:r w:rsidR="00AC1EC7">
              <w:rPr>
                <w:rFonts w:ascii="Times New Roman" w:eastAsia="Batang" w:hAnsi="Times New Roman" w:cs="Times New Roman"/>
                <w:sz w:val="24"/>
                <w:szCs w:val="24"/>
                <w:lang w:val="lv-LV" w:eastAsia="ko-KR"/>
              </w:rPr>
              <w:t>ās atbilstošās zāles. Ko farmaceitam, neredzot diagnozi, varētu būt sarežģīti realizēt, ņemot vērā to, ka no valsts budžeta līdzekļiem kompensējamo zāļu saraksts tiek veidots, balstoties uz diagnožu grupām.</w:t>
            </w:r>
            <w:r w:rsidR="00B941C0">
              <w:rPr>
                <w:rFonts w:ascii="Times New Roman" w:eastAsia="Batang" w:hAnsi="Times New Roman" w:cs="Times New Roman"/>
                <w:sz w:val="24"/>
                <w:szCs w:val="24"/>
                <w:lang w:val="lv-LV" w:eastAsia="ko-KR"/>
              </w:rPr>
              <w:t xml:space="preserve"> </w:t>
            </w:r>
            <w:r w:rsidR="00487CF5">
              <w:rPr>
                <w:rFonts w:ascii="Times New Roman" w:eastAsia="Batang" w:hAnsi="Times New Roman" w:cs="Times New Roman"/>
                <w:sz w:val="24"/>
                <w:szCs w:val="24"/>
                <w:lang w:val="lv-LV" w:eastAsia="ko-KR"/>
              </w:rPr>
              <w:t xml:space="preserve">Noteikumu </w:t>
            </w:r>
            <w:r w:rsidR="00CC7612">
              <w:rPr>
                <w:rFonts w:ascii="Times New Roman" w:eastAsia="Batang" w:hAnsi="Times New Roman" w:cs="Times New Roman"/>
                <w:sz w:val="24"/>
                <w:szCs w:val="24"/>
                <w:lang w:val="lv-LV" w:eastAsia="ko-KR"/>
              </w:rPr>
              <w:t xml:space="preserve">projektā </w:t>
            </w:r>
            <w:r w:rsidR="00487CF5">
              <w:rPr>
                <w:rFonts w:ascii="Times New Roman" w:eastAsia="Batang" w:hAnsi="Times New Roman" w:cs="Times New Roman"/>
                <w:sz w:val="24"/>
                <w:szCs w:val="24"/>
                <w:lang w:val="lv-LV" w:eastAsia="ko-KR"/>
              </w:rPr>
              <w:t xml:space="preserve">ietvertās izmaiņas saistībā ar </w:t>
            </w:r>
            <w:r w:rsidR="00984F2A">
              <w:rPr>
                <w:rFonts w:ascii="Times New Roman" w:eastAsia="Batang" w:hAnsi="Times New Roman" w:cs="Times New Roman"/>
                <w:sz w:val="24"/>
                <w:szCs w:val="24"/>
                <w:lang w:val="lv-LV" w:eastAsia="ko-KR"/>
              </w:rPr>
              <w:t xml:space="preserve">pārejošas </w:t>
            </w:r>
            <w:r w:rsidR="00487CF5">
              <w:rPr>
                <w:rFonts w:ascii="Times New Roman" w:eastAsia="Batang" w:hAnsi="Times New Roman" w:cs="Times New Roman"/>
                <w:sz w:val="24"/>
                <w:szCs w:val="24"/>
                <w:lang w:val="lv-LV" w:eastAsia="ko-KR"/>
              </w:rPr>
              <w:t>darbnespējas cēloņiem</w:t>
            </w:r>
            <w:r w:rsidR="00984F2A">
              <w:rPr>
                <w:rFonts w:ascii="Times New Roman" w:eastAsia="Batang" w:hAnsi="Times New Roman" w:cs="Times New Roman"/>
                <w:sz w:val="24"/>
                <w:szCs w:val="24"/>
                <w:lang w:val="lv-LV" w:eastAsia="ko-KR"/>
              </w:rPr>
              <w:t>, tajā skaitā diagnozes norādīšanu pie pārejošas darbnespējas cēloņa,</w:t>
            </w:r>
            <w:r w:rsidR="00487CF5">
              <w:rPr>
                <w:rFonts w:ascii="Times New Roman" w:eastAsia="Batang" w:hAnsi="Times New Roman" w:cs="Times New Roman"/>
                <w:sz w:val="24"/>
                <w:szCs w:val="24"/>
                <w:lang w:val="lv-LV" w:eastAsia="ko-KR"/>
              </w:rPr>
              <w:t xml:space="preserve"> stāsies spēkā 201</w:t>
            </w:r>
            <w:r w:rsidR="00984F2A">
              <w:rPr>
                <w:rFonts w:ascii="Times New Roman" w:eastAsia="Batang" w:hAnsi="Times New Roman" w:cs="Times New Roman"/>
                <w:sz w:val="24"/>
                <w:szCs w:val="24"/>
                <w:lang w:val="lv-LV" w:eastAsia="ko-KR"/>
              </w:rPr>
              <w:t>8</w:t>
            </w:r>
            <w:r w:rsidR="00487CF5">
              <w:rPr>
                <w:rFonts w:ascii="Times New Roman" w:eastAsia="Batang" w:hAnsi="Times New Roman" w:cs="Times New Roman"/>
                <w:sz w:val="24"/>
                <w:szCs w:val="24"/>
                <w:lang w:val="lv-LV" w:eastAsia="ko-KR"/>
              </w:rPr>
              <w:t>.gada 1.</w:t>
            </w:r>
            <w:r w:rsidR="00984F2A">
              <w:rPr>
                <w:rFonts w:ascii="Times New Roman" w:eastAsia="Batang" w:hAnsi="Times New Roman" w:cs="Times New Roman"/>
                <w:sz w:val="24"/>
                <w:szCs w:val="24"/>
                <w:lang w:val="lv-LV" w:eastAsia="ko-KR"/>
              </w:rPr>
              <w:t>martā</w:t>
            </w:r>
            <w:r w:rsidR="00CC7612">
              <w:rPr>
                <w:rFonts w:ascii="Times New Roman" w:eastAsia="Batang" w:hAnsi="Times New Roman" w:cs="Times New Roman"/>
                <w:sz w:val="24"/>
                <w:szCs w:val="24"/>
                <w:lang w:val="lv-LV" w:eastAsia="ko-KR"/>
              </w:rPr>
              <w:t>, lai varētu veikt nepieciešamās izmaiņas arī e-veselības sistēmā.</w:t>
            </w:r>
            <w:r w:rsidR="009B624F">
              <w:rPr>
                <w:rFonts w:ascii="Times New Roman" w:eastAsia="Batang" w:hAnsi="Times New Roman" w:cs="Times New Roman"/>
                <w:sz w:val="24"/>
                <w:szCs w:val="24"/>
                <w:lang w:val="lv-LV" w:eastAsia="ko-KR"/>
              </w:rPr>
              <w:t xml:space="preserve"> Tā kā tas saistīts ne tikai ar izmaiņām veselības informācijas sistēma, bet izmaiņas jāizdara arī Valsts sociālās apdrošināšanas aģentūrai un Valsts ieņēmumu dienestam savās sistēmās, tad tas saistīts ar papildu finanšu līdzekļiem, ko iespējams realizēt nevis esošajā finanšu gadā, bet nākošajā – 2018.gadā, līdz ar to iespējami īsākais termiņš, kad izmaiņas var stāties spēkā ir 2018.gada 1.marts</w:t>
            </w:r>
          </w:p>
        </w:tc>
      </w:tr>
      <w:tr w:rsidR="00E818CD" w:rsidRPr="00A92ABE" w:rsidTr="00E818CD">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lastRenderedPageBreak/>
              <w:t>3.</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Projekta izstrādē iesaistītās institūcijas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Veselības ministrija</w:t>
            </w:r>
            <w:r>
              <w:rPr>
                <w:lang w:val="lv-LV"/>
              </w:rPr>
              <w:t>, Labklājības ministrija, Valsts s</w:t>
            </w:r>
            <w:r w:rsidR="00050B19">
              <w:rPr>
                <w:lang w:val="lv-LV"/>
              </w:rPr>
              <w:t>ociālās apdrošināšanas aģentūra</w:t>
            </w:r>
          </w:p>
        </w:tc>
      </w:tr>
      <w:tr w:rsidR="00E818CD" w:rsidRPr="00A92ABE" w:rsidTr="00E818CD">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4.</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Cita informācija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rFonts w:eastAsia="Meiryo"/>
                <w:lang w:val="lv-LV"/>
              </w:rPr>
            </w:pPr>
            <w:r w:rsidRPr="00A92ABE">
              <w:rPr>
                <w:rFonts w:eastAsia="Meiryo"/>
                <w:lang w:val="lv-LV"/>
              </w:rPr>
              <w:t>Nav</w:t>
            </w:r>
          </w:p>
        </w:tc>
      </w:tr>
    </w:tbl>
    <w:p w:rsidR="00E818CD" w:rsidRPr="00A92ABE" w:rsidRDefault="00E818CD" w:rsidP="00E818CD">
      <w:pPr>
        <w:pStyle w:val="NoSpacing"/>
        <w:jc w:val="both"/>
        <w:rPr>
          <w:lang w:val="lv-LV"/>
        </w:rPr>
      </w:pPr>
    </w:p>
    <w:tbl>
      <w:tblPr>
        <w:tblW w:w="494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firstRow="1" w:lastRow="0" w:firstColumn="1" w:lastColumn="0" w:noHBand="0" w:noVBand="1"/>
      </w:tblPr>
      <w:tblGrid>
        <w:gridCol w:w="418"/>
        <w:gridCol w:w="2369"/>
        <w:gridCol w:w="6404"/>
      </w:tblGrid>
      <w:tr w:rsidR="00E818CD" w:rsidRPr="00EE039D" w:rsidTr="00E818CD">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8CD" w:rsidRPr="00F350E4" w:rsidRDefault="00E818CD" w:rsidP="00E818CD">
            <w:pPr>
              <w:pStyle w:val="NoSpacing"/>
              <w:jc w:val="center"/>
              <w:rPr>
                <w:b/>
                <w:lang w:val="lv-LV"/>
              </w:rPr>
            </w:pPr>
            <w:r w:rsidRPr="00F350E4">
              <w:rPr>
                <w:b/>
                <w:lang w:val="lv-LV"/>
              </w:rPr>
              <w:t>II. Tiesību akta projekta ietekme uz sabiedrību, tautsaimniecības attīstību un administratīvo slogu</w:t>
            </w:r>
          </w:p>
        </w:tc>
      </w:tr>
      <w:tr w:rsidR="00E818CD" w:rsidRPr="00A92ABE" w:rsidTr="00E818CD">
        <w:trPr>
          <w:trHeight w:val="465"/>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1.</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Sabiedrības mērķgrupas, kuras tiesiskais regulējums ietekmē vai varētu ietekmēt</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B314C9" w:rsidP="00E818CD">
            <w:pPr>
              <w:pStyle w:val="NoSpacing"/>
              <w:jc w:val="both"/>
              <w:rPr>
                <w:lang w:val="lv-LV"/>
              </w:rPr>
            </w:pPr>
            <w:r>
              <w:rPr>
                <w:lang w:val="lv-LV"/>
              </w:rPr>
              <w:t>Ā</w:t>
            </w:r>
            <w:r w:rsidR="00E818CD">
              <w:rPr>
                <w:lang w:val="lv-LV"/>
              </w:rPr>
              <w:t>rstniecības personas, darba devēji</w:t>
            </w:r>
            <w:r>
              <w:rPr>
                <w:lang w:val="lv-LV"/>
              </w:rPr>
              <w:t>, pacienti</w:t>
            </w:r>
            <w:r w:rsidR="00235B98">
              <w:rPr>
                <w:lang w:val="lv-LV"/>
              </w:rPr>
              <w:t>, farmaceiti, farmaceitu asistenti</w:t>
            </w:r>
          </w:p>
        </w:tc>
      </w:tr>
      <w:tr w:rsidR="00E818CD" w:rsidRPr="0003374B" w:rsidTr="00E818CD">
        <w:trPr>
          <w:trHeight w:val="510"/>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2.</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Tiesiskā regulējuma ietekme uz tautsaimniecību un administratīvo slogu</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tvhtml"/>
              <w:shd w:val="clear" w:color="auto" w:fill="FFFFFF"/>
              <w:spacing w:before="0" w:beforeAutospacing="0" w:after="0" w:afterAutospacing="0"/>
              <w:jc w:val="both"/>
            </w:pPr>
            <w:r>
              <w:t>Projekts šo jomu neskar</w:t>
            </w:r>
          </w:p>
        </w:tc>
      </w:tr>
      <w:tr w:rsidR="00E818CD" w:rsidRPr="00A92ABE" w:rsidTr="00E818CD">
        <w:trPr>
          <w:trHeight w:val="510"/>
        </w:trPr>
        <w:tc>
          <w:tcPr>
            <w:tcW w:w="227" w:type="pct"/>
            <w:tcBorders>
              <w:top w:val="outset" w:sz="6" w:space="0" w:color="414142"/>
              <w:left w:val="outset" w:sz="6" w:space="0" w:color="414142"/>
              <w:bottom w:val="single" w:sz="4" w:space="0" w:color="auto"/>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3.</w:t>
            </w:r>
          </w:p>
        </w:tc>
        <w:tc>
          <w:tcPr>
            <w:tcW w:w="1289" w:type="pct"/>
            <w:tcBorders>
              <w:top w:val="outset" w:sz="6" w:space="0" w:color="414142"/>
              <w:left w:val="outset" w:sz="6" w:space="0" w:color="414142"/>
              <w:bottom w:val="single" w:sz="4" w:space="0" w:color="auto"/>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Administratīvo izmaksu monetārs novērtējums</w:t>
            </w:r>
          </w:p>
        </w:tc>
        <w:tc>
          <w:tcPr>
            <w:tcW w:w="3484" w:type="pct"/>
            <w:tcBorders>
              <w:top w:val="outset" w:sz="6" w:space="0" w:color="414142"/>
              <w:left w:val="outset" w:sz="6" w:space="0" w:color="414142"/>
              <w:bottom w:val="single" w:sz="4" w:space="0" w:color="auto"/>
              <w:right w:val="outset" w:sz="6" w:space="0" w:color="414142"/>
            </w:tcBorders>
            <w:shd w:val="clear" w:color="auto" w:fill="FFFFFF"/>
            <w:hideMark/>
          </w:tcPr>
          <w:p w:rsidR="00E818CD" w:rsidRPr="00A92ABE" w:rsidRDefault="00E818CD" w:rsidP="00E818CD">
            <w:pPr>
              <w:pStyle w:val="BodyText1"/>
              <w:shd w:val="clear" w:color="auto" w:fill="auto"/>
              <w:spacing w:before="0" w:after="0" w:line="240" w:lineRule="auto"/>
              <w:jc w:val="both"/>
              <w:rPr>
                <w:sz w:val="24"/>
                <w:szCs w:val="24"/>
                <w:shd w:val="clear" w:color="auto" w:fill="FFFFFF"/>
              </w:rPr>
            </w:pPr>
            <w:r>
              <w:t>Projekts šo jomu neskar.</w:t>
            </w:r>
          </w:p>
        </w:tc>
      </w:tr>
      <w:tr w:rsidR="00E818CD" w:rsidRPr="00A92ABE" w:rsidTr="00E818CD">
        <w:trPr>
          <w:trHeight w:val="277"/>
        </w:trPr>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E818CD" w:rsidRPr="00A92ABE" w:rsidRDefault="00E818CD" w:rsidP="00E818CD">
            <w:pPr>
              <w:pStyle w:val="NoSpacing"/>
              <w:jc w:val="both"/>
              <w:rPr>
                <w:lang w:val="lv-LV"/>
              </w:rPr>
            </w:pPr>
            <w:r w:rsidRPr="00A92ABE">
              <w:rPr>
                <w:lang w:val="lv-LV"/>
              </w:rPr>
              <w:t>4.</w:t>
            </w:r>
          </w:p>
        </w:tc>
        <w:tc>
          <w:tcPr>
            <w:tcW w:w="1289" w:type="pct"/>
            <w:tcBorders>
              <w:top w:val="single" w:sz="4" w:space="0" w:color="auto"/>
              <w:left w:val="single" w:sz="4" w:space="0" w:color="auto"/>
              <w:bottom w:val="single" w:sz="4" w:space="0" w:color="auto"/>
              <w:right w:val="single" w:sz="4" w:space="0" w:color="auto"/>
            </w:tcBorders>
            <w:shd w:val="clear" w:color="auto" w:fill="FFFFFF"/>
            <w:hideMark/>
          </w:tcPr>
          <w:p w:rsidR="00E818CD" w:rsidRPr="00A92ABE" w:rsidRDefault="00E818CD" w:rsidP="00E818CD">
            <w:pPr>
              <w:pStyle w:val="NoSpacing"/>
              <w:jc w:val="both"/>
              <w:rPr>
                <w:lang w:val="lv-LV"/>
              </w:rPr>
            </w:pPr>
            <w:r w:rsidRPr="00A92ABE">
              <w:rPr>
                <w:lang w:val="lv-LV"/>
              </w:rPr>
              <w:t>Cita informācija</w:t>
            </w:r>
          </w:p>
        </w:tc>
        <w:tc>
          <w:tcPr>
            <w:tcW w:w="3484" w:type="pct"/>
            <w:tcBorders>
              <w:top w:val="single" w:sz="4" w:space="0" w:color="auto"/>
              <w:left w:val="single" w:sz="4" w:space="0" w:color="auto"/>
              <w:bottom w:val="single" w:sz="4" w:space="0" w:color="auto"/>
              <w:right w:val="single" w:sz="4" w:space="0" w:color="auto"/>
            </w:tcBorders>
            <w:shd w:val="clear" w:color="auto" w:fill="FFFFFF"/>
            <w:hideMark/>
          </w:tcPr>
          <w:p w:rsidR="00E818CD" w:rsidRPr="00A92ABE" w:rsidRDefault="00761A5C" w:rsidP="00E818C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r w:rsidR="00E818CD" w:rsidRPr="00A92ABE">
              <w:rPr>
                <w:rFonts w:ascii="Times New Roman" w:hAnsi="Times New Roman" w:cs="Times New Roman"/>
                <w:sz w:val="24"/>
                <w:szCs w:val="24"/>
                <w:lang w:val="lv-LV"/>
              </w:rPr>
              <w:t xml:space="preserve"> </w:t>
            </w:r>
          </w:p>
        </w:tc>
      </w:tr>
    </w:tbl>
    <w:p w:rsidR="00E818CD" w:rsidRPr="00A92ABE" w:rsidRDefault="00E818CD" w:rsidP="00E818CD">
      <w:pPr>
        <w:pStyle w:val="NoSpacing"/>
        <w:jc w:val="both"/>
        <w:rPr>
          <w:lang w:val="lv-LV"/>
        </w:rPr>
      </w:pPr>
    </w:p>
    <w:p w:rsidR="00E818CD" w:rsidRDefault="00E818CD" w:rsidP="00E818CD">
      <w:pPr>
        <w:pStyle w:val="NoSpacing"/>
        <w:jc w:val="both"/>
        <w:rPr>
          <w:i/>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2"/>
        <w:gridCol w:w="2633"/>
        <w:gridCol w:w="128"/>
        <w:gridCol w:w="5871"/>
        <w:gridCol w:w="57"/>
      </w:tblGrid>
      <w:tr w:rsidR="00E818CD" w:rsidRPr="00EE039D" w:rsidTr="00F90EBA">
        <w:trPr>
          <w:gridAfter w:val="1"/>
          <w:wAfter w:w="31" w:type="pct"/>
          <w:trHeight w:val="450"/>
          <w:jc w:val="center"/>
        </w:trPr>
        <w:tc>
          <w:tcPr>
            <w:tcW w:w="4969" w:type="pct"/>
            <w:gridSpan w:val="4"/>
            <w:tcBorders>
              <w:top w:val="outset" w:sz="6" w:space="0" w:color="414142"/>
              <w:left w:val="outset" w:sz="6" w:space="0" w:color="414142"/>
              <w:bottom w:val="outset" w:sz="6" w:space="0" w:color="414142"/>
              <w:right w:val="outset" w:sz="6" w:space="0" w:color="414142"/>
            </w:tcBorders>
            <w:vAlign w:val="center"/>
            <w:hideMark/>
          </w:tcPr>
          <w:p w:rsidR="00E818CD" w:rsidRPr="00A505B8" w:rsidRDefault="00E818CD" w:rsidP="00E818CD">
            <w:pPr>
              <w:spacing w:before="100" w:beforeAutospacing="1" w:after="100" w:afterAutospacing="1" w:line="293" w:lineRule="atLeast"/>
              <w:jc w:val="center"/>
              <w:rPr>
                <w:rFonts w:ascii="Times New Roman" w:eastAsia="Times New Roman" w:hAnsi="Times New Roman" w:cs="Times New Roman"/>
                <w:b/>
                <w:bCs/>
                <w:color w:val="414142"/>
                <w:sz w:val="24"/>
                <w:szCs w:val="24"/>
                <w:lang w:val="lv-LV" w:eastAsia="lv-LV"/>
              </w:rPr>
            </w:pPr>
            <w:r w:rsidRPr="00A505B8">
              <w:rPr>
                <w:rFonts w:ascii="Times New Roman" w:eastAsia="Times New Roman" w:hAnsi="Times New Roman" w:cs="Times New Roman"/>
                <w:b/>
                <w:bCs/>
                <w:color w:val="414142"/>
                <w:sz w:val="24"/>
                <w:szCs w:val="24"/>
                <w:lang w:val="lv-LV" w:eastAsia="lv-LV"/>
              </w:rPr>
              <w:t>IV. Tiesību akta projekta ietekme uz spēkā esošo tiesību normu sistēmu</w:t>
            </w:r>
          </w:p>
        </w:tc>
      </w:tr>
      <w:tr w:rsidR="00E818CD" w:rsidRPr="00EE039D" w:rsidTr="00F90EBA">
        <w:trPr>
          <w:gridAfter w:val="1"/>
          <w:wAfter w:w="31" w:type="pct"/>
          <w:jc w:val="center"/>
        </w:trPr>
        <w:tc>
          <w:tcPr>
            <w:tcW w:w="242" w:type="pct"/>
            <w:tcBorders>
              <w:top w:val="outset" w:sz="6" w:space="0" w:color="414142"/>
              <w:left w:val="outset" w:sz="6" w:space="0" w:color="414142"/>
              <w:bottom w:val="outset" w:sz="6" w:space="0" w:color="414142"/>
              <w:right w:val="outset" w:sz="6" w:space="0" w:color="414142"/>
            </w:tcBorders>
            <w:hideMark/>
          </w:tcPr>
          <w:p w:rsidR="00E818CD" w:rsidRPr="00A505B8" w:rsidRDefault="00E818CD" w:rsidP="00E818CD">
            <w:pPr>
              <w:pStyle w:val="NoSpacing"/>
              <w:rPr>
                <w:lang w:val="lv-LV"/>
              </w:rPr>
            </w:pPr>
            <w:r w:rsidRPr="00A505B8">
              <w:rPr>
                <w:lang w:val="lv-LV"/>
              </w:rPr>
              <w:t>1.</w:t>
            </w:r>
          </w:p>
        </w:tc>
        <w:tc>
          <w:tcPr>
            <w:tcW w:w="1442" w:type="pct"/>
            <w:tcBorders>
              <w:top w:val="outset" w:sz="6" w:space="0" w:color="414142"/>
              <w:left w:val="outset" w:sz="6" w:space="0" w:color="414142"/>
              <w:bottom w:val="outset" w:sz="6" w:space="0" w:color="414142"/>
              <w:right w:val="outset" w:sz="6" w:space="0" w:color="414142"/>
            </w:tcBorders>
            <w:hideMark/>
          </w:tcPr>
          <w:p w:rsidR="00E818CD" w:rsidRPr="00A505B8" w:rsidRDefault="00E818CD" w:rsidP="00E818CD">
            <w:pPr>
              <w:pStyle w:val="NoSpacing"/>
              <w:jc w:val="both"/>
              <w:rPr>
                <w:lang w:val="lv-LV"/>
              </w:rPr>
            </w:pPr>
            <w:r w:rsidRPr="00A505B8">
              <w:rPr>
                <w:lang w:val="lv-LV"/>
              </w:rPr>
              <w:t>Nepieciešamie saistītie tiesību aktu projekti</w:t>
            </w:r>
          </w:p>
        </w:tc>
        <w:tc>
          <w:tcPr>
            <w:tcW w:w="3285" w:type="pct"/>
            <w:gridSpan w:val="2"/>
            <w:tcBorders>
              <w:top w:val="outset" w:sz="6" w:space="0" w:color="414142"/>
              <w:left w:val="outset" w:sz="6" w:space="0" w:color="414142"/>
              <w:bottom w:val="outset" w:sz="6" w:space="0" w:color="414142"/>
              <w:right w:val="outset" w:sz="6" w:space="0" w:color="414142"/>
            </w:tcBorders>
            <w:hideMark/>
          </w:tcPr>
          <w:p w:rsidR="00E818CD" w:rsidRDefault="00235B98" w:rsidP="00E818CD">
            <w:pPr>
              <w:pStyle w:val="NoSpacing"/>
              <w:jc w:val="both"/>
              <w:rPr>
                <w:lang w:val="lv-LV"/>
              </w:rPr>
            </w:pPr>
            <w:r w:rsidRPr="00235B98">
              <w:rPr>
                <w:lang w:val="lv-LV"/>
              </w:rPr>
              <w:t>Grozījum</w:t>
            </w:r>
            <w:r w:rsidR="002306C6">
              <w:rPr>
                <w:lang w:val="lv-LV"/>
              </w:rPr>
              <w:t>i</w:t>
            </w:r>
            <w:r w:rsidRPr="00235B98">
              <w:rPr>
                <w:lang w:val="lv-LV"/>
              </w:rPr>
              <w:t xml:space="preserve"> Ministru kabineta 2001.gada 3.aprīļa noteikumos Nr.152 „Darbnespējas lapu izsniegšanas kārtība”</w:t>
            </w:r>
          </w:p>
          <w:p w:rsidR="00235B98" w:rsidRPr="00A505B8" w:rsidRDefault="00235B98" w:rsidP="00E818CD">
            <w:pPr>
              <w:pStyle w:val="NoSpacing"/>
              <w:jc w:val="both"/>
              <w:rPr>
                <w:lang w:val="lv-LV"/>
              </w:rPr>
            </w:pPr>
            <w:r w:rsidRPr="00235B98">
              <w:rPr>
                <w:lang w:val="lv-LV"/>
              </w:rPr>
              <w:lastRenderedPageBreak/>
              <w:t>Grozījumi Ministru kabineta 2005. gada 8. marta noteikumos Nr.175 „Recepšu veidlapu izgatavošanas un uzglabāšanas, kā arī recepšu izrakstīšanas un uzglabāšanas noteikumi”</w:t>
            </w:r>
          </w:p>
        </w:tc>
      </w:tr>
      <w:tr w:rsidR="00E818CD" w:rsidRPr="00A505B8" w:rsidTr="00F90EBA">
        <w:trPr>
          <w:gridAfter w:val="1"/>
          <w:wAfter w:w="31" w:type="pct"/>
          <w:jc w:val="center"/>
        </w:trPr>
        <w:tc>
          <w:tcPr>
            <w:tcW w:w="242" w:type="pct"/>
            <w:tcBorders>
              <w:top w:val="outset" w:sz="6" w:space="0" w:color="414142"/>
              <w:left w:val="outset" w:sz="6" w:space="0" w:color="414142"/>
              <w:bottom w:val="outset" w:sz="6" w:space="0" w:color="414142"/>
              <w:right w:val="outset" w:sz="6" w:space="0" w:color="414142"/>
            </w:tcBorders>
            <w:hideMark/>
          </w:tcPr>
          <w:p w:rsidR="00E818CD" w:rsidRPr="00A505B8" w:rsidRDefault="00E818CD" w:rsidP="00E818CD">
            <w:pPr>
              <w:pStyle w:val="NoSpacing"/>
              <w:rPr>
                <w:lang w:val="lv-LV"/>
              </w:rPr>
            </w:pPr>
            <w:r w:rsidRPr="00A505B8">
              <w:rPr>
                <w:lang w:val="lv-LV"/>
              </w:rPr>
              <w:lastRenderedPageBreak/>
              <w:t>2.</w:t>
            </w:r>
          </w:p>
        </w:tc>
        <w:tc>
          <w:tcPr>
            <w:tcW w:w="1442" w:type="pct"/>
            <w:tcBorders>
              <w:top w:val="outset" w:sz="6" w:space="0" w:color="414142"/>
              <w:left w:val="outset" w:sz="6" w:space="0" w:color="414142"/>
              <w:bottom w:val="outset" w:sz="6" w:space="0" w:color="414142"/>
              <w:right w:val="outset" w:sz="6" w:space="0" w:color="414142"/>
            </w:tcBorders>
            <w:hideMark/>
          </w:tcPr>
          <w:p w:rsidR="00E818CD" w:rsidRPr="00A505B8" w:rsidRDefault="00E818CD" w:rsidP="00E818CD">
            <w:pPr>
              <w:pStyle w:val="NoSpacing"/>
              <w:jc w:val="both"/>
              <w:rPr>
                <w:lang w:val="lv-LV"/>
              </w:rPr>
            </w:pPr>
            <w:r w:rsidRPr="00A505B8">
              <w:rPr>
                <w:lang w:val="lv-LV"/>
              </w:rPr>
              <w:t>Atbildīgā institūcija</w:t>
            </w:r>
          </w:p>
        </w:tc>
        <w:tc>
          <w:tcPr>
            <w:tcW w:w="3285" w:type="pct"/>
            <w:gridSpan w:val="2"/>
            <w:tcBorders>
              <w:top w:val="outset" w:sz="6" w:space="0" w:color="414142"/>
              <w:left w:val="outset" w:sz="6" w:space="0" w:color="414142"/>
              <w:bottom w:val="outset" w:sz="6" w:space="0" w:color="414142"/>
              <w:right w:val="outset" w:sz="6" w:space="0" w:color="414142"/>
            </w:tcBorders>
            <w:hideMark/>
          </w:tcPr>
          <w:p w:rsidR="00E818CD" w:rsidRPr="00A505B8" w:rsidRDefault="00E818CD" w:rsidP="00E818CD">
            <w:pPr>
              <w:pStyle w:val="NoSpacing"/>
              <w:jc w:val="both"/>
              <w:rPr>
                <w:lang w:val="lv-LV"/>
              </w:rPr>
            </w:pPr>
            <w:r>
              <w:rPr>
                <w:lang w:val="lv-LV"/>
              </w:rPr>
              <w:t>Veselības ministrija</w:t>
            </w:r>
          </w:p>
        </w:tc>
      </w:tr>
      <w:tr w:rsidR="00E818CD" w:rsidRPr="00A505B8" w:rsidTr="00F90EBA">
        <w:trPr>
          <w:gridAfter w:val="1"/>
          <w:wAfter w:w="31" w:type="pct"/>
          <w:jc w:val="center"/>
        </w:trPr>
        <w:tc>
          <w:tcPr>
            <w:tcW w:w="242" w:type="pct"/>
            <w:tcBorders>
              <w:top w:val="outset" w:sz="6" w:space="0" w:color="414142"/>
              <w:left w:val="outset" w:sz="6" w:space="0" w:color="414142"/>
              <w:bottom w:val="outset" w:sz="6" w:space="0" w:color="414142"/>
              <w:right w:val="outset" w:sz="6" w:space="0" w:color="414142"/>
            </w:tcBorders>
            <w:hideMark/>
          </w:tcPr>
          <w:p w:rsidR="00E818CD" w:rsidRPr="00A505B8" w:rsidRDefault="00E818CD" w:rsidP="00E818CD">
            <w:pPr>
              <w:pStyle w:val="NoSpacing"/>
              <w:rPr>
                <w:lang w:val="lv-LV"/>
              </w:rPr>
            </w:pPr>
            <w:r w:rsidRPr="00A505B8">
              <w:rPr>
                <w:lang w:val="lv-LV"/>
              </w:rPr>
              <w:t>3.</w:t>
            </w:r>
          </w:p>
        </w:tc>
        <w:tc>
          <w:tcPr>
            <w:tcW w:w="1442" w:type="pct"/>
            <w:tcBorders>
              <w:top w:val="outset" w:sz="6" w:space="0" w:color="414142"/>
              <w:left w:val="outset" w:sz="6" w:space="0" w:color="414142"/>
              <w:bottom w:val="outset" w:sz="6" w:space="0" w:color="414142"/>
              <w:right w:val="outset" w:sz="6" w:space="0" w:color="414142"/>
            </w:tcBorders>
            <w:hideMark/>
          </w:tcPr>
          <w:p w:rsidR="00E818CD" w:rsidRPr="00A505B8" w:rsidRDefault="00E818CD" w:rsidP="00E818CD">
            <w:pPr>
              <w:pStyle w:val="NoSpacing"/>
              <w:jc w:val="both"/>
              <w:rPr>
                <w:lang w:val="lv-LV"/>
              </w:rPr>
            </w:pPr>
            <w:r w:rsidRPr="00A505B8">
              <w:rPr>
                <w:lang w:val="lv-LV"/>
              </w:rPr>
              <w:t>Cita informācija</w:t>
            </w:r>
          </w:p>
        </w:tc>
        <w:tc>
          <w:tcPr>
            <w:tcW w:w="3285" w:type="pct"/>
            <w:gridSpan w:val="2"/>
            <w:tcBorders>
              <w:top w:val="outset" w:sz="6" w:space="0" w:color="414142"/>
              <w:left w:val="outset" w:sz="6" w:space="0" w:color="414142"/>
              <w:bottom w:val="outset" w:sz="6" w:space="0" w:color="414142"/>
              <w:right w:val="outset" w:sz="6" w:space="0" w:color="414142"/>
            </w:tcBorders>
            <w:hideMark/>
          </w:tcPr>
          <w:p w:rsidR="00E818CD" w:rsidRPr="00A505B8" w:rsidRDefault="00E818CD" w:rsidP="00E818CD">
            <w:pPr>
              <w:pStyle w:val="NoSpacing"/>
              <w:jc w:val="both"/>
              <w:rPr>
                <w:lang w:val="lv-LV"/>
              </w:rPr>
            </w:pPr>
            <w:r>
              <w:rPr>
                <w:lang w:val="lv-LV"/>
              </w:rPr>
              <w:t xml:space="preserve">Nav </w:t>
            </w:r>
          </w:p>
        </w:tc>
      </w:tr>
      <w:tr w:rsidR="00E818CD" w:rsidRPr="00805B74" w:rsidTr="00E818CD">
        <w:tblPrEx>
          <w:jc w:val="left"/>
          <w:shd w:val="clear" w:color="auto" w:fill="FFFFFF"/>
        </w:tblPrEx>
        <w:trPr>
          <w:trHeight w:val="420"/>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8CD" w:rsidRPr="00A92ABE" w:rsidRDefault="00E818CD" w:rsidP="00E818CD">
            <w:pPr>
              <w:pStyle w:val="NoSpacing"/>
              <w:jc w:val="center"/>
              <w:rPr>
                <w:b/>
                <w:lang w:val="lv-LV"/>
              </w:rPr>
            </w:pPr>
            <w:r w:rsidRPr="00A92ABE">
              <w:rPr>
                <w:b/>
                <w:lang w:val="lv-LV"/>
              </w:rPr>
              <w:t>VI. Sabiedrības līdzdalība un komunikācijas aktivitātes</w:t>
            </w:r>
          </w:p>
        </w:tc>
      </w:tr>
      <w:tr w:rsidR="00E818CD" w:rsidRPr="00EE039D" w:rsidTr="00F90EBA">
        <w:tblPrEx>
          <w:jc w:val="left"/>
          <w:shd w:val="clear" w:color="auto" w:fill="FFFFFF"/>
        </w:tblPrEx>
        <w:trPr>
          <w:trHeight w:val="540"/>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1.</w:t>
            </w:r>
          </w:p>
        </w:tc>
        <w:tc>
          <w:tcPr>
            <w:tcW w:w="151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Plānotās sabiedrības līdzdalības un komunikācijas aktivitātes saistībā ar projektu</w:t>
            </w:r>
          </w:p>
        </w:tc>
        <w:tc>
          <w:tcPr>
            <w:tcW w:w="324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Pr>
                <w:lang w:val="lv-LV"/>
              </w:rPr>
              <w:t>Noteikumu projekt</w:t>
            </w:r>
            <w:r w:rsidR="00ED4351">
              <w:rPr>
                <w:lang w:val="lv-LV"/>
              </w:rPr>
              <w:t xml:space="preserve">s </w:t>
            </w:r>
            <w:r w:rsidR="00392308">
              <w:rPr>
                <w:lang w:val="lv-LV"/>
              </w:rPr>
              <w:t xml:space="preserve">no 2017.gada 2.jūnija </w:t>
            </w:r>
            <w:r w:rsidR="00ED4351">
              <w:rPr>
                <w:lang w:val="lv-LV"/>
              </w:rPr>
              <w:t>bija ievietots</w:t>
            </w:r>
            <w:r>
              <w:rPr>
                <w:lang w:val="lv-LV"/>
              </w:rPr>
              <w:t xml:space="preserve"> Veselības ministrijas mājas lapā</w:t>
            </w:r>
            <w:r w:rsidR="00ED4351">
              <w:rPr>
                <w:lang w:val="lv-LV"/>
              </w:rPr>
              <w:t xml:space="preserve"> un 2017.gada 19.jūnijā notika tā sabiedriskā apspriede</w:t>
            </w:r>
            <w:r>
              <w:rPr>
                <w:lang w:val="lv-LV"/>
              </w:rPr>
              <w:t>.</w:t>
            </w:r>
          </w:p>
        </w:tc>
      </w:tr>
      <w:tr w:rsidR="00E818CD" w:rsidRPr="00EE039D" w:rsidTr="00F90EBA">
        <w:tblPrEx>
          <w:jc w:val="left"/>
          <w:shd w:val="clear" w:color="auto" w:fill="FFFFFF"/>
        </w:tblPrEx>
        <w:trPr>
          <w:trHeight w:val="330"/>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2.</w:t>
            </w:r>
          </w:p>
        </w:tc>
        <w:tc>
          <w:tcPr>
            <w:tcW w:w="151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Sabiedrības līdzdalība projekta izstrādē</w:t>
            </w:r>
          </w:p>
        </w:tc>
        <w:tc>
          <w:tcPr>
            <w:tcW w:w="324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D4351" w:rsidP="00E818CD">
            <w:pPr>
              <w:spacing w:after="0" w:line="240" w:lineRule="auto"/>
              <w:jc w:val="both"/>
              <w:rPr>
                <w:rFonts w:ascii="Times New Roman" w:eastAsia="Times New Roman" w:hAnsi="Times New Roman" w:cs="Times New Roman"/>
                <w:color w:val="000000"/>
                <w:sz w:val="24"/>
                <w:szCs w:val="24"/>
                <w:lang w:val="lv-LV"/>
              </w:rPr>
            </w:pPr>
            <w:r>
              <w:rPr>
                <w:rFonts w:ascii="Times New Roman" w:hAnsi="Times New Roman" w:cs="Times New Roman"/>
                <w:sz w:val="24"/>
                <w:szCs w:val="24"/>
                <w:lang w:val="lv-LV"/>
              </w:rPr>
              <w:t>Sabiedriskajā apspriedē piedalījās Latvijas Ģimenes ārstu asociācijas, Aptieku attīstības biedrības un Starptautisko inovatīvo farmaceitisko firmu asociācijas pārstāvji.</w:t>
            </w:r>
          </w:p>
        </w:tc>
      </w:tr>
      <w:tr w:rsidR="00E818CD" w:rsidRPr="00EE039D" w:rsidTr="00F90EBA">
        <w:tblPrEx>
          <w:jc w:val="left"/>
          <w:shd w:val="clear" w:color="auto" w:fill="FFFFFF"/>
        </w:tblPrEx>
        <w:trPr>
          <w:trHeight w:val="465"/>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3.</w:t>
            </w:r>
          </w:p>
        </w:tc>
        <w:tc>
          <w:tcPr>
            <w:tcW w:w="151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Sabiedrības līdzdalības rezultāti</w:t>
            </w:r>
          </w:p>
        </w:tc>
        <w:tc>
          <w:tcPr>
            <w:tcW w:w="3246" w:type="pct"/>
            <w:gridSpan w:val="2"/>
            <w:tcBorders>
              <w:top w:val="outset" w:sz="6" w:space="0" w:color="414142"/>
              <w:left w:val="outset" w:sz="6" w:space="0" w:color="414142"/>
              <w:bottom w:val="outset" w:sz="6" w:space="0" w:color="414142"/>
              <w:right w:val="outset" w:sz="6" w:space="0" w:color="414142"/>
            </w:tcBorders>
            <w:shd w:val="clear" w:color="auto" w:fill="auto"/>
            <w:hideMark/>
          </w:tcPr>
          <w:p w:rsidR="00ED4351" w:rsidRDefault="00ED4351" w:rsidP="00E818CD">
            <w:pPr>
              <w:pStyle w:val="NoSpacing"/>
              <w:jc w:val="both"/>
              <w:rPr>
                <w:lang w:val="lv-LV"/>
              </w:rPr>
            </w:pPr>
            <w:r>
              <w:rPr>
                <w:lang w:val="lv-LV"/>
              </w:rPr>
              <w:t xml:space="preserve">Par Noteikumu projektu saņemti Latvijas Ģimenes ārstu asociācijas iebildumi, kuri </w:t>
            </w:r>
            <w:r w:rsidR="00D3452A" w:rsidRPr="00D23BF0">
              <w:rPr>
                <w:lang w:val="lv-LV"/>
              </w:rPr>
              <w:t>daļēji</w:t>
            </w:r>
            <w:r>
              <w:rPr>
                <w:lang w:val="lv-LV"/>
              </w:rPr>
              <w:t xml:space="preserve"> ņemti vērā.</w:t>
            </w:r>
            <w:r w:rsidR="00054973">
              <w:rPr>
                <w:lang w:val="lv-LV"/>
              </w:rPr>
              <w:t xml:space="preserve"> </w:t>
            </w:r>
          </w:p>
          <w:p w:rsidR="00F43C2F" w:rsidRDefault="00F43C2F" w:rsidP="00E818CD">
            <w:pPr>
              <w:pStyle w:val="NoSpacing"/>
              <w:jc w:val="both"/>
              <w:rPr>
                <w:lang w:val="lv-LV"/>
              </w:rPr>
            </w:pPr>
            <w:r>
              <w:rPr>
                <w:lang w:val="lv-LV"/>
              </w:rPr>
              <w:t xml:space="preserve">Latvijas Ģimenes ārstu asociācija iebilst, ka ārstniecības iestāde ir tiesīga Veselības informācijas sistēmā ievadīt pacienta veselības datus, jo uzskata, ka šādā veidā bez tiesiska pamata tiek pārkāptas pacienta tiesības attiecībā uz viņa datu neaizskaramību. Izteiktais iebildums nav ņemts vērā, jo šis </w:t>
            </w:r>
            <w:r w:rsidRPr="00F43C2F">
              <w:rPr>
                <w:lang w:val="lv-LV"/>
              </w:rPr>
              <w:t>grozījums izstrādāts, lai atvieglotu ģimenes ārstiem darbu attiecībā uz pacienta veselības datu ievadi veselības informācijas sistēmā, nosakot, ka to var veikt arī ārstniecības iestāde. Šo datu apstrādes tiesiskais pamats paredzēts Ārstniecības likuma 78.panta pirmajā daļā, kas nosaka, ka, lai nodrošinātu veselības aprūpes organizēšanu un atvieglotu veselības aprūpes pakalpojumu sniegšanu, veselības nozares datus uzkrāj veselības informācijas sistēmā.</w:t>
            </w:r>
          </w:p>
          <w:p w:rsidR="007B25AD" w:rsidRDefault="007B25AD" w:rsidP="00E818CD">
            <w:pPr>
              <w:pStyle w:val="NoSpacing"/>
              <w:jc w:val="both"/>
              <w:rPr>
                <w:lang w:val="lv-LV"/>
              </w:rPr>
            </w:pPr>
            <w:r>
              <w:rPr>
                <w:lang w:val="lv-LV"/>
              </w:rPr>
              <w:t>Vienlaikus nav ņemts vērā Latvijas Ģimenes ārstu asociācijas</w:t>
            </w:r>
            <w:r w:rsidR="00A238DF">
              <w:rPr>
                <w:lang w:val="lv-LV"/>
              </w:rPr>
              <w:t xml:space="preserve"> iebildums</w:t>
            </w:r>
            <w:r>
              <w:rPr>
                <w:lang w:val="lv-LV"/>
              </w:rPr>
              <w:t>, ka diagnoze tiek norādīta visās receptēs, kas izrakstītas uz īpašās receptes veidlapas, ne t</w:t>
            </w:r>
            <w:r w:rsidR="00BB3944">
              <w:rPr>
                <w:lang w:val="lv-LV"/>
              </w:rPr>
              <w:t>ikai tajās, uz kurām izrakstīto zāļu iegāde pacientam tiek kompensēta</w:t>
            </w:r>
            <w:r>
              <w:rPr>
                <w:lang w:val="lv-LV"/>
              </w:rPr>
              <w:t xml:space="preserve"> no valsts budžeta līdzekļiem</w:t>
            </w:r>
            <w:r w:rsidR="00A238DF">
              <w:rPr>
                <w:lang w:val="lv-LV"/>
              </w:rPr>
              <w:t xml:space="preserve">, kā arī nosakāms pārejas periods, līdz kuram diagnoze atspoguļojama arī tām zālēm, kas </w:t>
            </w:r>
            <w:r w:rsidR="00BB3944">
              <w:rPr>
                <w:lang w:val="lv-LV"/>
              </w:rPr>
              <w:t xml:space="preserve">pacientam </w:t>
            </w:r>
            <w:r w:rsidR="00A238DF">
              <w:rPr>
                <w:lang w:val="lv-LV"/>
              </w:rPr>
              <w:t>tiek kompensētas no valsts budžeta līdzekļiem</w:t>
            </w:r>
            <w:r>
              <w:rPr>
                <w:lang w:val="lv-LV"/>
              </w:rPr>
              <w:t>. Pamatojums diagnozes norādīšanai visā</w:t>
            </w:r>
            <w:r w:rsidR="00A238DF">
              <w:rPr>
                <w:lang w:val="lv-LV"/>
              </w:rPr>
              <w:t>m</w:t>
            </w:r>
            <w:r>
              <w:rPr>
                <w:lang w:val="lv-LV"/>
              </w:rPr>
              <w:t xml:space="preserve"> uz īpašās receptes </w:t>
            </w:r>
            <w:r w:rsidR="00A238DF">
              <w:rPr>
                <w:lang w:val="lv-LV"/>
              </w:rPr>
              <w:t xml:space="preserve">veidlapas </w:t>
            </w:r>
            <w:r>
              <w:rPr>
                <w:lang w:val="lv-LV"/>
              </w:rPr>
              <w:t xml:space="preserve">izrakstītajām </w:t>
            </w:r>
            <w:r w:rsidR="00A238DF">
              <w:rPr>
                <w:lang w:val="lv-LV"/>
              </w:rPr>
              <w:t>zālēm norādīts šīs anotācijas I sadaļas 2.punktā.</w:t>
            </w:r>
          </w:p>
          <w:p w:rsidR="00E818CD" w:rsidRPr="00A92ABE" w:rsidRDefault="007B25AD" w:rsidP="00451976">
            <w:pPr>
              <w:pStyle w:val="NoSpacing"/>
              <w:jc w:val="both"/>
              <w:rPr>
                <w:lang w:val="lv-LV"/>
              </w:rPr>
            </w:pPr>
            <w:r>
              <w:rPr>
                <w:lang w:val="lv-LV"/>
              </w:rPr>
              <w:t>Tāpat</w:t>
            </w:r>
            <w:r w:rsidR="00F43C2F">
              <w:rPr>
                <w:lang w:val="lv-LV"/>
              </w:rPr>
              <w:t xml:space="preserve"> Latvijas Ģimenes ārstu asociācija neatbalsta, ka </w:t>
            </w:r>
            <w:r w:rsidR="00F43C2F" w:rsidRPr="00F43C2F">
              <w:rPr>
                <w:lang w:val="lv-LV"/>
              </w:rPr>
              <w:t>Noteikumu projektā ietvertās izmaiņas saistībā ar pārejošas darbnespējas cēloņiem, tajā skaitā diagnozes norādīšanu pie pārejošas darbnespējas cēloņa, stāsies spēkā 2018.gada 1.martā</w:t>
            </w:r>
            <w:r w:rsidR="00F43C2F">
              <w:rPr>
                <w:lang w:val="lv-LV"/>
              </w:rPr>
              <w:t xml:space="preserve">. Izteiktais iebildums nav ņemts vērā, vienlaikus </w:t>
            </w:r>
            <w:r w:rsidR="002B5304">
              <w:rPr>
                <w:lang w:val="lv-LV"/>
              </w:rPr>
              <w:t xml:space="preserve">detalizētāk </w:t>
            </w:r>
            <w:r w:rsidR="00F43C2F">
              <w:rPr>
                <w:lang w:val="lv-LV"/>
              </w:rPr>
              <w:t xml:space="preserve">norādot </w:t>
            </w:r>
            <w:r w:rsidR="002B5304">
              <w:rPr>
                <w:lang w:val="lv-LV"/>
              </w:rPr>
              <w:t xml:space="preserve">iepriekš minētā termiņa noteikšanas </w:t>
            </w:r>
            <w:r w:rsidR="00F43C2F">
              <w:rPr>
                <w:lang w:val="lv-LV"/>
              </w:rPr>
              <w:t>pamatojumu</w:t>
            </w:r>
            <w:r w:rsidR="002B5304">
              <w:rPr>
                <w:lang w:val="lv-LV"/>
              </w:rPr>
              <w:t xml:space="preserve"> šīs anotācijas I sadaļas 2.punktā.</w:t>
            </w:r>
          </w:p>
        </w:tc>
      </w:tr>
      <w:tr w:rsidR="00E818CD" w:rsidRPr="00A92ABE" w:rsidTr="00F90EBA">
        <w:tblPrEx>
          <w:jc w:val="left"/>
          <w:shd w:val="clear" w:color="auto" w:fill="FFFFFF"/>
        </w:tblPrEx>
        <w:trPr>
          <w:trHeight w:val="218"/>
        </w:trPr>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4.</w:t>
            </w:r>
          </w:p>
        </w:tc>
        <w:tc>
          <w:tcPr>
            <w:tcW w:w="1512"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Cita informācija</w:t>
            </w:r>
          </w:p>
        </w:tc>
        <w:tc>
          <w:tcPr>
            <w:tcW w:w="324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Nav</w:t>
            </w:r>
          </w:p>
        </w:tc>
      </w:tr>
    </w:tbl>
    <w:p w:rsidR="00E818CD" w:rsidRPr="00A92ABE" w:rsidRDefault="00E818CD" w:rsidP="00E818CD">
      <w:pPr>
        <w:pStyle w:val="NoSpacing"/>
        <w:jc w:val="both"/>
        <w:rPr>
          <w:b/>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823"/>
        <w:gridCol w:w="5964"/>
      </w:tblGrid>
      <w:tr w:rsidR="00E818CD" w:rsidRPr="00EE039D" w:rsidTr="00E818CD">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818CD" w:rsidRPr="00A92ABE" w:rsidRDefault="00E818CD" w:rsidP="00E818CD">
            <w:pPr>
              <w:pStyle w:val="NoSpacing"/>
              <w:jc w:val="center"/>
              <w:rPr>
                <w:b/>
                <w:lang w:val="lv-LV"/>
              </w:rPr>
            </w:pPr>
            <w:r w:rsidRPr="00A92ABE">
              <w:rPr>
                <w:b/>
                <w:lang w:val="lv-LV"/>
              </w:rPr>
              <w:lastRenderedPageBreak/>
              <w:t>VII. Tiesību akta projekta izpildes nodrošināšana un tās ietekme uz institūcijām</w:t>
            </w:r>
          </w:p>
        </w:tc>
      </w:tr>
      <w:tr w:rsidR="00E818CD" w:rsidRPr="00A92ABE" w:rsidTr="00E818CD">
        <w:trPr>
          <w:trHeight w:val="4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1.</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Projekta izpildē iesaistītās institūcijas</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E818CD" w:rsidRPr="00A92ABE" w:rsidRDefault="00553356" w:rsidP="00E818CD">
            <w:pPr>
              <w:pStyle w:val="NoSpacing"/>
              <w:jc w:val="both"/>
              <w:rPr>
                <w:lang w:val="lv-LV"/>
              </w:rPr>
            </w:pPr>
            <w:r>
              <w:rPr>
                <w:lang w:val="lv-LV"/>
              </w:rPr>
              <w:t>Nacionālais veselības dienests</w:t>
            </w:r>
          </w:p>
        </w:tc>
      </w:tr>
      <w:tr w:rsidR="00E818CD" w:rsidRPr="00805B74" w:rsidTr="00E818CD">
        <w:trPr>
          <w:trHeight w:val="45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2.</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Projekta izpildes ietekme uz pārvaldes funkcijām un institucionālo struktūru.</w:t>
            </w:r>
          </w:p>
          <w:p w:rsidR="00E818CD" w:rsidRPr="00A92ABE" w:rsidRDefault="00E818CD" w:rsidP="00E818CD">
            <w:pPr>
              <w:pStyle w:val="NoSpacing"/>
              <w:jc w:val="both"/>
              <w:rPr>
                <w:lang w:val="lv-LV"/>
              </w:rPr>
            </w:pPr>
            <w:r w:rsidRPr="00A92ABE">
              <w:rPr>
                <w:lang w:val="lv-LV"/>
              </w:rPr>
              <w:t>Jaunu institūciju izveide, esošu institūciju likvidācija vai reorganizācija, to ietekme uz institūcijas cilvēkresursiem</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E818CD" w:rsidRPr="00A92ABE" w:rsidRDefault="00E818CD" w:rsidP="00E818CD">
            <w:pPr>
              <w:pStyle w:val="NoSpacing"/>
              <w:jc w:val="both"/>
              <w:rPr>
                <w:lang w:val="lv-LV"/>
              </w:rPr>
            </w:pPr>
            <w:r>
              <w:rPr>
                <w:lang w:val="lv-LV"/>
              </w:rPr>
              <w:t>Nav</w:t>
            </w:r>
          </w:p>
        </w:tc>
      </w:tr>
      <w:tr w:rsidR="00E818CD" w:rsidRPr="00805B74" w:rsidTr="00E818CD">
        <w:trPr>
          <w:trHeight w:val="39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E818CD" w:rsidRPr="00A92ABE" w:rsidRDefault="00E818CD" w:rsidP="00E818CD">
            <w:pPr>
              <w:pStyle w:val="NoSpacing"/>
              <w:jc w:val="both"/>
              <w:rPr>
                <w:lang w:val="lv-LV"/>
              </w:rPr>
            </w:pPr>
            <w:r w:rsidRPr="00A92ABE">
              <w:rPr>
                <w:lang w:val="lv-LV"/>
              </w:rPr>
              <w:t>Cita informācija</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E818CD" w:rsidRPr="00A92ABE" w:rsidRDefault="00E818CD" w:rsidP="00E818CD">
            <w:pPr>
              <w:pStyle w:val="NoSpacing"/>
              <w:jc w:val="both"/>
              <w:rPr>
                <w:lang w:val="lv-LV"/>
              </w:rPr>
            </w:pPr>
            <w:r>
              <w:rPr>
                <w:lang w:val="lv-LV"/>
              </w:rPr>
              <w:t>Nav</w:t>
            </w:r>
          </w:p>
        </w:tc>
      </w:tr>
    </w:tbl>
    <w:p w:rsidR="00E818CD" w:rsidRPr="00EE039D" w:rsidRDefault="00E818CD" w:rsidP="00E818CD">
      <w:pPr>
        <w:pStyle w:val="NoSpacing"/>
        <w:rPr>
          <w:bCs/>
          <w:sz w:val="28"/>
          <w:szCs w:val="28"/>
          <w:lang w:val="lv-LV"/>
        </w:rPr>
      </w:pPr>
    </w:p>
    <w:p w:rsidR="00A56D7D" w:rsidRPr="00EE039D" w:rsidRDefault="00A56D7D" w:rsidP="00A56D7D">
      <w:pPr>
        <w:pStyle w:val="NoSpacing"/>
        <w:rPr>
          <w:bCs/>
          <w:lang w:val="lv-LV"/>
        </w:rPr>
      </w:pPr>
      <w:r w:rsidRPr="00EE039D">
        <w:rPr>
          <w:i/>
          <w:iCs/>
          <w:color w:val="414142"/>
          <w:shd w:val="clear" w:color="auto" w:fill="FFFFFF"/>
          <w:lang w:val="lv-LV"/>
        </w:rPr>
        <w:t>Anotācijas III un V sadaļa – projekts šīs jomas neskar</w:t>
      </w:r>
    </w:p>
    <w:p w:rsidR="00A56D7D" w:rsidRPr="00EE039D" w:rsidRDefault="00A56D7D" w:rsidP="00E818CD">
      <w:pPr>
        <w:pStyle w:val="NoSpacing"/>
        <w:rPr>
          <w:bCs/>
          <w:sz w:val="28"/>
          <w:szCs w:val="28"/>
          <w:lang w:val="lv-LV"/>
        </w:rPr>
      </w:pPr>
    </w:p>
    <w:p w:rsidR="00E818CD" w:rsidRPr="00EE039D" w:rsidRDefault="00E818CD" w:rsidP="00E818CD">
      <w:pPr>
        <w:pStyle w:val="NoSpacing"/>
        <w:rPr>
          <w:bCs/>
          <w:sz w:val="28"/>
          <w:szCs w:val="28"/>
          <w:lang w:val="lv-LV"/>
        </w:rPr>
      </w:pPr>
    </w:p>
    <w:p w:rsidR="00E818CD" w:rsidRPr="00EE039D" w:rsidRDefault="00E818CD" w:rsidP="00E818CD">
      <w:pPr>
        <w:pStyle w:val="NoSpacing"/>
        <w:rPr>
          <w:sz w:val="28"/>
          <w:szCs w:val="28"/>
          <w:lang w:val="lv-LV"/>
        </w:rPr>
      </w:pPr>
      <w:r w:rsidRPr="00EE039D">
        <w:rPr>
          <w:bCs/>
          <w:sz w:val="28"/>
          <w:szCs w:val="28"/>
          <w:lang w:val="lv-LV"/>
        </w:rPr>
        <w:t>Veselības ministre</w:t>
      </w:r>
      <w:r w:rsidRPr="00EE039D">
        <w:rPr>
          <w:bCs/>
          <w:sz w:val="28"/>
          <w:szCs w:val="28"/>
          <w:lang w:val="lv-LV"/>
        </w:rPr>
        <w:tab/>
      </w:r>
      <w:r w:rsidRPr="00EE039D">
        <w:rPr>
          <w:bCs/>
          <w:sz w:val="28"/>
          <w:szCs w:val="28"/>
          <w:lang w:val="lv-LV"/>
        </w:rPr>
        <w:tab/>
      </w:r>
      <w:r w:rsidR="007E58E4" w:rsidRPr="00EE039D">
        <w:rPr>
          <w:bCs/>
          <w:sz w:val="28"/>
          <w:szCs w:val="28"/>
          <w:lang w:val="lv-LV"/>
        </w:rPr>
        <w:tab/>
      </w:r>
      <w:r w:rsidR="007E58E4" w:rsidRPr="00EE039D">
        <w:rPr>
          <w:bCs/>
          <w:sz w:val="28"/>
          <w:szCs w:val="28"/>
          <w:lang w:val="lv-LV"/>
        </w:rPr>
        <w:tab/>
      </w:r>
      <w:r w:rsidR="007E58E4" w:rsidRPr="00EE039D">
        <w:rPr>
          <w:bCs/>
          <w:sz w:val="28"/>
          <w:szCs w:val="28"/>
          <w:lang w:val="lv-LV"/>
        </w:rPr>
        <w:tab/>
      </w:r>
      <w:r w:rsidRPr="00EE039D">
        <w:rPr>
          <w:bCs/>
          <w:sz w:val="28"/>
          <w:szCs w:val="28"/>
          <w:lang w:val="lv-LV"/>
        </w:rPr>
        <w:tab/>
      </w:r>
      <w:r w:rsidRPr="00EE039D">
        <w:rPr>
          <w:bCs/>
          <w:sz w:val="28"/>
          <w:szCs w:val="28"/>
          <w:lang w:val="lv-LV"/>
        </w:rPr>
        <w:tab/>
      </w:r>
      <w:r w:rsidRPr="00EE039D">
        <w:rPr>
          <w:bCs/>
          <w:sz w:val="28"/>
          <w:szCs w:val="28"/>
          <w:lang w:val="lv-LV"/>
        </w:rPr>
        <w:tab/>
        <w:t xml:space="preserve"> Anda Čakša</w:t>
      </w:r>
    </w:p>
    <w:p w:rsidR="00E818CD" w:rsidRPr="00EE039D" w:rsidRDefault="00E818CD" w:rsidP="00E818CD">
      <w:pPr>
        <w:tabs>
          <w:tab w:val="left" w:pos="2955"/>
        </w:tabs>
        <w:spacing w:after="0" w:line="240" w:lineRule="auto"/>
        <w:jc w:val="both"/>
        <w:rPr>
          <w:rFonts w:ascii="Times New Roman" w:hAnsi="Times New Roman" w:cs="Times New Roman"/>
          <w:sz w:val="28"/>
          <w:szCs w:val="28"/>
          <w:lang w:val="lv-LV"/>
        </w:rPr>
      </w:pPr>
    </w:p>
    <w:p w:rsidR="00E818CD" w:rsidRPr="00EE039D" w:rsidRDefault="00E818CD" w:rsidP="00E818CD">
      <w:pPr>
        <w:tabs>
          <w:tab w:val="left" w:pos="2955"/>
        </w:tabs>
        <w:spacing w:after="0" w:line="240" w:lineRule="auto"/>
        <w:jc w:val="both"/>
        <w:rPr>
          <w:rFonts w:ascii="Times New Roman" w:hAnsi="Times New Roman" w:cs="Times New Roman"/>
          <w:sz w:val="28"/>
          <w:szCs w:val="28"/>
          <w:lang w:val="lv-LV"/>
        </w:rPr>
      </w:pPr>
      <w:r w:rsidRPr="00EE039D">
        <w:rPr>
          <w:rFonts w:ascii="Times New Roman" w:hAnsi="Times New Roman" w:cs="Times New Roman"/>
          <w:sz w:val="28"/>
          <w:szCs w:val="28"/>
          <w:lang w:val="lv-LV"/>
        </w:rPr>
        <w:t>Vīza: Valsts sekretārs</w:t>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r>
      <w:r w:rsidRPr="00EE039D">
        <w:rPr>
          <w:rFonts w:ascii="Times New Roman" w:hAnsi="Times New Roman" w:cs="Times New Roman"/>
          <w:sz w:val="28"/>
          <w:szCs w:val="28"/>
          <w:lang w:val="lv-LV"/>
        </w:rPr>
        <w:tab/>
        <w:t xml:space="preserve">Kārlis Ketners </w:t>
      </w:r>
    </w:p>
    <w:p w:rsidR="00E818CD" w:rsidRPr="00EE039D" w:rsidRDefault="00E818CD" w:rsidP="00E818CD">
      <w:pPr>
        <w:pStyle w:val="ListParagraph"/>
        <w:tabs>
          <w:tab w:val="left" w:pos="3735"/>
        </w:tabs>
        <w:ind w:left="0"/>
        <w:jc w:val="both"/>
        <w:rPr>
          <w:sz w:val="20"/>
          <w:szCs w:val="20"/>
          <w:lang w:val="lv-LV"/>
        </w:rPr>
      </w:pPr>
      <w:r w:rsidRPr="00EE039D">
        <w:rPr>
          <w:sz w:val="20"/>
          <w:szCs w:val="20"/>
          <w:lang w:val="lv-LV"/>
        </w:rPr>
        <w:t xml:space="preserve">       </w:t>
      </w:r>
    </w:p>
    <w:p w:rsidR="00E818CD" w:rsidRPr="00EE039D" w:rsidRDefault="00E818CD" w:rsidP="00E818CD">
      <w:pPr>
        <w:pStyle w:val="ListParagraph"/>
        <w:tabs>
          <w:tab w:val="left" w:pos="3735"/>
        </w:tabs>
        <w:ind w:left="0"/>
        <w:jc w:val="both"/>
        <w:rPr>
          <w:lang w:val="lv-LV"/>
        </w:rPr>
      </w:pPr>
    </w:p>
    <w:p w:rsidR="002B5304" w:rsidRPr="00EE039D" w:rsidRDefault="002B5304" w:rsidP="00E818CD">
      <w:pPr>
        <w:pStyle w:val="ListParagraph"/>
        <w:tabs>
          <w:tab w:val="left" w:pos="3735"/>
        </w:tabs>
        <w:ind w:left="0"/>
        <w:jc w:val="both"/>
        <w:rPr>
          <w:lang w:val="lv-LV"/>
        </w:rPr>
      </w:pPr>
    </w:p>
    <w:p w:rsidR="00E818CD" w:rsidRPr="00EE039D" w:rsidRDefault="00E818CD" w:rsidP="00E818CD">
      <w:pPr>
        <w:pStyle w:val="ListParagraph"/>
        <w:ind w:left="0"/>
        <w:jc w:val="both"/>
        <w:rPr>
          <w:lang w:val="lv-LV"/>
        </w:rPr>
      </w:pPr>
      <w:bookmarkStart w:id="8" w:name="OLE_LINK5"/>
      <w:bookmarkStart w:id="9" w:name="OLE_LINK6"/>
      <w:r w:rsidRPr="00EE039D">
        <w:rPr>
          <w:lang w:val="lv-LV"/>
        </w:rPr>
        <w:t xml:space="preserve">Šķiņķe 67876177 </w:t>
      </w:r>
    </w:p>
    <w:p w:rsidR="00E818CD" w:rsidRPr="00EE039D" w:rsidRDefault="00EE039D" w:rsidP="00E818CD">
      <w:pPr>
        <w:pStyle w:val="ListParagraph"/>
        <w:ind w:left="0"/>
        <w:jc w:val="both"/>
        <w:rPr>
          <w:lang w:val="lv-LV"/>
        </w:rPr>
      </w:pPr>
      <w:hyperlink r:id="rId7" w:history="1">
        <w:r w:rsidR="00E818CD" w:rsidRPr="00EE039D">
          <w:rPr>
            <w:rStyle w:val="Hyperlink"/>
            <w:color w:val="auto"/>
            <w:u w:val="none"/>
            <w:lang w:val="lv-LV"/>
          </w:rPr>
          <w:t>Ilze.Skinke@vm.gov.lv</w:t>
        </w:r>
      </w:hyperlink>
      <w:r w:rsidR="00E818CD" w:rsidRPr="00EE039D">
        <w:rPr>
          <w:lang w:val="lv-LV"/>
        </w:rPr>
        <w:t xml:space="preserve"> </w:t>
      </w:r>
      <w:hyperlink r:id="rId8" w:history="1"/>
      <w:r w:rsidR="00E818CD" w:rsidRPr="00EE039D">
        <w:rPr>
          <w:lang w:val="lv-LV"/>
        </w:rPr>
        <w:t xml:space="preserve"> </w:t>
      </w:r>
      <w:bookmarkEnd w:id="8"/>
      <w:bookmarkEnd w:id="9"/>
    </w:p>
    <w:sectPr w:rsidR="00E818CD" w:rsidRPr="00EE039D" w:rsidSect="00A8059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28" w:rsidRDefault="00DC3128" w:rsidP="00534203">
      <w:pPr>
        <w:spacing w:after="0" w:line="240" w:lineRule="auto"/>
      </w:pPr>
      <w:r>
        <w:separator/>
      </w:r>
    </w:p>
  </w:endnote>
  <w:endnote w:type="continuationSeparator" w:id="0">
    <w:p w:rsidR="00DC3128" w:rsidRDefault="00DC3128" w:rsidP="0053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9D" w:rsidRDefault="00EE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28" w:rsidRPr="004D2CCF" w:rsidRDefault="00DC3128" w:rsidP="00EE039D">
    <w:pPr>
      <w:shd w:val="clear" w:color="auto" w:fill="FFFFFF"/>
      <w:spacing w:after="0" w:line="240" w:lineRule="auto"/>
      <w:jc w:val="both"/>
      <w:rPr>
        <w:szCs w:val="20"/>
      </w:rPr>
    </w:pPr>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Pr>
        <w:rFonts w:ascii="Times New Roman" w:hAnsi="Times New Roman" w:cs="Times New Roman"/>
        <w:sz w:val="20"/>
        <w:szCs w:val="20"/>
        <w:lang w:val="lv-LV"/>
      </w:rPr>
      <w:t>2</w:t>
    </w:r>
    <w:r w:rsidR="00D23BF0">
      <w:rPr>
        <w:rFonts w:ascii="Times New Roman" w:hAnsi="Times New Roman" w:cs="Times New Roman"/>
        <w:sz w:val="20"/>
        <w:szCs w:val="20"/>
        <w:lang w:val="lv-LV"/>
      </w:rPr>
      <w:t>7</w:t>
    </w:r>
    <w:r>
      <w:rPr>
        <w:rFonts w:ascii="Times New Roman" w:hAnsi="Times New Roman" w:cs="Times New Roman"/>
        <w:sz w:val="20"/>
        <w:szCs w:val="20"/>
        <w:lang w:val="lv-LV"/>
      </w:rPr>
      <w:t>0617_134_evesel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28" w:rsidRPr="00625F32" w:rsidRDefault="00DC3128" w:rsidP="00E818CD">
    <w:pPr>
      <w:shd w:val="clear" w:color="auto" w:fill="FFFFFF"/>
      <w:spacing w:after="0" w:line="240" w:lineRule="auto"/>
      <w:jc w:val="both"/>
      <w:rPr>
        <w:rFonts w:ascii="Times New Roman" w:eastAsia="Meiryo" w:hAnsi="Times New Roman"/>
        <w:sz w:val="20"/>
        <w:szCs w:val="20"/>
        <w:lang w:val="lv-LV"/>
      </w:rPr>
    </w:pPr>
    <w:bookmarkStart w:id="10" w:name="OLE_LINK3"/>
    <w:bookmarkStart w:id="11" w:name="OLE_LINK4"/>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bookmarkEnd w:id="10"/>
    <w:bookmarkEnd w:id="11"/>
    <w:r>
      <w:rPr>
        <w:rFonts w:ascii="Times New Roman" w:hAnsi="Times New Roman" w:cs="Times New Roman"/>
        <w:sz w:val="20"/>
        <w:szCs w:val="20"/>
        <w:lang w:val="lv-LV"/>
      </w:rPr>
      <w:t>2</w:t>
    </w:r>
    <w:r w:rsidR="00D23BF0">
      <w:rPr>
        <w:rFonts w:ascii="Times New Roman" w:hAnsi="Times New Roman" w:cs="Times New Roman"/>
        <w:sz w:val="20"/>
        <w:szCs w:val="20"/>
        <w:lang w:val="lv-LV"/>
      </w:rPr>
      <w:t>7</w:t>
    </w:r>
    <w:r w:rsidR="00EE039D">
      <w:rPr>
        <w:rFonts w:ascii="Times New Roman" w:hAnsi="Times New Roman" w:cs="Times New Roman"/>
        <w:sz w:val="20"/>
        <w:szCs w:val="20"/>
        <w:lang w:val="lv-LV"/>
      </w:rPr>
      <w:t>0617_134_evesel</w:t>
    </w:r>
    <w:bookmarkStart w:id="12" w:name="_GoBack"/>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28" w:rsidRDefault="00DC3128" w:rsidP="00534203">
      <w:pPr>
        <w:spacing w:after="0" w:line="240" w:lineRule="auto"/>
      </w:pPr>
      <w:r>
        <w:separator/>
      </w:r>
    </w:p>
  </w:footnote>
  <w:footnote w:type="continuationSeparator" w:id="0">
    <w:p w:rsidR="00DC3128" w:rsidRDefault="00DC3128" w:rsidP="0053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9D" w:rsidRDefault="00EE0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915"/>
      <w:docPartObj>
        <w:docPartGallery w:val="Page Numbers (Top of Page)"/>
        <w:docPartUnique/>
      </w:docPartObj>
    </w:sdtPr>
    <w:sdtEndPr>
      <w:rPr>
        <w:rFonts w:ascii="Times New Roman" w:hAnsi="Times New Roman" w:cs="Times New Roman"/>
        <w:sz w:val="24"/>
        <w:szCs w:val="24"/>
      </w:rPr>
    </w:sdtEndPr>
    <w:sdtContent>
      <w:p w:rsidR="00DC3128" w:rsidRPr="008B54F5" w:rsidRDefault="007F63F0">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00DC3128"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EE039D">
          <w:rPr>
            <w:rFonts w:ascii="Times New Roman" w:hAnsi="Times New Roman" w:cs="Times New Roman"/>
            <w:noProof/>
            <w:sz w:val="24"/>
            <w:szCs w:val="24"/>
          </w:rPr>
          <w:t>3</w:t>
        </w:r>
        <w:r w:rsidRPr="008B54F5">
          <w:rPr>
            <w:rFonts w:ascii="Times New Roman" w:hAnsi="Times New Roman" w:cs="Times New Roman"/>
            <w:sz w:val="24"/>
            <w:szCs w:val="24"/>
          </w:rPr>
          <w:fldChar w:fldCharType="end"/>
        </w:r>
      </w:p>
    </w:sdtContent>
  </w:sdt>
  <w:p w:rsidR="00DC3128" w:rsidRDefault="00DC3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28" w:rsidRDefault="00DC3128">
    <w:pPr>
      <w:pStyle w:val="Header"/>
      <w:jc w:val="center"/>
    </w:pPr>
  </w:p>
  <w:p w:rsidR="00DC3128" w:rsidRDefault="00DC3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41E5C"/>
    <w:multiLevelType w:val="hybridMultilevel"/>
    <w:tmpl w:val="80C8FE3E"/>
    <w:lvl w:ilvl="0" w:tplc="A0460C48">
      <w:numFmt w:val="bullet"/>
      <w:lvlText w:val="-"/>
      <w:lvlJc w:val="left"/>
      <w:pPr>
        <w:ind w:left="420" w:hanging="360"/>
      </w:pPr>
      <w:rPr>
        <w:rFonts w:ascii="Times New Roman" w:eastAsia="Batang"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8CD"/>
    <w:rsid w:val="00025C8E"/>
    <w:rsid w:val="00030C74"/>
    <w:rsid w:val="000438E6"/>
    <w:rsid w:val="00050B19"/>
    <w:rsid w:val="00054973"/>
    <w:rsid w:val="00061948"/>
    <w:rsid w:val="00077D8C"/>
    <w:rsid w:val="00086DB1"/>
    <w:rsid w:val="000A69DB"/>
    <w:rsid w:val="0013017E"/>
    <w:rsid w:val="0014111B"/>
    <w:rsid w:val="00166618"/>
    <w:rsid w:val="001806FF"/>
    <w:rsid w:val="00193CB6"/>
    <w:rsid w:val="00193DDF"/>
    <w:rsid w:val="001D1432"/>
    <w:rsid w:val="001D2FC6"/>
    <w:rsid w:val="001D301F"/>
    <w:rsid w:val="001F3AFB"/>
    <w:rsid w:val="00201A91"/>
    <w:rsid w:val="0023062F"/>
    <w:rsid w:val="002306C6"/>
    <w:rsid w:val="00235B98"/>
    <w:rsid w:val="002953C3"/>
    <w:rsid w:val="002B5304"/>
    <w:rsid w:val="002D126D"/>
    <w:rsid w:val="002D2468"/>
    <w:rsid w:val="002E336F"/>
    <w:rsid w:val="00307A9D"/>
    <w:rsid w:val="003143A7"/>
    <w:rsid w:val="00355C3A"/>
    <w:rsid w:val="0035774B"/>
    <w:rsid w:val="00364286"/>
    <w:rsid w:val="00386505"/>
    <w:rsid w:val="00392308"/>
    <w:rsid w:val="00393D42"/>
    <w:rsid w:val="003C361C"/>
    <w:rsid w:val="003F7890"/>
    <w:rsid w:val="00451976"/>
    <w:rsid w:val="0046065E"/>
    <w:rsid w:val="00487CF5"/>
    <w:rsid w:val="004D5BCC"/>
    <w:rsid w:val="00534203"/>
    <w:rsid w:val="00553356"/>
    <w:rsid w:val="0056371C"/>
    <w:rsid w:val="00564206"/>
    <w:rsid w:val="006253EC"/>
    <w:rsid w:val="006B2369"/>
    <w:rsid w:val="006C4390"/>
    <w:rsid w:val="0074551B"/>
    <w:rsid w:val="007617E7"/>
    <w:rsid w:val="00761A5C"/>
    <w:rsid w:val="00762376"/>
    <w:rsid w:val="007B25AD"/>
    <w:rsid w:val="007E58E4"/>
    <w:rsid w:val="007F5199"/>
    <w:rsid w:val="007F63F0"/>
    <w:rsid w:val="00880721"/>
    <w:rsid w:val="00884837"/>
    <w:rsid w:val="008C2654"/>
    <w:rsid w:val="009371C0"/>
    <w:rsid w:val="00984F2A"/>
    <w:rsid w:val="009871E6"/>
    <w:rsid w:val="009A0B53"/>
    <w:rsid w:val="009B2BC7"/>
    <w:rsid w:val="009B624F"/>
    <w:rsid w:val="009D2AFA"/>
    <w:rsid w:val="00A238DF"/>
    <w:rsid w:val="00A27FC1"/>
    <w:rsid w:val="00A379BB"/>
    <w:rsid w:val="00A56D7D"/>
    <w:rsid w:val="00A8059A"/>
    <w:rsid w:val="00AA2E1B"/>
    <w:rsid w:val="00AC1EC7"/>
    <w:rsid w:val="00B2610B"/>
    <w:rsid w:val="00B314C9"/>
    <w:rsid w:val="00B941C0"/>
    <w:rsid w:val="00BB3944"/>
    <w:rsid w:val="00BE29D8"/>
    <w:rsid w:val="00BF4DB0"/>
    <w:rsid w:val="00C11A9D"/>
    <w:rsid w:val="00C57EF9"/>
    <w:rsid w:val="00C83E6C"/>
    <w:rsid w:val="00C87822"/>
    <w:rsid w:val="00C900C7"/>
    <w:rsid w:val="00CC7612"/>
    <w:rsid w:val="00D03E6A"/>
    <w:rsid w:val="00D23BF0"/>
    <w:rsid w:val="00D32CE0"/>
    <w:rsid w:val="00D3452A"/>
    <w:rsid w:val="00D43E92"/>
    <w:rsid w:val="00D757A5"/>
    <w:rsid w:val="00DC0C06"/>
    <w:rsid w:val="00DC3128"/>
    <w:rsid w:val="00DD7783"/>
    <w:rsid w:val="00E44699"/>
    <w:rsid w:val="00E44ACC"/>
    <w:rsid w:val="00E814BA"/>
    <w:rsid w:val="00E818CD"/>
    <w:rsid w:val="00E861ED"/>
    <w:rsid w:val="00EC63A9"/>
    <w:rsid w:val="00ED4351"/>
    <w:rsid w:val="00EE039D"/>
    <w:rsid w:val="00EF616A"/>
    <w:rsid w:val="00F05A6F"/>
    <w:rsid w:val="00F340BC"/>
    <w:rsid w:val="00F43C2F"/>
    <w:rsid w:val="00F8220C"/>
    <w:rsid w:val="00F90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009A"/>
  <w15:docId w15:val="{FF905DD0-1A8D-4DC4-8982-2E63186A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18C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18CD"/>
    <w:pPr>
      <w:spacing w:after="0" w:line="240" w:lineRule="auto"/>
    </w:pPr>
    <w:rPr>
      <w:rFonts w:ascii="Times New Roman" w:eastAsia="Times New Roman" w:hAnsi="Times New Roman" w:cs="Times New Roman"/>
      <w:sz w:val="24"/>
      <w:szCs w:val="24"/>
      <w:lang w:val="en-US" w:eastAsia="lv-LV"/>
    </w:rPr>
  </w:style>
  <w:style w:type="paragraph" w:styleId="Header">
    <w:name w:val="header"/>
    <w:basedOn w:val="Normal"/>
    <w:link w:val="HeaderChar"/>
    <w:uiPriority w:val="99"/>
    <w:unhideWhenUsed/>
    <w:rsid w:val="00E818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18CD"/>
    <w:rPr>
      <w:rFonts w:eastAsiaTheme="minorEastAsia"/>
      <w:lang w:val="en-US" w:eastAsia="zh-CN"/>
    </w:rPr>
  </w:style>
  <w:style w:type="paragraph" w:styleId="Footer">
    <w:name w:val="footer"/>
    <w:basedOn w:val="Normal"/>
    <w:link w:val="FooterChar"/>
    <w:uiPriority w:val="99"/>
    <w:unhideWhenUsed/>
    <w:rsid w:val="00E818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18CD"/>
    <w:rPr>
      <w:rFonts w:eastAsiaTheme="minorEastAsia"/>
      <w:lang w:val="en-US" w:eastAsia="zh-CN"/>
    </w:rPr>
  </w:style>
  <w:style w:type="character" w:styleId="Hyperlink">
    <w:name w:val="Hyperlink"/>
    <w:basedOn w:val="DefaultParagraphFont"/>
    <w:rsid w:val="00E818CD"/>
    <w:rPr>
      <w:color w:val="0000FF"/>
      <w:u w:val="single"/>
    </w:rPr>
  </w:style>
  <w:style w:type="paragraph" w:styleId="ListParagraph">
    <w:name w:val="List Paragraph"/>
    <w:basedOn w:val="Normal"/>
    <w:uiPriority w:val="99"/>
    <w:qFormat/>
    <w:rsid w:val="00E818C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E818CD"/>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E818CD"/>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paragraph" w:customStyle="1" w:styleId="tvhtml">
    <w:name w:val="tv_html"/>
    <w:basedOn w:val="Normal"/>
    <w:rsid w:val="00E818C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1"/>
    <w:rsid w:val="00E818CD"/>
    <w:rPr>
      <w:rFonts w:ascii="Times New Roman" w:eastAsia="Times New Roman" w:hAnsi="Times New Roman" w:cs="Times New Roman"/>
      <w:sz w:val="24"/>
      <w:szCs w:val="24"/>
      <w:lang w:val="en-US" w:eastAsia="lv-LV"/>
    </w:rPr>
  </w:style>
  <w:style w:type="character" w:styleId="CommentReference">
    <w:name w:val="annotation reference"/>
    <w:basedOn w:val="DefaultParagraphFont"/>
    <w:uiPriority w:val="99"/>
    <w:semiHidden/>
    <w:unhideWhenUsed/>
    <w:rsid w:val="001D1432"/>
    <w:rPr>
      <w:sz w:val="16"/>
      <w:szCs w:val="16"/>
    </w:rPr>
  </w:style>
  <w:style w:type="paragraph" w:styleId="CommentText">
    <w:name w:val="annotation text"/>
    <w:basedOn w:val="Normal"/>
    <w:link w:val="CommentTextChar"/>
    <w:uiPriority w:val="99"/>
    <w:semiHidden/>
    <w:unhideWhenUsed/>
    <w:rsid w:val="001D1432"/>
    <w:pPr>
      <w:spacing w:line="240" w:lineRule="auto"/>
    </w:pPr>
    <w:rPr>
      <w:sz w:val="20"/>
      <w:szCs w:val="20"/>
    </w:rPr>
  </w:style>
  <w:style w:type="character" w:customStyle="1" w:styleId="CommentTextChar">
    <w:name w:val="Comment Text Char"/>
    <w:basedOn w:val="DefaultParagraphFont"/>
    <w:link w:val="CommentText"/>
    <w:uiPriority w:val="99"/>
    <w:semiHidden/>
    <w:rsid w:val="001D143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1D1432"/>
    <w:rPr>
      <w:b/>
      <w:bCs/>
    </w:rPr>
  </w:style>
  <w:style w:type="character" w:customStyle="1" w:styleId="CommentSubjectChar">
    <w:name w:val="Comment Subject Char"/>
    <w:basedOn w:val="CommentTextChar"/>
    <w:link w:val="CommentSubject"/>
    <w:uiPriority w:val="99"/>
    <w:semiHidden/>
    <w:rsid w:val="001D1432"/>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1D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2"/>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lze.Skinke@v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10791</Words>
  <Characters>6151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11.marta noteikumos Nr.134 „Noteikumi par vienoto veselības nozares elektronisko informācijas sistēmu”” sākotnējās ietekmes novērtējuma ziņojums (anotācija)</vt:lpstr>
    </vt:vector>
  </TitlesOfParts>
  <Company>Veselības ministrija</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11.marta noteikumos Nr.134 „Noteikumi par vienoto veselības nozares elektronisko informācijas sistēmu”” sākotnējās ietekmes novērtējuma ziņojums (anotācija)</dc:title>
  <dc:subject>Anotācija</dc:subject>
  <dc:creator>Ilze Šķiņķe</dc:creator>
  <dc:description>Ilze Šķiņķe, tel.67876177, ilze.skinke@vm.gov.lv</dc:description>
  <cp:lastModifiedBy>Zaiga Valtere</cp:lastModifiedBy>
  <cp:revision>28</cp:revision>
  <cp:lastPrinted>2017-06-02T08:21:00Z</cp:lastPrinted>
  <dcterms:created xsi:type="dcterms:W3CDTF">2017-06-02T07:43:00Z</dcterms:created>
  <dcterms:modified xsi:type="dcterms:W3CDTF">2017-06-27T07:07:00Z</dcterms:modified>
</cp:coreProperties>
</file>