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08" w:rsidRPr="00992071" w:rsidRDefault="00EE2008" w:rsidP="00EE2008">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992071">
        <w:rPr>
          <w:rFonts w:ascii="Times New Roman" w:eastAsia="Times New Roman" w:hAnsi="Times New Roman" w:cs="Times New Roman"/>
          <w:b/>
          <w:sz w:val="24"/>
          <w:szCs w:val="24"/>
          <w:lang w:eastAsia="lv-LV"/>
        </w:rPr>
        <w:t>Ministru kabineta rīkojuma projekta „Par nekustamā īpašuma „</w:t>
      </w:r>
      <w:r>
        <w:rPr>
          <w:rFonts w:ascii="Times New Roman" w:eastAsia="Times New Roman" w:hAnsi="Times New Roman" w:cs="Times New Roman"/>
          <w:b/>
          <w:sz w:val="24"/>
          <w:szCs w:val="24"/>
          <w:lang w:eastAsia="lv-LV"/>
        </w:rPr>
        <w:t>Zemes gabals Nr.59</w:t>
      </w:r>
      <w:r w:rsidRPr="0099207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Sējas</w:t>
      </w:r>
      <w:r w:rsidRPr="00992071">
        <w:rPr>
          <w:rFonts w:ascii="Times New Roman" w:eastAsia="Times New Roman" w:hAnsi="Times New Roman" w:cs="Times New Roman"/>
          <w:b/>
          <w:sz w:val="24"/>
          <w:szCs w:val="24"/>
          <w:lang w:eastAsia="lv-LV"/>
        </w:rPr>
        <w:t xml:space="preserve"> novadā, 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rsidR="00EE2008" w:rsidRPr="00992071" w:rsidRDefault="00EE2008" w:rsidP="00EE200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rsidR="00EE2008" w:rsidRPr="00992071" w:rsidRDefault="00EE2008" w:rsidP="00EE2008">
      <w:pPr>
        <w:spacing w:after="0" w:line="240" w:lineRule="auto"/>
        <w:jc w:val="center"/>
        <w:rPr>
          <w:rFonts w:ascii="Times New Roman" w:eastAsia="Times New Roman" w:hAnsi="Times New Roman" w:cs="Times New Roman"/>
          <w:b/>
          <w:sz w:val="24"/>
          <w:szCs w:val="24"/>
          <w:lang w:eastAsia="lv-LV"/>
        </w:rPr>
      </w:pPr>
    </w:p>
    <w:tbl>
      <w:tblPr>
        <w:tblW w:w="5709"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69"/>
        <w:gridCol w:w="8128"/>
      </w:tblGrid>
      <w:tr w:rsidR="00EE2008" w:rsidRPr="00992071" w:rsidTr="00B34928">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EE2008" w:rsidRPr="00992071" w:rsidTr="00B34928">
        <w:tc>
          <w:tcPr>
            <w:tcW w:w="116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3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9.pant</w:t>
            </w:r>
            <w:r w:rsidR="00A636C2">
              <w:rPr>
                <w:rFonts w:ascii="Times New Roman" w:eastAsia="Times New Roman" w:hAnsi="Times New Roman" w:cs="Times New Roman"/>
                <w:sz w:val="24"/>
                <w:szCs w:val="24"/>
                <w:lang w:eastAsia="lv-LV"/>
              </w:rPr>
              <w:t>a pirmo daļu</w:t>
            </w:r>
            <w:r w:rsidRPr="00992071">
              <w:rPr>
                <w:rFonts w:ascii="Times New Roman" w:eastAsia="Times New Roman" w:hAnsi="Times New Roman" w:cs="Times New Roman"/>
                <w:sz w:val="24"/>
                <w:szCs w:val="24"/>
                <w:lang w:eastAsia="lv-LV"/>
              </w:rPr>
              <w:t>.</w:t>
            </w:r>
          </w:p>
          <w:p w:rsidR="00EE2008" w:rsidRPr="00992071" w:rsidRDefault="00AB3E92" w:rsidP="00EE200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 gada 22. decembra protokollēmuma “Par Nacionālo bruņoto spēku mācību infrastruktūras attīstību un paplašināšanu”  (</w:t>
            </w:r>
            <w:r w:rsidRPr="00EF743B">
              <w:rPr>
                <w:rFonts w:ascii="Times New Roman" w:eastAsia="Times New Roman" w:hAnsi="Times New Roman" w:cs="Times New Roman"/>
                <w:sz w:val="24"/>
                <w:szCs w:val="24"/>
                <w:lang w:eastAsia="lv-LV"/>
              </w:rPr>
              <w:t xml:space="preserve">Nr. 68, 91.§, </w:t>
            </w:r>
            <w:r>
              <w:rPr>
                <w:rFonts w:ascii="Times New Roman" w:eastAsia="Times New Roman" w:hAnsi="Times New Roman" w:cs="Times New Roman"/>
                <w:sz w:val="24"/>
                <w:szCs w:val="24"/>
                <w:lang w:eastAsia="lv-LV"/>
              </w:rPr>
              <w:t xml:space="preserve">TA-2853-DV) 2. un 3. punktu, </w:t>
            </w:r>
            <w:r w:rsidR="00EE2008">
              <w:rPr>
                <w:rFonts w:ascii="Times New Roman" w:eastAsia="Times New Roman" w:hAnsi="Times New Roman" w:cs="Times New Roman"/>
                <w:sz w:val="24"/>
                <w:szCs w:val="24"/>
                <w:lang w:eastAsia="lv-LV"/>
              </w:rPr>
              <w:t>nekustamais īpašums “Zemes gabals Nr.59” Sējas novadā (turpmāk tekstā – nekustamais īpašums) tiks iegādāts, lai veiktu Ādažu poligona teritorijas paplašināšanu.</w:t>
            </w:r>
          </w:p>
        </w:tc>
      </w:tr>
      <w:tr w:rsidR="00EE2008" w:rsidRPr="00992071" w:rsidTr="00B34928">
        <w:tc>
          <w:tcPr>
            <w:tcW w:w="116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rsidR="00EE2008" w:rsidRPr="00992071" w:rsidRDefault="00EE2008" w:rsidP="00B34928">
            <w:pPr>
              <w:tabs>
                <w:tab w:val="left" w:pos="180"/>
              </w:tabs>
              <w:spacing w:after="0" w:line="240" w:lineRule="auto"/>
              <w:rPr>
                <w:rFonts w:ascii="Times New Roman" w:eastAsia="Times New Roman" w:hAnsi="Times New Roman" w:cs="Times New Roman"/>
                <w:sz w:val="24"/>
                <w:szCs w:val="24"/>
                <w:lang w:eastAsia="lv-LV"/>
              </w:rPr>
            </w:pPr>
          </w:p>
          <w:p w:rsidR="00EE2008" w:rsidRPr="00992071" w:rsidRDefault="00EE2008" w:rsidP="00B34928">
            <w:pPr>
              <w:tabs>
                <w:tab w:val="left" w:pos="180"/>
              </w:tabs>
              <w:spacing w:after="0" w:line="240" w:lineRule="auto"/>
              <w:rPr>
                <w:rFonts w:ascii="Times New Roman" w:eastAsia="Times New Roman" w:hAnsi="Times New Roman" w:cs="Times New Roman"/>
                <w:sz w:val="24"/>
                <w:szCs w:val="24"/>
                <w:lang w:eastAsia="lv-LV"/>
              </w:rPr>
            </w:pPr>
          </w:p>
        </w:tc>
        <w:tc>
          <w:tcPr>
            <w:tcW w:w="3835" w:type="pct"/>
            <w:tcBorders>
              <w:top w:val="outset" w:sz="6" w:space="0" w:color="auto"/>
              <w:left w:val="outset" w:sz="6" w:space="0" w:color="auto"/>
              <w:bottom w:val="outset" w:sz="6" w:space="0" w:color="auto"/>
              <w:right w:val="outset" w:sz="6" w:space="0" w:color="auto"/>
            </w:tcBorders>
          </w:tcPr>
          <w:p w:rsidR="00EE2008" w:rsidRDefault="00EE2008" w:rsidP="00B3492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turpmāko plānoto attīstību, </w:t>
            </w:r>
            <w:r w:rsidR="00A636C2">
              <w:rPr>
                <w:rFonts w:ascii="Times New Roman" w:eastAsia="Times New Roman" w:hAnsi="Times New Roman" w:cs="Times New Roman"/>
                <w:sz w:val="24"/>
                <w:szCs w:val="24"/>
                <w:lang w:eastAsia="lv-LV"/>
              </w:rPr>
              <w:t xml:space="preserve">nākamajos </w:t>
            </w:r>
            <w:r>
              <w:rPr>
                <w:rFonts w:ascii="Times New Roman" w:eastAsia="Times New Roman" w:hAnsi="Times New Roman" w:cs="Times New Roman"/>
                <w:sz w:val="24"/>
                <w:szCs w:val="24"/>
                <w:lang w:eastAsia="lv-LV"/>
              </w:rPr>
              <w:t xml:space="preserve">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EE2008" w:rsidRDefault="00EE2008" w:rsidP="00B3492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īpašnieka atsavināt nekustamo īpašumu “Zemes gabals Nr.59”, Sējas novadā (nekustamā īpašuma kadastra Nr.8092 003 0062)</w:t>
            </w:r>
            <w:r w:rsidR="00A636C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5909C4">
              <w:rPr>
                <w:rFonts w:ascii="Times New Roman" w:eastAsia="Times New Roman" w:hAnsi="Times New Roman" w:cs="Times New Roman"/>
                <w:sz w:val="24"/>
                <w:szCs w:val="24"/>
                <w:lang w:eastAsia="lv-LV"/>
              </w:rPr>
              <w:t>kas</w:t>
            </w:r>
            <w:r>
              <w:rPr>
                <w:rFonts w:ascii="Times New Roman" w:eastAsia="Times New Roman" w:hAnsi="Times New Roman" w:cs="Times New Roman"/>
                <w:sz w:val="24"/>
                <w:szCs w:val="24"/>
                <w:lang w:eastAsia="lv-LV"/>
              </w:rPr>
              <w:t xml:space="preserve"> ir vienīgais veids šī mērķa sasniegšanai. Nekustamais īpašums ierakstīts Sējas novada zemesgrāmatas nodalījumā Nr.100000498945 un tas sastāv no zemes vienības (zemes vienības kadastra apzīmējums 8092 003 0062) 6,1 ha platībā ar mežaudzi un robežojas ar esošo Ādažu poligona teritoriju.</w:t>
            </w:r>
          </w:p>
          <w:p w:rsidR="00EE2008" w:rsidRDefault="00EE2008" w:rsidP="00B34928">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 xml:space="preserve">Ministru kabineta 2011.gada 15.marta noteikumiem Nr.204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vērtības noteikšanu veica sertificēts sabiedrības ar ierobežotu atbildību „</w:t>
            </w:r>
            <w:proofErr w:type="spellStart"/>
            <w:r>
              <w:rPr>
                <w:rFonts w:ascii="Times New Roman" w:eastAsia="Times New Roman" w:hAnsi="Times New Roman" w:cs="Times New Roman"/>
                <w:sz w:val="24"/>
                <w:szCs w:val="24"/>
                <w:lang w:eastAsia="lv-LV"/>
              </w:rPr>
              <w:t>Dzieti</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Pr>
                <w:rFonts w:ascii="Times New Roman" w:eastAsia="Times New Roman" w:hAnsi="Times New Roman" w:cs="Times New Roman"/>
                <w:sz w:val="24"/>
                <w:szCs w:val="24"/>
                <w:lang w:eastAsia="lv-LV"/>
              </w:rPr>
              <w:t xml:space="preserve">22100 </w:t>
            </w:r>
            <w:proofErr w:type="spellStart"/>
            <w:r w:rsidRPr="00543BA2">
              <w:rPr>
                <w:rFonts w:ascii="Times New Roman" w:eastAsia="Times New Roman" w:hAnsi="Times New Roman" w:cs="Times New Roman"/>
                <w:i/>
                <w:sz w:val="24"/>
                <w:szCs w:val="24"/>
                <w:lang w:eastAsia="lv-LV"/>
              </w:rPr>
              <w:t>euro</w:t>
            </w:r>
            <w:proofErr w:type="spellEnd"/>
            <w:r w:rsidR="00A636C2">
              <w:rPr>
                <w:rFonts w:ascii="Times New Roman" w:eastAsia="Times New Roman" w:hAnsi="Times New Roman" w:cs="Times New Roman"/>
                <w:i/>
                <w:sz w:val="24"/>
                <w:szCs w:val="24"/>
                <w:lang w:eastAsia="lv-LV"/>
              </w:rPr>
              <w:t xml:space="preserve"> </w:t>
            </w:r>
            <w:r w:rsidR="00A636C2" w:rsidRPr="0038218D">
              <w:rPr>
                <w:rFonts w:ascii="Times New Roman" w:eastAsia="Times New Roman" w:hAnsi="Times New Roman" w:cs="Times New Roman"/>
                <w:sz w:val="24"/>
                <w:szCs w:val="24"/>
                <w:lang w:eastAsia="lv-LV"/>
              </w:rPr>
              <w:t>apmērā</w:t>
            </w:r>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izvērtējusi un aprēķinājusi atlīdzību 22100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tirgus vērtība 2900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00A636C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19200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p>
          <w:p w:rsidR="00EE2008" w:rsidRDefault="00EE2008" w:rsidP="00B3492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īpašnieks piekritis nekustamā īpašuma atsavināšanai, atbilstoši komisijas aprēķinātajam atlīdzības apmēram, un </w:t>
            </w:r>
            <w:r w:rsidR="00A636C2">
              <w:rPr>
                <w:rFonts w:ascii="Times New Roman" w:eastAsia="Times New Roman" w:hAnsi="Times New Roman" w:cs="Times New Roman"/>
                <w:sz w:val="24"/>
                <w:szCs w:val="24"/>
                <w:lang w:eastAsia="lv-LV"/>
              </w:rPr>
              <w:t>2017.gada 20.marta</w:t>
            </w:r>
            <w:r>
              <w:rPr>
                <w:rFonts w:ascii="Times New Roman" w:eastAsia="Times New Roman" w:hAnsi="Times New Roman" w:cs="Times New Roman"/>
                <w:sz w:val="24"/>
                <w:szCs w:val="24"/>
                <w:lang w:eastAsia="lv-LV"/>
              </w:rPr>
              <w:t xml:space="preserve">.e-pasta vēstulē informējis, ka komisijas atlīdzības izvērtēšanas sēdē nepiedalīsies. </w:t>
            </w:r>
          </w:p>
          <w:p w:rsidR="00EE2008" w:rsidRPr="00992071" w:rsidRDefault="00EE2008" w:rsidP="00B34928">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nekustamā īpašuma atsavināšanu nodarītie īpašniekam kompensējamie zaudējumi (notariālie izdevumi, valsts nodevas, kancelejas nodevas, citi izdevumi) tiks kompensēti to faktiskajā apmērā, atbilstoši Sabiedrības vajadzībām nepieciešamā nekustamā īpašuma atsavināšanas likuma 25.pantā noteiktajam.</w:t>
            </w:r>
          </w:p>
        </w:tc>
      </w:tr>
      <w:tr w:rsidR="00EE2008" w:rsidRPr="00992071" w:rsidTr="00B34928">
        <w:tc>
          <w:tcPr>
            <w:tcW w:w="116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3.Projekta izstrādē iesaistītās institūcijas</w:t>
            </w:r>
          </w:p>
        </w:tc>
        <w:tc>
          <w:tcPr>
            <w:tcW w:w="383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EE2008" w:rsidRPr="00992071" w:rsidTr="00B34928">
        <w:tc>
          <w:tcPr>
            <w:tcW w:w="116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35" w:type="pct"/>
            <w:tcBorders>
              <w:top w:val="outset" w:sz="6" w:space="0" w:color="auto"/>
              <w:left w:val="outset" w:sz="6" w:space="0" w:color="auto"/>
              <w:bottom w:val="outset" w:sz="6" w:space="0" w:color="auto"/>
              <w:right w:val="outset" w:sz="6" w:space="0" w:color="auto"/>
            </w:tcBorders>
          </w:tcPr>
          <w:p w:rsidR="00EE2008" w:rsidRPr="00992071" w:rsidRDefault="00EE2008" w:rsidP="00B34928">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EE2008" w:rsidRPr="00992071" w:rsidRDefault="00EE2008" w:rsidP="00EE2008">
      <w:pPr>
        <w:spacing w:after="0" w:line="240" w:lineRule="auto"/>
        <w:rPr>
          <w:rFonts w:ascii="Times New Roman" w:eastAsia="Times New Roman" w:hAnsi="Times New Roman" w:cs="Times New Roman"/>
          <w:sz w:val="24"/>
          <w:szCs w:val="24"/>
          <w:lang w:eastAsia="lv-LV"/>
        </w:rPr>
      </w:pPr>
    </w:p>
    <w:tbl>
      <w:tblPr>
        <w:tblW w:w="5714" w:type="pct"/>
        <w:tblInd w:w="-128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31"/>
        <w:gridCol w:w="1572"/>
        <w:gridCol w:w="2573"/>
        <w:gridCol w:w="1534"/>
        <w:gridCol w:w="1213"/>
        <w:gridCol w:w="1112"/>
      </w:tblGrid>
      <w:tr w:rsidR="00EE2008" w:rsidRPr="00992071" w:rsidTr="00B34928">
        <w:tc>
          <w:tcPr>
            <w:tcW w:w="5000" w:type="pct"/>
            <w:gridSpan w:val="6"/>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EE2008" w:rsidRPr="00992071" w:rsidTr="00B34928">
        <w:tc>
          <w:tcPr>
            <w:tcW w:w="1165" w:type="pct"/>
            <w:vMerge w:val="restar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1985" w:type="pct"/>
            <w:gridSpan w:val="2"/>
            <w:vMerge w:val="restar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
        </w:tc>
        <w:tc>
          <w:tcPr>
            <w:tcW w:w="1850" w:type="pct"/>
            <w:gridSpan w:val="3"/>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EE2008" w:rsidRPr="00992071" w:rsidTr="00B34928">
        <w:tc>
          <w:tcPr>
            <w:tcW w:w="1165" w:type="pct"/>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rPr>
                <w:rFonts w:ascii="Times New Roman" w:eastAsia="Times New Roman" w:hAnsi="Times New Roman" w:cs="Times New Roman"/>
                <w:b/>
                <w:bCs/>
                <w:sz w:val="24"/>
                <w:szCs w:val="24"/>
                <w:lang w:eastAsia="lv-LV"/>
              </w:rPr>
            </w:pPr>
          </w:p>
        </w:tc>
        <w:tc>
          <w:tcPr>
            <w:tcW w:w="1985" w:type="pct"/>
            <w:gridSpan w:val="2"/>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rPr>
                <w:rFonts w:ascii="Times New Roman" w:eastAsia="Times New Roman" w:hAnsi="Times New Roman" w:cs="Times New Roman"/>
                <w:b/>
                <w:bCs/>
                <w:sz w:val="24"/>
                <w:szCs w:val="24"/>
                <w:lang w:eastAsia="lv-LV"/>
              </w:rPr>
            </w:pPr>
          </w:p>
        </w:tc>
        <w:tc>
          <w:tcPr>
            <w:tcW w:w="735"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0" w:type="auto"/>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53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EE2008" w:rsidRPr="00992071" w:rsidTr="00B34928">
        <w:tc>
          <w:tcPr>
            <w:tcW w:w="1165" w:type="pct"/>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rPr>
                <w:rFonts w:ascii="Times New Roman" w:eastAsia="Times New Roman" w:hAnsi="Times New Roman" w:cs="Times New Roman"/>
                <w:b/>
                <w:bCs/>
                <w:sz w:val="24"/>
                <w:szCs w:val="24"/>
                <w:lang w:eastAsia="lv-LV"/>
              </w:rPr>
            </w:pPr>
          </w:p>
        </w:tc>
        <w:tc>
          <w:tcPr>
            <w:tcW w:w="75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3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3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5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3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35"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533" w:type="pc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3835"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505"/>
              <w:gridCol w:w="2516"/>
              <w:gridCol w:w="1540"/>
              <w:gridCol w:w="1121"/>
              <w:gridCol w:w="1252"/>
            </w:tblGrid>
            <w:tr w:rsidR="00EE2008" w:rsidTr="00B34928">
              <w:trPr>
                <w:trHeight w:val="2467"/>
              </w:trPr>
              <w:tc>
                <w:tcPr>
                  <w:tcW w:w="152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3835" w:type="pct"/>
            <w:gridSpan w:val="5"/>
            <w:vMerge/>
            <w:tcBorders>
              <w:left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3835" w:type="pct"/>
            <w:gridSpan w:val="5"/>
            <w:vMerge/>
            <w:tcBorders>
              <w:left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single" w:sz="4" w:space="0" w:color="auto"/>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3835" w:type="pct"/>
            <w:gridSpan w:val="5"/>
            <w:vMerge/>
            <w:tcBorders>
              <w:left w:val="outset" w:sz="6" w:space="0" w:color="000000"/>
              <w:bottom w:val="single" w:sz="4" w:space="0" w:color="auto"/>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single" w:sz="4" w:space="0" w:color="auto"/>
              <w:left w:val="single" w:sz="4" w:space="0" w:color="auto"/>
              <w:bottom w:val="single" w:sz="4" w:space="0" w:color="auto"/>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3835"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505"/>
              <w:gridCol w:w="2516"/>
              <w:gridCol w:w="1540"/>
              <w:gridCol w:w="1121"/>
              <w:gridCol w:w="1252"/>
            </w:tblGrid>
            <w:tr w:rsidR="00EE2008" w:rsidTr="00B34928">
              <w:trPr>
                <w:trHeight w:val="1527"/>
              </w:trPr>
              <w:tc>
                <w:tcPr>
                  <w:tcW w:w="152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single" w:sz="4" w:space="0" w:color="auto"/>
              <w:left w:val="single" w:sz="4" w:space="0" w:color="auto"/>
              <w:bottom w:val="single" w:sz="4" w:space="0" w:color="auto"/>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3835" w:type="pct"/>
            <w:gridSpan w:val="5"/>
            <w:vMerge/>
            <w:tcBorders>
              <w:left w:val="single" w:sz="4" w:space="0" w:color="auto"/>
              <w:right w:val="single" w:sz="4"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single" w:sz="4" w:space="0" w:color="auto"/>
              <w:left w:val="single" w:sz="4" w:space="0" w:color="auto"/>
              <w:bottom w:val="single" w:sz="4" w:space="0" w:color="auto"/>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3835" w:type="pct"/>
            <w:gridSpan w:val="5"/>
            <w:vMerge/>
            <w:tcBorders>
              <w:left w:val="single" w:sz="4" w:space="0" w:color="auto"/>
              <w:right w:val="single" w:sz="4"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rPr>
          <w:trHeight w:val="153"/>
        </w:trPr>
        <w:tc>
          <w:tcPr>
            <w:tcW w:w="1165" w:type="pct"/>
            <w:tcBorders>
              <w:top w:val="single" w:sz="4" w:space="0" w:color="auto"/>
              <w:left w:val="single" w:sz="4" w:space="0" w:color="auto"/>
              <w:bottom w:val="single" w:sz="4" w:space="0" w:color="auto"/>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3835" w:type="pct"/>
            <w:gridSpan w:val="5"/>
            <w:vMerge/>
            <w:tcBorders>
              <w:left w:val="single" w:sz="4" w:space="0" w:color="auto"/>
              <w:bottom w:val="single" w:sz="4" w:space="0" w:color="auto"/>
              <w:right w:val="single" w:sz="4"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single" w:sz="4" w:space="0" w:color="auto"/>
              <w:left w:val="outset" w:sz="6" w:space="0" w:color="000000"/>
              <w:bottom w:val="outset" w:sz="6" w:space="0" w:color="000000"/>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3835" w:type="pct"/>
            <w:gridSpan w:val="5"/>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505"/>
              <w:gridCol w:w="2516"/>
              <w:gridCol w:w="1540"/>
              <w:gridCol w:w="1121"/>
              <w:gridCol w:w="1252"/>
            </w:tblGrid>
            <w:tr w:rsidR="00EE2008" w:rsidTr="00B34928">
              <w:trPr>
                <w:trHeight w:val="1259"/>
              </w:trPr>
              <w:tc>
                <w:tcPr>
                  <w:tcW w:w="152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3835" w:type="pct"/>
            <w:gridSpan w:val="5"/>
            <w:vMerge/>
            <w:tcBorders>
              <w:top w:val="single" w:sz="4" w:space="0" w:color="auto"/>
              <w:left w:val="single" w:sz="4" w:space="0" w:color="auto"/>
              <w:bottom w:val="nil"/>
              <w:right w:val="single" w:sz="4"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3835" w:type="pct"/>
            <w:gridSpan w:val="5"/>
            <w:vMerge/>
            <w:tcBorders>
              <w:top w:val="single" w:sz="4" w:space="0" w:color="auto"/>
              <w:left w:val="single" w:sz="4" w:space="0" w:color="auto"/>
              <w:bottom w:val="nil"/>
              <w:right w:val="single" w:sz="4"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rPr>
          <w:trHeight w:val="20"/>
        </w:trPr>
        <w:tc>
          <w:tcPr>
            <w:tcW w:w="1165" w:type="pct"/>
            <w:tcBorders>
              <w:top w:val="outset" w:sz="6" w:space="0" w:color="000000"/>
              <w:left w:val="outset" w:sz="6" w:space="0" w:color="000000"/>
              <w:bottom w:val="outset" w:sz="6" w:space="0" w:color="000000"/>
              <w:right w:val="single" w:sz="4" w:space="0" w:color="auto"/>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3835" w:type="pct"/>
            <w:gridSpan w:val="5"/>
            <w:vMerge/>
            <w:tcBorders>
              <w:top w:val="single" w:sz="4" w:space="0" w:color="auto"/>
              <w:left w:val="single" w:sz="4" w:space="0" w:color="auto"/>
              <w:bottom w:val="nil"/>
              <w:right w:val="single" w:sz="4" w:space="0" w:color="auto"/>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rPr>
          <w:trHeight w:val="1661"/>
        </w:trPr>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53" w:type="pct"/>
            <w:tcBorders>
              <w:top w:val="nil"/>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2" w:type="pct"/>
            <w:gridSpan w:val="4"/>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68"/>
              <w:gridCol w:w="1532"/>
              <w:gridCol w:w="1116"/>
              <w:gridCol w:w="1246"/>
            </w:tblGrid>
            <w:tr w:rsidR="00EE2008" w:rsidTr="00B34928">
              <w:trPr>
                <w:trHeight w:val="1840"/>
              </w:trPr>
              <w:tc>
                <w:tcPr>
                  <w:tcW w:w="2517"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53" w:type="pct"/>
            <w:vMerge w:val="restar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2" w:type="pct"/>
            <w:gridSpan w:val="4"/>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68"/>
              <w:gridCol w:w="1532"/>
              <w:gridCol w:w="1116"/>
              <w:gridCol w:w="1246"/>
            </w:tblGrid>
            <w:tr w:rsidR="00EE2008" w:rsidTr="00B34928">
              <w:trPr>
                <w:trHeight w:val="1572"/>
              </w:trPr>
              <w:tc>
                <w:tcPr>
                  <w:tcW w:w="2512"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rsidR="00EE2008" w:rsidRDefault="00EE2008" w:rsidP="00B3492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53" w:type="pct"/>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c>
          <w:tcPr>
            <w:tcW w:w="3082" w:type="pct"/>
            <w:gridSpan w:val="4"/>
            <w:vMerge/>
            <w:tcBorders>
              <w:left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53" w:type="pct"/>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c>
          <w:tcPr>
            <w:tcW w:w="3082" w:type="pct"/>
            <w:gridSpan w:val="4"/>
            <w:vMerge/>
            <w:tcBorders>
              <w:left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53" w:type="pct"/>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c>
          <w:tcPr>
            <w:tcW w:w="3082" w:type="pct"/>
            <w:gridSpan w:val="4"/>
            <w:vMerge/>
            <w:tcBorders>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jc w:val="center"/>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35" w:type="pct"/>
            <w:gridSpan w:val="5"/>
            <w:vMerge w:val="restart"/>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jc w:val="both"/>
              <w:rPr>
                <w:rFonts w:ascii="Times New Roman" w:eastAsia="Times New Roman" w:hAnsi="Times New Roman" w:cs="Times New Roman"/>
                <w:sz w:val="24"/>
                <w:szCs w:val="24"/>
                <w:lang w:eastAsia="lv-LV"/>
              </w:rPr>
            </w:pPr>
          </w:p>
          <w:p w:rsidR="00EE2008" w:rsidRPr="00992071" w:rsidRDefault="00EE2008" w:rsidP="00B349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rsidR="00EE2008" w:rsidRPr="00992071" w:rsidRDefault="00EE2008" w:rsidP="00B34928">
            <w:pPr>
              <w:spacing w:after="0" w:line="240" w:lineRule="auto"/>
              <w:rPr>
                <w:rFonts w:ascii="Times New Roman" w:eastAsia="Times New Roman" w:hAnsi="Times New Roman" w:cs="Times New Roman"/>
                <w:sz w:val="24"/>
                <w:szCs w:val="24"/>
                <w:lang w:eastAsia="lv-LV"/>
              </w:rPr>
            </w:pPr>
          </w:p>
          <w:p w:rsidR="00EE2008" w:rsidRPr="00992071" w:rsidRDefault="00EE2008" w:rsidP="00B34928">
            <w:pPr>
              <w:spacing w:after="0" w:line="240" w:lineRule="auto"/>
              <w:rPr>
                <w:rFonts w:ascii="Times New Roman" w:eastAsia="Times New Roman" w:hAnsi="Times New Roman" w:cs="Times New Roman"/>
                <w:sz w:val="24"/>
                <w:szCs w:val="24"/>
                <w:lang w:eastAsia="lv-LV"/>
              </w:rPr>
            </w:pPr>
          </w:p>
          <w:p w:rsidR="00EE2008" w:rsidRPr="00992071" w:rsidRDefault="00EE2008" w:rsidP="00B34928">
            <w:pPr>
              <w:spacing w:after="0" w:line="240" w:lineRule="auto"/>
              <w:rPr>
                <w:rFonts w:ascii="Times New Roman" w:eastAsia="Times New Roman" w:hAnsi="Times New Roman" w:cs="Times New Roman"/>
                <w:sz w:val="24"/>
                <w:szCs w:val="24"/>
                <w:lang w:eastAsia="lv-LV"/>
              </w:rPr>
            </w:pPr>
          </w:p>
          <w:p w:rsidR="00EE2008" w:rsidRPr="00992071" w:rsidRDefault="00EE2008" w:rsidP="00B34928">
            <w:pPr>
              <w:spacing w:after="0" w:line="240" w:lineRule="auto"/>
              <w:ind w:firstLine="720"/>
              <w:jc w:val="both"/>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6.1. detalizēts </w:t>
            </w:r>
            <w:r w:rsidRPr="00992071">
              <w:rPr>
                <w:rFonts w:ascii="Times New Roman" w:eastAsia="Times New Roman" w:hAnsi="Times New Roman" w:cs="Times New Roman"/>
                <w:sz w:val="24"/>
                <w:szCs w:val="24"/>
                <w:lang w:eastAsia="lv-LV"/>
              </w:rPr>
              <w:lastRenderedPageBreak/>
              <w:t>ieņēmumu aprēķins</w:t>
            </w:r>
          </w:p>
        </w:tc>
        <w:tc>
          <w:tcPr>
            <w:tcW w:w="3835" w:type="pct"/>
            <w:gridSpan w:val="5"/>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6.2. detalizēts izdevumu aprēķins</w:t>
            </w:r>
          </w:p>
        </w:tc>
        <w:tc>
          <w:tcPr>
            <w:tcW w:w="3835" w:type="pct"/>
            <w:gridSpan w:val="5"/>
            <w:vMerge/>
            <w:tcBorders>
              <w:top w:val="outset" w:sz="6" w:space="0" w:color="000000"/>
              <w:left w:val="outset" w:sz="6" w:space="0" w:color="000000"/>
              <w:bottom w:val="outset" w:sz="6" w:space="0" w:color="000000"/>
              <w:right w:val="outset" w:sz="6" w:space="0" w:color="000000"/>
            </w:tcBorders>
            <w:vAlign w:val="center"/>
          </w:tcPr>
          <w:p w:rsidR="00EE2008" w:rsidRPr="00992071" w:rsidRDefault="00EE2008" w:rsidP="00B34928">
            <w:pPr>
              <w:spacing w:after="0" w:line="240" w:lineRule="auto"/>
              <w:rPr>
                <w:rFonts w:ascii="Times New Roman" w:eastAsia="Times New Roman" w:hAnsi="Times New Roman" w:cs="Times New Roman"/>
                <w:sz w:val="24"/>
                <w:szCs w:val="24"/>
                <w:lang w:eastAsia="lv-LV"/>
              </w:rPr>
            </w:pPr>
          </w:p>
        </w:tc>
      </w:tr>
      <w:tr w:rsidR="00EE2008" w:rsidRPr="00992071" w:rsidTr="00B34928">
        <w:tc>
          <w:tcPr>
            <w:tcW w:w="1165" w:type="pct"/>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3835" w:type="pct"/>
            <w:gridSpan w:val="5"/>
            <w:tcBorders>
              <w:top w:val="outset" w:sz="6" w:space="0" w:color="000000"/>
              <w:left w:val="outset" w:sz="6" w:space="0" w:color="000000"/>
              <w:bottom w:val="outset" w:sz="6" w:space="0" w:color="000000"/>
              <w:right w:val="outset" w:sz="6" w:space="0" w:color="000000"/>
            </w:tcBorders>
          </w:tcPr>
          <w:p w:rsidR="00EE2008" w:rsidRPr="00992071" w:rsidRDefault="00EE2008" w:rsidP="00B34928">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valsts budžeta 2017.gadam Aizsardzības ministrijas budžeta programmā 33.00.00 “Aizsardzības īpašumu pārvaldīšana” paredzētajiem līdzekļiem.</w:t>
            </w:r>
          </w:p>
        </w:tc>
      </w:tr>
    </w:tbl>
    <w:p w:rsidR="00EE2008" w:rsidRPr="00992071" w:rsidRDefault="00EE2008" w:rsidP="00EE2008">
      <w:pPr>
        <w:spacing w:after="0" w:line="240" w:lineRule="auto"/>
        <w:rPr>
          <w:rFonts w:ascii="Times New Roman" w:eastAsia="Times New Roman" w:hAnsi="Times New Roman" w:cs="Times New Roman"/>
          <w:sz w:val="24"/>
          <w:szCs w:val="24"/>
          <w:lang w:eastAsia="lv-LV"/>
        </w:rPr>
      </w:pPr>
    </w:p>
    <w:tbl>
      <w:tblPr>
        <w:tblW w:w="10490" w:type="dxa"/>
        <w:tblInd w:w="-1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46"/>
        <w:gridCol w:w="3405"/>
        <w:gridCol w:w="5339"/>
      </w:tblGrid>
      <w:tr w:rsidR="00EE2008" w:rsidRPr="00992071" w:rsidTr="00B34928">
        <w:trPr>
          <w:trHeight w:val="365"/>
        </w:trPr>
        <w:tc>
          <w:tcPr>
            <w:tcW w:w="10490" w:type="dxa"/>
            <w:gridSpan w:val="3"/>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EE2008" w:rsidRPr="00992071" w:rsidTr="00B34928">
        <w:tc>
          <w:tcPr>
            <w:tcW w:w="1746"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5339"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EE2008" w:rsidRPr="00992071" w:rsidTr="00B34928">
        <w:tc>
          <w:tcPr>
            <w:tcW w:w="1746"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5339"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EE2008" w:rsidRPr="00992071" w:rsidTr="00B34928">
        <w:tc>
          <w:tcPr>
            <w:tcW w:w="1746"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5339" w:type="dxa"/>
            <w:tcBorders>
              <w:top w:val="single" w:sz="6" w:space="0" w:color="auto"/>
              <w:left w:val="single" w:sz="6" w:space="0" w:color="auto"/>
              <w:bottom w:val="single" w:sz="6" w:space="0" w:color="auto"/>
              <w:right w:val="single" w:sz="6" w:space="0" w:color="auto"/>
            </w:tcBorders>
          </w:tcPr>
          <w:p w:rsidR="00EE2008" w:rsidRPr="00992071" w:rsidRDefault="00EE2008" w:rsidP="00B34928">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 xml:space="preserve">II, </w:t>
      </w:r>
      <w:r w:rsidRPr="00992071">
        <w:rPr>
          <w:rFonts w:ascii="Times New Roman" w:eastAsia="Times New Roman" w:hAnsi="Times New Roman" w:cs="Times New Roman"/>
          <w:sz w:val="24"/>
          <w:szCs w:val="24"/>
          <w:lang w:eastAsia="lv-LV"/>
        </w:rPr>
        <w:t>IV</w:t>
      </w:r>
      <w:r>
        <w:rPr>
          <w:rFonts w:ascii="Times New Roman" w:eastAsia="Times New Roman" w:hAnsi="Times New Roman" w:cs="Times New Roman"/>
          <w:sz w:val="24"/>
          <w:szCs w:val="24"/>
          <w:lang w:eastAsia="lv-LV"/>
        </w:rPr>
        <w:t>, V un</w:t>
      </w:r>
      <w:r w:rsidRPr="00992071">
        <w:rPr>
          <w:rFonts w:ascii="Times New Roman" w:eastAsia="Times New Roman" w:hAnsi="Times New Roman" w:cs="Times New Roman"/>
          <w:sz w:val="24"/>
          <w:szCs w:val="24"/>
          <w:lang w:eastAsia="lv-LV"/>
        </w:rPr>
        <w:t xml:space="preserve"> VI sadaļa – projekts šīs jomas neskar.</w:t>
      </w: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Bergmanis</w:t>
      </w: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w:t>
      </w:r>
      <w:r w:rsidRPr="00992071">
        <w:rPr>
          <w:rFonts w:ascii="Times New Roman" w:eastAsia="Times New Roman" w:hAnsi="Times New Roman" w:cs="Times New Roman"/>
          <w:sz w:val="24"/>
          <w:szCs w:val="24"/>
          <w:lang w:eastAsia="lv-LV"/>
        </w:rPr>
        <w:t>za: Aizsardzības ministrijas valsts sekretārs</w:t>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Garisons</w:t>
      </w: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EE2008" w:rsidRPr="00992071" w:rsidRDefault="00EE2008" w:rsidP="00EE2008">
      <w:pPr>
        <w:spacing w:after="0" w:line="240" w:lineRule="auto"/>
        <w:rPr>
          <w:rFonts w:ascii="Times New Roman" w:eastAsia="Times New Roman" w:hAnsi="Times New Roman" w:cs="Times New Roman"/>
          <w:sz w:val="24"/>
          <w:szCs w:val="24"/>
          <w:lang w:eastAsia="lv-LV"/>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Default="0061418C" w:rsidP="0061418C">
      <w:pPr>
        <w:tabs>
          <w:tab w:val="left" w:pos="7020"/>
        </w:tabs>
        <w:spacing w:after="0" w:line="240" w:lineRule="auto"/>
        <w:rPr>
          <w:rFonts w:ascii="Times New Roman" w:hAnsi="Times New Roman" w:cs="Times New Roman"/>
          <w:i/>
          <w:sz w:val="20"/>
          <w:szCs w:val="20"/>
        </w:rPr>
      </w:pPr>
    </w:p>
    <w:p w:rsidR="0061418C" w:rsidRPr="0061418C" w:rsidRDefault="0061418C" w:rsidP="0061418C">
      <w:pPr>
        <w:tabs>
          <w:tab w:val="left" w:pos="7020"/>
        </w:tabs>
        <w:spacing w:after="0" w:line="240" w:lineRule="auto"/>
        <w:rPr>
          <w:rFonts w:ascii="Times New Roman" w:hAnsi="Times New Roman" w:cs="Times New Roman"/>
          <w:i/>
          <w:sz w:val="20"/>
          <w:szCs w:val="20"/>
        </w:rPr>
      </w:pPr>
      <w:r w:rsidRPr="0061418C">
        <w:rPr>
          <w:rFonts w:ascii="Times New Roman" w:hAnsi="Times New Roman" w:cs="Times New Roman"/>
          <w:i/>
          <w:sz w:val="20"/>
          <w:szCs w:val="20"/>
        </w:rPr>
        <w:t xml:space="preserve">Dace </w:t>
      </w:r>
      <w:proofErr w:type="spellStart"/>
      <w:r w:rsidRPr="0061418C">
        <w:rPr>
          <w:rFonts w:ascii="Times New Roman" w:hAnsi="Times New Roman" w:cs="Times New Roman"/>
          <w:i/>
          <w:sz w:val="20"/>
          <w:szCs w:val="20"/>
        </w:rPr>
        <w:t>Madžule</w:t>
      </w:r>
      <w:proofErr w:type="spellEnd"/>
      <w:r w:rsidRPr="0061418C">
        <w:rPr>
          <w:rFonts w:ascii="Times New Roman" w:hAnsi="Times New Roman" w:cs="Times New Roman"/>
          <w:i/>
          <w:sz w:val="20"/>
          <w:szCs w:val="20"/>
        </w:rPr>
        <w:t>, 67300279</w:t>
      </w:r>
    </w:p>
    <w:p w:rsidR="0061418C" w:rsidRPr="0061418C" w:rsidRDefault="00A652AF" w:rsidP="0061418C">
      <w:pPr>
        <w:tabs>
          <w:tab w:val="left" w:pos="7020"/>
        </w:tabs>
        <w:spacing w:after="0" w:line="240" w:lineRule="auto"/>
        <w:rPr>
          <w:rFonts w:ascii="Times New Roman" w:hAnsi="Times New Roman" w:cs="Times New Roman"/>
          <w:i/>
          <w:color w:val="000000" w:themeColor="text1"/>
          <w:sz w:val="20"/>
          <w:szCs w:val="20"/>
        </w:rPr>
      </w:pPr>
      <w:hyperlink r:id="rId7" w:history="1">
        <w:r w:rsidR="0061418C" w:rsidRPr="0061418C">
          <w:rPr>
            <w:rStyle w:val="Hyperlink"/>
            <w:rFonts w:ascii="Times New Roman" w:hAnsi="Times New Roman" w:cs="Times New Roman"/>
            <w:i/>
            <w:color w:val="000000" w:themeColor="text1"/>
            <w:sz w:val="20"/>
            <w:szCs w:val="20"/>
            <w:u w:val="none"/>
          </w:rPr>
          <w:t>Dace.Madzule@vamoic.gov.lv</w:t>
        </w:r>
      </w:hyperlink>
    </w:p>
    <w:p w:rsidR="0061418C" w:rsidRPr="0061418C" w:rsidRDefault="0061418C" w:rsidP="0061418C">
      <w:pPr>
        <w:tabs>
          <w:tab w:val="left" w:pos="7020"/>
        </w:tabs>
        <w:spacing w:after="0" w:line="240" w:lineRule="auto"/>
        <w:rPr>
          <w:rFonts w:ascii="Times New Roman" w:hAnsi="Times New Roman" w:cs="Times New Roman"/>
          <w:i/>
          <w:sz w:val="20"/>
          <w:szCs w:val="20"/>
        </w:rPr>
      </w:pPr>
    </w:p>
    <w:p w:rsidR="0061418C" w:rsidRPr="0061418C" w:rsidRDefault="0061418C" w:rsidP="0061418C">
      <w:pPr>
        <w:tabs>
          <w:tab w:val="left" w:pos="7020"/>
        </w:tabs>
        <w:spacing w:after="0" w:line="240" w:lineRule="auto"/>
        <w:rPr>
          <w:rFonts w:ascii="Times New Roman" w:hAnsi="Times New Roman" w:cs="Times New Roman"/>
          <w:i/>
          <w:sz w:val="20"/>
          <w:szCs w:val="20"/>
        </w:rPr>
      </w:pPr>
      <w:r w:rsidRPr="0061418C">
        <w:rPr>
          <w:rFonts w:ascii="Times New Roman" w:hAnsi="Times New Roman" w:cs="Times New Roman"/>
          <w:i/>
          <w:sz w:val="20"/>
          <w:szCs w:val="20"/>
        </w:rPr>
        <w:t>Diāna Pulkstene, 67335154</w:t>
      </w:r>
    </w:p>
    <w:p w:rsidR="0061418C" w:rsidRPr="0061418C" w:rsidRDefault="00A652AF" w:rsidP="0061418C">
      <w:pPr>
        <w:tabs>
          <w:tab w:val="left" w:pos="7020"/>
        </w:tabs>
        <w:rPr>
          <w:rFonts w:ascii="Times New Roman" w:hAnsi="Times New Roman" w:cs="Times New Roman"/>
          <w:i/>
          <w:sz w:val="24"/>
          <w:szCs w:val="24"/>
          <w:lang w:val="en-GB"/>
        </w:rPr>
      </w:pPr>
      <w:hyperlink r:id="rId8" w:history="1">
        <w:r w:rsidR="0061418C" w:rsidRPr="0061418C">
          <w:rPr>
            <w:rStyle w:val="Hyperlink"/>
            <w:rFonts w:ascii="Times New Roman" w:hAnsi="Times New Roman" w:cs="Times New Roman"/>
            <w:i/>
            <w:color w:val="000000" w:themeColor="text1"/>
            <w:sz w:val="20"/>
            <w:szCs w:val="20"/>
            <w:u w:val="none"/>
          </w:rPr>
          <w:t>Diana.Pulkstene@mod.gov.lv</w:t>
        </w:r>
      </w:hyperlink>
    </w:p>
    <w:sectPr w:rsidR="0061418C" w:rsidRPr="0061418C" w:rsidSect="00012920">
      <w:headerReference w:type="even" r:id="rId9"/>
      <w:headerReference w:type="default" r:id="rId10"/>
      <w:footerReference w:type="default" r:id="rId11"/>
      <w:footerReference w:type="first" r:id="rId12"/>
      <w:pgSz w:w="11906" w:h="16838" w:code="9"/>
      <w:pgMar w:top="1418" w:right="1134" w:bottom="284"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AF" w:rsidRDefault="00A652AF" w:rsidP="005273F9">
      <w:pPr>
        <w:spacing w:after="0" w:line="240" w:lineRule="auto"/>
      </w:pPr>
      <w:r>
        <w:separator/>
      </w:r>
    </w:p>
  </w:endnote>
  <w:endnote w:type="continuationSeparator" w:id="0">
    <w:p w:rsidR="00A652AF" w:rsidRDefault="00A652AF" w:rsidP="0052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277DDE" w:rsidP="00752351">
    <w:pPr>
      <w:pStyle w:val="Footer"/>
      <w:jc w:val="both"/>
    </w:pPr>
    <w:r>
      <w:rPr>
        <w:sz w:val="20"/>
        <w:szCs w:val="20"/>
      </w:rPr>
      <w:t>AIMAnot_0307</w:t>
    </w:r>
    <w:r w:rsidR="001B50F0">
      <w:rPr>
        <w:sz w:val="20"/>
        <w:szCs w:val="20"/>
      </w:rPr>
      <w:t>2017_ZGnr5</w:t>
    </w:r>
    <w:r w:rsidR="005273F9">
      <w:rPr>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277DDE" w:rsidP="001E20B2">
    <w:pPr>
      <w:pStyle w:val="Footer"/>
      <w:jc w:val="both"/>
    </w:pPr>
    <w:r>
      <w:rPr>
        <w:sz w:val="20"/>
        <w:szCs w:val="20"/>
      </w:rPr>
      <w:t>AIMAnot_03</w:t>
    </w:r>
    <w:r w:rsidR="001B50F0">
      <w:rPr>
        <w:sz w:val="20"/>
        <w:szCs w:val="20"/>
      </w:rPr>
      <w:t>0</w:t>
    </w:r>
    <w:r>
      <w:rPr>
        <w:sz w:val="20"/>
        <w:szCs w:val="20"/>
      </w:rPr>
      <w:t>7</w:t>
    </w:r>
    <w:r w:rsidR="001B50F0">
      <w:rPr>
        <w:sz w:val="20"/>
        <w:szCs w:val="20"/>
      </w:rPr>
      <w:t>2017_ZGnr5</w:t>
    </w:r>
    <w:r w:rsidR="005273F9">
      <w:rPr>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AF" w:rsidRDefault="00A652AF" w:rsidP="005273F9">
      <w:pPr>
        <w:spacing w:after="0" w:line="240" w:lineRule="auto"/>
      </w:pPr>
      <w:r>
        <w:separator/>
      </w:r>
    </w:p>
  </w:footnote>
  <w:footnote w:type="continuationSeparator" w:id="0">
    <w:p w:rsidR="00A652AF" w:rsidRDefault="00A652AF" w:rsidP="0052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1B50F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A65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1B50F0"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C8E">
      <w:rPr>
        <w:rStyle w:val="PageNumber"/>
        <w:noProof/>
      </w:rPr>
      <w:t>3</w:t>
    </w:r>
    <w:r>
      <w:rPr>
        <w:rStyle w:val="PageNumber"/>
      </w:rPr>
      <w:fldChar w:fldCharType="end"/>
    </w:r>
  </w:p>
  <w:p w:rsidR="00921F9E" w:rsidRDefault="00A652AF"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08"/>
    <w:rsid w:val="00012B31"/>
    <w:rsid w:val="001B50F0"/>
    <w:rsid w:val="00277DDE"/>
    <w:rsid w:val="0038218D"/>
    <w:rsid w:val="003862DB"/>
    <w:rsid w:val="00482305"/>
    <w:rsid w:val="005273F9"/>
    <w:rsid w:val="005909C4"/>
    <w:rsid w:val="0061418C"/>
    <w:rsid w:val="009773E0"/>
    <w:rsid w:val="009D0F79"/>
    <w:rsid w:val="00A636C2"/>
    <w:rsid w:val="00A652AF"/>
    <w:rsid w:val="00AB3E92"/>
    <w:rsid w:val="00EE2008"/>
    <w:rsid w:val="00F02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200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E2008"/>
    <w:rPr>
      <w:rFonts w:ascii="Times New Roman" w:eastAsia="Times New Roman" w:hAnsi="Times New Roman" w:cs="Times New Roman"/>
      <w:sz w:val="24"/>
      <w:szCs w:val="24"/>
      <w:lang w:eastAsia="lv-LV"/>
    </w:rPr>
  </w:style>
  <w:style w:type="paragraph" w:styleId="Header">
    <w:name w:val="header"/>
    <w:basedOn w:val="Normal"/>
    <w:link w:val="HeaderChar"/>
    <w:rsid w:val="00EE200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EE2008"/>
    <w:rPr>
      <w:rFonts w:ascii="Times New Roman" w:eastAsia="Times New Roman" w:hAnsi="Times New Roman" w:cs="Times New Roman"/>
      <w:sz w:val="24"/>
      <w:szCs w:val="24"/>
      <w:lang w:eastAsia="lv-LV"/>
    </w:rPr>
  </w:style>
  <w:style w:type="character" w:styleId="PageNumber">
    <w:name w:val="page number"/>
    <w:basedOn w:val="DefaultParagraphFont"/>
    <w:rsid w:val="00EE2008"/>
  </w:style>
  <w:style w:type="table" w:styleId="TableGrid">
    <w:name w:val="Table Grid"/>
    <w:basedOn w:val="TableNormal"/>
    <w:uiPriority w:val="39"/>
    <w:rsid w:val="00EE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62DB"/>
    <w:rPr>
      <w:color w:val="0563C1" w:themeColor="hyperlink"/>
      <w:u w:val="single"/>
    </w:rPr>
  </w:style>
  <w:style w:type="paragraph" w:styleId="BalloonText">
    <w:name w:val="Balloon Text"/>
    <w:basedOn w:val="Normal"/>
    <w:link w:val="BalloonTextChar"/>
    <w:uiPriority w:val="99"/>
    <w:semiHidden/>
    <w:unhideWhenUsed/>
    <w:rsid w:val="0038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200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E2008"/>
    <w:rPr>
      <w:rFonts w:ascii="Times New Roman" w:eastAsia="Times New Roman" w:hAnsi="Times New Roman" w:cs="Times New Roman"/>
      <w:sz w:val="24"/>
      <w:szCs w:val="24"/>
      <w:lang w:eastAsia="lv-LV"/>
    </w:rPr>
  </w:style>
  <w:style w:type="paragraph" w:styleId="Header">
    <w:name w:val="header"/>
    <w:basedOn w:val="Normal"/>
    <w:link w:val="HeaderChar"/>
    <w:rsid w:val="00EE200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EE2008"/>
    <w:rPr>
      <w:rFonts w:ascii="Times New Roman" w:eastAsia="Times New Roman" w:hAnsi="Times New Roman" w:cs="Times New Roman"/>
      <w:sz w:val="24"/>
      <w:szCs w:val="24"/>
      <w:lang w:eastAsia="lv-LV"/>
    </w:rPr>
  </w:style>
  <w:style w:type="character" w:styleId="PageNumber">
    <w:name w:val="page number"/>
    <w:basedOn w:val="DefaultParagraphFont"/>
    <w:rsid w:val="00EE2008"/>
  </w:style>
  <w:style w:type="table" w:styleId="TableGrid">
    <w:name w:val="Table Grid"/>
    <w:basedOn w:val="TableNormal"/>
    <w:uiPriority w:val="39"/>
    <w:rsid w:val="00EE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62DB"/>
    <w:rPr>
      <w:color w:val="0563C1" w:themeColor="hyperlink"/>
      <w:u w:val="single"/>
    </w:rPr>
  </w:style>
  <w:style w:type="paragraph" w:styleId="BalloonText">
    <w:name w:val="Balloon Text"/>
    <w:basedOn w:val="Normal"/>
    <w:link w:val="BalloonTextChar"/>
    <w:uiPriority w:val="99"/>
    <w:semiHidden/>
    <w:unhideWhenUsed/>
    <w:rsid w:val="0038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280">
      <w:bodyDiv w:val="1"/>
      <w:marLeft w:val="0"/>
      <w:marRight w:val="0"/>
      <w:marTop w:val="0"/>
      <w:marBottom w:val="0"/>
      <w:divBdr>
        <w:top w:val="none" w:sz="0" w:space="0" w:color="auto"/>
        <w:left w:val="none" w:sz="0" w:space="0" w:color="auto"/>
        <w:bottom w:val="none" w:sz="0" w:space="0" w:color="auto"/>
        <w:right w:val="none" w:sz="0" w:space="0" w:color="auto"/>
      </w:divBdr>
    </w:div>
    <w:div w:id="10740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Pulkstene@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Madzule@vamoic.gov.l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3766</Words>
  <Characters>2147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nekustamā īpašuma "Zemes gabals Nr.59" Sējas novadā, pirkšanu Ādažu poligona teritorijas paplašināšanai"</vt:lpstr>
    </vt:vector>
  </TitlesOfParts>
  <Company>VAMOIC</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"Zemes gabals Nr.59" Sējas novadā, pirkšanu Ādažu poligona teritorijas paplašināšanai"</dc:title>
  <dc:subject>MK rīkojuma projekta anotācija</dc:subject>
  <dc:creator>Dace Madzule</dc:creator>
  <dc:description>67300279
Dace.Madzule@vamoic.gov.lv</dc:description>
  <cp:lastModifiedBy>Jekaterina Borovika</cp:lastModifiedBy>
  <cp:revision>2</cp:revision>
  <dcterms:created xsi:type="dcterms:W3CDTF">2017-07-11T12:52:00Z</dcterms:created>
  <dcterms:modified xsi:type="dcterms:W3CDTF">2017-07-11T12:52:00Z</dcterms:modified>
</cp:coreProperties>
</file>