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4FE0" w14:textId="77777777" w:rsidR="00382B44" w:rsidRPr="00D859A3" w:rsidRDefault="00382B44" w:rsidP="00382B44">
      <w:pPr>
        <w:spacing w:after="0"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 xml:space="preserve">  Ministru kabineta noteikumu projekta „Grozījumi Ministru kabineta 2016.</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gada 15.</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marta noteikumos Nr.</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160 “Darbības programmas "Iz</w:t>
      </w:r>
      <w:r>
        <w:rPr>
          <w:rFonts w:ascii="Times New Roman" w:eastAsia="Times New Roman" w:hAnsi="Times New Roman"/>
          <w:b/>
          <w:sz w:val="24"/>
          <w:szCs w:val="24"/>
          <w:lang w:eastAsia="lv-LV"/>
        </w:rPr>
        <w:t>augsme un nodarbinātība" 4.2.1. </w:t>
      </w:r>
      <w:r w:rsidRPr="00D859A3">
        <w:rPr>
          <w:rFonts w:ascii="Times New Roman" w:eastAsia="Times New Roman" w:hAnsi="Times New Roman"/>
          <w:b/>
          <w:sz w:val="24"/>
          <w:szCs w:val="24"/>
          <w:lang w:eastAsia="lv-LV"/>
        </w:rPr>
        <w:t>specifiskā atbalsta mērķa "Veicināt energoefektivitātes paaugstināšanu valsts un dzīvojamās ēkās" 4.2.1.1.</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specifiskā atbalsta mērķa pasākuma "Veicināt energoefektivitātes paaugstināšanu dzīvojamās ēkās" īstenošanas noteikumi”” sākotnējās ietekmes novērtējuma ziņojums (anotācija)</w:t>
      </w:r>
    </w:p>
    <w:p w14:paraId="623636DD" w14:textId="77777777" w:rsidR="00382B44" w:rsidRPr="00D859A3" w:rsidRDefault="00382B44" w:rsidP="00382B44">
      <w:pPr>
        <w:spacing w:after="0" w:line="240" w:lineRule="auto"/>
        <w:jc w:val="center"/>
        <w:rPr>
          <w:rFonts w:ascii="Times New Roman" w:hAnsi="Times New Roman"/>
          <w:b/>
          <w:sz w:val="24"/>
          <w:szCs w:val="24"/>
        </w:rPr>
      </w:pPr>
    </w:p>
    <w:tbl>
      <w:tblPr>
        <w:tblW w:w="9781"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19"/>
        <w:gridCol w:w="6662"/>
      </w:tblGrid>
      <w:tr w:rsidR="00382B44" w:rsidRPr="00D859A3" w14:paraId="3D27F716" w14:textId="77777777" w:rsidTr="00C46C6D">
        <w:tc>
          <w:tcPr>
            <w:tcW w:w="978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54E3AB1A" w14:textId="77777777" w:rsidR="00382B44" w:rsidRPr="00D859A3" w:rsidRDefault="00382B44" w:rsidP="00C46C6D">
            <w:pPr>
              <w:spacing w:after="0"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I.</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Tiesību akta projekta izstrādes nepieciešamība</w:t>
            </w:r>
          </w:p>
        </w:tc>
      </w:tr>
      <w:tr w:rsidR="00382B44" w:rsidRPr="00D859A3" w14:paraId="13744E25" w14:textId="77777777" w:rsidTr="00C46C6D">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413EDD62" w14:textId="77777777" w:rsidR="00382B44" w:rsidRPr="00D859A3" w:rsidRDefault="00382B44" w:rsidP="00C46C6D">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1. Pamatojums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3BFE300" w14:textId="77777777" w:rsidR="00382B44" w:rsidRPr="00D859A3" w:rsidRDefault="00382B44" w:rsidP="00C46C6D">
            <w:pPr>
              <w:spacing w:after="0" w:line="240" w:lineRule="auto"/>
              <w:ind w:firstLine="649"/>
              <w:jc w:val="both"/>
              <w:rPr>
                <w:rFonts w:ascii="Times New Roman" w:hAnsi="Times New Roman"/>
                <w:sz w:val="24"/>
                <w:szCs w:val="24"/>
              </w:rPr>
            </w:pPr>
            <w:r w:rsidRPr="009D59CE">
              <w:rPr>
                <w:rFonts w:ascii="Times New Roman" w:hAnsi="Times New Roman"/>
                <w:sz w:val="24"/>
                <w:szCs w:val="24"/>
              </w:rPr>
              <w:t>Ministru kabineta noteikumu projekt</w:t>
            </w:r>
            <w:r>
              <w:rPr>
                <w:rFonts w:ascii="Times New Roman" w:hAnsi="Times New Roman"/>
                <w:sz w:val="24"/>
                <w:szCs w:val="24"/>
              </w:rPr>
              <w:t>s</w:t>
            </w:r>
            <w:r w:rsidRPr="009D59CE">
              <w:rPr>
                <w:rFonts w:ascii="Times New Roman" w:hAnsi="Times New Roman"/>
                <w:sz w:val="24"/>
                <w:szCs w:val="24"/>
              </w:rPr>
              <w:t xml:space="preserve"> „Grozījumi Ministru kabineta 2016.</w:t>
            </w:r>
            <w:r>
              <w:rPr>
                <w:rFonts w:ascii="Times New Roman" w:hAnsi="Times New Roman"/>
                <w:sz w:val="24"/>
                <w:szCs w:val="24"/>
              </w:rPr>
              <w:t> </w:t>
            </w:r>
            <w:r w:rsidRPr="009D59CE">
              <w:rPr>
                <w:rFonts w:ascii="Times New Roman" w:hAnsi="Times New Roman"/>
                <w:sz w:val="24"/>
                <w:szCs w:val="24"/>
              </w:rPr>
              <w:t>gada 15.</w:t>
            </w:r>
            <w:r>
              <w:rPr>
                <w:rFonts w:ascii="Times New Roman" w:hAnsi="Times New Roman"/>
                <w:sz w:val="24"/>
                <w:szCs w:val="24"/>
              </w:rPr>
              <w:t> </w:t>
            </w:r>
            <w:r w:rsidRPr="009D59CE">
              <w:rPr>
                <w:rFonts w:ascii="Times New Roman" w:hAnsi="Times New Roman"/>
                <w:sz w:val="24"/>
                <w:szCs w:val="24"/>
              </w:rPr>
              <w:t>marta noteikumos Nr.</w:t>
            </w:r>
            <w:r>
              <w:rPr>
                <w:rFonts w:ascii="Times New Roman" w:hAnsi="Times New Roman"/>
                <w:sz w:val="24"/>
                <w:szCs w:val="24"/>
              </w:rPr>
              <w:t> </w:t>
            </w:r>
            <w:r w:rsidRPr="009D59CE">
              <w:rPr>
                <w:rFonts w:ascii="Times New Roman" w:hAnsi="Times New Roman"/>
                <w:sz w:val="24"/>
                <w:szCs w:val="24"/>
              </w:rPr>
              <w:t>160 “Darbības programmas "Izaugsme un nodarbinātība" 4.2.1. specifiskā atbalsta mērķa "Veicināt energoefektivitātes paaugstināšanu valsts un dzīvojamās ēkās"</w:t>
            </w:r>
            <w:r>
              <w:rPr>
                <w:rFonts w:ascii="Times New Roman" w:hAnsi="Times New Roman"/>
                <w:sz w:val="24"/>
                <w:szCs w:val="24"/>
              </w:rPr>
              <w:t xml:space="preserve"> 4.2.1.1. </w:t>
            </w:r>
            <w:r w:rsidRPr="009D59CE">
              <w:rPr>
                <w:rFonts w:ascii="Times New Roman" w:hAnsi="Times New Roman"/>
                <w:sz w:val="24"/>
                <w:szCs w:val="24"/>
              </w:rPr>
              <w:t>specifiskā atbalsta mērķa pasākuma "Veicināt energoefektivitātes paaugstināšanu dzīvojamās ēkās" īstenošanas noteikumi””</w:t>
            </w:r>
            <w:r>
              <w:rPr>
                <w:rFonts w:ascii="Times New Roman" w:hAnsi="Times New Roman"/>
                <w:sz w:val="24"/>
                <w:szCs w:val="24"/>
              </w:rPr>
              <w:t xml:space="preserve"> (turpmāk - n</w:t>
            </w:r>
            <w:r w:rsidRPr="00D859A3">
              <w:rPr>
                <w:rFonts w:ascii="Times New Roman" w:hAnsi="Times New Roman"/>
                <w:sz w:val="24"/>
                <w:szCs w:val="24"/>
              </w:rPr>
              <w:t>oteikumu projekts</w:t>
            </w:r>
            <w:r>
              <w:rPr>
                <w:rFonts w:ascii="Times New Roman" w:hAnsi="Times New Roman"/>
                <w:sz w:val="24"/>
                <w:szCs w:val="24"/>
              </w:rPr>
              <w:t>)</w:t>
            </w:r>
            <w:r w:rsidRPr="00D859A3">
              <w:rPr>
                <w:rFonts w:ascii="Times New Roman" w:hAnsi="Times New Roman"/>
                <w:sz w:val="24"/>
                <w:szCs w:val="24"/>
              </w:rPr>
              <w:t xml:space="preserve"> sagatavots saskaņā ar Eiropas Savienības struktūrfondu un Kohēzijas fonda 2014.-2020.</w:t>
            </w:r>
            <w:r>
              <w:rPr>
                <w:rFonts w:ascii="Times New Roman" w:hAnsi="Times New Roman"/>
                <w:sz w:val="24"/>
                <w:szCs w:val="24"/>
              </w:rPr>
              <w:t> </w:t>
            </w:r>
            <w:r w:rsidRPr="00D859A3">
              <w:rPr>
                <w:rFonts w:ascii="Times New Roman" w:hAnsi="Times New Roman"/>
                <w:sz w:val="24"/>
                <w:szCs w:val="24"/>
              </w:rPr>
              <w:t>gada plānošanas perioda vadības likuma 20.</w:t>
            </w:r>
            <w:r>
              <w:rPr>
                <w:rFonts w:ascii="Times New Roman" w:hAnsi="Times New Roman"/>
                <w:sz w:val="24"/>
                <w:szCs w:val="24"/>
              </w:rPr>
              <w:t> </w:t>
            </w:r>
            <w:r w:rsidRPr="00D859A3">
              <w:rPr>
                <w:rFonts w:ascii="Times New Roman" w:hAnsi="Times New Roman"/>
                <w:sz w:val="24"/>
                <w:szCs w:val="24"/>
              </w:rPr>
              <w:t>panta 13. un 14.</w:t>
            </w:r>
            <w:r>
              <w:rPr>
                <w:rFonts w:ascii="Times New Roman" w:hAnsi="Times New Roman"/>
                <w:sz w:val="24"/>
                <w:szCs w:val="24"/>
              </w:rPr>
              <w:t> </w:t>
            </w:r>
            <w:r w:rsidRPr="00D859A3">
              <w:rPr>
                <w:rFonts w:ascii="Times New Roman" w:hAnsi="Times New Roman"/>
                <w:sz w:val="24"/>
                <w:szCs w:val="24"/>
              </w:rPr>
              <w:t>punktu</w:t>
            </w:r>
            <w:r>
              <w:rPr>
                <w:rFonts w:ascii="Times New Roman" w:hAnsi="Times New Roman"/>
                <w:sz w:val="24"/>
                <w:szCs w:val="24"/>
              </w:rPr>
              <w:t>.</w:t>
            </w:r>
          </w:p>
        </w:tc>
      </w:tr>
      <w:tr w:rsidR="00382B44" w:rsidRPr="00D859A3" w14:paraId="354CC69A" w14:textId="77777777" w:rsidTr="00C46C6D">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6FE69E6E" w14:textId="77777777" w:rsidR="00382B44" w:rsidRPr="00D859A3" w:rsidRDefault="00382B44" w:rsidP="00C46C6D">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14:paraId="7D58DC9D" w14:textId="77777777" w:rsidR="00382B44" w:rsidRPr="00D859A3" w:rsidRDefault="00382B44" w:rsidP="00C46C6D">
            <w:pPr>
              <w:rPr>
                <w:rFonts w:ascii="Times New Roman" w:eastAsia="Times New Roman" w:hAnsi="Times New Roman"/>
                <w:sz w:val="24"/>
                <w:szCs w:val="24"/>
                <w:lang w:eastAsia="lv-LV"/>
              </w:rPr>
            </w:pPr>
          </w:p>
          <w:p w14:paraId="55148093" w14:textId="77777777" w:rsidR="00382B44" w:rsidRPr="00D859A3" w:rsidRDefault="00382B44" w:rsidP="00C46C6D">
            <w:pPr>
              <w:rPr>
                <w:rFonts w:ascii="Times New Roman" w:eastAsia="Times New Roman" w:hAnsi="Times New Roman"/>
                <w:sz w:val="24"/>
                <w:szCs w:val="24"/>
                <w:lang w:eastAsia="lv-LV"/>
              </w:rPr>
            </w:pPr>
          </w:p>
          <w:p w14:paraId="0E9565E4" w14:textId="77777777" w:rsidR="00382B44" w:rsidRPr="00D859A3" w:rsidRDefault="00382B44" w:rsidP="00C46C6D">
            <w:pPr>
              <w:rPr>
                <w:rFonts w:ascii="Times New Roman" w:eastAsia="Times New Roman" w:hAnsi="Times New Roman"/>
                <w:sz w:val="24"/>
                <w:szCs w:val="24"/>
                <w:lang w:eastAsia="lv-LV"/>
              </w:rPr>
            </w:pPr>
          </w:p>
          <w:p w14:paraId="1472912E" w14:textId="77777777" w:rsidR="00382B44" w:rsidRPr="00D859A3" w:rsidRDefault="00382B44" w:rsidP="00C46C6D">
            <w:pPr>
              <w:rPr>
                <w:rFonts w:ascii="Times New Roman" w:eastAsia="Times New Roman" w:hAnsi="Times New Roman"/>
                <w:sz w:val="24"/>
                <w:szCs w:val="24"/>
                <w:lang w:eastAsia="lv-LV"/>
              </w:rPr>
            </w:pPr>
          </w:p>
          <w:p w14:paraId="0A3851C7" w14:textId="77777777" w:rsidR="00382B44" w:rsidRPr="00D859A3" w:rsidRDefault="00382B44" w:rsidP="00C46C6D">
            <w:pPr>
              <w:rPr>
                <w:rFonts w:ascii="Times New Roman" w:eastAsia="Times New Roman" w:hAnsi="Times New Roman"/>
                <w:sz w:val="24"/>
                <w:szCs w:val="24"/>
                <w:lang w:eastAsia="lv-LV"/>
              </w:rPr>
            </w:pPr>
          </w:p>
          <w:p w14:paraId="2DA5FE62" w14:textId="77777777" w:rsidR="00382B44" w:rsidRPr="00D859A3" w:rsidRDefault="00382B44" w:rsidP="00C46C6D">
            <w:pPr>
              <w:rPr>
                <w:rFonts w:ascii="Times New Roman" w:eastAsia="Times New Roman" w:hAnsi="Times New Roman"/>
                <w:sz w:val="24"/>
                <w:szCs w:val="24"/>
                <w:lang w:eastAsia="lv-LV"/>
              </w:rPr>
            </w:pPr>
          </w:p>
          <w:p w14:paraId="541CCD31" w14:textId="77777777" w:rsidR="00382B44" w:rsidRPr="00D859A3" w:rsidRDefault="00382B44" w:rsidP="00C46C6D">
            <w:pPr>
              <w:rPr>
                <w:rFonts w:ascii="Times New Roman" w:eastAsia="Times New Roman" w:hAnsi="Times New Roman"/>
                <w:sz w:val="24"/>
                <w:szCs w:val="24"/>
                <w:lang w:eastAsia="lv-LV"/>
              </w:rPr>
            </w:pPr>
          </w:p>
          <w:p w14:paraId="6FF8B79A" w14:textId="77777777" w:rsidR="00382B44" w:rsidRPr="00D859A3" w:rsidRDefault="00382B44" w:rsidP="00C46C6D">
            <w:pPr>
              <w:rPr>
                <w:rFonts w:ascii="Times New Roman" w:eastAsia="Times New Roman" w:hAnsi="Times New Roman"/>
                <w:sz w:val="24"/>
                <w:szCs w:val="24"/>
                <w:lang w:eastAsia="lv-LV"/>
              </w:rPr>
            </w:pPr>
          </w:p>
          <w:p w14:paraId="33A870E1" w14:textId="77777777" w:rsidR="00382B44" w:rsidRPr="00D859A3" w:rsidRDefault="00382B44" w:rsidP="00C46C6D">
            <w:pPr>
              <w:rPr>
                <w:rFonts w:ascii="Times New Roman" w:eastAsia="Times New Roman" w:hAnsi="Times New Roman"/>
                <w:sz w:val="24"/>
                <w:szCs w:val="24"/>
                <w:lang w:eastAsia="lv-LV"/>
              </w:rPr>
            </w:pPr>
          </w:p>
          <w:p w14:paraId="5FFF2ACC" w14:textId="77777777" w:rsidR="00382B44" w:rsidRPr="00D859A3" w:rsidRDefault="00382B44" w:rsidP="00C46C6D">
            <w:pPr>
              <w:jc w:val="center"/>
              <w:rPr>
                <w:rFonts w:ascii="Times New Roman" w:eastAsia="Times New Roman" w:hAnsi="Times New Roman"/>
                <w:sz w:val="24"/>
                <w:szCs w:val="24"/>
                <w:lang w:eastAsia="lv-LV"/>
              </w:rPr>
            </w:pP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19C3C0" w14:textId="77777777" w:rsidR="00382B44" w:rsidRPr="00D859A3" w:rsidRDefault="00382B44" w:rsidP="00C46C6D">
            <w:pPr>
              <w:spacing w:before="60" w:after="60" w:line="240" w:lineRule="auto"/>
              <w:ind w:firstLine="649"/>
              <w:jc w:val="both"/>
              <w:rPr>
                <w:rFonts w:ascii="Times New Roman" w:hAnsi="Times New Roman"/>
                <w:sz w:val="24"/>
                <w:szCs w:val="24"/>
              </w:rPr>
            </w:pPr>
            <w:r w:rsidRPr="00D859A3">
              <w:rPr>
                <w:rFonts w:ascii="Times New Roman" w:hAnsi="Times New Roman"/>
                <w:sz w:val="24"/>
                <w:szCs w:val="24"/>
              </w:rPr>
              <w:t>Saskaņā ar Ministru kabineta 2016.</w:t>
            </w:r>
            <w:r>
              <w:rPr>
                <w:rFonts w:ascii="Times New Roman" w:hAnsi="Times New Roman"/>
                <w:sz w:val="24"/>
                <w:szCs w:val="24"/>
              </w:rPr>
              <w:t> </w:t>
            </w:r>
            <w:r w:rsidRPr="00D859A3">
              <w:rPr>
                <w:rFonts w:ascii="Times New Roman" w:hAnsi="Times New Roman"/>
                <w:sz w:val="24"/>
                <w:szCs w:val="24"/>
              </w:rPr>
              <w:t>gada 15.</w:t>
            </w:r>
            <w:r>
              <w:rPr>
                <w:rFonts w:ascii="Times New Roman" w:hAnsi="Times New Roman"/>
                <w:sz w:val="24"/>
                <w:szCs w:val="24"/>
              </w:rPr>
              <w:t> </w:t>
            </w:r>
            <w:r w:rsidRPr="00D859A3">
              <w:rPr>
                <w:rFonts w:ascii="Times New Roman" w:hAnsi="Times New Roman"/>
                <w:sz w:val="24"/>
                <w:szCs w:val="24"/>
              </w:rPr>
              <w:t>marta noteikumiem Nr.</w:t>
            </w:r>
            <w:r>
              <w:rPr>
                <w:rFonts w:ascii="Times New Roman" w:hAnsi="Times New Roman"/>
                <w:sz w:val="24"/>
                <w:szCs w:val="24"/>
              </w:rPr>
              <w:t> </w:t>
            </w:r>
            <w:r w:rsidRPr="00D859A3">
              <w:rPr>
                <w:rFonts w:ascii="Times New Roman" w:hAnsi="Times New Roman"/>
                <w:sz w:val="24"/>
                <w:szCs w:val="24"/>
              </w:rPr>
              <w:t>160 “Darbības programmas "Iz</w:t>
            </w:r>
            <w:r>
              <w:rPr>
                <w:rFonts w:ascii="Times New Roman" w:hAnsi="Times New Roman"/>
                <w:sz w:val="24"/>
                <w:szCs w:val="24"/>
              </w:rPr>
              <w:t>augsme un nodarbinātība" 4.2.1. </w:t>
            </w:r>
            <w:r w:rsidRPr="00D859A3">
              <w:rPr>
                <w:rFonts w:ascii="Times New Roman" w:hAnsi="Times New Roman"/>
                <w:sz w:val="24"/>
                <w:szCs w:val="24"/>
              </w:rPr>
              <w:t>specifiskā atbalsta mērķa "Veicināt energoefektivitātes paaugstināšanu valsts un dzīvoja</w:t>
            </w:r>
            <w:r>
              <w:rPr>
                <w:rFonts w:ascii="Times New Roman" w:hAnsi="Times New Roman"/>
                <w:sz w:val="24"/>
                <w:szCs w:val="24"/>
              </w:rPr>
              <w:t>mās ēkās" 4.2.1.1. </w:t>
            </w:r>
            <w:r w:rsidRPr="00D859A3">
              <w:rPr>
                <w:rFonts w:ascii="Times New Roman" w:hAnsi="Times New Roman"/>
                <w:sz w:val="24"/>
                <w:szCs w:val="24"/>
              </w:rPr>
              <w:t>specifiskā atbalsta mērķa pasākuma "Veicināt energoefektivitātes paaugstināšanu dzīvojamās ēkās" īstenošanas noteikumi””  (turpmāk – MK noteikumi Nr.</w:t>
            </w:r>
            <w:r>
              <w:rPr>
                <w:rFonts w:ascii="Times New Roman" w:hAnsi="Times New Roman"/>
                <w:sz w:val="24"/>
                <w:szCs w:val="24"/>
              </w:rPr>
              <w:t> </w:t>
            </w:r>
            <w:r w:rsidRPr="00D859A3">
              <w:rPr>
                <w:rFonts w:ascii="Times New Roman" w:hAnsi="Times New Roman"/>
                <w:sz w:val="24"/>
                <w:szCs w:val="24"/>
              </w:rPr>
              <w:t xml:space="preserve">160) </w:t>
            </w:r>
            <w:r>
              <w:rPr>
                <w:rFonts w:ascii="Times New Roman" w:hAnsi="Times New Roman"/>
                <w:sz w:val="24"/>
                <w:szCs w:val="24"/>
              </w:rPr>
              <w:t xml:space="preserve">energoefektivitātes paaugstināšanas pasākumu īstenošanai aizdevumu dzīvokļu īpašniekiem var piešķirt </w:t>
            </w:r>
            <w:r w:rsidRPr="00D859A3">
              <w:rPr>
                <w:rFonts w:ascii="Times New Roman" w:hAnsi="Times New Roman"/>
                <w:sz w:val="24"/>
                <w:szCs w:val="24"/>
              </w:rPr>
              <w:t xml:space="preserve">A/S “Attīstības finanšu institūcija </w:t>
            </w:r>
            <w:proofErr w:type="spellStart"/>
            <w:r w:rsidRPr="00D859A3">
              <w:rPr>
                <w:rFonts w:ascii="Times New Roman" w:hAnsi="Times New Roman"/>
                <w:sz w:val="24"/>
                <w:szCs w:val="24"/>
              </w:rPr>
              <w:t>Altum</w:t>
            </w:r>
            <w:proofErr w:type="spellEnd"/>
            <w:r w:rsidRPr="00D859A3">
              <w:rPr>
                <w:rFonts w:ascii="Times New Roman" w:hAnsi="Times New Roman"/>
                <w:sz w:val="24"/>
                <w:szCs w:val="24"/>
              </w:rPr>
              <w:t>” (turpmāk – sabiedrība “</w:t>
            </w:r>
            <w:proofErr w:type="spellStart"/>
            <w:r w:rsidRPr="00D859A3">
              <w:rPr>
                <w:rFonts w:ascii="Times New Roman" w:hAnsi="Times New Roman"/>
                <w:sz w:val="24"/>
                <w:szCs w:val="24"/>
              </w:rPr>
              <w:t>Altum</w:t>
            </w:r>
            <w:proofErr w:type="spellEnd"/>
            <w:r w:rsidRPr="00D859A3">
              <w:rPr>
                <w:rFonts w:ascii="Times New Roman" w:hAnsi="Times New Roman"/>
                <w:sz w:val="24"/>
                <w:szCs w:val="24"/>
              </w:rPr>
              <w:t xml:space="preserve">”) </w:t>
            </w:r>
            <w:r>
              <w:rPr>
                <w:rFonts w:ascii="Times New Roman" w:hAnsi="Times New Roman"/>
                <w:sz w:val="24"/>
                <w:szCs w:val="24"/>
              </w:rPr>
              <w:t>un privātā sektora finansētāji.</w:t>
            </w:r>
          </w:p>
          <w:p w14:paraId="06778F52" w14:textId="77777777" w:rsidR="00382B44" w:rsidRPr="001C6A5C" w:rsidRDefault="00382B44" w:rsidP="00C46C6D">
            <w:pPr>
              <w:spacing w:before="60" w:after="60" w:line="240" w:lineRule="auto"/>
              <w:ind w:firstLine="649"/>
              <w:jc w:val="both"/>
              <w:rPr>
                <w:rFonts w:ascii="Times New Roman" w:hAnsi="Times New Roman"/>
                <w:sz w:val="24"/>
                <w:szCs w:val="24"/>
              </w:rPr>
            </w:pPr>
            <w:r>
              <w:rPr>
                <w:rFonts w:ascii="Times New Roman" w:hAnsi="Times New Roman"/>
                <w:sz w:val="24"/>
                <w:szCs w:val="24"/>
              </w:rPr>
              <w:t>Ministru kabinetam (turpmāk – MK) apstiprinot MK noteikumus Nr. 160 ar 2016. gada 15. marta Ministru kabineta protokola Nr. 13 37.</w:t>
            </w:r>
            <w:bookmarkStart w:id="0" w:name="1"/>
            <w:r>
              <w:t> </w:t>
            </w:r>
            <w:r w:rsidRPr="001C6A5C">
              <w:rPr>
                <w:rFonts w:ascii="Times New Roman" w:hAnsi="Times New Roman"/>
              </w:rPr>
              <w:t>§</w:t>
            </w:r>
            <w:bookmarkEnd w:id="0"/>
            <w:r>
              <w:rPr>
                <w:rFonts w:ascii="Times New Roman" w:hAnsi="Times New Roman"/>
              </w:rPr>
              <w:t xml:space="preserve"> 4. un </w:t>
            </w:r>
            <w:r w:rsidRPr="001C6A5C">
              <w:rPr>
                <w:rFonts w:ascii="Times New Roman" w:hAnsi="Times New Roman"/>
                <w:sz w:val="24"/>
                <w:szCs w:val="24"/>
              </w:rPr>
              <w:t>5. punktu tika noteikts, ka:</w:t>
            </w:r>
          </w:p>
          <w:p w14:paraId="33C1E5DA" w14:textId="77777777" w:rsidR="00382B44" w:rsidRPr="001C6A5C" w:rsidRDefault="00382B44" w:rsidP="00C46C6D">
            <w:pPr>
              <w:spacing w:before="60" w:after="60" w:line="240" w:lineRule="auto"/>
              <w:jc w:val="both"/>
              <w:rPr>
                <w:rFonts w:ascii="Times New Roman" w:hAnsi="Times New Roman"/>
                <w:sz w:val="24"/>
                <w:szCs w:val="24"/>
              </w:rPr>
            </w:pPr>
            <w:r w:rsidRPr="001C6A5C">
              <w:rPr>
                <w:rFonts w:ascii="Times New Roman" w:hAnsi="Times New Roman"/>
                <w:sz w:val="24"/>
                <w:szCs w:val="24"/>
              </w:rPr>
              <w:t>“4. Ņemot vērā ESKO potenciālu, Ekonomikas ministrijai turpināt vērtēt ESKO iesaistes iespējas un izstrādāt jaunu Ministru kabineta noteikumu projektu vai grozījumus šajos noteikumos, ja nepieciešams, precizēt esošo valsts atbalsta notifikāciju vai iesniegt jaunu valsts atbalsta notifikāciju Eiropas Komisijā, lai nodrošinātu Eiropas Savienības iekšējā tirgus nosacījumu ievērošanu.</w:t>
            </w:r>
          </w:p>
          <w:p w14:paraId="309BA45A" w14:textId="77777777" w:rsidR="00382B44" w:rsidRDefault="00382B44" w:rsidP="00C46C6D">
            <w:pPr>
              <w:spacing w:before="60" w:after="60" w:line="240" w:lineRule="auto"/>
              <w:jc w:val="both"/>
              <w:rPr>
                <w:rFonts w:ascii="Times New Roman" w:hAnsi="Times New Roman"/>
                <w:sz w:val="24"/>
                <w:szCs w:val="24"/>
              </w:rPr>
            </w:pPr>
            <w:r w:rsidRPr="001C6A5C">
              <w:rPr>
                <w:rFonts w:ascii="Times New Roman" w:hAnsi="Times New Roman"/>
                <w:sz w:val="24"/>
                <w:szCs w:val="24"/>
              </w:rPr>
              <w:t>5. Ņemot vērā pašvaldību potenciālu piesaistīt finansējumu, Ekonomikas ministrijai turpināt vērtēt pašvaldību uzņēmumu iesaistes iespējas un izstrādāt grozījumus šajos noteikumos, ja nepieciešams, precizēt esošo valsts atbalsta notifikāciju vai iesniegt jaunu valsts atbalsta notifikāciju Eiropas Komisijā, lai nodrošinātu Eiropas Savienības iekšējā tirgus nosacījumu ievērošanu.”.</w:t>
            </w:r>
          </w:p>
          <w:p w14:paraId="5DFCE776" w14:textId="77777777" w:rsidR="00382B44" w:rsidRDefault="00382B44" w:rsidP="00C46C6D">
            <w:pPr>
              <w:spacing w:before="60" w:after="60" w:line="240" w:lineRule="auto"/>
              <w:ind w:firstLine="649"/>
              <w:jc w:val="both"/>
              <w:rPr>
                <w:rFonts w:ascii="Times New Roman" w:hAnsi="Times New Roman"/>
                <w:sz w:val="24"/>
                <w:szCs w:val="24"/>
              </w:rPr>
            </w:pPr>
            <w:r>
              <w:rPr>
                <w:rFonts w:ascii="Times New Roman" w:hAnsi="Times New Roman"/>
                <w:sz w:val="24"/>
                <w:szCs w:val="24"/>
              </w:rPr>
              <w:t xml:space="preserve">Ņemot vērā šo MK noteikto uzdevumu, kā arī energoefektivitātes pakalpojumu sniedzēju (turpmāk – ESKO) un pārvaldnieku izrādīto interesi iesaistīties </w:t>
            </w:r>
            <w:r w:rsidRPr="00D13F7B">
              <w:rPr>
                <w:rFonts w:ascii="Times New Roman" w:hAnsi="Times New Roman"/>
                <w:sz w:val="24"/>
                <w:szCs w:val="24"/>
              </w:rPr>
              <w:t xml:space="preserve">4.2.1.1. specifiskā atbalsta mērķa pasākuma "Veicināt energoefektivitātes paaugstināšanu </w:t>
            </w:r>
            <w:r w:rsidRPr="00D13F7B">
              <w:rPr>
                <w:rFonts w:ascii="Times New Roman" w:hAnsi="Times New Roman"/>
                <w:sz w:val="24"/>
                <w:szCs w:val="24"/>
              </w:rPr>
              <w:lastRenderedPageBreak/>
              <w:t xml:space="preserve">dzīvojamās ēkās" </w:t>
            </w:r>
            <w:r>
              <w:rPr>
                <w:rFonts w:ascii="Times New Roman" w:hAnsi="Times New Roman"/>
                <w:sz w:val="24"/>
                <w:szCs w:val="24"/>
              </w:rPr>
              <w:t>(turpmāk- Pasākums) īstenošanā, Ekonomikas ministrija (turpmāk – EM) ir izstrādājusi noteikumu projektu. Noteikumu projektā papildus iekļauti arī ierosinājumi nepieciešamajām izmaiņām MK noteikumos Nr. 160, lai uzlabotu un atvieglotu Pasākuma īstenošanu.</w:t>
            </w:r>
          </w:p>
          <w:p w14:paraId="4A4880BE" w14:textId="77777777" w:rsidR="00382B44" w:rsidRPr="001C6A5C" w:rsidRDefault="00382B44" w:rsidP="00C46C6D">
            <w:pPr>
              <w:spacing w:before="60" w:after="60" w:line="240" w:lineRule="auto"/>
              <w:ind w:firstLine="649"/>
              <w:jc w:val="both"/>
              <w:rPr>
                <w:rFonts w:ascii="Times New Roman" w:hAnsi="Times New Roman"/>
                <w:sz w:val="24"/>
                <w:szCs w:val="24"/>
              </w:rPr>
            </w:pPr>
            <w:r>
              <w:rPr>
                <w:rFonts w:ascii="Times New Roman" w:hAnsi="Times New Roman"/>
                <w:sz w:val="24"/>
                <w:szCs w:val="24"/>
              </w:rPr>
              <w:t>Noteikumu projekts paredz šādas izmaiņas MK noteikumos Nr. 160:</w:t>
            </w:r>
          </w:p>
          <w:p w14:paraId="5A7FE1EC" w14:textId="77777777" w:rsidR="00382B44" w:rsidRPr="00D859A3" w:rsidRDefault="00382B44" w:rsidP="00C46C6D">
            <w:pPr>
              <w:spacing w:after="0" w:line="240" w:lineRule="auto"/>
              <w:jc w:val="both"/>
              <w:rPr>
                <w:rFonts w:ascii="Times New Roman" w:hAnsi="Times New Roman"/>
                <w:b/>
                <w:sz w:val="24"/>
                <w:szCs w:val="24"/>
              </w:rPr>
            </w:pPr>
          </w:p>
          <w:p w14:paraId="770AFFF6" w14:textId="77777777" w:rsidR="00382B44" w:rsidRDefault="00382B44" w:rsidP="00C46C6D">
            <w:pPr>
              <w:numPr>
                <w:ilvl w:val="0"/>
                <w:numId w:val="4"/>
              </w:numPr>
              <w:spacing w:after="0" w:line="240" w:lineRule="auto"/>
              <w:ind w:left="0" w:firstLine="0"/>
              <w:jc w:val="both"/>
              <w:rPr>
                <w:rFonts w:ascii="Times New Roman" w:hAnsi="Times New Roman"/>
                <w:b/>
                <w:sz w:val="24"/>
                <w:szCs w:val="24"/>
              </w:rPr>
            </w:pPr>
            <w:r>
              <w:rPr>
                <w:rFonts w:ascii="Times New Roman" w:hAnsi="Times New Roman"/>
                <w:b/>
                <w:i/>
                <w:sz w:val="24"/>
                <w:szCs w:val="24"/>
                <w:u w:val="single"/>
              </w:rPr>
              <w:t>ESKO iesaistīšanos Pasākuma ietvaros atbalstīto energoefektivitātes paaugstināšanas pasākumu īstenošanā</w:t>
            </w:r>
            <w:r w:rsidRPr="00D859A3">
              <w:rPr>
                <w:rFonts w:ascii="Times New Roman" w:hAnsi="Times New Roman"/>
                <w:b/>
                <w:i/>
                <w:sz w:val="24"/>
                <w:szCs w:val="24"/>
                <w:u w:val="single"/>
              </w:rPr>
              <w:t xml:space="preserve">. </w:t>
            </w:r>
          </w:p>
          <w:p w14:paraId="7C0A696A" w14:textId="6B6CAA3F" w:rsidR="00382B44" w:rsidRDefault="00382B44" w:rsidP="00C46C6D">
            <w:pPr>
              <w:spacing w:after="0" w:line="240" w:lineRule="auto"/>
              <w:ind w:firstLine="649"/>
              <w:jc w:val="both"/>
              <w:rPr>
                <w:rFonts w:ascii="Times New Roman" w:eastAsia="Times New Roman" w:hAnsi="Times New Roman"/>
                <w:sz w:val="24"/>
                <w:szCs w:val="24"/>
              </w:rPr>
            </w:pPr>
            <w:r w:rsidRPr="00876634">
              <w:rPr>
                <w:rFonts w:ascii="Times New Roman" w:hAnsi="Times New Roman"/>
                <w:sz w:val="24"/>
                <w:szCs w:val="24"/>
              </w:rPr>
              <w:t xml:space="preserve">Noteikumu projekts paredz, ka dzīvokļu īpašnieki </w:t>
            </w:r>
            <w:r>
              <w:rPr>
                <w:rFonts w:ascii="Times New Roman" w:hAnsi="Times New Roman"/>
                <w:sz w:val="24"/>
                <w:szCs w:val="24"/>
              </w:rPr>
              <w:t>pirms vēršanās sabiedrībā “</w:t>
            </w:r>
            <w:proofErr w:type="spellStart"/>
            <w:r>
              <w:rPr>
                <w:rFonts w:ascii="Times New Roman" w:hAnsi="Times New Roman"/>
                <w:sz w:val="24"/>
                <w:szCs w:val="24"/>
              </w:rPr>
              <w:t>Altum</w:t>
            </w:r>
            <w:proofErr w:type="spellEnd"/>
            <w:r>
              <w:rPr>
                <w:rFonts w:ascii="Times New Roman" w:hAnsi="Times New Roman"/>
                <w:sz w:val="24"/>
                <w:szCs w:val="24"/>
              </w:rPr>
              <w:t xml:space="preserve">” vienlaicīgi ar lēmumu par dzīvokļu īpašnieku pilnvaroto personu, </w:t>
            </w:r>
            <w:r w:rsidRPr="00876634">
              <w:rPr>
                <w:rFonts w:ascii="Times New Roman" w:hAnsi="Times New Roman"/>
                <w:sz w:val="24"/>
                <w:szCs w:val="24"/>
              </w:rPr>
              <w:t>var lemt</w:t>
            </w:r>
            <w:r>
              <w:rPr>
                <w:rFonts w:ascii="Times New Roman" w:hAnsi="Times New Roman"/>
                <w:sz w:val="24"/>
                <w:szCs w:val="24"/>
              </w:rPr>
              <w:t xml:space="preserve">, arī, ka </w:t>
            </w:r>
            <w:r w:rsidRPr="00876634">
              <w:rPr>
                <w:rFonts w:ascii="Times New Roman" w:eastAsia="Times New Roman" w:hAnsi="Times New Roman"/>
                <w:sz w:val="24"/>
                <w:szCs w:val="24"/>
              </w:rPr>
              <w:t>energoefektivitātes paaugstināšanas pasākumu īstenošanu veic energoefektivitātes pakalpojuma sniedzējs</w:t>
            </w:r>
            <w:r>
              <w:rPr>
                <w:rFonts w:ascii="Times New Roman" w:eastAsia="Times New Roman" w:hAnsi="Times New Roman"/>
                <w:sz w:val="24"/>
                <w:szCs w:val="24"/>
              </w:rPr>
              <w:t xml:space="preserve">. Šajā gadījumā dzīvokļu īpašniekiem nav nepieciešams saņemt cita finansētāja aizdevumu vai apliecinājumu, </w:t>
            </w:r>
            <w:r w:rsidRPr="00F241AE">
              <w:rPr>
                <w:rFonts w:ascii="Times New Roman" w:eastAsia="Times New Roman" w:hAnsi="Times New Roman"/>
                <w:sz w:val="24"/>
                <w:szCs w:val="24"/>
              </w:rPr>
              <w:t>ka dzīvokļu īpašnieki var pieteikties a</w:t>
            </w:r>
            <w:r>
              <w:rPr>
                <w:rFonts w:ascii="Times New Roman" w:eastAsia="Times New Roman" w:hAnsi="Times New Roman"/>
                <w:sz w:val="24"/>
                <w:szCs w:val="24"/>
              </w:rPr>
              <w:t>izdevuma saņemšanai sabiedrībā “</w:t>
            </w:r>
            <w:proofErr w:type="spellStart"/>
            <w:r>
              <w:rPr>
                <w:rFonts w:ascii="Times New Roman" w:eastAsia="Times New Roman" w:hAnsi="Times New Roman"/>
                <w:sz w:val="24"/>
                <w:szCs w:val="24"/>
              </w:rPr>
              <w:t>Altum</w:t>
            </w:r>
            <w:proofErr w:type="spellEnd"/>
            <w:r>
              <w:rPr>
                <w:rFonts w:ascii="Times New Roman" w:eastAsia="Times New Roman" w:hAnsi="Times New Roman"/>
                <w:sz w:val="24"/>
                <w:szCs w:val="24"/>
              </w:rPr>
              <w:t xml:space="preserve">”. ESKO Pasākuma ietvaros nevar būt dzīvokļu īpašnieku </w:t>
            </w:r>
            <w:r w:rsidRPr="002B464B">
              <w:rPr>
                <w:rFonts w:ascii="Times New Roman" w:eastAsia="Times New Roman" w:hAnsi="Times New Roman"/>
                <w:sz w:val="24"/>
                <w:szCs w:val="24"/>
              </w:rPr>
              <w:t xml:space="preserve">pilnvarotā persona un energoefektivitātes paaugstināšanas pasākumu vadītājs, jo </w:t>
            </w:r>
            <w:r w:rsidR="002B464B" w:rsidRPr="002B464B">
              <w:rPr>
                <w:rFonts w:ascii="Times New Roman" w:eastAsia="Times New Roman" w:hAnsi="Times New Roman"/>
                <w:sz w:val="24"/>
                <w:szCs w:val="24"/>
              </w:rPr>
              <w:t>ESKO veic saimniecisko darbību</w:t>
            </w:r>
            <w:r w:rsidR="002B464B">
              <w:rPr>
                <w:rFonts w:ascii="Times New Roman" w:eastAsia="Times New Roman" w:hAnsi="Times New Roman"/>
                <w:sz w:val="24"/>
                <w:szCs w:val="24"/>
              </w:rPr>
              <w:t>,</w:t>
            </w:r>
            <w:r w:rsidR="002B464B" w:rsidRPr="002B464B">
              <w:rPr>
                <w:rFonts w:ascii="Times New Roman" w:eastAsia="Times New Roman" w:hAnsi="Times New Roman"/>
                <w:sz w:val="24"/>
                <w:szCs w:val="24"/>
              </w:rPr>
              <w:t xml:space="preserve"> sniedzot pakalpojumu dzīvokļu īpašniekiem</w:t>
            </w:r>
            <w:r w:rsidR="00A26508">
              <w:rPr>
                <w:rFonts w:ascii="Times New Roman" w:eastAsia="Times New Roman" w:hAnsi="Times New Roman"/>
                <w:sz w:val="24"/>
                <w:szCs w:val="24"/>
              </w:rPr>
              <w:t>. S</w:t>
            </w:r>
            <w:r w:rsidR="002B464B">
              <w:rPr>
                <w:rFonts w:ascii="Times New Roman" w:eastAsia="Times New Roman" w:hAnsi="Times New Roman"/>
                <w:sz w:val="24"/>
                <w:szCs w:val="24"/>
              </w:rPr>
              <w:t>avukārt</w:t>
            </w:r>
            <w:r w:rsidR="002B464B" w:rsidRPr="002B464B">
              <w:rPr>
                <w:rFonts w:ascii="Times New Roman" w:eastAsia="Times New Roman" w:hAnsi="Times New Roman"/>
                <w:sz w:val="24"/>
                <w:szCs w:val="24"/>
              </w:rPr>
              <w:t xml:space="preserve"> </w:t>
            </w:r>
            <w:r w:rsidR="00112344">
              <w:rPr>
                <w:rFonts w:ascii="Times New Roman" w:eastAsia="Times New Roman" w:hAnsi="Times New Roman"/>
                <w:sz w:val="24"/>
                <w:szCs w:val="24"/>
              </w:rPr>
              <w:t>MK n</w:t>
            </w:r>
            <w:r w:rsidR="002B464B" w:rsidRPr="002B464B">
              <w:rPr>
                <w:rFonts w:ascii="Times New Roman" w:eastAsia="Times New Roman" w:hAnsi="Times New Roman"/>
                <w:sz w:val="24"/>
                <w:szCs w:val="24"/>
              </w:rPr>
              <w:t>oteikumu</w:t>
            </w:r>
            <w:r w:rsidR="00112344">
              <w:rPr>
                <w:rFonts w:ascii="Times New Roman" w:eastAsia="Times New Roman" w:hAnsi="Times New Roman"/>
                <w:sz w:val="24"/>
                <w:szCs w:val="24"/>
              </w:rPr>
              <w:t xml:space="preserve"> Nr.160</w:t>
            </w:r>
            <w:r w:rsidR="002B464B" w:rsidRPr="002B464B">
              <w:rPr>
                <w:rFonts w:ascii="Times New Roman" w:eastAsia="Times New Roman" w:hAnsi="Times New Roman"/>
                <w:sz w:val="24"/>
                <w:szCs w:val="24"/>
              </w:rPr>
              <w:t xml:space="preserve"> 4.punkts paredz, ka “Pasākuma mērķa grupa un gala labuma guvēji ir dzīvokļu īpašnieki”</w:t>
            </w:r>
            <w:r w:rsidR="00A26508">
              <w:rPr>
                <w:rFonts w:ascii="Times New Roman" w:eastAsia="Times New Roman" w:hAnsi="Times New Roman"/>
                <w:sz w:val="24"/>
                <w:szCs w:val="24"/>
              </w:rPr>
              <w:t xml:space="preserve"> (Pilnvarotā persona Pasākuma ietvaros saimniecisko darbību neveic)</w:t>
            </w:r>
            <w:r w:rsidR="002B464B" w:rsidRPr="002B464B">
              <w:rPr>
                <w:rFonts w:ascii="Times New Roman" w:eastAsia="Times New Roman" w:hAnsi="Times New Roman"/>
                <w:sz w:val="24"/>
                <w:szCs w:val="24"/>
              </w:rPr>
              <w:t xml:space="preserve">. </w:t>
            </w:r>
            <w:r w:rsidRPr="002B464B">
              <w:rPr>
                <w:rFonts w:ascii="Times New Roman" w:eastAsia="Times New Roman" w:hAnsi="Times New Roman"/>
                <w:sz w:val="24"/>
                <w:szCs w:val="24"/>
              </w:rPr>
              <w:t>Noteikumu projektā ir noteikts, ka dokumentus, kas nepieciešami atbalsta saņemšanai sabiedrībā “</w:t>
            </w:r>
            <w:proofErr w:type="spellStart"/>
            <w:r w:rsidRPr="002B464B">
              <w:rPr>
                <w:rFonts w:ascii="Times New Roman" w:eastAsia="Times New Roman" w:hAnsi="Times New Roman"/>
                <w:sz w:val="24"/>
                <w:szCs w:val="24"/>
              </w:rPr>
              <w:t>Altum</w:t>
            </w:r>
            <w:proofErr w:type="spellEnd"/>
            <w:r w:rsidRPr="002B464B">
              <w:rPr>
                <w:rFonts w:ascii="Times New Roman" w:eastAsia="Times New Roman" w:hAnsi="Times New Roman"/>
                <w:sz w:val="24"/>
                <w:szCs w:val="24"/>
              </w:rPr>
              <w:t>” iesniedz dzīvokļu īpašnieku pilnvarotā persona, nodrošinot energoefektivitātes pasākumu vadīšanu.</w:t>
            </w:r>
            <w:r>
              <w:rPr>
                <w:rFonts w:ascii="Times New Roman" w:eastAsia="Times New Roman" w:hAnsi="Times New Roman"/>
                <w:sz w:val="24"/>
                <w:szCs w:val="24"/>
              </w:rPr>
              <w:t xml:space="preserve"> Papildu, ja energoefektivitātes paaugstināšanas pasākumu īstenošanu nodrošina ESKO, atbalstu Pasākuma ietvaros dzīvokļu īpašnieki varēs saņemt tikai </w:t>
            </w:r>
            <w:proofErr w:type="spellStart"/>
            <w:r>
              <w:rPr>
                <w:rFonts w:ascii="Times New Roman" w:eastAsia="Times New Roman" w:hAnsi="Times New Roman"/>
                <w:sz w:val="24"/>
                <w:szCs w:val="24"/>
              </w:rPr>
              <w:t>granta</w:t>
            </w:r>
            <w:proofErr w:type="spellEnd"/>
            <w:r>
              <w:rPr>
                <w:rFonts w:ascii="Times New Roman" w:eastAsia="Times New Roman" w:hAnsi="Times New Roman"/>
                <w:sz w:val="24"/>
                <w:szCs w:val="24"/>
              </w:rPr>
              <w:t xml:space="preserve"> veidā. Noteikumu projekts paredz MK noteikumu Nr. 160 papildināšanu ar nodaļu, kas nosaka ESKO darbības principus Pasākuma ietvaros. Šajā  nodaļā iekļauti nosacījumi saskaņā ar Energoefektivitātes likuma 14. pantu, kā arī papildu nosacījumi, lai nodrošinātu skaidru ESKO iesaistīšanos Pasākuma īstenošanā. N</w:t>
            </w:r>
            <w:r w:rsidRPr="00D73136">
              <w:rPr>
                <w:rFonts w:ascii="Times New Roman" w:eastAsia="Times New Roman" w:hAnsi="Times New Roman"/>
                <w:sz w:val="24"/>
                <w:szCs w:val="24"/>
              </w:rPr>
              <w:t xml:space="preserve">oteikumu </w:t>
            </w:r>
            <w:r>
              <w:rPr>
                <w:rFonts w:ascii="Times New Roman" w:eastAsia="Times New Roman" w:hAnsi="Times New Roman"/>
                <w:sz w:val="24"/>
                <w:szCs w:val="24"/>
              </w:rPr>
              <w:t>projekts paredz</w:t>
            </w:r>
            <w:r w:rsidRPr="00D73136">
              <w:rPr>
                <w:rFonts w:ascii="Times New Roman" w:eastAsia="Times New Roman" w:hAnsi="Times New Roman"/>
                <w:sz w:val="24"/>
                <w:szCs w:val="24"/>
              </w:rPr>
              <w:t>, ka ESKO jāveic piegādātāju atlasi saskaņā ar</w:t>
            </w:r>
            <w:r>
              <w:rPr>
                <w:rFonts w:ascii="Times New Roman" w:eastAsia="Times New Roman" w:hAnsi="Times New Roman"/>
                <w:sz w:val="24"/>
                <w:szCs w:val="24"/>
              </w:rPr>
              <w:t xml:space="preserve"> sabiedrības “</w:t>
            </w:r>
            <w:proofErr w:type="spellStart"/>
            <w:r w:rsidRPr="00D73136">
              <w:rPr>
                <w:rFonts w:ascii="Times New Roman" w:eastAsia="Times New Roman" w:hAnsi="Times New Roman"/>
                <w:sz w:val="24"/>
                <w:szCs w:val="24"/>
              </w:rPr>
              <w:t>Altum</w:t>
            </w:r>
            <w:proofErr w:type="spellEnd"/>
            <w:r>
              <w:rPr>
                <w:rFonts w:ascii="Times New Roman" w:eastAsia="Times New Roman" w:hAnsi="Times New Roman"/>
                <w:sz w:val="24"/>
                <w:szCs w:val="24"/>
              </w:rPr>
              <w:t>”</w:t>
            </w:r>
            <w:r w:rsidRPr="00D73136">
              <w:rPr>
                <w:rFonts w:ascii="Times New Roman" w:eastAsia="Times New Roman" w:hAnsi="Times New Roman"/>
                <w:sz w:val="24"/>
                <w:szCs w:val="24"/>
              </w:rPr>
              <w:t xml:space="preserve"> norādījumiem un </w:t>
            </w:r>
            <w:r>
              <w:rPr>
                <w:rFonts w:ascii="Times New Roman" w:eastAsia="Times New Roman" w:hAnsi="Times New Roman"/>
                <w:sz w:val="24"/>
                <w:szCs w:val="24"/>
              </w:rPr>
              <w:t>sabiedrībai “</w:t>
            </w:r>
            <w:proofErr w:type="spellStart"/>
            <w:r w:rsidRPr="00D73136">
              <w:rPr>
                <w:rFonts w:ascii="Times New Roman" w:eastAsia="Times New Roman" w:hAnsi="Times New Roman"/>
                <w:sz w:val="24"/>
                <w:szCs w:val="24"/>
              </w:rPr>
              <w:t>Altum</w:t>
            </w:r>
            <w:proofErr w:type="spellEnd"/>
            <w:r>
              <w:rPr>
                <w:rFonts w:ascii="Times New Roman" w:eastAsia="Times New Roman" w:hAnsi="Times New Roman"/>
                <w:sz w:val="24"/>
                <w:szCs w:val="24"/>
              </w:rPr>
              <w:t>”</w:t>
            </w:r>
            <w:r w:rsidRPr="00D73136">
              <w:rPr>
                <w:rFonts w:ascii="Times New Roman" w:eastAsia="Times New Roman" w:hAnsi="Times New Roman"/>
                <w:sz w:val="24"/>
                <w:szCs w:val="24"/>
              </w:rPr>
              <w:t xml:space="preserve"> jāpārliecinās par attiecīgo izmaksu atbilstību vidējām tirgus cenām. Pasākuma ietvaros paredzēts, ka </w:t>
            </w:r>
            <w:proofErr w:type="spellStart"/>
            <w:r w:rsidRPr="00D73136">
              <w:rPr>
                <w:rFonts w:ascii="Times New Roman" w:eastAsia="Times New Roman" w:hAnsi="Times New Roman"/>
                <w:sz w:val="24"/>
                <w:szCs w:val="24"/>
              </w:rPr>
              <w:t>grantu</w:t>
            </w:r>
            <w:proofErr w:type="spellEnd"/>
            <w:r w:rsidRPr="00D73136">
              <w:rPr>
                <w:rFonts w:ascii="Times New Roman" w:eastAsia="Times New Roman" w:hAnsi="Times New Roman"/>
                <w:sz w:val="24"/>
                <w:szCs w:val="24"/>
              </w:rPr>
              <w:t xml:space="preserve"> </w:t>
            </w:r>
            <w:r>
              <w:rPr>
                <w:rFonts w:ascii="Times New Roman" w:eastAsia="Times New Roman" w:hAnsi="Times New Roman"/>
                <w:sz w:val="24"/>
                <w:szCs w:val="24"/>
              </w:rPr>
              <w:t>sabiedrība “</w:t>
            </w:r>
            <w:proofErr w:type="spellStart"/>
            <w:r w:rsidRPr="00D73136">
              <w:rPr>
                <w:rFonts w:ascii="Times New Roman" w:eastAsia="Times New Roman" w:hAnsi="Times New Roman"/>
                <w:sz w:val="24"/>
                <w:szCs w:val="24"/>
              </w:rPr>
              <w:t>Altum</w:t>
            </w:r>
            <w:proofErr w:type="spellEnd"/>
            <w:r>
              <w:rPr>
                <w:rFonts w:ascii="Times New Roman" w:eastAsia="Times New Roman" w:hAnsi="Times New Roman"/>
                <w:sz w:val="24"/>
                <w:szCs w:val="24"/>
              </w:rPr>
              <w:t>”</w:t>
            </w:r>
            <w:r w:rsidRPr="00D73136">
              <w:rPr>
                <w:rFonts w:ascii="Times New Roman" w:eastAsia="Times New Roman" w:hAnsi="Times New Roman"/>
                <w:sz w:val="24"/>
                <w:szCs w:val="24"/>
              </w:rPr>
              <w:t xml:space="preserve"> izmaksā pēc tam, kad </w:t>
            </w:r>
            <w:r>
              <w:rPr>
                <w:rFonts w:ascii="Times New Roman" w:eastAsia="Times New Roman" w:hAnsi="Times New Roman"/>
                <w:sz w:val="24"/>
                <w:szCs w:val="24"/>
              </w:rPr>
              <w:t>tā ir pārliecinājusies</w:t>
            </w:r>
            <w:r w:rsidRPr="00D73136">
              <w:rPr>
                <w:rFonts w:ascii="Times New Roman" w:eastAsia="Times New Roman" w:hAnsi="Times New Roman"/>
                <w:sz w:val="24"/>
                <w:szCs w:val="24"/>
              </w:rPr>
              <w:t xml:space="preserve"> par ESKO veiktā ieguldījuma apjomu un veikto darbu kvalitāti. Granta izmaksa tiek veikta apmaksājot </w:t>
            </w:r>
            <w:r w:rsidRPr="00206EE7">
              <w:rPr>
                <w:rFonts w:ascii="Times New Roman" w:eastAsia="Times New Roman" w:hAnsi="Times New Roman"/>
                <w:sz w:val="24"/>
                <w:szCs w:val="24"/>
              </w:rPr>
              <w:t>pilnvarotajai personai iesniegtos piegādātāju rēķinus</w:t>
            </w:r>
            <w:r w:rsidRPr="00D73136">
              <w:rPr>
                <w:rFonts w:ascii="Times New Roman" w:eastAsia="Times New Roman" w:hAnsi="Times New Roman"/>
                <w:sz w:val="24"/>
                <w:szCs w:val="24"/>
              </w:rPr>
              <w:t xml:space="preserve">. Tādējādi tiek nodrošināts, ka ESKO nesaņem valsts atbalstu Pasākuma ietvaros. </w:t>
            </w:r>
          </w:p>
          <w:p w14:paraId="367AFAD3" w14:textId="77777777" w:rsidR="00382B44" w:rsidRPr="00D73136" w:rsidRDefault="00382B44" w:rsidP="00C46C6D">
            <w:pPr>
              <w:spacing w:after="0" w:line="240" w:lineRule="auto"/>
              <w:ind w:firstLine="649"/>
              <w:jc w:val="both"/>
              <w:rPr>
                <w:rFonts w:ascii="Times New Roman" w:eastAsia="Times New Roman" w:hAnsi="Times New Roman"/>
                <w:sz w:val="24"/>
                <w:szCs w:val="24"/>
              </w:rPr>
            </w:pPr>
          </w:p>
          <w:p w14:paraId="26F5391C" w14:textId="77777777" w:rsidR="00382B44" w:rsidRPr="00D13F7B" w:rsidRDefault="00382B44" w:rsidP="00C46C6D">
            <w:pPr>
              <w:numPr>
                <w:ilvl w:val="0"/>
                <w:numId w:val="4"/>
              </w:numPr>
              <w:spacing w:after="0" w:line="240" w:lineRule="auto"/>
              <w:ind w:left="0" w:firstLine="0"/>
              <w:jc w:val="both"/>
              <w:rPr>
                <w:rFonts w:ascii="Times New Roman" w:hAnsi="Times New Roman"/>
                <w:b/>
                <w:sz w:val="24"/>
                <w:szCs w:val="24"/>
              </w:rPr>
            </w:pPr>
            <w:r>
              <w:rPr>
                <w:rFonts w:ascii="Times New Roman" w:hAnsi="Times New Roman"/>
                <w:b/>
                <w:i/>
                <w:sz w:val="24"/>
                <w:szCs w:val="24"/>
                <w:u w:val="single"/>
              </w:rPr>
              <w:t>Daudzdzīvokļu dzīvojamo māju pārvaldnieku</w:t>
            </w:r>
            <w:r w:rsidRPr="00D13F7B">
              <w:rPr>
                <w:rFonts w:ascii="Times New Roman" w:hAnsi="Times New Roman"/>
                <w:sz w:val="24"/>
                <w:szCs w:val="24"/>
                <w:u w:val="single"/>
              </w:rPr>
              <w:t xml:space="preserve"> </w:t>
            </w:r>
            <w:r w:rsidRPr="00D13F7B">
              <w:rPr>
                <w:rFonts w:ascii="Times New Roman" w:hAnsi="Times New Roman"/>
                <w:b/>
                <w:i/>
                <w:sz w:val="24"/>
                <w:szCs w:val="24"/>
                <w:u w:val="single"/>
              </w:rPr>
              <w:t xml:space="preserve">iesaistīšanos Pasākuma ietvaros atbalstīto energoefektivitātes paaugstināšanas pasākumu īstenošanā. </w:t>
            </w:r>
          </w:p>
          <w:p w14:paraId="289CB373" w14:textId="77777777" w:rsidR="00382B44" w:rsidRDefault="00382B44" w:rsidP="00C46C6D">
            <w:pPr>
              <w:pStyle w:val="ListParagraph"/>
              <w:spacing w:before="60" w:after="60" w:line="240" w:lineRule="auto"/>
              <w:ind w:left="82" w:firstLine="567"/>
              <w:jc w:val="both"/>
              <w:rPr>
                <w:rFonts w:ascii="Times New Roman" w:hAnsi="Times New Roman"/>
                <w:sz w:val="24"/>
                <w:szCs w:val="24"/>
              </w:rPr>
            </w:pPr>
            <w:r w:rsidRPr="00B256D5">
              <w:rPr>
                <w:rFonts w:ascii="Times New Roman" w:hAnsi="Times New Roman"/>
                <w:sz w:val="24"/>
                <w:szCs w:val="24"/>
              </w:rPr>
              <w:lastRenderedPageBreak/>
              <w:t>Ņemot vērā, ka ir pārvaldnieki, kuri ir gatavi piesaistīt finansējumu vai to pašu rīcībā ir finanšu resursi energoefektivitātes paa</w:t>
            </w:r>
            <w:r>
              <w:rPr>
                <w:rFonts w:ascii="Times New Roman" w:hAnsi="Times New Roman"/>
                <w:sz w:val="24"/>
                <w:szCs w:val="24"/>
              </w:rPr>
              <w:t>ugstināšanas pasākumu īstenošanas finansēšanai,</w:t>
            </w:r>
            <w:r w:rsidRPr="00B256D5">
              <w:rPr>
                <w:rFonts w:ascii="Times New Roman" w:hAnsi="Times New Roman"/>
                <w:sz w:val="24"/>
                <w:szCs w:val="24"/>
              </w:rPr>
              <w:t xml:space="preserve"> </w:t>
            </w:r>
            <w:r>
              <w:rPr>
                <w:rFonts w:ascii="Times New Roman" w:hAnsi="Times New Roman"/>
                <w:sz w:val="24"/>
                <w:szCs w:val="24"/>
              </w:rPr>
              <w:t>Noteikumu projekts paredz, ka dzīvokļu īpašnieki un d</w:t>
            </w:r>
            <w:r w:rsidRPr="009A2C2F">
              <w:rPr>
                <w:rFonts w:ascii="Times New Roman" w:hAnsi="Times New Roman"/>
                <w:sz w:val="24"/>
                <w:szCs w:val="24"/>
              </w:rPr>
              <w:t>audzdzīv</w:t>
            </w:r>
            <w:r>
              <w:rPr>
                <w:rFonts w:ascii="Times New Roman" w:hAnsi="Times New Roman"/>
                <w:sz w:val="24"/>
                <w:szCs w:val="24"/>
              </w:rPr>
              <w:t>okļu dzīvojamo māju pārvaldnieki</w:t>
            </w:r>
            <w:r w:rsidRPr="009A2C2F">
              <w:rPr>
                <w:rFonts w:ascii="Times New Roman" w:hAnsi="Times New Roman"/>
                <w:sz w:val="24"/>
                <w:szCs w:val="24"/>
              </w:rPr>
              <w:t xml:space="preserve"> </w:t>
            </w:r>
            <w:r w:rsidRPr="0062223F">
              <w:rPr>
                <w:rFonts w:ascii="Times New Roman" w:hAnsi="Times New Roman"/>
                <w:sz w:val="24"/>
                <w:szCs w:val="24"/>
              </w:rPr>
              <w:t xml:space="preserve">(privāto tiesību juridiskās personas) </w:t>
            </w:r>
            <w:r>
              <w:rPr>
                <w:rFonts w:ascii="Times New Roman" w:hAnsi="Times New Roman"/>
                <w:sz w:val="24"/>
                <w:szCs w:val="24"/>
              </w:rPr>
              <w:t xml:space="preserve">(turpmāk - pārvaldnieks) var vienoties par līdzekļu nodrošināšanu dzīvokļu īpašniekiem energoefektivitātes paaugstināšanas pasākumu īstenošanai. Pārvaldniekiem tiks sniegta iespēja, piemēram, ar vienu aizdevumu piesaistīt finansējumu vairāku dzīvojamo ēku energoefektivitātes paaugstināšanai, būtiski samazinot piesaistīto finanšu resursu un energoefektivitātes paaugstināšanas </w:t>
            </w:r>
            <w:proofErr w:type="spellStart"/>
            <w:r>
              <w:rPr>
                <w:rFonts w:ascii="Times New Roman" w:hAnsi="Times New Roman"/>
                <w:sz w:val="24"/>
                <w:szCs w:val="24"/>
              </w:rPr>
              <w:t>paaugstināšanas</w:t>
            </w:r>
            <w:proofErr w:type="spellEnd"/>
            <w:r>
              <w:rPr>
                <w:rFonts w:ascii="Times New Roman" w:hAnsi="Times New Roman"/>
                <w:sz w:val="24"/>
                <w:szCs w:val="24"/>
              </w:rPr>
              <w:t xml:space="preserve"> pasākumu īstenošanas izmaksas.</w:t>
            </w:r>
          </w:p>
          <w:p w14:paraId="1E9D192C" w14:textId="77777777" w:rsidR="00382B44" w:rsidRDefault="00382B44" w:rsidP="00C46C6D">
            <w:pPr>
              <w:pStyle w:val="ListParagraph"/>
              <w:spacing w:before="60" w:after="60" w:line="240" w:lineRule="auto"/>
              <w:ind w:left="82" w:firstLine="567"/>
              <w:jc w:val="both"/>
              <w:rPr>
                <w:rFonts w:ascii="Times New Roman" w:hAnsi="Times New Roman"/>
                <w:sz w:val="24"/>
                <w:szCs w:val="24"/>
              </w:rPr>
            </w:pPr>
            <w:r>
              <w:rPr>
                <w:rFonts w:ascii="Times New Roman" w:hAnsi="Times New Roman"/>
                <w:sz w:val="24"/>
                <w:szCs w:val="24"/>
              </w:rPr>
              <w:t xml:space="preserve">Gadījumā, ja </w:t>
            </w:r>
            <w:r w:rsidRPr="000E2AEF">
              <w:rPr>
                <w:rFonts w:ascii="Times New Roman" w:hAnsi="Times New Roman"/>
                <w:sz w:val="24"/>
                <w:szCs w:val="24"/>
              </w:rPr>
              <w:t>energoefektivitātes paaugstināšanas pasākumu īstenošan</w:t>
            </w:r>
            <w:r>
              <w:rPr>
                <w:rFonts w:ascii="Times New Roman" w:hAnsi="Times New Roman"/>
                <w:sz w:val="24"/>
                <w:szCs w:val="24"/>
              </w:rPr>
              <w:t>ai</w:t>
            </w:r>
            <w:r w:rsidRPr="000E2AEF">
              <w:rPr>
                <w:rFonts w:ascii="Times New Roman" w:hAnsi="Times New Roman"/>
                <w:sz w:val="24"/>
                <w:szCs w:val="24"/>
              </w:rPr>
              <w:t xml:space="preserve"> </w:t>
            </w:r>
            <w:r>
              <w:rPr>
                <w:rFonts w:ascii="Times New Roman" w:hAnsi="Times New Roman"/>
                <w:sz w:val="24"/>
                <w:szCs w:val="24"/>
              </w:rPr>
              <w:t>līdzekļus nodrošina pārvaldnieks, ir jāievēro šādi nosacījumi:</w:t>
            </w:r>
          </w:p>
          <w:p w14:paraId="0BDB7106" w14:textId="77777777" w:rsidR="00382B44" w:rsidRDefault="00382B44" w:rsidP="00C46C6D">
            <w:pPr>
              <w:pStyle w:val="ListParagraph"/>
              <w:numPr>
                <w:ilvl w:val="0"/>
                <w:numId w:val="5"/>
              </w:numPr>
              <w:spacing w:before="60" w:after="60" w:line="240" w:lineRule="auto"/>
              <w:jc w:val="both"/>
              <w:rPr>
                <w:rFonts w:ascii="Times New Roman" w:hAnsi="Times New Roman"/>
                <w:sz w:val="24"/>
                <w:szCs w:val="24"/>
              </w:rPr>
            </w:pPr>
            <w:r>
              <w:rPr>
                <w:rFonts w:ascii="Times New Roman" w:hAnsi="Times New Roman"/>
                <w:sz w:val="24"/>
                <w:szCs w:val="24"/>
              </w:rPr>
              <w:t>pārvaldnieks var būt arī dzīvokļu īpašnieku pilnvarotā persona;</w:t>
            </w:r>
          </w:p>
          <w:p w14:paraId="7C8BA3F4" w14:textId="77777777" w:rsidR="00382B44" w:rsidRDefault="00382B44" w:rsidP="00C46C6D">
            <w:pPr>
              <w:pStyle w:val="ListParagraph"/>
              <w:numPr>
                <w:ilvl w:val="0"/>
                <w:numId w:val="5"/>
              </w:numPr>
              <w:spacing w:before="60" w:after="60" w:line="240" w:lineRule="auto"/>
              <w:jc w:val="both"/>
              <w:rPr>
                <w:rFonts w:ascii="Times New Roman" w:hAnsi="Times New Roman"/>
                <w:sz w:val="24"/>
                <w:szCs w:val="24"/>
              </w:rPr>
            </w:pPr>
            <w:r w:rsidRPr="000E2AEF">
              <w:rPr>
                <w:rFonts w:ascii="Times New Roman" w:hAnsi="Times New Roman"/>
                <w:sz w:val="24"/>
                <w:szCs w:val="24"/>
              </w:rPr>
              <w:t>atbalstu Pasākuma i</w:t>
            </w:r>
            <w:r>
              <w:rPr>
                <w:rFonts w:ascii="Times New Roman" w:hAnsi="Times New Roman"/>
                <w:sz w:val="24"/>
                <w:szCs w:val="24"/>
              </w:rPr>
              <w:t>etvaros dzīvokļu īpašnieki var</w:t>
            </w:r>
            <w:r w:rsidRPr="000E2AEF">
              <w:rPr>
                <w:rFonts w:ascii="Times New Roman" w:hAnsi="Times New Roman"/>
                <w:sz w:val="24"/>
                <w:szCs w:val="24"/>
              </w:rPr>
              <w:t xml:space="preserve"> </w:t>
            </w:r>
            <w:r>
              <w:rPr>
                <w:rFonts w:ascii="Times New Roman" w:hAnsi="Times New Roman"/>
                <w:sz w:val="24"/>
                <w:szCs w:val="24"/>
              </w:rPr>
              <w:t xml:space="preserve">saņemt </w:t>
            </w:r>
            <w:r w:rsidRPr="000E2AEF">
              <w:rPr>
                <w:rFonts w:ascii="Times New Roman" w:hAnsi="Times New Roman"/>
                <w:sz w:val="24"/>
                <w:szCs w:val="24"/>
              </w:rPr>
              <w:t xml:space="preserve">tikai </w:t>
            </w:r>
            <w:proofErr w:type="spellStart"/>
            <w:r w:rsidRPr="000E2AEF">
              <w:rPr>
                <w:rFonts w:ascii="Times New Roman" w:hAnsi="Times New Roman"/>
                <w:sz w:val="24"/>
                <w:szCs w:val="24"/>
              </w:rPr>
              <w:t>granta</w:t>
            </w:r>
            <w:proofErr w:type="spellEnd"/>
            <w:r w:rsidRPr="000E2AEF">
              <w:rPr>
                <w:rFonts w:ascii="Times New Roman" w:hAnsi="Times New Roman"/>
                <w:sz w:val="24"/>
                <w:szCs w:val="24"/>
              </w:rPr>
              <w:t xml:space="preserve"> veidā</w:t>
            </w:r>
            <w:r>
              <w:rPr>
                <w:rFonts w:ascii="Times New Roman" w:hAnsi="Times New Roman"/>
                <w:sz w:val="24"/>
                <w:szCs w:val="24"/>
              </w:rPr>
              <w:t>;</w:t>
            </w:r>
          </w:p>
          <w:p w14:paraId="141DD15D" w14:textId="77777777" w:rsidR="00382B44" w:rsidRPr="00A26508" w:rsidRDefault="00382B44" w:rsidP="00C46C6D">
            <w:pPr>
              <w:pStyle w:val="ListParagraph"/>
              <w:numPr>
                <w:ilvl w:val="0"/>
                <w:numId w:val="5"/>
              </w:numPr>
              <w:spacing w:before="60" w:after="60" w:line="240" w:lineRule="auto"/>
              <w:jc w:val="both"/>
              <w:rPr>
                <w:rFonts w:ascii="Times New Roman" w:hAnsi="Times New Roman"/>
                <w:sz w:val="24"/>
                <w:szCs w:val="24"/>
              </w:rPr>
            </w:pPr>
            <w:r>
              <w:rPr>
                <w:rFonts w:ascii="Times New Roman" w:hAnsi="Times New Roman"/>
                <w:sz w:val="24"/>
                <w:szCs w:val="24"/>
              </w:rPr>
              <w:t xml:space="preserve">pārvaldniekam ir jābūt konkrētās dzīvojamās mājas pārvaldītajam - </w:t>
            </w:r>
            <w:r w:rsidRPr="00A56895">
              <w:rPr>
                <w:rFonts w:ascii="Times New Roman" w:hAnsi="Times New Roman"/>
                <w:sz w:val="24"/>
                <w:szCs w:val="24"/>
              </w:rPr>
              <w:t>saskaņā ar pašvaldības uzdevum</w:t>
            </w:r>
            <w:r>
              <w:rPr>
                <w:rFonts w:ascii="Times New Roman" w:hAnsi="Times New Roman"/>
                <w:sz w:val="24"/>
                <w:szCs w:val="24"/>
              </w:rPr>
              <w:t>u</w:t>
            </w:r>
            <w:r w:rsidRPr="00A56895">
              <w:rPr>
                <w:rFonts w:ascii="Times New Roman" w:hAnsi="Times New Roman"/>
                <w:sz w:val="24"/>
                <w:szCs w:val="24"/>
              </w:rPr>
              <w:t xml:space="preserve"> kā nepārņemtās</w:t>
            </w:r>
            <w:r>
              <w:rPr>
                <w:rFonts w:ascii="Times New Roman" w:hAnsi="Times New Roman"/>
                <w:sz w:val="24"/>
                <w:szCs w:val="24"/>
              </w:rPr>
              <w:t xml:space="preserve"> dzīvojamās mājas pārvaldītājam</w:t>
            </w:r>
            <w:r w:rsidRPr="00A56895">
              <w:rPr>
                <w:rFonts w:ascii="Times New Roman" w:hAnsi="Times New Roman"/>
                <w:sz w:val="24"/>
                <w:szCs w:val="24"/>
              </w:rPr>
              <w:t xml:space="preserve"> vai </w:t>
            </w:r>
            <w:r>
              <w:rPr>
                <w:rFonts w:ascii="Times New Roman" w:hAnsi="Times New Roman"/>
                <w:sz w:val="24"/>
                <w:szCs w:val="24"/>
              </w:rPr>
              <w:t>pamatojoties uz ar dzīvokļu īpaš</w:t>
            </w:r>
            <w:r w:rsidRPr="00A56895">
              <w:rPr>
                <w:rFonts w:ascii="Times New Roman" w:hAnsi="Times New Roman"/>
                <w:sz w:val="24"/>
                <w:szCs w:val="24"/>
              </w:rPr>
              <w:t>niekie</w:t>
            </w:r>
            <w:r>
              <w:rPr>
                <w:rFonts w:ascii="Times New Roman" w:hAnsi="Times New Roman"/>
                <w:sz w:val="24"/>
                <w:szCs w:val="24"/>
              </w:rPr>
              <w:t xml:space="preserve">m noslēgto </w:t>
            </w:r>
            <w:r w:rsidRPr="00A26508">
              <w:rPr>
                <w:rFonts w:ascii="Times New Roman" w:hAnsi="Times New Roman"/>
                <w:sz w:val="24"/>
                <w:szCs w:val="24"/>
              </w:rPr>
              <w:t>pārvaldīšanas līgumu;</w:t>
            </w:r>
          </w:p>
          <w:p w14:paraId="56F58ADD" w14:textId="42938ACE" w:rsidR="00382B44" w:rsidRPr="00A26508" w:rsidRDefault="00382B44" w:rsidP="000269FB">
            <w:pPr>
              <w:pStyle w:val="ListParagraph"/>
              <w:numPr>
                <w:ilvl w:val="0"/>
                <w:numId w:val="5"/>
              </w:numPr>
              <w:spacing w:before="60" w:after="60" w:line="240" w:lineRule="auto"/>
              <w:jc w:val="both"/>
              <w:rPr>
                <w:rFonts w:ascii="Times New Roman" w:hAnsi="Times New Roman"/>
                <w:sz w:val="24"/>
                <w:szCs w:val="24"/>
              </w:rPr>
            </w:pPr>
            <w:r w:rsidRPr="00A26508">
              <w:rPr>
                <w:rFonts w:ascii="Times New Roman" w:hAnsi="Times New Roman"/>
                <w:sz w:val="24"/>
                <w:szCs w:val="24"/>
              </w:rPr>
              <w:t>pārvaldnieks energoefektivitātes paaugstināšanas pasākumu finansēšanai var izmantot tās piesaistīto finansējumu, piemēram, aizņēmumu kredītiestādē, un paša pārvaldnieka rīcībā esošos līdzekļus (piemēram, saņemto atlīdzību par īpašumu pārvaldīšanu). Eiropas Savienības līdzekļus vai valsts, vai pašvaldību budžeta līdzekļus  nedrīkst izmantot energoefektivitātes paaugstināšanas pasākumu finansēšanā</w:t>
            </w:r>
            <w:r w:rsidR="00EB3CCF">
              <w:rPr>
                <w:rFonts w:ascii="Times New Roman" w:hAnsi="Times New Roman"/>
                <w:sz w:val="24"/>
                <w:szCs w:val="24"/>
              </w:rPr>
              <w:t>. E</w:t>
            </w:r>
            <w:r w:rsidR="00EB3CCF" w:rsidRPr="00B9035C">
              <w:rPr>
                <w:rFonts w:ascii="Times New Roman" w:hAnsi="Times New Roman"/>
                <w:sz w:val="24"/>
                <w:szCs w:val="24"/>
              </w:rPr>
              <w:t>nergoefektivitātes paaugstināšanas pasākumu finansēšanai</w:t>
            </w:r>
            <w:r w:rsidR="00EB3CCF">
              <w:rPr>
                <w:rFonts w:ascii="Times New Roman" w:hAnsi="Times New Roman"/>
                <w:sz w:val="24"/>
                <w:szCs w:val="24"/>
              </w:rPr>
              <w:t xml:space="preserve"> var tikt</w:t>
            </w:r>
            <w:r w:rsidR="00EB3CCF" w:rsidRPr="00B9035C">
              <w:rPr>
                <w:rFonts w:ascii="Times New Roman" w:hAnsi="Times New Roman"/>
                <w:sz w:val="24"/>
                <w:szCs w:val="24"/>
              </w:rPr>
              <w:t xml:space="preserve"> piesaistīts pašvaldības galvojums aizņēmuma saņemšanai kredītiestādē</w:t>
            </w:r>
            <w:r w:rsidR="000269FB" w:rsidRPr="000269FB">
              <w:rPr>
                <w:rFonts w:ascii="Times New Roman" w:hAnsi="Times New Roman"/>
                <w:sz w:val="24"/>
                <w:szCs w:val="24"/>
              </w:rPr>
              <w:t>, ja pārvaldnieks nodrošina, ka visu labumu gūst dzīvokļa īpašnieks;</w:t>
            </w:r>
          </w:p>
          <w:p w14:paraId="24DD3553" w14:textId="77777777" w:rsidR="00382B44" w:rsidRDefault="00382B44" w:rsidP="00C46C6D">
            <w:pPr>
              <w:pStyle w:val="ListParagraph"/>
              <w:numPr>
                <w:ilvl w:val="0"/>
                <w:numId w:val="5"/>
              </w:numPr>
              <w:spacing w:before="60" w:after="60" w:line="240" w:lineRule="auto"/>
              <w:jc w:val="both"/>
              <w:rPr>
                <w:rFonts w:ascii="Times New Roman" w:hAnsi="Times New Roman"/>
                <w:sz w:val="24"/>
                <w:szCs w:val="24"/>
              </w:rPr>
            </w:pPr>
            <w:r w:rsidRPr="00A26508">
              <w:rPr>
                <w:rFonts w:ascii="Times New Roman" w:hAnsi="Times New Roman"/>
                <w:sz w:val="24"/>
                <w:szCs w:val="24"/>
              </w:rPr>
              <w:t>dzīvokļu īpašniekiem</w:t>
            </w:r>
            <w:r w:rsidRPr="008269F6">
              <w:rPr>
                <w:rFonts w:ascii="Times New Roman" w:hAnsi="Times New Roman"/>
                <w:sz w:val="24"/>
                <w:szCs w:val="24"/>
              </w:rPr>
              <w:t xml:space="preserve"> pārvaldnieka ieguldītie līdzekļi ir jāatmaksā pilnā apmērā, ņemot vērā energoefektivitātes paaugstināšanas pasākuma izmaksas un pārvaldnieka piesaistīto finanšu resursu izmaksas</w:t>
            </w:r>
            <w:r>
              <w:rPr>
                <w:rFonts w:ascii="Times New Roman" w:hAnsi="Times New Roman"/>
                <w:sz w:val="24"/>
                <w:szCs w:val="24"/>
              </w:rPr>
              <w:t xml:space="preserve"> (t.sk. aizdevuma procenta maksājumus);</w:t>
            </w:r>
          </w:p>
          <w:p w14:paraId="5553805A" w14:textId="77777777" w:rsidR="00382B44" w:rsidRDefault="00382B44" w:rsidP="00C46C6D">
            <w:pPr>
              <w:pStyle w:val="ListParagraph"/>
              <w:numPr>
                <w:ilvl w:val="0"/>
                <w:numId w:val="5"/>
              </w:numPr>
              <w:spacing w:before="60" w:after="60" w:line="240" w:lineRule="auto"/>
              <w:jc w:val="both"/>
              <w:rPr>
                <w:rFonts w:ascii="Times New Roman" w:hAnsi="Times New Roman"/>
                <w:sz w:val="24"/>
                <w:szCs w:val="24"/>
              </w:rPr>
            </w:pPr>
            <w:r>
              <w:rPr>
                <w:rFonts w:ascii="Times New Roman" w:hAnsi="Times New Roman"/>
                <w:sz w:val="24"/>
                <w:szCs w:val="24"/>
              </w:rPr>
              <w:t>pārvaldnieka</w:t>
            </w:r>
            <w:r w:rsidRPr="004D4631">
              <w:rPr>
                <w:rFonts w:ascii="Times New Roman" w:hAnsi="Times New Roman"/>
                <w:sz w:val="24"/>
                <w:szCs w:val="24"/>
              </w:rPr>
              <w:t xml:space="preserve"> līdzekļus energoefektivitātes paaugstināšanas pasākumu īstenošanai nodrošina saskaņā ar Dzīvojamo māju pārvaldīšanas likuma 6.panta </w:t>
            </w:r>
            <w:r>
              <w:rPr>
                <w:rFonts w:ascii="Times New Roman" w:hAnsi="Times New Roman"/>
                <w:sz w:val="24"/>
                <w:szCs w:val="24"/>
              </w:rPr>
              <w:t>trešo</w:t>
            </w:r>
            <w:r w:rsidRPr="004D4631">
              <w:rPr>
                <w:rFonts w:ascii="Times New Roman" w:hAnsi="Times New Roman"/>
                <w:sz w:val="24"/>
                <w:szCs w:val="24"/>
              </w:rPr>
              <w:t xml:space="preserve"> daļ</w:t>
            </w:r>
            <w:r>
              <w:rPr>
                <w:rFonts w:ascii="Times New Roman" w:hAnsi="Times New Roman"/>
                <w:sz w:val="24"/>
                <w:szCs w:val="24"/>
              </w:rPr>
              <w:t>u</w:t>
            </w:r>
            <w:r w:rsidRPr="004D4631">
              <w:rPr>
                <w:rFonts w:ascii="Times New Roman" w:hAnsi="Times New Roman"/>
                <w:sz w:val="24"/>
                <w:szCs w:val="24"/>
              </w:rPr>
              <w:t xml:space="preserve"> kā citas pārvaldīšanas darbības un dzīvokļu īpašnieku lēmumu. Saskaņā ar Dzīvojamo māju pārvaldīšanas likuma 10.panta trešo un ceturto </w:t>
            </w:r>
            <w:r w:rsidRPr="004D4631">
              <w:rPr>
                <w:rFonts w:ascii="Times New Roman" w:hAnsi="Times New Roman"/>
                <w:sz w:val="24"/>
                <w:szCs w:val="24"/>
              </w:rPr>
              <w:lastRenderedPageBreak/>
              <w:t>daļu par minētajām darbībām pārvaldnieks saņem atlīdzību</w:t>
            </w:r>
            <w:r>
              <w:rPr>
                <w:rFonts w:ascii="Times New Roman" w:hAnsi="Times New Roman"/>
                <w:sz w:val="24"/>
                <w:szCs w:val="24"/>
              </w:rPr>
              <w:t>;</w:t>
            </w:r>
            <w:r w:rsidRPr="004D4631">
              <w:rPr>
                <w:rFonts w:ascii="Times New Roman" w:hAnsi="Times New Roman"/>
                <w:sz w:val="24"/>
                <w:szCs w:val="24"/>
              </w:rPr>
              <w:t xml:space="preserve"> </w:t>
            </w:r>
          </w:p>
          <w:p w14:paraId="7F6FD64E" w14:textId="77777777" w:rsidR="008F1946" w:rsidRPr="008F1946" w:rsidRDefault="008F1946" w:rsidP="008F1946">
            <w:pPr>
              <w:pStyle w:val="ListParagraph"/>
              <w:numPr>
                <w:ilvl w:val="0"/>
                <w:numId w:val="5"/>
              </w:numPr>
              <w:spacing w:before="60" w:after="60" w:line="240" w:lineRule="auto"/>
              <w:jc w:val="both"/>
              <w:rPr>
                <w:rFonts w:ascii="Times New Roman" w:hAnsi="Times New Roman"/>
                <w:sz w:val="24"/>
                <w:szCs w:val="24"/>
              </w:rPr>
            </w:pPr>
            <w:r w:rsidRPr="008F1946">
              <w:rPr>
                <w:rFonts w:ascii="Times New Roman" w:hAnsi="Times New Roman"/>
                <w:sz w:val="24"/>
                <w:szCs w:val="24"/>
              </w:rPr>
              <w:t>pārvaldnieks nodrošina, ka tas ar energoefektivitātes paaugstināšanas pasākumu īstenošanas finansēšanu negūst peļņu;</w:t>
            </w:r>
          </w:p>
          <w:p w14:paraId="007D77D5" w14:textId="77777777" w:rsidR="008F1946" w:rsidRPr="004D4631" w:rsidRDefault="008F1946" w:rsidP="008F1946">
            <w:pPr>
              <w:pStyle w:val="ListParagraph"/>
              <w:numPr>
                <w:ilvl w:val="0"/>
                <w:numId w:val="5"/>
              </w:numPr>
              <w:spacing w:before="60" w:after="60" w:line="240" w:lineRule="auto"/>
              <w:jc w:val="both"/>
              <w:rPr>
                <w:rFonts w:ascii="Times New Roman" w:hAnsi="Times New Roman"/>
                <w:sz w:val="24"/>
                <w:szCs w:val="24"/>
              </w:rPr>
            </w:pPr>
            <w:r w:rsidRPr="008F1946">
              <w:rPr>
                <w:rFonts w:ascii="Times New Roman" w:hAnsi="Times New Roman"/>
                <w:sz w:val="24"/>
                <w:szCs w:val="24"/>
              </w:rPr>
              <w:t>pārvaldniekam kā finanšu starpniekam jānodrošina finanšu resursu nošķiršana grāmatvedībā;</w:t>
            </w:r>
          </w:p>
          <w:p w14:paraId="6800638A" w14:textId="77777777" w:rsidR="00382B44" w:rsidRDefault="00382B44" w:rsidP="00C46C6D">
            <w:pPr>
              <w:pStyle w:val="ListParagraph"/>
              <w:numPr>
                <w:ilvl w:val="0"/>
                <w:numId w:val="5"/>
              </w:numPr>
              <w:spacing w:before="60" w:after="60" w:line="240" w:lineRule="auto"/>
              <w:jc w:val="both"/>
              <w:rPr>
                <w:rFonts w:ascii="Times New Roman" w:hAnsi="Times New Roman"/>
                <w:sz w:val="24"/>
                <w:szCs w:val="24"/>
              </w:rPr>
            </w:pPr>
            <w:r>
              <w:rPr>
                <w:rFonts w:ascii="Times New Roman" w:hAnsi="Times New Roman"/>
                <w:sz w:val="24"/>
                <w:szCs w:val="24"/>
              </w:rPr>
              <w:t xml:space="preserve">pašvaldības kapitālsabiedrības ievēro attiecīgu jomu regulējošus normatīvos aktus, tajā skaitā arī </w:t>
            </w:r>
            <w:r w:rsidRPr="00264903">
              <w:rPr>
                <w:rFonts w:ascii="Times New Roman" w:hAnsi="Times New Roman"/>
                <w:sz w:val="24"/>
                <w:szCs w:val="24"/>
              </w:rPr>
              <w:t>Publiskas personas finanšu līdzekļu un mantas izšķērdēšanas novēršanas likum</w:t>
            </w:r>
            <w:r>
              <w:rPr>
                <w:rFonts w:ascii="Times New Roman" w:hAnsi="Times New Roman"/>
                <w:sz w:val="24"/>
                <w:szCs w:val="24"/>
              </w:rPr>
              <w:t>u, kas nosaka, ka publiskas personas rīcībai ar mantu jābūt lietderīgai</w:t>
            </w:r>
            <w:r w:rsidRPr="00307F7F">
              <w:rPr>
                <w:rFonts w:ascii="Times New Roman" w:hAnsi="Times New Roman"/>
                <w:sz w:val="24"/>
                <w:szCs w:val="24"/>
              </w:rPr>
              <w:t>.</w:t>
            </w:r>
          </w:p>
          <w:p w14:paraId="71F782CA" w14:textId="3B394439" w:rsidR="00382B44" w:rsidRDefault="008F1946" w:rsidP="008F1946">
            <w:pPr>
              <w:pStyle w:val="ListParagraph"/>
              <w:spacing w:before="60" w:after="60" w:line="240" w:lineRule="auto"/>
              <w:ind w:left="82"/>
              <w:jc w:val="both"/>
              <w:rPr>
                <w:rFonts w:ascii="Times New Roman" w:hAnsi="Times New Roman"/>
                <w:sz w:val="24"/>
                <w:szCs w:val="24"/>
              </w:rPr>
            </w:pPr>
            <w:r w:rsidRPr="008F1946">
              <w:rPr>
                <w:rFonts w:ascii="Times New Roman" w:hAnsi="Times New Roman"/>
                <w:sz w:val="24"/>
                <w:szCs w:val="24"/>
              </w:rPr>
              <w:t xml:space="preserve">Pēc ekspertu vērtējuma izmaksu efektīvā veidā var renovēt 60-70% no Latvijas ēku sektora, dzīvojamo ēku sektorā tie būtu ap 25 tūkstoši daudzdzīvokļu māju, kuru kopplatība ir 38 miljoni kvadrātmetru, kam nepieciešami aptuveni 5,7 miljardi </w:t>
            </w:r>
            <w:proofErr w:type="spellStart"/>
            <w:r w:rsidRPr="00BA15F0">
              <w:rPr>
                <w:rFonts w:ascii="Times New Roman" w:hAnsi="Times New Roman"/>
                <w:i/>
                <w:sz w:val="24"/>
                <w:szCs w:val="24"/>
              </w:rPr>
              <w:t>euro</w:t>
            </w:r>
            <w:proofErr w:type="spellEnd"/>
            <w:r w:rsidRPr="008F1946">
              <w:rPr>
                <w:rFonts w:ascii="Times New Roman" w:hAnsi="Times New Roman"/>
                <w:sz w:val="24"/>
                <w:szCs w:val="24"/>
              </w:rPr>
              <w:t>. Kopējais sabiedrības “</w:t>
            </w:r>
            <w:proofErr w:type="spellStart"/>
            <w:r w:rsidRPr="008F1946">
              <w:rPr>
                <w:rFonts w:ascii="Times New Roman" w:hAnsi="Times New Roman"/>
                <w:sz w:val="24"/>
                <w:szCs w:val="24"/>
              </w:rPr>
              <w:t>Altum</w:t>
            </w:r>
            <w:proofErr w:type="spellEnd"/>
            <w:r w:rsidRPr="008F1946">
              <w:rPr>
                <w:rFonts w:ascii="Times New Roman" w:hAnsi="Times New Roman"/>
                <w:sz w:val="24"/>
                <w:szCs w:val="24"/>
              </w:rPr>
              <w:t xml:space="preserve">” </w:t>
            </w:r>
            <w:r w:rsidR="00BA15F0">
              <w:rPr>
                <w:rFonts w:ascii="Times New Roman" w:hAnsi="Times New Roman"/>
                <w:sz w:val="24"/>
                <w:szCs w:val="24"/>
              </w:rPr>
              <w:t>a</w:t>
            </w:r>
            <w:r w:rsidRPr="008F1946">
              <w:rPr>
                <w:rFonts w:ascii="Times New Roman" w:hAnsi="Times New Roman"/>
                <w:sz w:val="24"/>
                <w:szCs w:val="24"/>
              </w:rPr>
              <w:t xml:space="preserve">izdevuma instrumenta finansējums, ar kuru plānots izsniegt aizdevumus vismaz 115 daudzdzīvokļu dzīvojamām mājām, ir 33 495 000 </w:t>
            </w:r>
            <w:proofErr w:type="spellStart"/>
            <w:r w:rsidRPr="008F1946">
              <w:rPr>
                <w:rFonts w:ascii="Times New Roman" w:hAnsi="Times New Roman"/>
                <w:i/>
                <w:sz w:val="24"/>
                <w:szCs w:val="24"/>
              </w:rPr>
              <w:t>euro</w:t>
            </w:r>
            <w:proofErr w:type="spellEnd"/>
            <w:r w:rsidRPr="008F1946">
              <w:rPr>
                <w:rFonts w:ascii="Times New Roman" w:hAnsi="Times New Roman"/>
                <w:sz w:val="24"/>
                <w:szCs w:val="24"/>
              </w:rPr>
              <w:t xml:space="preserve"> (Finanšu instrumenta publiskais finansējums aizdevumu sniegšanai 10 048 500 </w:t>
            </w:r>
            <w:proofErr w:type="spellStart"/>
            <w:r w:rsidRPr="008F1946">
              <w:rPr>
                <w:rFonts w:ascii="Times New Roman" w:hAnsi="Times New Roman"/>
                <w:i/>
                <w:sz w:val="24"/>
                <w:szCs w:val="24"/>
              </w:rPr>
              <w:t>euro</w:t>
            </w:r>
            <w:proofErr w:type="spellEnd"/>
            <w:r w:rsidRPr="008F1946">
              <w:rPr>
                <w:rFonts w:ascii="Times New Roman" w:hAnsi="Times New Roman"/>
                <w:sz w:val="24"/>
                <w:szCs w:val="24"/>
              </w:rPr>
              <w:t>; sabiedrības “</w:t>
            </w:r>
            <w:proofErr w:type="spellStart"/>
            <w:r w:rsidRPr="008F1946">
              <w:rPr>
                <w:rFonts w:ascii="Times New Roman" w:hAnsi="Times New Roman"/>
                <w:sz w:val="24"/>
                <w:szCs w:val="24"/>
              </w:rPr>
              <w:t>Altum</w:t>
            </w:r>
            <w:proofErr w:type="spellEnd"/>
            <w:r w:rsidRPr="008F1946">
              <w:rPr>
                <w:rFonts w:ascii="Times New Roman" w:hAnsi="Times New Roman"/>
                <w:sz w:val="24"/>
                <w:szCs w:val="24"/>
              </w:rPr>
              <w:t>” pašas vai aizņemto līdze</w:t>
            </w:r>
            <w:r>
              <w:rPr>
                <w:rFonts w:ascii="Times New Roman" w:hAnsi="Times New Roman"/>
                <w:sz w:val="24"/>
                <w:szCs w:val="24"/>
              </w:rPr>
              <w:t>kļu finansējums 23</w:t>
            </w:r>
            <w:r w:rsidR="00BA15F0">
              <w:rPr>
                <w:rFonts w:ascii="Times New Roman" w:hAnsi="Times New Roman"/>
                <w:sz w:val="24"/>
                <w:szCs w:val="24"/>
              </w:rPr>
              <w:t> 446 </w:t>
            </w:r>
            <w:r>
              <w:rPr>
                <w:rFonts w:ascii="Times New Roman" w:hAnsi="Times New Roman"/>
                <w:sz w:val="24"/>
                <w:szCs w:val="24"/>
              </w:rPr>
              <w:t xml:space="preserve">500 </w:t>
            </w:r>
            <w:proofErr w:type="spellStart"/>
            <w:r w:rsidRPr="008F1946">
              <w:rPr>
                <w:rFonts w:ascii="Times New Roman" w:hAnsi="Times New Roman"/>
                <w:i/>
                <w:sz w:val="24"/>
                <w:szCs w:val="24"/>
              </w:rPr>
              <w:t>euro</w:t>
            </w:r>
            <w:proofErr w:type="spellEnd"/>
            <w:r w:rsidRPr="008F1946">
              <w:rPr>
                <w:rFonts w:ascii="Times New Roman" w:hAnsi="Times New Roman"/>
                <w:sz w:val="24"/>
                <w:szCs w:val="24"/>
              </w:rPr>
              <w:t>).</w:t>
            </w:r>
            <w:r w:rsidR="00BA15F0">
              <w:rPr>
                <w:rFonts w:ascii="Times New Roman" w:hAnsi="Times New Roman"/>
                <w:sz w:val="24"/>
                <w:szCs w:val="24"/>
              </w:rPr>
              <w:t xml:space="preserve"> Ņemot vērā ievērojamo finanšu resursu iztrūkumu daudzdzīvokļu dzīvojamo māju energoefektivitātes paaugstināšanai, papildu finansētāju iesaiste nespēj risināt esošo tirgus nepilnību, tāpēc sabiedrībai “</w:t>
            </w:r>
            <w:proofErr w:type="spellStart"/>
            <w:r w:rsidR="00BA15F0">
              <w:rPr>
                <w:rFonts w:ascii="Times New Roman" w:hAnsi="Times New Roman"/>
                <w:sz w:val="24"/>
                <w:szCs w:val="24"/>
              </w:rPr>
              <w:t>Altum</w:t>
            </w:r>
            <w:proofErr w:type="spellEnd"/>
            <w:r w:rsidR="00BA15F0">
              <w:rPr>
                <w:rFonts w:ascii="Times New Roman" w:hAnsi="Times New Roman"/>
                <w:sz w:val="24"/>
                <w:szCs w:val="24"/>
              </w:rPr>
              <w:t>” joprojām ir nepieciešams nodrošināt aizdevumus daudzdzīvokļu dzīvojamo māju energoefektivitātes paaugstināšanai.</w:t>
            </w:r>
          </w:p>
          <w:p w14:paraId="3F618189" w14:textId="77777777" w:rsidR="008F1946" w:rsidRDefault="008F1946" w:rsidP="008F1946">
            <w:pPr>
              <w:pStyle w:val="ListParagraph"/>
              <w:spacing w:before="60" w:after="60" w:line="240" w:lineRule="auto"/>
              <w:ind w:left="82"/>
              <w:jc w:val="both"/>
              <w:rPr>
                <w:rFonts w:ascii="Times New Roman" w:hAnsi="Times New Roman"/>
                <w:sz w:val="24"/>
                <w:szCs w:val="24"/>
              </w:rPr>
            </w:pPr>
          </w:p>
          <w:p w14:paraId="1AB32BE1" w14:textId="77777777" w:rsidR="00382B44" w:rsidRPr="007A4D2C" w:rsidRDefault="00382B44" w:rsidP="00C46C6D">
            <w:pPr>
              <w:pStyle w:val="ListParagraph"/>
              <w:numPr>
                <w:ilvl w:val="0"/>
                <w:numId w:val="4"/>
              </w:numPr>
              <w:spacing w:before="60" w:after="60" w:line="240" w:lineRule="auto"/>
              <w:ind w:left="82" w:firstLine="0"/>
              <w:jc w:val="both"/>
              <w:rPr>
                <w:rFonts w:ascii="Times New Roman" w:hAnsi="Times New Roman"/>
                <w:b/>
                <w:i/>
                <w:sz w:val="24"/>
                <w:szCs w:val="24"/>
                <w:u w:val="single"/>
              </w:rPr>
            </w:pPr>
            <w:r>
              <w:rPr>
                <w:rFonts w:ascii="Times New Roman" w:hAnsi="Times New Roman"/>
                <w:b/>
                <w:i/>
                <w:sz w:val="24"/>
                <w:szCs w:val="24"/>
                <w:u w:val="single"/>
              </w:rPr>
              <w:t>Svītrot n</w:t>
            </w:r>
            <w:r w:rsidRPr="009745DD">
              <w:rPr>
                <w:rFonts w:ascii="Times New Roman" w:hAnsi="Times New Roman"/>
                <w:b/>
                <w:i/>
                <w:sz w:val="24"/>
                <w:szCs w:val="24"/>
                <w:u w:val="single"/>
              </w:rPr>
              <w:t>oteik</w:t>
            </w:r>
            <w:r>
              <w:rPr>
                <w:rFonts w:ascii="Times New Roman" w:hAnsi="Times New Roman"/>
                <w:b/>
                <w:i/>
                <w:sz w:val="24"/>
                <w:szCs w:val="24"/>
                <w:u w:val="single"/>
              </w:rPr>
              <w:t>to</w:t>
            </w:r>
            <w:r w:rsidRPr="009745DD">
              <w:rPr>
                <w:rFonts w:ascii="Times New Roman" w:hAnsi="Times New Roman"/>
                <w:b/>
                <w:i/>
                <w:sz w:val="24"/>
                <w:szCs w:val="24"/>
                <w:u w:val="single"/>
              </w:rPr>
              <w:t xml:space="preserve"> 25% ierobežojum</w:t>
            </w:r>
            <w:r>
              <w:rPr>
                <w:rFonts w:ascii="Times New Roman" w:hAnsi="Times New Roman"/>
                <w:b/>
                <w:i/>
                <w:sz w:val="24"/>
                <w:szCs w:val="24"/>
                <w:u w:val="single"/>
              </w:rPr>
              <w:t>u</w:t>
            </w:r>
            <w:r w:rsidRPr="009745DD">
              <w:rPr>
                <w:rFonts w:ascii="Times New Roman" w:hAnsi="Times New Roman"/>
                <w:b/>
                <w:i/>
                <w:sz w:val="24"/>
                <w:szCs w:val="24"/>
                <w:u w:val="single"/>
              </w:rPr>
              <w:t xml:space="preserve"> nedzīvojamo telpu grupu platībām</w:t>
            </w:r>
            <w:r>
              <w:rPr>
                <w:rFonts w:ascii="Times New Roman" w:hAnsi="Times New Roman"/>
                <w:b/>
                <w:i/>
                <w:sz w:val="24"/>
                <w:szCs w:val="24"/>
                <w:u w:val="single"/>
              </w:rPr>
              <w:t>.</w:t>
            </w:r>
          </w:p>
          <w:p w14:paraId="66A718AC" w14:textId="77777777" w:rsidR="00382B44" w:rsidRDefault="00382B44" w:rsidP="00C46C6D">
            <w:pPr>
              <w:pStyle w:val="ListParagraph"/>
              <w:spacing w:before="60" w:after="60" w:line="240" w:lineRule="auto"/>
              <w:ind w:left="82" w:firstLine="567"/>
              <w:jc w:val="both"/>
              <w:rPr>
                <w:rFonts w:ascii="Times New Roman" w:hAnsi="Times New Roman"/>
                <w:sz w:val="24"/>
                <w:szCs w:val="24"/>
              </w:rPr>
            </w:pPr>
            <w:r>
              <w:rPr>
                <w:rFonts w:ascii="Times New Roman" w:hAnsi="Times New Roman"/>
                <w:sz w:val="24"/>
                <w:szCs w:val="24"/>
              </w:rPr>
              <w:t>Skaidrojam, ka MK noteikumos Nr. 160 noteiktais 25% ierobežojums nedzīvojamo telpu grupu platībām tika noteikts ar mērķi Eiropas Komisijai pamatot, ka atbalsts Pasākuma ietvaros nav uzskatāms par komercdarbības atbalstu. Vēsturiski arī 2007. – 2013.gada plānošanas periodā 25% ierobežojums bija ierobežot tieši komercdarbības veikšanai iznomāto telpu atbalstīšanu. Ņemot vērā, ka EM notifikāciju ir atsaukusi, tās ieskatā 25% ierobežojums nedzīvojamām platībām nav nepieciešams, jo tas no atbalstāmo ēku loka izslēdz ievērojamu dzīvojamo ēku skaitu. Papildus šāds ierobežojums arī ir pretrunā ar Ministru kabineta 2009.gada 22.decembra noteikumos Nr.1620 “</w:t>
            </w:r>
            <w:r w:rsidRPr="00D34BEC">
              <w:rPr>
                <w:rFonts w:ascii="Times New Roman" w:hAnsi="Times New Roman"/>
                <w:sz w:val="24"/>
                <w:szCs w:val="24"/>
              </w:rPr>
              <w:t>Noteikumi par būvju klasifikāciju</w:t>
            </w:r>
            <w:r>
              <w:rPr>
                <w:rFonts w:ascii="Times New Roman" w:hAnsi="Times New Roman"/>
                <w:sz w:val="24"/>
                <w:szCs w:val="24"/>
              </w:rPr>
              <w:t>” ietverto dzīvojamās mājas definīciju - d</w:t>
            </w:r>
            <w:r w:rsidRPr="00D34BEC">
              <w:rPr>
                <w:rFonts w:ascii="Times New Roman" w:hAnsi="Times New Roman"/>
                <w:sz w:val="24"/>
                <w:szCs w:val="24"/>
              </w:rPr>
              <w:t xml:space="preserve">zīvojamās mājas ir ēkas, no kuru platības vismaz </w:t>
            </w:r>
            <w:r>
              <w:rPr>
                <w:rFonts w:ascii="Times New Roman" w:hAnsi="Times New Roman"/>
                <w:sz w:val="24"/>
                <w:szCs w:val="24"/>
              </w:rPr>
              <w:t>puse tiek izmantota dzīvošanai.</w:t>
            </w:r>
          </w:p>
          <w:p w14:paraId="336A78B2" w14:textId="77777777" w:rsidR="00382B44" w:rsidRDefault="00382B44" w:rsidP="00C46C6D">
            <w:pPr>
              <w:spacing w:before="60" w:after="60" w:line="240" w:lineRule="auto"/>
              <w:jc w:val="both"/>
              <w:rPr>
                <w:rFonts w:ascii="Times New Roman" w:hAnsi="Times New Roman"/>
                <w:sz w:val="24"/>
                <w:szCs w:val="24"/>
              </w:rPr>
            </w:pPr>
          </w:p>
          <w:p w14:paraId="16A501F5" w14:textId="77777777" w:rsidR="00382B44" w:rsidRPr="007E12F6" w:rsidRDefault="00382B44" w:rsidP="00C46C6D">
            <w:pPr>
              <w:pStyle w:val="ListParagraph"/>
              <w:numPr>
                <w:ilvl w:val="0"/>
                <w:numId w:val="4"/>
              </w:numPr>
              <w:spacing w:before="60" w:after="60" w:line="240" w:lineRule="auto"/>
              <w:ind w:left="54" w:firstLine="0"/>
              <w:jc w:val="both"/>
              <w:rPr>
                <w:rFonts w:ascii="Times New Roman" w:hAnsi="Times New Roman"/>
                <w:b/>
                <w:i/>
                <w:sz w:val="24"/>
                <w:szCs w:val="24"/>
                <w:u w:val="single"/>
              </w:rPr>
            </w:pPr>
            <w:r>
              <w:rPr>
                <w:rFonts w:ascii="Times New Roman" w:hAnsi="Times New Roman"/>
                <w:b/>
                <w:i/>
                <w:sz w:val="24"/>
                <w:szCs w:val="24"/>
                <w:u w:val="single"/>
              </w:rPr>
              <w:lastRenderedPageBreak/>
              <w:t>N</w:t>
            </w:r>
            <w:r w:rsidRPr="007E12F6">
              <w:rPr>
                <w:rFonts w:ascii="Times New Roman" w:hAnsi="Times New Roman"/>
                <w:b/>
                <w:i/>
                <w:sz w:val="24"/>
                <w:szCs w:val="24"/>
                <w:u w:val="single"/>
              </w:rPr>
              <w:t>oteikt, ka valsts un pašvaldības īpašumā esošo nedzīvojamo platību izmantošana un iznomāšana nav uzskatāma par saimniecisko darbību</w:t>
            </w:r>
            <w:r>
              <w:rPr>
                <w:rFonts w:ascii="Times New Roman" w:hAnsi="Times New Roman"/>
                <w:b/>
                <w:i/>
                <w:sz w:val="24"/>
                <w:szCs w:val="24"/>
                <w:u w:val="single"/>
              </w:rPr>
              <w:t>.</w:t>
            </w:r>
          </w:p>
          <w:p w14:paraId="5348DDCF" w14:textId="77777777" w:rsidR="00382B44" w:rsidRPr="007E12F6" w:rsidRDefault="00382B44" w:rsidP="00C46C6D">
            <w:pPr>
              <w:spacing w:before="60" w:after="60" w:line="240" w:lineRule="auto"/>
              <w:ind w:firstLine="621"/>
              <w:jc w:val="both"/>
              <w:rPr>
                <w:rFonts w:ascii="Times New Roman" w:hAnsi="Times New Roman"/>
                <w:sz w:val="24"/>
                <w:szCs w:val="24"/>
              </w:rPr>
            </w:pPr>
            <w:r>
              <w:rPr>
                <w:rFonts w:ascii="Times New Roman" w:hAnsi="Times New Roman"/>
                <w:sz w:val="24"/>
                <w:szCs w:val="24"/>
              </w:rPr>
              <w:t>Noteikumu projekts paredz, ka komercdarbības atbalsta nosacījumus v</w:t>
            </w:r>
            <w:r w:rsidRPr="007E12F6">
              <w:rPr>
                <w:rFonts w:ascii="Times New Roman" w:hAnsi="Times New Roman"/>
                <w:sz w:val="24"/>
                <w:szCs w:val="24"/>
              </w:rPr>
              <w:t>ar neattiecināt uz nedzīvojamām telpu grupām, kas ir valsts vai pašvaldības īpašumā un netiek izmantotas saimnieciskajai darbībai</w:t>
            </w:r>
            <w:r>
              <w:rPr>
                <w:rFonts w:ascii="Times New Roman" w:hAnsi="Times New Roman"/>
                <w:sz w:val="24"/>
                <w:szCs w:val="24"/>
              </w:rPr>
              <w:t xml:space="preserve"> vai tās nodotas bezatlīdzības lietošanā sabiedriskā labuma organizācijām</w:t>
            </w:r>
            <w:r w:rsidRPr="007E12F6">
              <w:rPr>
                <w:rFonts w:ascii="Times New Roman" w:hAnsi="Times New Roman"/>
                <w:sz w:val="24"/>
                <w:szCs w:val="24"/>
              </w:rPr>
              <w:t>.</w:t>
            </w:r>
            <w:r>
              <w:t xml:space="preserve"> </w:t>
            </w:r>
            <w:r w:rsidRPr="007E12F6">
              <w:rPr>
                <w:rFonts w:ascii="Times New Roman" w:hAnsi="Times New Roman"/>
                <w:sz w:val="24"/>
                <w:szCs w:val="24"/>
              </w:rPr>
              <w:t>Par saimniecisko darbību netiek uzskatīta darbība, ja valsts vai pašvaldības iestādes sniedz maksas pakalpojumus</w:t>
            </w:r>
            <w:r>
              <w:rPr>
                <w:rFonts w:ascii="Times New Roman" w:hAnsi="Times New Roman"/>
                <w:sz w:val="24"/>
                <w:szCs w:val="24"/>
              </w:rPr>
              <w:t xml:space="preserve"> </w:t>
            </w:r>
            <w:r w:rsidRPr="009B2C63">
              <w:rPr>
                <w:rFonts w:ascii="Times New Roman" w:hAnsi="Times New Roman"/>
                <w:sz w:val="24"/>
                <w:szCs w:val="24"/>
              </w:rPr>
              <w:t>savas kompetences ietvaros. Minētajiem pakalpojumiem jābūt saistītiem ar valsts pārvaldes funkciju nodrošināšanu un par tādiem ir uzskatāmi, piemēram, maksas saņemšana par izziņu vai kopiju izsniegšanu u.tml.</w:t>
            </w:r>
          </w:p>
          <w:p w14:paraId="2D7224D1" w14:textId="77777777" w:rsidR="00382B44" w:rsidRDefault="00382B44" w:rsidP="00C46C6D">
            <w:pPr>
              <w:pStyle w:val="ListParagraph"/>
              <w:spacing w:before="60" w:after="60" w:line="240" w:lineRule="auto"/>
              <w:ind w:left="82" w:firstLine="567"/>
              <w:jc w:val="both"/>
              <w:rPr>
                <w:rFonts w:ascii="Times New Roman" w:hAnsi="Times New Roman"/>
                <w:sz w:val="24"/>
                <w:szCs w:val="24"/>
              </w:rPr>
            </w:pPr>
          </w:p>
          <w:p w14:paraId="0EFB3EDE" w14:textId="77777777" w:rsidR="00382B44" w:rsidRPr="003A090F" w:rsidRDefault="00382B44" w:rsidP="00C46C6D">
            <w:pPr>
              <w:pStyle w:val="ListParagraph"/>
              <w:numPr>
                <w:ilvl w:val="0"/>
                <w:numId w:val="4"/>
              </w:numPr>
              <w:spacing w:before="60" w:after="60" w:line="240" w:lineRule="auto"/>
              <w:ind w:left="54" w:firstLine="0"/>
              <w:jc w:val="both"/>
              <w:rPr>
                <w:rFonts w:ascii="Times New Roman" w:hAnsi="Times New Roman"/>
                <w:b/>
                <w:i/>
                <w:sz w:val="24"/>
                <w:szCs w:val="24"/>
                <w:u w:val="single"/>
              </w:rPr>
            </w:pPr>
            <w:r w:rsidRPr="003A090F">
              <w:rPr>
                <w:rFonts w:ascii="Times New Roman" w:hAnsi="Times New Roman"/>
                <w:b/>
                <w:i/>
                <w:sz w:val="24"/>
                <w:szCs w:val="24"/>
                <w:u w:val="single"/>
              </w:rPr>
              <w:t xml:space="preserve">Noteikt, ka </w:t>
            </w:r>
            <w:proofErr w:type="spellStart"/>
            <w:r w:rsidRPr="003A090F">
              <w:rPr>
                <w:rFonts w:ascii="Times New Roman" w:hAnsi="Times New Roman"/>
                <w:b/>
                <w:i/>
                <w:sz w:val="24"/>
                <w:szCs w:val="24"/>
                <w:u w:val="single"/>
              </w:rPr>
              <w:t>de</w:t>
            </w:r>
            <w:proofErr w:type="spellEnd"/>
            <w:r w:rsidRPr="003A090F">
              <w:rPr>
                <w:rFonts w:ascii="Times New Roman" w:hAnsi="Times New Roman"/>
                <w:b/>
                <w:i/>
                <w:sz w:val="24"/>
                <w:szCs w:val="24"/>
                <w:u w:val="single"/>
              </w:rPr>
              <w:t xml:space="preserve"> </w:t>
            </w:r>
            <w:proofErr w:type="spellStart"/>
            <w:r w:rsidRPr="003A090F">
              <w:rPr>
                <w:rFonts w:ascii="Times New Roman" w:hAnsi="Times New Roman"/>
                <w:b/>
                <w:i/>
                <w:sz w:val="24"/>
                <w:szCs w:val="24"/>
                <w:u w:val="single"/>
              </w:rPr>
              <w:t>minimis</w:t>
            </w:r>
            <w:proofErr w:type="spellEnd"/>
            <w:r w:rsidRPr="003A090F">
              <w:rPr>
                <w:rFonts w:ascii="Times New Roman" w:hAnsi="Times New Roman"/>
                <w:b/>
                <w:i/>
                <w:sz w:val="24"/>
                <w:szCs w:val="24"/>
                <w:u w:val="single"/>
              </w:rPr>
              <w:t xml:space="preserve"> veidlapa </w:t>
            </w:r>
            <w:proofErr w:type="spellStart"/>
            <w:r w:rsidRPr="003A090F">
              <w:rPr>
                <w:rFonts w:ascii="Times New Roman" w:hAnsi="Times New Roman"/>
                <w:b/>
                <w:i/>
                <w:sz w:val="24"/>
                <w:szCs w:val="24"/>
                <w:u w:val="single"/>
              </w:rPr>
              <w:t>sabiedŗībā</w:t>
            </w:r>
            <w:proofErr w:type="spellEnd"/>
            <w:r w:rsidRPr="003A090F">
              <w:rPr>
                <w:rFonts w:ascii="Times New Roman" w:hAnsi="Times New Roman"/>
                <w:b/>
                <w:i/>
                <w:sz w:val="24"/>
                <w:szCs w:val="24"/>
                <w:u w:val="single"/>
              </w:rPr>
              <w:t xml:space="preserve"> “</w:t>
            </w:r>
            <w:proofErr w:type="spellStart"/>
            <w:r>
              <w:rPr>
                <w:rFonts w:ascii="Times New Roman" w:hAnsi="Times New Roman"/>
                <w:b/>
                <w:i/>
                <w:sz w:val="24"/>
                <w:szCs w:val="24"/>
                <w:u w:val="single"/>
              </w:rPr>
              <w:t>Altum</w:t>
            </w:r>
            <w:proofErr w:type="spellEnd"/>
            <w:r>
              <w:rPr>
                <w:rFonts w:ascii="Times New Roman" w:hAnsi="Times New Roman"/>
                <w:b/>
                <w:i/>
                <w:sz w:val="24"/>
                <w:szCs w:val="24"/>
                <w:u w:val="single"/>
              </w:rPr>
              <w:t xml:space="preserve">” tiek iesniegta reizē ar </w:t>
            </w:r>
            <w:proofErr w:type="spellStart"/>
            <w:r>
              <w:rPr>
                <w:rFonts w:ascii="Times New Roman" w:hAnsi="Times New Roman"/>
                <w:b/>
                <w:i/>
                <w:sz w:val="24"/>
                <w:szCs w:val="24"/>
                <w:u w:val="single"/>
              </w:rPr>
              <w:t>g</w:t>
            </w:r>
            <w:r w:rsidRPr="003A090F">
              <w:rPr>
                <w:rFonts w:ascii="Times New Roman" w:hAnsi="Times New Roman"/>
                <w:b/>
                <w:i/>
                <w:sz w:val="24"/>
                <w:szCs w:val="24"/>
                <w:u w:val="single"/>
              </w:rPr>
              <w:t>ranta</w:t>
            </w:r>
            <w:proofErr w:type="spellEnd"/>
            <w:r w:rsidRPr="003A090F">
              <w:rPr>
                <w:rFonts w:ascii="Times New Roman" w:hAnsi="Times New Roman"/>
                <w:b/>
                <w:i/>
                <w:sz w:val="24"/>
                <w:szCs w:val="24"/>
                <w:u w:val="single"/>
              </w:rPr>
              <w:t xml:space="preserve"> pieteikumu un, ka sabiedrība “</w:t>
            </w:r>
            <w:proofErr w:type="spellStart"/>
            <w:r w:rsidRPr="003A090F">
              <w:rPr>
                <w:rFonts w:ascii="Times New Roman" w:hAnsi="Times New Roman"/>
                <w:b/>
                <w:i/>
                <w:sz w:val="24"/>
                <w:szCs w:val="24"/>
                <w:u w:val="single"/>
              </w:rPr>
              <w:t>Altum</w:t>
            </w:r>
            <w:proofErr w:type="spellEnd"/>
            <w:r w:rsidRPr="003A090F">
              <w:rPr>
                <w:rFonts w:ascii="Times New Roman" w:hAnsi="Times New Roman"/>
                <w:b/>
                <w:i/>
                <w:sz w:val="24"/>
                <w:szCs w:val="24"/>
                <w:u w:val="single"/>
              </w:rPr>
              <w:t xml:space="preserve">” lēmumu par atbalsta piešķiršanu pieņem pēc cita finansētāja lēmuma par noteiktajiem finansējuma izmaksāšanas nosacījumiem un dzīvokļa īpašnieku lēmuma par cita finansētāja finansēšanas nosacījumu apstiprināšanas. </w:t>
            </w:r>
          </w:p>
          <w:p w14:paraId="57A7956D" w14:textId="77777777" w:rsidR="00382B44" w:rsidRPr="002B1F86" w:rsidRDefault="00382B44" w:rsidP="00C46C6D">
            <w:pPr>
              <w:pStyle w:val="ListParagraph"/>
              <w:spacing w:before="60" w:after="60" w:line="240" w:lineRule="auto"/>
              <w:ind w:left="82" w:firstLine="567"/>
              <w:jc w:val="both"/>
              <w:rPr>
                <w:rFonts w:ascii="Times New Roman" w:hAnsi="Times New Roman"/>
                <w:sz w:val="24"/>
                <w:szCs w:val="24"/>
              </w:rPr>
            </w:pPr>
            <w:r w:rsidRPr="002B1F86">
              <w:rPr>
                <w:rFonts w:ascii="Times New Roman" w:hAnsi="Times New Roman"/>
                <w:sz w:val="24"/>
                <w:szCs w:val="24"/>
              </w:rPr>
              <w:t>Sabiedrība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xml:space="preserve">” </w:t>
            </w:r>
            <w:proofErr w:type="spellStart"/>
            <w:r w:rsidRPr="002B1F86">
              <w:rPr>
                <w:rFonts w:ascii="Times New Roman" w:hAnsi="Times New Roman"/>
                <w:sz w:val="24"/>
                <w:szCs w:val="24"/>
              </w:rPr>
              <w:t>granta</w:t>
            </w:r>
            <w:proofErr w:type="spellEnd"/>
            <w:r w:rsidRPr="002B1F86">
              <w:rPr>
                <w:rFonts w:ascii="Times New Roman" w:hAnsi="Times New Roman"/>
                <w:sz w:val="24"/>
                <w:szCs w:val="24"/>
              </w:rPr>
              <w:t xml:space="preserve"> pieteikumu </w:t>
            </w:r>
            <w:proofErr w:type="spellStart"/>
            <w:r w:rsidRPr="002B1F86">
              <w:rPr>
                <w:rFonts w:ascii="Times New Roman" w:hAnsi="Times New Roman"/>
                <w:sz w:val="24"/>
                <w:szCs w:val="24"/>
              </w:rPr>
              <w:t>izvērtējumu</w:t>
            </w:r>
            <w:proofErr w:type="spellEnd"/>
            <w:r w:rsidRPr="002B1F86">
              <w:rPr>
                <w:rFonts w:ascii="Times New Roman" w:hAnsi="Times New Roman"/>
                <w:sz w:val="24"/>
                <w:szCs w:val="24"/>
              </w:rPr>
              <w:t xml:space="preserve"> veic pēc informācijas saņemšanas no cita finansētāja vai energoefektivitātes pakalpojuma sniedzēja par plānotajiem finansēšanas nosacījumiem. Pēc sabiedrības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xml:space="preserve">” </w:t>
            </w:r>
            <w:proofErr w:type="spellStart"/>
            <w:r w:rsidRPr="002B1F86">
              <w:rPr>
                <w:rFonts w:ascii="Times New Roman" w:hAnsi="Times New Roman"/>
                <w:sz w:val="24"/>
                <w:szCs w:val="24"/>
              </w:rPr>
              <w:t>izvērtējuma</w:t>
            </w:r>
            <w:proofErr w:type="spellEnd"/>
            <w:r w:rsidRPr="002B1F86">
              <w:rPr>
                <w:rFonts w:ascii="Times New Roman" w:hAnsi="Times New Roman"/>
                <w:sz w:val="24"/>
                <w:szCs w:val="24"/>
              </w:rPr>
              <w:t xml:space="preserve"> cits finansētājs vai energoefektivitātes pakalpojuma sniedzējs pieņem lēmumu par energoefektivitātes uzlabošanas pasākumu finansēšanu un dzīvokļu īpašnieki par cita finansētāja finansēšanas nosacījumu apstiprināšanu. Sabiedrība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xml:space="preserve">” lēmumu par </w:t>
            </w:r>
            <w:proofErr w:type="spellStart"/>
            <w:r w:rsidRPr="002B1F86">
              <w:rPr>
                <w:rFonts w:ascii="Times New Roman" w:hAnsi="Times New Roman"/>
                <w:sz w:val="24"/>
                <w:szCs w:val="24"/>
              </w:rPr>
              <w:t>granta</w:t>
            </w:r>
            <w:proofErr w:type="spellEnd"/>
            <w:r w:rsidRPr="002B1F86">
              <w:rPr>
                <w:rFonts w:ascii="Times New Roman" w:hAnsi="Times New Roman"/>
                <w:sz w:val="24"/>
                <w:szCs w:val="24"/>
              </w:rPr>
              <w:t xml:space="preserve"> piešķiršanu pieņem pēc attiecīgās informācijas saņemšanas.</w:t>
            </w:r>
          </w:p>
          <w:p w14:paraId="531C5B13" w14:textId="77777777" w:rsidR="00382B44" w:rsidRPr="002B1F86" w:rsidRDefault="00382B44" w:rsidP="00C46C6D">
            <w:pPr>
              <w:pStyle w:val="ListParagraph"/>
              <w:spacing w:before="60" w:after="60" w:line="240" w:lineRule="auto"/>
              <w:ind w:left="82" w:firstLine="567"/>
              <w:jc w:val="both"/>
              <w:rPr>
                <w:rFonts w:ascii="Times New Roman" w:hAnsi="Times New Roman"/>
                <w:sz w:val="24"/>
                <w:szCs w:val="24"/>
              </w:rPr>
            </w:pPr>
            <w:r w:rsidRPr="002B1F86">
              <w:rPr>
                <w:rFonts w:ascii="Times New Roman" w:hAnsi="Times New Roman"/>
                <w:sz w:val="24"/>
                <w:szCs w:val="24"/>
              </w:rPr>
              <w:t>Ja sabiedrība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xml:space="preserve">” </w:t>
            </w:r>
            <w:proofErr w:type="spellStart"/>
            <w:r w:rsidRPr="002B1F86">
              <w:rPr>
                <w:rFonts w:ascii="Times New Roman" w:hAnsi="Times New Roman"/>
                <w:i/>
                <w:sz w:val="24"/>
                <w:szCs w:val="24"/>
              </w:rPr>
              <w:t>de</w:t>
            </w:r>
            <w:proofErr w:type="spellEnd"/>
            <w:r w:rsidRPr="002B1F86">
              <w:rPr>
                <w:rFonts w:ascii="Times New Roman" w:hAnsi="Times New Roman"/>
                <w:i/>
                <w:sz w:val="24"/>
                <w:szCs w:val="24"/>
              </w:rPr>
              <w:t xml:space="preserve"> </w:t>
            </w:r>
            <w:proofErr w:type="spellStart"/>
            <w:r w:rsidRPr="002B1F86">
              <w:rPr>
                <w:rFonts w:ascii="Times New Roman" w:hAnsi="Times New Roman"/>
                <w:i/>
                <w:sz w:val="24"/>
                <w:szCs w:val="24"/>
              </w:rPr>
              <w:t>mimis</w:t>
            </w:r>
            <w:proofErr w:type="spellEnd"/>
            <w:r w:rsidRPr="002B1F86">
              <w:rPr>
                <w:rFonts w:ascii="Times New Roman" w:hAnsi="Times New Roman"/>
                <w:sz w:val="24"/>
                <w:szCs w:val="24"/>
              </w:rPr>
              <w:t xml:space="preserve"> veidlapas no dzīvokļu īpašniekiem saņem kopā ar </w:t>
            </w:r>
            <w:proofErr w:type="spellStart"/>
            <w:r w:rsidRPr="002B1F86">
              <w:rPr>
                <w:rFonts w:ascii="Times New Roman" w:hAnsi="Times New Roman"/>
                <w:sz w:val="24"/>
                <w:szCs w:val="24"/>
              </w:rPr>
              <w:t>granta</w:t>
            </w:r>
            <w:proofErr w:type="spellEnd"/>
            <w:r w:rsidRPr="002B1F86">
              <w:rPr>
                <w:rFonts w:ascii="Times New Roman" w:hAnsi="Times New Roman"/>
                <w:sz w:val="24"/>
                <w:szCs w:val="24"/>
              </w:rPr>
              <w:t xml:space="preserve"> pieteikumu, tiek mazināts administratīvais slogs. Dzīvokļu īpašnieku apliecinājumi un </w:t>
            </w:r>
            <w:proofErr w:type="spellStart"/>
            <w:r w:rsidRPr="002B1F86">
              <w:rPr>
                <w:rFonts w:ascii="Times New Roman" w:hAnsi="Times New Roman"/>
                <w:i/>
                <w:sz w:val="24"/>
                <w:szCs w:val="24"/>
              </w:rPr>
              <w:t>de</w:t>
            </w:r>
            <w:proofErr w:type="spellEnd"/>
            <w:r w:rsidRPr="002B1F86">
              <w:rPr>
                <w:rFonts w:ascii="Times New Roman" w:hAnsi="Times New Roman"/>
                <w:i/>
                <w:sz w:val="24"/>
                <w:szCs w:val="24"/>
              </w:rPr>
              <w:t xml:space="preserve"> </w:t>
            </w:r>
            <w:proofErr w:type="spellStart"/>
            <w:r w:rsidRPr="002B1F86">
              <w:rPr>
                <w:rFonts w:ascii="Times New Roman" w:hAnsi="Times New Roman"/>
                <w:i/>
                <w:sz w:val="24"/>
                <w:szCs w:val="24"/>
              </w:rPr>
              <w:t>minimis</w:t>
            </w:r>
            <w:proofErr w:type="spellEnd"/>
            <w:r w:rsidRPr="002B1F86">
              <w:rPr>
                <w:rFonts w:ascii="Times New Roman" w:hAnsi="Times New Roman"/>
                <w:sz w:val="24"/>
                <w:szCs w:val="24"/>
              </w:rPr>
              <w:t xml:space="preserve"> veidlapas jālūdz gatavot vienu reizi un vairākkārt nav jāseko līdzi izmaiņām dzīvokļu īpašnieku sarakstā. Saskaņā ar noteikumu projektu sabiedrība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xml:space="preserve">” izvērtē šo informāciju vienu reizi, proti, uz </w:t>
            </w:r>
            <w:proofErr w:type="spellStart"/>
            <w:r w:rsidRPr="002B1F86">
              <w:rPr>
                <w:rFonts w:ascii="Times New Roman" w:hAnsi="Times New Roman"/>
                <w:sz w:val="24"/>
                <w:szCs w:val="24"/>
              </w:rPr>
              <w:t>granta</w:t>
            </w:r>
            <w:proofErr w:type="spellEnd"/>
            <w:r w:rsidRPr="002B1F86">
              <w:rPr>
                <w:rFonts w:ascii="Times New Roman" w:hAnsi="Times New Roman"/>
                <w:sz w:val="24"/>
                <w:szCs w:val="24"/>
              </w:rPr>
              <w:t xml:space="preserve"> piešķiršanas brīdi.</w:t>
            </w:r>
          </w:p>
          <w:p w14:paraId="01DED800" w14:textId="77777777" w:rsidR="00382B44" w:rsidRPr="002B1F86" w:rsidRDefault="00382B44" w:rsidP="00C46C6D">
            <w:pPr>
              <w:pStyle w:val="ListParagraph"/>
              <w:spacing w:before="60" w:after="60" w:line="240" w:lineRule="auto"/>
              <w:ind w:left="82" w:firstLine="567"/>
              <w:jc w:val="both"/>
              <w:rPr>
                <w:rFonts w:ascii="Times New Roman" w:hAnsi="Times New Roman"/>
                <w:sz w:val="24"/>
                <w:szCs w:val="24"/>
              </w:rPr>
            </w:pPr>
          </w:p>
          <w:p w14:paraId="5D112149" w14:textId="77777777" w:rsidR="00382B44" w:rsidRPr="00602A28" w:rsidRDefault="00382B44" w:rsidP="00C46C6D">
            <w:pPr>
              <w:pStyle w:val="ListParagraph"/>
              <w:numPr>
                <w:ilvl w:val="0"/>
                <w:numId w:val="4"/>
              </w:numPr>
              <w:spacing w:before="60" w:after="60" w:line="240" w:lineRule="auto"/>
              <w:ind w:left="54" w:firstLine="0"/>
              <w:jc w:val="both"/>
              <w:rPr>
                <w:rFonts w:ascii="Times New Roman" w:hAnsi="Times New Roman"/>
                <w:b/>
                <w:i/>
                <w:sz w:val="24"/>
                <w:szCs w:val="24"/>
                <w:u w:val="single"/>
              </w:rPr>
            </w:pPr>
            <w:r w:rsidRPr="00602A28">
              <w:rPr>
                <w:rFonts w:ascii="Times New Roman" w:hAnsi="Times New Roman"/>
                <w:b/>
                <w:i/>
                <w:sz w:val="24"/>
                <w:szCs w:val="24"/>
                <w:u w:val="single"/>
              </w:rPr>
              <w:t>Papildināt MK noteikumus Nr.160 ar dzīvokļu īpašnieku kopsapulces protokolā iekļaujamiem jautājumiem.</w:t>
            </w:r>
          </w:p>
          <w:p w14:paraId="7536CA94" w14:textId="77777777" w:rsidR="00382B44" w:rsidRPr="002B1F86" w:rsidRDefault="00382B44" w:rsidP="00C46C6D">
            <w:pPr>
              <w:spacing w:before="60" w:after="60" w:line="240" w:lineRule="auto"/>
              <w:jc w:val="both"/>
              <w:rPr>
                <w:rFonts w:ascii="Times New Roman" w:hAnsi="Times New Roman"/>
                <w:sz w:val="24"/>
                <w:szCs w:val="24"/>
              </w:rPr>
            </w:pPr>
            <w:r w:rsidRPr="002B1F86">
              <w:rPr>
                <w:rFonts w:ascii="Times New Roman" w:hAnsi="Times New Roman"/>
                <w:sz w:val="24"/>
                <w:szCs w:val="24"/>
              </w:rPr>
              <w:t>Lai nodrošinātu skaidru sabiedrības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prasību noteikšanu, MK noteikumos Nr.160, nepieciešams iekļaut normu, kas nosaka, ka pirms sabiedrības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xml:space="preserve">” lēmuma par </w:t>
            </w:r>
            <w:proofErr w:type="spellStart"/>
            <w:r w:rsidRPr="002B1F86">
              <w:rPr>
                <w:rFonts w:ascii="Times New Roman" w:hAnsi="Times New Roman"/>
                <w:sz w:val="24"/>
                <w:szCs w:val="24"/>
              </w:rPr>
              <w:t>granta</w:t>
            </w:r>
            <w:proofErr w:type="spellEnd"/>
            <w:r w:rsidRPr="002B1F86">
              <w:rPr>
                <w:rFonts w:ascii="Times New Roman" w:hAnsi="Times New Roman"/>
                <w:sz w:val="24"/>
                <w:szCs w:val="24"/>
              </w:rPr>
              <w:t xml:space="preserve"> piešķiršanu dzīvokļu īpašnieki pieņem lēmumu arī par cita finansētāja finansēšanas nosacījumiem:</w:t>
            </w:r>
          </w:p>
          <w:p w14:paraId="52069789" w14:textId="10C8441E" w:rsidR="00382B44" w:rsidRPr="002B1F86" w:rsidRDefault="00382B44" w:rsidP="00C46C6D">
            <w:pPr>
              <w:spacing w:before="60" w:after="60" w:line="240" w:lineRule="auto"/>
              <w:jc w:val="both"/>
              <w:rPr>
                <w:rFonts w:ascii="Times New Roman" w:hAnsi="Times New Roman"/>
                <w:sz w:val="24"/>
                <w:szCs w:val="24"/>
              </w:rPr>
            </w:pPr>
            <w:r w:rsidRPr="002B1F86">
              <w:rPr>
                <w:rFonts w:ascii="Times New Roman" w:hAnsi="Times New Roman"/>
                <w:sz w:val="24"/>
                <w:szCs w:val="24"/>
              </w:rPr>
              <w:t>Aizdevuma gadījumā –</w:t>
            </w:r>
            <w:r w:rsidR="000269FB">
              <w:rPr>
                <w:rFonts w:ascii="Times New Roman" w:hAnsi="Times New Roman"/>
                <w:sz w:val="24"/>
                <w:szCs w:val="24"/>
              </w:rPr>
              <w:t xml:space="preserve"> </w:t>
            </w:r>
            <w:r w:rsidRPr="002B1F86">
              <w:rPr>
                <w:rFonts w:ascii="Times New Roman" w:hAnsi="Times New Roman"/>
                <w:sz w:val="24"/>
                <w:szCs w:val="24"/>
              </w:rPr>
              <w:t xml:space="preserve">aizdevuma summu, aizdevuma atmaksas termiņu, procenta likmes apmēru, aizdevuma atmaksai novirzāmo ikmēneša maksājuma apmēru;  u.c. </w:t>
            </w:r>
          </w:p>
          <w:p w14:paraId="61F041B4" w14:textId="77777777" w:rsidR="00382B44" w:rsidRPr="002B1F86" w:rsidRDefault="00382B44" w:rsidP="00C46C6D">
            <w:pPr>
              <w:spacing w:before="60" w:after="60" w:line="240" w:lineRule="auto"/>
              <w:jc w:val="both"/>
              <w:rPr>
                <w:rFonts w:ascii="Times New Roman" w:hAnsi="Times New Roman"/>
                <w:sz w:val="24"/>
                <w:szCs w:val="24"/>
              </w:rPr>
            </w:pPr>
            <w:r w:rsidRPr="002B1F86">
              <w:rPr>
                <w:rFonts w:ascii="Times New Roman" w:hAnsi="Times New Roman"/>
                <w:sz w:val="24"/>
                <w:szCs w:val="24"/>
              </w:rPr>
              <w:lastRenderedPageBreak/>
              <w:t>ESKO finansējuma gadījumā – plānoto līguma ar ESK</w:t>
            </w:r>
            <w:r w:rsidR="00E95BBB">
              <w:rPr>
                <w:rFonts w:ascii="Times New Roman" w:hAnsi="Times New Roman"/>
                <w:sz w:val="24"/>
                <w:szCs w:val="24"/>
              </w:rPr>
              <w:t>O</w:t>
            </w:r>
            <w:r w:rsidRPr="002B1F86">
              <w:rPr>
                <w:rFonts w:ascii="Times New Roman" w:hAnsi="Times New Roman"/>
                <w:sz w:val="24"/>
                <w:szCs w:val="24"/>
              </w:rPr>
              <w:t xml:space="preserve"> termiņu, dzīvokļu īpašnieku maksājumu apmēru par ESKO pakalpojumu.</w:t>
            </w:r>
          </w:p>
          <w:p w14:paraId="5915758C" w14:textId="77777777" w:rsidR="00382B44" w:rsidRPr="001B102A" w:rsidRDefault="00382B44" w:rsidP="00C46C6D">
            <w:pPr>
              <w:spacing w:before="60" w:after="60" w:line="240" w:lineRule="auto"/>
              <w:jc w:val="both"/>
              <w:rPr>
                <w:rFonts w:ascii="Times New Roman" w:hAnsi="Times New Roman"/>
                <w:sz w:val="24"/>
                <w:szCs w:val="24"/>
                <w:u w:val="single"/>
              </w:rPr>
            </w:pPr>
            <w:r w:rsidRPr="002B1F86">
              <w:rPr>
                <w:rFonts w:ascii="Times New Roman" w:hAnsi="Times New Roman"/>
                <w:sz w:val="24"/>
                <w:szCs w:val="24"/>
              </w:rPr>
              <w:t>Noteikumu projekts neparedz papildu prasību izvirzīš</w:t>
            </w:r>
            <w:r w:rsidR="00E95BBB">
              <w:rPr>
                <w:rFonts w:ascii="Times New Roman" w:hAnsi="Times New Roman"/>
                <w:sz w:val="24"/>
                <w:szCs w:val="24"/>
              </w:rPr>
              <w:t>an</w:t>
            </w:r>
            <w:r w:rsidRPr="002B1F86">
              <w:rPr>
                <w:rFonts w:ascii="Times New Roman" w:hAnsi="Times New Roman"/>
                <w:sz w:val="24"/>
                <w:szCs w:val="24"/>
              </w:rPr>
              <w:t>u, jo sabiedrības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noteiktās prasības un dzīvokļu īpašnieku kopsapulču protokolu paraugi ir bijuši pieejami sabiedrības “</w:t>
            </w:r>
            <w:proofErr w:type="spellStart"/>
            <w:r w:rsidRPr="002B1F86">
              <w:rPr>
                <w:rFonts w:ascii="Times New Roman" w:hAnsi="Times New Roman"/>
                <w:sz w:val="24"/>
                <w:szCs w:val="24"/>
              </w:rPr>
              <w:t>Altum</w:t>
            </w:r>
            <w:proofErr w:type="spellEnd"/>
            <w:r w:rsidRPr="002B1F86">
              <w:rPr>
                <w:rFonts w:ascii="Times New Roman" w:hAnsi="Times New Roman"/>
                <w:sz w:val="24"/>
                <w:szCs w:val="24"/>
              </w:rPr>
              <w:t>” tīmekļa vietnē -</w:t>
            </w:r>
            <w:r w:rsidRPr="001B102A">
              <w:rPr>
                <w:rFonts w:ascii="Times New Roman" w:hAnsi="Times New Roman"/>
                <w:sz w:val="24"/>
                <w:szCs w:val="24"/>
                <w:u w:val="single"/>
              </w:rPr>
              <w:t xml:space="preserve"> </w:t>
            </w:r>
            <w:hyperlink r:id="rId7" w:history="1">
              <w:r w:rsidRPr="001B102A">
                <w:rPr>
                  <w:rStyle w:val="Hyperlink"/>
                  <w:rFonts w:ascii="Times New Roman" w:hAnsi="Times New Roman"/>
                  <w:sz w:val="24"/>
                  <w:szCs w:val="24"/>
                </w:rPr>
                <w:t>https://www.altum.lv/lv/pakalpojumi/energoefektivitate/daudzdzivoklu-maju-energoefektivitate-pamatinformacija/dzivoklu-ipasnieku-lemumi/</w:t>
              </w:r>
            </w:hyperlink>
            <w:r w:rsidRPr="001B102A">
              <w:rPr>
                <w:rFonts w:ascii="Times New Roman" w:hAnsi="Times New Roman"/>
                <w:sz w:val="24"/>
                <w:szCs w:val="24"/>
                <w:u w:val="single"/>
              </w:rPr>
              <w:t>.</w:t>
            </w:r>
          </w:p>
          <w:p w14:paraId="274B6FED" w14:textId="77777777" w:rsidR="00382B44" w:rsidRPr="001B102A" w:rsidRDefault="00382B44" w:rsidP="00C46C6D">
            <w:pPr>
              <w:spacing w:before="60" w:after="60" w:line="240" w:lineRule="auto"/>
              <w:jc w:val="both"/>
              <w:rPr>
                <w:rFonts w:ascii="Times New Roman" w:hAnsi="Times New Roman"/>
                <w:sz w:val="24"/>
                <w:szCs w:val="24"/>
              </w:rPr>
            </w:pPr>
          </w:p>
          <w:p w14:paraId="14119870" w14:textId="35778FB2" w:rsidR="00382B44" w:rsidRDefault="00382B44" w:rsidP="00C46C6D">
            <w:pPr>
              <w:pStyle w:val="ListParagraph"/>
              <w:numPr>
                <w:ilvl w:val="0"/>
                <w:numId w:val="4"/>
              </w:numPr>
              <w:spacing w:before="60" w:after="60" w:line="240" w:lineRule="auto"/>
              <w:ind w:left="82" w:firstLine="0"/>
              <w:jc w:val="both"/>
              <w:rPr>
                <w:rFonts w:ascii="Times New Roman" w:hAnsi="Times New Roman"/>
                <w:sz w:val="24"/>
                <w:szCs w:val="24"/>
              </w:rPr>
            </w:pPr>
            <w:r w:rsidRPr="00E71E3F">
              <w:rPr>
                <w:rFonts w:ascii="Times New Roman" w:hAnsi="Times New Roman"/>
                <w:b/>
                <w:i/>
                <w:sz w:val="24"/>
                <w:szCs w:val="24"/>
                <w:u w:val="single"/>
              </w:rPr>
              <w:t xml:space="preserve">Noteikt, ka </w:t>
            </w:r>
            <w:r w:rsidR="00602A28">
              <w:rPr>
                <w:rFonts w:ascii="Times New Roman" w:hAnsi="Times New Roman"/>
                <w:b/>
                <w:i/>
                <w:sz w:val="24"/>
                <w:szCs w:val="24"/>
                <w:u w:val="single"/>
              </w:rPr>
              <w:t>EM</w:t>
            </w:r>
            <w:r>
              <w:rPr>
                <w:rFonts w:ascii="Times New Roman" w:hAnsi="Times New Roman"/>
                <w:b/>
                <w:i/>
                <w:sz w:val="24"/>
                <w:szCs w:val="24"/>
                <w:u w:val="single"/>
              </w:rPr>
              <w:t>,</w:t>
            </w:r>
            <w:r w:rsidRPr="00E71E3F">
              <w:rPr>
                <w:rFonts w:ascii="Times New Roman" w:hAnsi="Times New Roman"/>
                <w:b/>
                <w:i/>
                <w:sz w:val="24"/>
                <w:szCs w:val="24"/>
                <w:u w:val="single"/>
              </w:rPr>
              <w:t xml:space="preserve"> izstrādājot jaunas atbalsta programmas vai veicot grozījumus esošajās atbalsta programmā</w:t>
            </w:r>
            <w:r>
              <w:rPr>
                <w:rFonts w:ascii="Times New Roman" w:hAnsi="Times New Roman"/>
                <w:b/>
                <w:i/>
                <w:sz w:val="24"/>
                <w:szCs w:val="24"/>
                <w:u w:val="single"/>
              </w:rPr>
              <w:t>s</w:t>
            </w:r>
            <w:r w:rsidRPr="00E71E3F">
              <w:rPr>
                <w:rFonts w:ascii="Times New Roman" w:hAnsi="Times New Roman"/>
                <w:b/>
                <w:i/>
                <w:sz w:val="24"/>
                <w:szCs w:val="24"/>
                <w:u w:val="single"/>
              </w:rPr>
              <w:t>, ir jāievēro Eiropas Parlamenta un Padomes 2013. </w:t>
            </w:r>
            <w:r>
              <w:rPr>
                <w:rFonts w:ascii="Times New Roman" w:hAnsi="Times New Roman"/>
                <w:b/>
                <w:i/>
                <w:sz w:val="24"/>
                <w:szCs w:val="24"/>
                <w:u w:val="single"/>
              </w:rPr>
              <w:t>gada 17. </w:t>
            </w:r>
            <w:r w:rsidRPr="00E71E3F">
              <w:rPr>
                <w:rFonts w:ascii="Times New Roman" w:hAnsi="Times New Roman"/>
                <w:b/>
                <w:i/>
                <w:sz w:val="24"/>
                <w:szCs w:val="24"/>
                <w:u w:val="single"/>
              </w:rPr>
              <w:t>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Pr>
                <w:rFonts w:ascii="Times New Roman" w:hAnsi="Times New Roman"/>
                <w:b/>
                <w:i/>
                <w:sz w:val="24"/>
                <w:szCs w:val="24"/>
                <w:u w:val="single"/>
              </w:rPr>
              <w:t>n atceļ Padomes Regulu (EK) Nr. </w:t>
            </w:r>
            <w:r w:rsidRPr="00E71E3F">
              <w:rPr>
                <w:rFonts w:ascii="Times New Roman" w:hAnsi="Times New Roman"/>
                <w:b/>
                <w:i/>
                <w:sz w:val="24"/>
                <w:szCs w:val="24"/>
                <w:u w:val="single"/>
              </w:rPr>
              <w:t>1083/2006 (Eiropas Savienī</w:t>
            </w:r>
            <w:r>
              <w:rPr>
                <w:rFonts w:ascii="Times New Roman" w:hAnsi="Times New Roman"/>
                <w:b/>
                <w:i/>
                <w:sz w:val="24"/>
                <w:szCs w:val="24"/>
                <w:u w:val="single"/>
              </w:rPr>
              <w:t>bas Oficiālais Vēstnesis, 2013. </w:t>
            </w:r>
            <w:r w:rsidRPr="00E71E3F">
              <w:rPr>
                <w:rFonts w:ascii="Times New Roman" w:hAnsi="Times New Roman"/>
                <w:b/>
                <w:i/>
                <w:sz w:val="24"/>
                <w:szCs w:val="24"/>
                <w:u w:val="single"/>
              </w:rPr>
              <w:t xml:space="preserve">gada 20. decembris, Nr. L347/320) </w:t>
            </w:r>
            <w:r>
              <w:rPr>
                <w:rFonts w:ascii="Times New Roman" w:hAnsi="Times New Roman"/>
                <w:b/>
                <w:i/>
                <w:sz w:val="24"/>
                <w:szCs w:val="24"/>
                <w:u w:val="single"/>
              </w:rPr>
              <w:t xml:space="preserve">(turpmāk  - Komisijas regula Nr. 1303/2013) </w:t>
            </w:r>
            <w:r w:rsidRPr="00E71E3F">
              <w:rPr>
                <w:rFonts w:ascii="Times New Roman" w:hAnsi="Times New Roman"/>
                <w:b/>
                <w:i/>
                <w:sz w:val="24"/>
                <w:szCs w:val="24"/>
                <w:u w:val="single"/>
              </w:rPr>
              <w:t>44.</w:t>
            </w:r>
            <w:r>
              <w:rPr>
                <w:rFonts w:ascii="Times New Roman" w:hAnsi="Times New Roman"/>
                <w:b/>
                <w:i/>
                <w:sz w:val="24"/>
                <w:szCs w:val="24"/>
                <w:u w:val="single"/>
              </w:rPr>
              <w:t> </w:t>
            </w:r>
            <w:r w:rsidRPr="00E71E3F">
              <w:rPr>
                <w:rFonts w:ascii="Times New Roman" w:hAnsi="Times New Roman"/>
                <w:b/>
                <w:i/>
                <w:sz w:val="24"/>
                <w:szCs w:val="24"/>
                <w:u w:val="single"/>
              </w:rPr>
              <w:t>panta nosacījumi.</w:t>
            </w:r>
          </w:p>
          <w:p w14:paraId="0211C327" w14:textId="77777777" w:rsidR="00382B44" w:rsidRDefault="00382B44" w:rsidP="00C46C6D">
            <w:pPr>
              <w:spacing w:before="60" w:after="60" w:line="240" w:lineRule="auto"/>
              <w:ind w:left="82" w:firstLine="567"/>
              <w:jc w:val="both"/>
              <w:rPr>
                <w:rFonts w:ascii="Times New Roman" w:hAnsi="Times New Roman"/>
                <w:sz w:val="24"/>
                <w:szCs w:val="24"/>
              </w:rPr>
            </w:pPr>
            <w:r>
              <w:rPr>
                <w:rFonts w:ascii="Times New Roman" w:hAnsi="Times New Roman"/>
                <w:sz w:val="24"/>
                <w:szCs w:val="24"/>
              </w:rPr>
              <w:t>Ņemot vērā Revīzijas iestādes ieteikumu</w:t>
            </w:r>
            <w:r w:rsidRPr="00E71E3F">
              <w:rPr>
                <w:rFonts w:ascii="Times New Roman" w:hAnsi="Times New Roman"/>
                <w:sz w:val="24"/>
                <w:szCs w:val="24"/>
              </w:rPr>
              <w:t xml:space="preserve"> par a</w:t>
            </w:r>
            <w:r>
              <w:rPr>
                <w:rFonts w:ascii="Times New Roman" w:hAnsi="Times New Roman"/>
                <w:sz w:val="24"/>
                <w:szCs w:val="24"/>
              </w:rPr>
              <w:t xml:space="preserve">tmaksu izlietojuma nosacījumiem, EM ierosina MK noteikumus Nr. 160 </w:t>
            </w:r>
            <w:r w:rsidRPr="00E71E3F">
              <w:rPr>
                <w:rFonts w:ascii="Times New Roman" w:hAnsi="Times New Roman"/>
                <w:sz w:val="24"/>
                <w:szCs w:val="24"/>
              </w:rPr>
              <w:t xml:space="preserve"> </w:t>
            </w:r>
            <w:r>
              <w:rPr>
                <w:rFonts w:ascii="Times New Roman" w:hAnsi="Times New Roman"/>
                <w:sz w:val="24"/>
                <w:szCs w:val="24"/>
              </w:rPr>
              <w:t xml:space="preserve">papildināt ar nosacījumu, ka EM pienākums ir </w:t>
            </w:r>
            <w:r w:rsidRPr="00D52D3E">
              <w:rPr>
                <w:rFonts w:ascii="Times New Roman" w:hAnsi="Times New Roman"/>
                <w:sz w:val="24"/>
                <w:szCs w:val="24"/>
              </w:rPr>
              <w:t>nodrošināt regulas Nr.1303/2013 44. panta ieviešanu, izstrādājot jaunas atbalsta programmas vai veicot grozījumus esošajās atbalsta programmās</w:t>
            </w:r>
            <w:r>
              <w:rPr>
                <w:rFonts w:ascii="Times New Roman" w:hAnsi="Times New Roman"/>
                <w:sz w:val="24"/>
                <w:szCs w:val="24"/>
              </w:rPr>
              <w:t>.</w:t>
            </w:r>
          </w:p>
          <w:p w14:paraId="7E786710" w14:textId="77777777" w:rsidR="00382B44" w:rsidRDefault="00382B44" w:rsidP="00C46C6D">
            <w:pPr>
              <w:spacing w:after="0" w:line="240" w:lineRule="auto"/>
              <w:ind w:firstLine="567"/>
              <w:jc w:val="both"/>
              <w:rPr>
                <w:rFonts w:ascii="Times New Roman" w:hAnsi="Times New Roman"/>
                <w:sz w:val="24"/>
                <w:szCs w:val="24"/>
              </w:rPr>
            </w:pPr>
          </w:p>
          <w:p w14:paraId="6C16BDFC" w14:textId="4CB7916C" w:rsidR="00382B44" w:rsidRDefault="00382B44" w:rsidP="002C3D4E">
            <w:pPr>
              <w:pStyle w:val="ListParagraph"/>
              <w:numPr>
                <w:ilvl w:val="0"/>
                <w:numId w:val="4"/>
              </w:numPr>
              <w:ind w:left="54" w:firstLine="0"/>
              <w:jc w:val="both"/>
              <w:rPr>
                <w:rFonts w:ascii="Times New Roman" w:hAnsi="Times New Roman"/>
                <w:b/>
                <w:i/>
                <w:sz w:val="24"/>
                <w:szCs w:val="24"/>
                <w:u w:val="single"/>
              </w:rPr>
            </w:pPr>
            <w:r w:rsidRPr="005E58DF">
              <w:rPr>
                <w:rFonts w:ascii="Times New Roman" w:hAnsi="Times New Roman"/>
                <w:b/>
                <w:i/>
                <w:sz w:val="24"/>
                <w:szCs w:val="24"/>
                <w:u w:val="single"/>
              </w:rPr>
              <w:t>Noteikt, ka gadījumos, ja sabiedrībai “</w:t>
            </w:r>
            <w:proofErr w:type="spellStart"/>
            <w:r w:rsidRPr="005E58DF">
              <w:rPr>
                <w:rFonts w:ascii="Times New Roman" w:hAnsi="Times New Roman"/>
                <w:b/>
                <w:i/>
                <w:sz w:val="24"/>
                <w:szCs w:val="24"/>
                <w:u w:val="single"/>
              </w:rPr>
              <w:t>Altum</w:t>
            </w:r>
            <w:proofErr w:type="spellEnd"/>
            <w:r w:rsidRPr="005E58DF">
              <w:rPr>
                <w:rFonts w:ascii="Times New Roman" w:hAnsi="Times New Roman"/>
                <w:b/>
                <w:i/>
                <w:sz w:val="24"/>
                <w:szCs w:val="24"/>
                <w:u w:val="single"/>
              </w:rPr>
              <w:t>” neatbilstoši veiktie izdevumi ir radušies no sabiedrības “</w:t>
            </w:r>
            <w:proofErr w:type="spellStart"/>
            <w:r w:rsidRPr="005E58DF">
              <w:rPr>
                <w:rFonts w:ascii="Times New Roman" w:hAnsi="Times New Roman"/>
                <w:b/>
                <w:i/>
                <w:sz w:val="24"/>
                <w:szCs w:val="24"/>
                <w:u w:val="single"/>
              </w:rPr>
              <w:t>Altum</w:t>
            </w:r>
            <w:proofErr w:type="spellEnd"/>
            <w:r w:rsidRPr="005E58DF">
              <w:rPr>
                <w:rFonts w:ascii="Times New Roman" w:hAnsi="Times New Roman"/>
                <w:b/>
                <w:i/>
                <w:sz w:val="24"/>
                <w:szCs w:val="24"/>
                <w:u w:val="single"/>
              </w:rPr>
              <w:t xml:space="preserve">” neatkarīgu apstākļu dēļ un ir veiktas pietiekamas, saprātīgas un samērīgas darbības </w:t>
            </w:r>
            <w:proofErr w:type="spellStart"/>
            <w:r w:rsidRPr="005E58DF">
              <w:rPr>
                <w:rFonts w:ascii="Times New Roman" w:hAnsi="Times New Roman"/>
                <w:b/>
                <w:i/>
                <w:sz w:val="24"/>
                <w:szCs w:val="24"/>
                <w:u w:val="single"/>
              </w:rPr>
              <w:t>grantu</w:t>
            </w:r>
            <w:proofErr w:type="spellEnd"/>
            <w:r w:rsidRPr="005E58DF">
              <w:rPr>
                <w:rFonts w:ascii="Times New Roman" w:hAnsi="Times New Roman"/>
                <w:b/>
                <w:i/>
                <w:sz w:val="24"/>
                <w:szCs w:val="24"/>
                <w:u w:val="single"/>
              </w:rPr>
              <w:t xml:space="preserve"> atgūšanai, </w:t>
            </w:r>
            <w:r w:rsidR="00E95BBB">
              <w:rPr>
                <w:rFonts w:ascii="Times New Roman" w:hAnsi="Times New Roman"/>
                <w:b/>
                <w:i/>
                <w:sz w:val="24"/>
                <w:szCs w:val="24"/>
                <w:u w:val="single"/>
              </w:rPr>
              <w:t xml:space="preserve">par </w:t>
            </w:r>
            <w:r w:rsidRPr="005E58DF">
              <w:rPr>
                <w:rFonts w:ascii="Times New Roman" w:hAnsi="Times New Roman"/>
                <w:b/>
                <w:i/>
                <w:sz w:val="24"/>
                <w:szCs w:val="24"/>
                <w:u w:val="single"/>
              </w:rPr>
              <w:t>neatbilstoši veikto izdevumu</w:t>
            </w:r>
            <w:r w:rsidR="00E95BBB">
              <w:rPr>
                <w:rFonts w:ascii="Times New Roman" w:hAnsi="Times New Roman"/>
                <w:b/>
                <w:i/>
                <w:sz w:val="24"/>
                <w:szCs w:val="24"/>
                <w:u w:val="single"/>
              </w:rPr>
              <w:t xml:space="preserve"> </w:t>
            </w:r>
            <w:r w:rsidR="002C3D4E">
              <w:rPr>
                <w:rFonts w:ascii="Times New Roman" w:hAnsi="Times New Roman"/>
                <w:b/>
                <w:i/>
                <w:sz w:val="24"/>
                <w:szCs w:val="24"/>
                <w:u w:val="single"/>
              </w:rPr>
              <w:t>kompensēšanu</w:t>
            </w:r>
            <w:r w:rsidR="00CA4C2A">
              <w:rPr>
                <w:rFonts w:ascii="Times New Roman" w:hAnsi="Times New Roman"/>
                <w:b/>
                <w:i/>
                <w:sz w:val="24"/>
                <w:szCs w:val="24"/>
                <w:u w:val="single"/>
              </w:rPr>
              <w:t xml:space="preserve"> </w:t>
            </w:r>
            <w:r w:rsidR="00E95BBB">
              <w:rPr>
                <w:rFonts w:ascii="Times New Roman" w:hAnsi="Times New Roman"/>
                <w:b/>
                <w:i/>
                <w:sz w:val="24"/>
                <w:szCs w:val="24"/>
                <w:u w:val="single"/>
              </w:rPr>
              <w:t>sabiedrībai „</w:t>
            </w:r>
            <w:proofErr w:type="spellStart"/>
            <w:r w:rsidR="00E95BBB">
              <w:rPr>
                <w:rFonts w:ascii="Times New Roman" w:hAnsi="Times New Roman"/>
                <w:b/>
                <w:i/>
                <w:sz w:val="24"/>
                <w:szCs w:val="24"/>
                <w:u w:val="single"/>
              </w:rPr>
              <w:t>Altum</w:t>
            </w:r>
            <w:proofErr w:type="spellEnd"/>
            <w:r w:rsidR="00E95BBB">
              <w:rPr>
                <w:rFonts w:ascii="Times New Roman" w:hAnsi="Times New Roman"/>
                <w:b/>
                <w:i/>
                <w:sz w:val="24"/>
                <w:szCs w:val="24"/>
                <w:u w:val="single"/>
              </w:rPr>
              <w:t xml:space="preserve">” </w:t>
            </w:r>
            <w:r w:rsidR="002C3D4E" w:rsidRPr="002C3D4E">
              <w:rPr>
                <w:rFonts w:ascii="Times New Roman" w:hAnsi="Times New Roman"/>
                <w:b/>
                <w:i/>
                <w:sz w:val="24"/>
                <w:szCs w:val="24"/>
                <w:u w:val="single"/>
              </w:rPr>
              <w:t>vai neatbilstoši veikto izdevumu atgūšanu</w:t>
            </w:r>
            <w:r w:rsidR="002C3D4E">
              <w:rPr>
                <w:rFonts w:ascii="Times New Roman" w:hAnsi="Times New Roman"/>
                <w:b/>
                <w:i/>
                <w:sz w:val="24"/>
                <w:szCs w:val="24"/>
                <w:u w:val="single"/>
              </w:rPr>
              <w:t xml:space="preserve"> </w:t>
            </w:r>
            <w:r w:rsidR="00E95BBB">
              <w:rPr>
                <w:rFonts w:ascii="Times New Roman" w:hAnsi="Times New Roman"/>
                <w:b/>
                <w:i/>
                <w:sz w:val="24"/>
                <w:szCs w:val="24"/>
                <w:u w:val="single"/>
              </w:rPr>
              <w:t>lemj MK</w:t>
            </w:r>
            <w:r w:rsidRPr="005E58DF">
              <w:rPr>
                <w:rFonts w:ascii="Times New Roman" w:hAnsi="Times New Roman"/>
                <w:b/>
                <w:i/>
                <w:sz w:val="24"/>
                <w:szCs w:val="24"/>
                <w:u w:val="single"/>
              </w:rPr>
              <w:t>.</w:t>
            </w:r>
          </w:p>
          <w:p w14:paraId="3F834FFA" w14:textId="77777777" w:rsidR="00382B44" w:rsidRPr="00F747C9" w:rsidRDefault="00382B44" w:rsidP="00C46C6D">
            <w:pPr>
              <w:spacing w:after="0" w:line="240" w:lineRule="auto"/>
              <w:jc w:val="both"/>
              <w:rPr>
                <w:rFonts w:ascii="Times New Roman" w:hAnsi="Times New Roman"/>
                <w:sz w:val="24"/>
                <w:szCs w:val="24"/>
              </w:rPr>
            </w:pPr>
            <w:r w:rsidRPr="00F747C9">
              <w:rPr>
                <w:rFonts w:ascii="Times New Roman" w:hAnsi="Times New Roman"/>
                <w:sz w:val="24"/>
                <w:szCs w:val="24"/>
              </w:rPr>
              <w:t>01.11.2016. MK noteikumu Nr. 160 grozījumu anotācijā (protokols Nr.58, 47.§) (http://tap.mk.gov.lv/lv/mk/tap/?pid=40401875&amp;mode=mk&amp;date=2016-11-01) noteikts, ka ieviešot Pasākumu,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izsniegs </w:t>
            </w:r>
            <w:proofErr w:type="spellStart"/>
            <w:r w:rsidRPr="00F747C9">
              <w:rPr>
                <w:rFonts w:ascii="Times New Roman" w:hAnsi="Times New Roman"/>
                <w:sz w:val="24"/>
                <w:szCs w:val="24"/>
              </w:rPr>
              <w:t>grantus</w:t>
            </w:r>
            <w:proofErr w:type="spellEnd"/>
            <w:r w:rsidRPr="00F747C9">
              <w:rPr>
                <w:rFonts w:ascii="Times New Roman" w:hAnsi="Times New Roman"/>
                <w:sz w:val="24"/>
                <w:szCs w:val="24"/>
              </w:rPr>
              <w:t xml:space="preserve"> un veiks ar </w:t>
            </w:r>
            <w:proofErr w:type="spellStart"/>
            <w:r w:rsidRPr="00F747C9">
              <w:rPr>
                <w:rFonts w:ascii="Times New Roman" w:hAnsi="Times New Roman"/>
                <w:sz w:val="24"/>
                <w:szCs w:val="24"/>
              </w:rPr>
              <w:t>granta</w:t>
            </w:r>
            <w:proofErr w:type="spellEnd"/>
            <w:r w:rsidRPr="00F747C9">
              <w:rPr>
                <w:rFonts w:ascii="Times New Roman" w:hAnsi="Times New Roman"/>
                <w:sz w:val="24"/>
                <w:szCs w:val="24"/>
              </w:rPr>
              <w:t xml:space="preserve"> administrēšanu saistītās funkcijas.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ir akciju sabiedrība, kuras darbības joma ir ieviest finanšu instrumentus – aizdevumus, garantijas, riska kapitālu. Sabiedrībai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nodotas Pasākuma </w:t>
            </w:r>
            <w:proofErr w:type="spellStart"/>
            <w:r w:rsidRPr="00F747C9">
              <w:rPr>
                <w:rFonts w:ascii="Times New Roman" w:hAnsi="Times New Roman"/>
                <w:sz w:val="24"/>
                <w:szCs w:val="24"/>
              </w:rPr>
              <w:t>granta</w:t>
            </w:r>
            <w:proofErr w:type="spellEnd"/>
            <w:r w:rsidRPr="00F747C9">
              <w:rPr>
                <w:rFonts w:ascii="Times New Roman" w:hAnsi="Times New Roman"/>
                <w:sz w:val="24"/>
                <w:szCs w:val="24"/>
              </w:rPr>
              <w:t xml:space="preserve"> administrēšanas funkcijas, lai Pasākumu ieviestu efektīvāk un dzīvokļu īpašnieki ātrāk, ērtāk un efektīvāk varētu saņemt atbalstu.</w:t>
            </w:r>
          </w:p>
          <w:p w14:paraId="2BA00529" w14:textId="77777777" w:rsidR="00382B44" w:rsidRPr="00F747C9" w:rsidRDefault="00382B44" w:rsidP="00C46C6D">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lastRenderedPageBreak/>
              <w:t>Saskaņā ar Ministru kabineta 08.09.2016. noteikumu Nr.517 “Kārtība, kādā ziņo par konstatētajām neatbilstībām un atgūst neatbilstoši veiktos izdevumus Eiropas Savienības struktūrfondu un Kohēzijas fonda ieviešanā 2014.–2020.gada plānošanas periodā“ (turpmāk - MK noteikumi Nr.517) 20.1.apakšpunktu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uzņemas atbildību arī  par neatbilstoši izmantotiem </w:t>
            </w:r>
            <w:proofErr w:type="spellStart"/>
            <w:r w:rsidRPr="00F747C9">
              <w:rPr>
                <w:rFonts w:ascii="Times New Roman" w:hAnsi="Times New Roman"/>
                <w:sz w:val="24"/>
                <w:szCs w:val="24"/>
              </w:rPr>
              <w:t>grantiem</w:t>
            </w:r>
            <w:proofErr w:type="spellEnd"/>
            <w:r w:rsidRPr="00F747C9">
              <w:rPr>
                <w:rFonts w:ascii="Times New Roman" w:hAnsi="Times New Roman"/>
                <w:sz w:val="24"/>
                <w:szCs w:val="24"/>
              </w:rPr>
              <w:t>, kad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nav varējusi pienācīgi ietekmēt </w:t>
            </w:r>
            <w:proofErr w:type="spellStart"/>
            <w:r w:rsidRPr="00F747C9">
              <w:rPr>
                <w:rFonts w:ascii="Times New Roman" w:hAnsi="Times New Roman"/>
                <w:sz w:val="24"/>
                <w:szCs w:val="24"/>
              </w:rPr>
              <w:t>granta</w:t>
            </w:r>
            <w:proofErr w:type="spellEnd"/>
            <w:r w:rsidRPr="00F747C9">
              <w:rPr>
                <w:rFonts w:ascii="Times New Roman" w:hAnsi="Times New Roman"/>
                <w:sz w:val="24"/>
                <w:szCs w:val="24"/>
              </w:rPr>
              <w:t xml:space="preserve"> izmantošanas nosacījumus. Piemēram, energoefektivitātes paaugstināšanas pasākumu īstenošanā būvkomersants lauzis līgumu ar pilnvaroto personu, netiek veikts jauns iepirkums un </w:t>
            </w:r>
            <w:r w:rsidR="006C66CD">
              <w:rPr>
                <w:rFonts w:ascii="Times New Roman" w:hAnsi="Times New Roman"/>
                <w:sz w:val="24"/>
                <w:szCs w:val="24"/>
              </w:rPr>
              <w:t xml:space="preserve">netiek </w:t>
            </w:r>
            <w:r w:rsidRPr="00F747C9">
              <w:rPr>
                <w:rFonts w:ascii="Times New Roman" w:hAnsi="Times New Roman"/>
                <w:sz w:val="24"/>
                <w:szCs w:val="24"/>
              </w:rPr>
              <w:t>pabeigti būvdarbi, nekvalitatīvi veikti būvdarbi</w:t>
            </w:r>
            <w:r w:rsidR="006C66CD">
              <w:rPr>
                <w:rFonts w:ascii="Times New Roman" w:hAnsi="Times New Roman"/>
                <w:sz w:val="24"/>
                <w:szCs w:val="24"/>
              </w:rPr>
              <w:t>,</w:t>
            </w:r>
            <w:r w:rsidRPr="00F747C9">
              <w:rPr>
                <w:rFonts w:ascii="Times New Roman" w:hAnsi="Times New Roman"/>
                <w:sz w:val="24"/>
                <w:szCs w:val="24"/>
              </w:rPr>
              <w:t xml:space="preserve"> netiek novērsti trūkumi, pil</w:t>
            </w:r>
            <w:r w:rsidR="006C66CD">
              <w:rPr>
                <w:rFonts w:ascii="Times New Roman" w:hAnsi="Times New Roman"/>
                <w:sz w:val="24"/>
                <w:szCs w:val="24"/>
              </w:rPr>
              <w:t>n</w:t>
            </w:r>
            <w:r w:rsidRPr="00F747C9">
              <w:rPr>
                <w:rFonts w:ascii="Times New Roman" w:hAnsi="Times New Roman"/>
                <w:sz w:val="24"/>
                <w:szCs w:val="24"/>
              </w:rPr>
              <w:t>varotās personas prettiesiskas darbības. Šādos gadījumos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vērsīsies pret dzīvokļu īpašnieku  pilnvarotajām personām vai dzīvokļu īpašniekiem, lai no tiem atgūtu neatbilstoši izsniegtos </w:t>
            </w:r>
            <w:proofErr w:type="spellStart"/>
            <w:r w:rsidRPr="00F747C9">
              <w:rPr>
                <w:rFonts w:ascii="Times New Roman" w:hAnsi="Times New Roman"/>
                <w:sz w:val="24"/>
                <w:szCs w:val="24"/>
              </w:rPr>
              <w:t>grantus</w:t>
            </w:r>
            <w:proofErr w:type="spellEnd"/>
            <w:r w:rsidRPr="00F747C9">
              <w:rPr>
                <w:rFonts w:ascii="Times New Roman" w:hAnsi="Times New Roman"/>
                <w:sz w:val="24"/>
                <w:szCs w:val="24"/>
              </w:rPr>
              <w:t xml:space="preserve"> vai neatmaksātos aizdevumus. </w:t>
            </w:r>
          </w:p>
          <w:p w14:paraId="34F2B97B" w14:textId="77777777" w:rsidR="00A264CC" w:rsidRDefault="00382B44" w:rsidP="00C46C6D">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t>Iespējamas arī situācijas, kad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nevarēs atgūt visu sniegto atbalstu</w:t>
            </w:r>
            <w:r w:rsidR="00922271">
              <w:rPr>
                <w:rFonts w:ascii="Times New Roman" w:hAnsi="Times New Roman"/>
                <w:sz w:val="24"/>
                <w:szCs w:val="24"/>
              </w:rPr>
              <w:t xml:space="preserve">. </w:t>
            </w:r>
            <w:r w:rsidR="00A264CC">
              <w:rPr>
                <w:rFonts w:ascii="Times New Roman" w:hAnsi="Times New Roman"/>
                <w:sz w:val="24"/>
                <w:szCs w:val="24"/>
              </w:rPr>
              <w:t>Šāda situācija var rasties, piemēram, šādos gadījumos:</w:t>
            </w:r>
          </w:p>
          <w:p w14:paraId="5EC27760" w14:textId="77777777" w:rsidR="00A264CC" w:rsidRPr="00A264CC" w:rsidRDefault="00A264CC" w:rsidP="00A264CC">
            <w:pPr>
              <w:pStyle w:val="ListParagraph"/>
              <w:numPr>
                <w:ilvl w:val="0"/>
                <w:numId w:val="10"/>
              </w:numPr>
              <w:spacing w:after="0" w:line="240" w:lineRule="auto"/>
              <w:ind w:left="1328" w:hanging="283"/>
              <w:jc w:val="both"/>
              <w:rPr>
                <w:rFonts w:ascii="Times New Roman" w:hAnsi="Times New Roman"/>
                <w:sz w:val="24"/>
                <w:szCs w:val="24"/>
              </w:rPr>
            </w:pPr>
            <w:r w:rsidRPr="00A264CC">
              <w:rPr>
                <w:rFonts w:ascii="Times New Roman" w:hAnsi="Times New Roman"/>
                <w:sz w:val="24"/>
                <w:szCs w:val="24"/>
              </w:rPr>
              <w:t>piedziņas vēršana pret dzīvokļu īpašniekiem (gala labuma saņēmējiem), izvērtējot katru dzīvokļa īpašnieku atsevišķi, nav rentabla;</w:t>
            </w:r>
          </w:p>
          <w:p w14:paraId="656A99F4" w14:textId="77777777" w:rsidR="00A264CC" w:rsidRDefault="00A264CC" w:rsidP="00A264CC">
            <w:pPr>
              <w:pStyle w:val="ListParagraph"/>
              <w:numPr>
                <w:ilvl w:val="0"/>
                <w:numId w:val="10"/>
              </w:numPr>
              <w:spacing w:after="0" w:line="240" w:lineRule="auto"/>
              <w:ind w:left="1328" w:hanging="283"/>
              <w:jc w:val="both"/>
              <w:rPr>
                <w:rFonts w:ascii="Times New Roman" w:hAnsi="Times New Roman"/>
                <w:sz w:val="24"/>
                <w:szCs w:val="24"/>
              </w:rPr>
            </w:pPr>
            <w:r w:rsidRPr="00A264CC">
              <w:rPr>
                <w:rFonts w:ascii="Times New Roman" w:hAnsi="Times New Roman"/>
                <w:sz w:val="24"/>
                <w:szCs w:val="24"/>
              </w:rPr>
              <w:t>sabiedrībai “</w:t>
            </w:r>
            <w:proofErr w:type="spellStart"/>
            <w:r w:rsidRPr="00A264CC">
              <w:rPr>
                <w:rFonts w:ascii="Times New Roman" w:hAnsi="Times New Roman"/>
                <w:sz w:val="24"/>
                <w:szCs w:val="24"/>
              </w:rPr>
              <w:t>Altum</w:t>
            </w:r>
            <w:proofErr w:type="spellEnd"/>
            <w:r w:rsidRPr="00A264CC">
              <w:rPr>
                <w:rFonts w:ascii="Times New Roman" w:hAnsi="Times New Roman"/>
                <w:sz w:val="24"/>
                <w:szCs w:val="24"/>
              </w:rPr>
              <w:t>” ir prasījuma tiesības pret dzīvokļa īpašnieku, kurš miris un uz viņa mantojuma masu mantojuma tiesībās nav pieteicies un apstiprināts neviens mantinieks, un valsts īpašumā nav nonākusi aizņēmēja manta, uz kuru būtu iespējams vērst piedziņu.</w:t>
            </w:r>
          </w:p>
          <w:p w14:paraId="45A11E0D" w14:textId="201217E1" w:rsidR="00382B44" w:rsidRPr="00A264CC" w:rsidRDefault="00382B44" w:rsidP="00A264CC">
            <w:pPr>
              <w:spacing w:after="0" w:line="240" w:lineRule="auto"/>
              <w:jc w:val="both"/>
              <w:rPr>
                <w:rFonts w:ascii="Times New Roman" w:hAnsi="Times New Roman"/>
                <w:sz w:val="24"/>
                <w:szCs w:val="24"/>
              </w:rPr>
            </w:pPr>
            <w:r w:rsidRPr="00A264CC">
              <w:rPr>
                <w:rFonts w:ascii="Times New Roman" w:hAnsi="Times New Roman"/>
                <w:sz w:val="24"/>
                <w:szCs w:val="24"/>
              </w:rPr>
              <w:t>Arī šād</w:t>
            </w:r>
            <w:r w:rsidR="006C66CD">
              <w:rPr>
                <w:rFonts w:ascii="Times New Roman" w:hAnsi="Times New Roman"/>
                <w:sz w:val="24"/>
                <w:szCs w:val="24"/>
              </w:rPr>
              <w:t>os</w:t>
            </w:r>
            <w:r w:rsidRPr="00A264CC">
              <w:rPr>
                <w:rFonts w:ascii="Times New Roman" w:hAnsi="Times New Roman"/>
                <w:sz w:val="24"/>
                <w:szCs w:val="24"/>
              </w:rPr>
              <w:t xml:space="preserve"> gadījum</w:t>
            </w:r>
            <w:r w:rsidR="006C66CD">
              <w:rPr>
                <w:rFonts w:ascii="Times New Roman" w:hAnsi="Times New Roman"/>
                <w:sz w:val="24"/>
                <w:szCs w:val="24"/>
              </w:rPr>
              <w:t>os</w:t>
            </w:r>
            <w:r w:rsidRPr="00A264CC">
              <w:rPr>
                <w:rFonts w:ascii="Times New Roman" w:hAnsi="Times New Roman"/>
                <w:sz w:val="24"/>
                <w:szCs w:val="24"/>
              </w:rPr>
              <w:t xml:space="preserve"> </w:t>
            </w:r>
            <w:r w:rsidR="00A264CC" w:rsidRPr="00A264CC">
              <w:rPr>
                <w:rFonts w:ascii="Times New Roman" w:hAnsi="Times New Roman"/>
                <w:sz w:val="24"/>
                <w:szCs w:val="24"/>
              </w:rPr>
              <w:t>(</w:t>
            </w:r>
            <w:r w:rsidRPr="00A264CC">
              <w:rPr>
                <w:rFonts w:ascii="Times New Roman" w:hAnsi="Times New Roman"/>
                <w:sz w:val="24"/>
                <w:szCs w:val="24"/>
              </w:rPr>
              <w:t xml:space="preserve">saskaņā </w:t>
            </w:r>
            <w:r w:rsidR="00386B3A" w:rsidRPr="00A264CC">
              <w:rPr>
                <w:rFonts w:ascii="Times New Roman" w:hAnsi="Times New Roman"/>
                <w:sz w:val="24"/>
                <w:szCs w:val="24"/>
              </w:rPr>
              <w:t xml:space="preserve">ar </w:t>
            </w:r>
            <w:r w:rsidRPr="00A264CC">
              <w:rPr>
                <w:rFonts w:ascii="Times New Roman" w:hAnsi="Times New Roman"/>
                <w:sz w:val="24"/>
                <w:szCs w:val="24"/>
              </w:rPr>
              <w:t>MK noteikumu Nr.517 20.1.apakšpunktu</w:t>
            </w:r>
            <w:r w:rsidR="00A264CC" w:rsidRPr="00A264CC">
              <w:rPr>
                <w:rFonts w:ascii="Times New Roman" w:hAnsi="Times New Roman"/>
                <w:sz w:val="24"/>
                <w:szCs w:val="24"/>
              </w:rPr>
              <w:t>)</w:t>
            </w:r>
            <w:r w:rsidRPr="00A264CC">
              <w:rPr>
                <w:rFonts w:ascii="Times New Roman" w:hAnsi="Times New Roman"/>
                <w:sz w:val="24"/>
                <w:szCs w:val="24"/>
              </w:rPr>
              <w:t xml:space="preserve"> Sadarbības iestāde ieturēs neatbilstoši veiktos izdevumus no sabiedrības “</w:t>
            </w:r>
            <w:proofErr w:type="spellStart"/>
            <w:r w:rsidRPr="00A264CC">
              <w:rPr>
                <w:rFonts w:ascii="Times New Roman" w:hAnsi="Times New Roman"/>
                <w:sz w:val="24"/>
                <w:szCs w:val="24"/>
              </w:rPr>
              <w:t>Altum</w:t>
            </w:r>
            <w:proofErr w:type="spellEnd"/>
            <w:r w:rsidRPr="00A264CC">
              <w:rPr>
                <w:rFonts w:ascii="Times New Roman" w:hAnsi="Times New Roman"/>
                <w:sz w:val="24"/>
                <w:szCs w:val="24"/>
              </w:rPr>
              <w:t>” projekta maksājuma pieprasījuma un attiecīgi sabiedrībai “</w:t>
            </w:r>
            <w:proofErr w:type="spellStart"/>
            <w:r w:rsidRPr="00A264CC">
              <w:rPr>
                <w:rFonts w:ascii="Times New Roman" w:hAnsi="Times New Roman"/>
                <w:sz w:val="24"/>
                <w:szCs w:val="24"/>
              </w:rPr>
              <w:t>Altum</w:t>
            </w:r>
            <w:proofErr w:type="spellEnd"/>
            <w:r w:rsidRPr="00A264CC">
              <w:rPr>
                <w:rFonts w:ascii="Times New Roman" w:hAnsi="Times New Roman"/>
                <w:sz w:val="24"/>
                <w:szCs w:val="24"/>
              </w:rPr>
              <w:t>” radīsies zaudējumi</w:t>
            </w:r>
            <w:r w:rsidR="00A264CC" w:rsidRPr="00A264CC">
              <w:rPr>
                <w:rFonts w:ascii="Times New Roman" w:hAnsi="Times New Roman"/>
                <w:sz w:val="24"/>
                <w:szCs w:val="24"/>
              </w:rPr>
              <w:t>.</w:t>
            </w:r>
          </w:p>
          <w:p w14:paraId="510AAE97" w14:textId="77777777" w:rsidR="00382B44" w:rsidRPr="00F747C9" w:rsidRDefault="00382B44" w:rsidP="00C46C6D">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t xml:space="preserve">Ieviešot pasākuma </w:t>
            </w:r>
            <w:proofErr w:type="spellStart"/>
            <w:r w:rsidRPr="00F747C9">
              <w:rPr>
                <w:rFonts w:ascii="Times New Roman" w:hAnsi="Times New Roman"/>
                <w:sz w:val="24"/>
                <w:szCs w:val="24"/>
              </w:rPr>
              <w:t>granta</w:t>
            </w:r>
            <w:proofErr w:type="spellEnd"/>
            <w:r w:rsidRPr="00F747C9">
              <w:rPr>
                <w:rFonts w:ascii="Times New Roman" w:hAnsi="Times New Roman"/>
                <w:sz w:val="24"/>
                <w:szCs w:val="24"/>
              </w:rPr>
              <w:t xml:space="preserve"> instrumentu,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veic deleģētās funkcijas un darbojas līdzīgi kā Latvijas Investīciju un attīstības aģentūra (turpmāk - LIAA) pasākumos “Biznesa inkubatori” un “Starptautiskās konkurētspējas veicināšana” vai Valsts izglītības un attīstības aģentūra (turpmāk – VIAA) Izglītības un zinātnes ministrijas 2014.-2020.gada plānošanas perioda administrētajās ES fondu programmās. Atšķirībā no sabiedrības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LIAA un VIAA ir valsts budžeta iestādes, kurām Sadarbības iestādes neattiecinātās izmaksas var kompensēt no valsts budžeta.</w:t>
            </w:r>
            <w:r w:rsidR="00386B3A">
              <w:t xml:space="preserve"> </w:t>
            </w:r>
            <w:r w:rsidR="00386B3A">
              <w:rPr>
                <w:rFonts w:ascii="Times New Roman" w:hAnsi="Times New Roman"/>
                <w:sz w:val="24"/>
                <w:szCs w:val="24"/>
              </w:rPr>
              <w:t>Arī s</w:t>
            </w:r>
            <w:r w:rsidR="00386B3A" w:rsidRPr="00386B3A">
              <w:rPr>
                <w:rFonts w:ascii="Times New Roman" w:hAnsi="Times New Roman"/>
                <w:sz w:val="24"/>
                <w:szCs w:val="24"/>
              </w:rPr>
              <w:t>abiedrības “</w:t>
            </w:r>
            <w:proofErr w:type="spellStart"/>
            <w:r w:rsidR="00386B3A" w:rsidRPr="00386B3A">
              <w:rPr>
                <w:rFonts w:ascii="Times New Roman" w:hAnsi="Times New Roman"/>
                <w:sz w:val="24"/>
                <w:szCs w:val="24"/>
              </w:rPr>
              <w:t>Altum</w:t>
            </w:r>
            <w:proofErr w:type="spellEnd"/>
            <w:r w:rsidR="00386B3A" w:rsidRPr="00386B3A">
              <w:rPr>
                <w:rFonts w:ascii="Times New Roman" w:hAnsi="Times New Roman"/>
                <w:sz w:val="24"/>
                <w:szCs w:val="24"/>
              </w:rPr>
              <w:t>” gadījumā ir jāparedz neattiecināto izmaksu kompensācijas iespēja, jo citu ieņēmumu avotu to segšanai sabiedrībai “</w:t>
            </w:r>
            <w:proofErr w:type="spellStart"/>
            <w:r w:rsidR="00386B3A" w:rsidRPr="00386B3A">
              <w:rPr>
                <w:rFonts w:ascii="Times New Roman" w:hAnsi="Times New Roman"/>
                <w:sz w:val="24"/>
                <w:szCs w:val="24"/>
              </w:rPr>
              <w:t>Altum</w:t>
            </w:r>
            <w:proofErr w:type="spellEnd"/>
            <w:r w:rsidR="00386B3A" w:rsidRPr="00386B3A">
              <w:rPr>
                <w:rFonts w:ascii="Times New Roman" w:hAnsi="Times New Roman"/>
                <w:sz w:val="24"/>
                <w:szCs w:val="24"/>
              </w:rPr>
              <w:t>” nav.</w:t>
            </w:r>
          </w:p>
          <w:p w14:paraId="21D8B6D7" w14:textId="1EE42835" w:rsidR="00382B44" w:rsidRPr="00F747C9" w:rsidRDefault="00382B44" w:rsidP="00C46C6D">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t xml:space="preserve">MK noteikumu Nr.517 25.2.apakšpunkts nosaka, kad Finanšu ministrija informē Ministru kabinetu par neatbilstoši veiktajiem izdevumiem un Ministru kabinets lemj par izdevumu segšanu no valsts budžeta līdzekļiem. </w:t>
            </w:r>
            <w:r w:rsidR="00386B3A">
              <w:rPr>
                <w:rFonts w:ascii="Times New Roman" w:hAnsi="Times New Roman"/>
                <w:sz w:val="24"/>
                <w:szCs w:val="24"/>
              </w:rPr>
              <w:t>Līdzīgu</w:t>
            </w:r>
            <w:r w:rsidRPr="00F747C9">
              <w:rPr>
                <w:rFonts w:ascii="Times New Roman" w:hAnsi="Times New Roman"/>
                <w:sz w:val="24"/>
                <w:szCs w:val="24"/>
              </w:rPr>
              <w:t xml:space="preserve"> kārtību nepieciešams noteikt arī Pasākuma ietvaros, nodrošinot, ka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Pasākuma </w:t>
            </w:r>
            <w:r w:rsidRPr="00F747C9">
              <w:rPr>
                <w:rFonts w:ascii="Times New Roman" w:hAnsi="Times New Roman"/>
                <w:sz w:val="24"/>
                <w:szCs w:val="24"/>
              </w:rPr>
              <w:lastRenderedPageBreak/>
              <w:t xml:space="preserve">ietvaros neuzņemas atbildību par neatbilstoši izmantotiem </w:t>
            </w:r>
            <w:proofErr w:type="spellStart"/>
            <w:r w:rsidRPr="00F747C9">
              <w:rPr>
                <w:rFonts w:ascii="Times New Roman" w:hAnsi="Times New Roman"/>
                <w:sz w:val="24"/>
                <w:szCs w:val="24"/>
              </w:rPr>
              <w:t>grantiem</w:t>
            </w:r>
            <w:proofErr w:type="spellEnd"/>
            <w:r w:rsidRPr="00F747C9">
              <w:rPr>
                <w:rFonts w:ascii="Times New Roman" w:hAnsi="Times New Roman"/>
                <w:sz w:val="24"/>
                <w:szCs w:val="24"/>
              </w:rPr>
              <w:t>, ja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nav varējusi pienācīgi ietekmēt </w:t>
            </w:r>
            <w:proofErr w:type="spellStart"/>
            <w:r w:rsidRPr="00F747C9">
              <w:rPr>
                <w:rFonts w:ascii="Times New Roman" w:hAnsi="Times New Roman"/>
                <w:sz w:val="24"/>
                <w:szCs w:val="24"/>
              </w:rPr>
              <w:t>granta</w:t>
            </w:r>
            <w:proofErr w:type="spellEnd"/>
            <w:r w:rsidRPr="00F747C9">
              <w:rPr>
                <w:rFonts w:ascii="Times New Roman" w:hAnsi="Times New Roman"/>
                <w:sz w:val="24"/>
                <w:szCs w:val="24"/>
              </w:rPr>
              <w:t xml:space="preserve"> izmantošanas nosacījumus un nav iespējama vai nav samērīga finansējuma atgūšana.</w:t>
            </w:r>
            <w:r w:rsidR="003164B0">
              <w:rPr>
                <w:rFonts w:ascii="Times New Roman" w:hAnsi="Times New Roman"/>
                <w:sz w:val="24"/>
                <w:szCs w:val="24"/>
              </w:rPr>
              <w:t xml:space="preserve"> Šajā gadījumā informācijas sniegšanu Ministru kabinetam nodrošinās Ekonomikas ministrija.</w:t>
            </w:r>
          </w:p>
          <w:p w14:paraId="11EB23BC" w14:textId="77777777" w:rsidR="00382B44" w:rsidRPr="00F747C9" w:rsidRDefault="00382B44" w:rsidP="00C46C6D">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t>Lai minēto nodrošinātu, MK noteikumi Nr. 160 papildināti ar sabiedrības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un Atbildīgās iestādes pienākumiem:</w:t>
            </w:r>
          </w:p>
          <w:p w14:paraId="04C69DAC" w14:textId="77777777" w:rsidR="00382B44" w:rsidRPr="00F747C9" w:rsidRDefault="00382B44" w:rsidP="00C46C6D">
            <w:pPr>
              <w:pStyle w:val="ListParagraph"/>
              <w:spacing w:after="0" w:line="240" w:lineRule="auto"/>
              <w:ind w:left="479"/>
              <w:jc w:val="both"/>
              <w:rPr>
                <w:rFonts w:ascii="Times New Roman" w:hAnsi="Times New Roman"/>
                <w:sz w:val="24"/>
                <w:szCs w:val="24"/>
              </w:rPr>
            </w:pPr>
            <w:r w:rsidRPr="00F747C9">
              <w:rPr>
                <w:rFonts w:ascii="Times New Roman" w:hAnsi="Times New Roman"/>
                <w:sz w:val="24"/>
                <w:szCs w:val="24"/>
              </w:rPr>
              <w:t>-</w:t>
            </w:r>
            <w:r w:rsidRPr="00F747C9">
              <w:rPr>
                <w:rFonts w:ascii="Times New Roman" w:hAnsi="Times New Roman"/>
                <w:sz w:val="24"/>
                <w:szCs w:val="24"/>
              </w:rPr>
              <w:tab/>
              <w:t>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izstrādās kārtību par dzīvokļu īpašnieku un dzīvokļu īpašnieku pilnvaroto personu neatbilstoši veikto izdevumu (turpmāk – neatbilstoši veikti izdevumi) atgūšanu un šo kārtību saskaņos ar Atbildīgo iestādi un Vadošo iestādi. Izstrādājot kārtību,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ņems vērā Sadarbības iestādes izstrādāto neatbilstību vadības kārtību;</w:t>
            </w:r>
          </w:p>
          <w:p w14:paraId="529B6FB4" w14:textId="77777777" w:rsidR="00382B44" w:rsidRPr="00F747C9" w:rsidRDefault="00382B44" w:rsidP="00C46C6D">
            <w:pPr>
              <w:pStyle w:val="ListParagraph"/>
              <w:spacing w:after="0" w:line="240" w:lineRule="auto"/>
              <w:ind w:left="479"/>
              <w:jc w:val="both"/>
              <w:rPr>
                <w:rFonts w:ascii="Times New Roman" w:hAnsi="Times New Roman"/>
                <w:sz w:val="24"/>
                <w:szCs w:val="24"/>
              </w:rPr>
            </w:pPr>
            <w:r w:rsidRPr="00F747C9">
              <w:rPr>
                <w:rFonts w:ascii="Times New Roman" w:hAnsi="Times New Roman"/>
                <w:sz w:val="24"/>
                <w:szCs w:val="24"/>
              </w:rPr>
              <w:t>-</w:t>
            </w:r>
            <w:r w:rsidRPr="00F747C9">
              <w:rPr>
                <w:rFonts w:ascii="Times New Roman" w:hAnsi="Times New Roman"/>
                <w:sz w:val="24"/>
                <w:szCs w:val="24"/>
              </w:rPr>
              <w:tab/>
              <w:t>kārtībā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noteiks neatbilstoši veikto izdevumu atgūšanas procesu, kā arī nosacījumus, kad neatbilstoši veikto izdevumu atgūšana nav iespējama vai izdevumu atgūšanas izmaksas nav ekonomiski pamatotas, kā arī Atbildīgās iestādes informēšanas kārtību par neatbilstošiem izdevumiem;</w:t>
            </w:r>
          </w:p>
          <w:p w14:paraId="5077B01F" w14:textId="6165F74E" w:rsidR="00382B44" w:rsidRPr="00F747C9" w:rsidRDefault="00382B44" w:rsidP="00043F63">
            <w:pPr>
              <w:pStyle w:val="ListParagraph"/>
              <w:spacing w:after="0" w:line="240" w:lineRule="auto"/>
              <w:ind w:left="479"/>
              <w:jc w:val="both"/>
              <w:rPr>
                <w:rFonts w:ascii="Times New Roman" w:hAnsi="Times New Roman"/>
                <w:sz w:val="24"/>
                <w:szCs w:val="24"/>
              </w:rPr>
            </w:pPr>
            <w:r w:rsidRPr="00F747C9">
              <w:rPr>
                <w:rFonts w:ascii="Times New Roman" w:hAnsi="Times New Roman"/>
                <w:sz w:val="24"/>
                <w:szCs w:val="24"/>
              </w:rPr>
              <w:t>-</w:t>
            </w:r>
            <w:r w:rsidRPr="00F747C9">
              <w:rPr>
                <w:rFonts w:ascii="Times New Roman" w:hAnsi="Times New Roman"/>
                <w:sz w:val="24"/>
                <w:szCs w:val="24"/>
              </w:rPr>
              <w:tab/>
              <w:t>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reizi pusgadā, attiecīgi līdz 1.februārim un 1.augustam informēs </w:t>
            </w:r>
            <w:r w:rsidR="003164B0">
              <w:rPr>
                <w:rFonts w:ascii="Times New Roman" w:hAnsi="Times New Roman"/>
                <w:sz w:val="24"/>
                <w:szCs w:val="24"/>
              </w:rPr>
              <w:t>Ekonomikas</w:t>
            </w:r>
            <w:r w:rsidR="003164B0" w:rsidRPr="00F747C9">
              <w:rPr>
                <w:rFonts w:ascii="Times New Roman" w:hAnsi="Times New Roman"/>
                <w:sz w:val="24"/>
                <w:szCs w:val="24"/>
              </w:rPr>
              <w:t xml:space="preserve"> </w:t>
            </w:r>
            <w:r w:rsidRPr="00F747C9">
              <w:rPr>
                <w:rFonts w:ascii="Times New Roman" w:hAnsi="Times New Roman"/>
                <w:sz w:val="24"/>
                <w:szCs w:val="24"/>
              </w:rPr>
              <w:t xml:space="preserve">ministriju par minētajiem gadījumiem, lai </w:t>
            </w:r>
            <w:r w:rsidR="003164B0">
              <w:rPr>
                <w:rFonts w:ascii="Times New Roman" w:hAnsi="Times New Roman"/>
                <w:sz w:val="24"/>
                <w:szCs w:val="24"/>
              </w:rPr>
              <w:t>Ekonomikas</w:t>
            </w:r>
            <w:r w:rsidR="003164B0" w:rsidRPr="00F747C9">
              <w:rPr>
                <w:rFonts w:ascii="Times New Roman" w:hAnsi="Times New Roman"/>
                <w:sz w:val="24"/>
                <w:szCs w:val="24"/>
              </w:rPr>
              <w:t xml:space="preserve"> </w:t>
            </w:r>
            <w:r w:rsidRPr="00F747C9">
              <w:rPr>
                <w:rFonts w:ascii="Times New Roman" w:hAnsi="Times New Roman"/>
                <w:sz w:val="24"/>
                <w:szCs w:val="24"/>
              </w:rPr>
              <w:t xml:space="preserve">ministrija informētu  Ministru kabinetu un Ministru kabinets lemtu par </w:t>
            </w:r>
            <w:r w:rsidR="003164B0" w:rsidRPr="003164B0">
              <w:rPr>
                <w:rFonts w:ascii="Times New Roman" w:hAnsi="Times New Roman"/>
                <w:sz w:val="24"/>
                <w:szCs w:val="24"/>
              </w:rPr>
              <w:t>neatbilstoši veikto izdevumu, kas radušies no sabiedrības “</w:t>
            </w:r>
            <w:proofErr w:type="spellStart"/>
            <w:r w:rsidR="003164B0" w:rsidRPr="003164B0">
              <w:rPr>
                <w:rFonts w:ascii="Times New Roman" w:hAnsi="Times New Roman"/>
                <w:sz w:val="24"/>
                <w:szCs w:val="24"/>
              </w:rPr>
              <w:t>Altum</w:t>
            </w:r>
            <w:proofErr w:type="spellEnd"/>
            <w:r w:rsidR="003164B0" w:rsidRPr="003164B0">
              <w:rPr>
                <w:rFonts w:ascii="Times New Roman" w:hAnsi="Times New Roman"/>
                <w:sz w:val="24"/>
                <w:szCs w:val="24"/>
              </w:rPr>
              <w:t xml:space="preserve">” neatkarīgu apstākļu dēļ un ir veiktas pietiekamas, saprātīgas un samērīgas darbības </w:t>
            </w:r>
            <w:proofErr w:type="spellStart"/>
            <w:r w:rsidR="003164B0" w:rsidRPr="003164B0">
              <w:rPr>
                <w:rFonts w:ascii="Times New Roman" w:hAnsi="Times New Roman"/>
                <w:sz w:val="24"/>
                <w:szCs w:val="24"/>
              </w:rPr>
              <w:t>grantu</w:t>
            </w:r>
            <w:proofErr w:type="spellEnd"/>
            <w:r w:rsidR="003164B0" w:rsidRPr="003164B0">
              <w:rPr>
                <w:rFonts w:ascii="Times New Roman" w:hAnsi="Times New Roman"/>
                <w:sz w:val="24"/>
                <w:szCs w:val="24"/>
              </w:rPr>
              <w:t xml:space="preserve"> atgūšanai,  </w:t>
            </w:r>
            <w:r w:rsidR="002C3D4E">
              <w:rPr>
                <w:rFonts w:ascii="Times New Roman" w:hAnsi="Times New Roman"/>
                <w:sz w:val="24"/>
                <w:szCs w:val="24"/>
              </w:rPr>
              <w:t>kompensēšanu</w:t>
            </w:r>
            <w:r w:rsidR="003164B0" w:rsidRPr="003164B0">
              <w:rPr>
                <w:rFonts w:ascii="Times New Roman" w:hAnsi="Times New Roman"/>
                <w:sz w:val="24"/>
                <w:szCs w:val="24"/>
              </w:rPr>
              <w:t xml:space="preserve"> sabiedrībai “</w:t>
            </w:r>
            <w:proofErr w:type="spellStart"/>
            <w:r w:rsidR="003164B0" w:rsidRPr="003164B0">
              <w:rPr>
                <w:rFonts w:ascii="Times New Roman" w:hAnsi="Times New Roman"/>
                <w:sz w:val="24"/>
                <w:szCs w:val="24"/>
              </w:rPr>
              <w:t>Altum</w:t>
            </w:r>
            <w:proofErr w:type="spellEnd"/>
            <w:r w:rsidR="003164B0" w:rsidRPr="003164B0">
              <w:rPr>
                <w:rFonts w:ascii="Times New Roman" w:hAnsi="Times New Roman"/>
                <w:sz w:val="24"/>
                <w:szCs w:val="24"/>
              </w:rPr>
              <w:t xml:space="preserve">”  vai  šo neatbilstoši </w:t>
            </w:r>
            <w:r w:rsidR="003164B0">
              <w:rPr>
                <w:rFonts w:ascii="Times New Roman" w:hAnsi="Times New Roman"/>
                <w:sz w:val="24"/>
                <w:szCs w:val="24"/>
              </w:rPr>
              <w:t>veikto izdevumu atgūšanu no tās</w:t>
            </w:r>
            <w:r w:rsidR="00043F63">
              <w:rPr>
                <w:rFonts w:ascii="Times New Roman" w:hAnsi="Times New Roman"/>
                <w:sz w:val="24"/>
                <w:szCs w:val="24"/>
              </w:rPr>
              <w:t>.</w:t>
            </w:r>
          </w:p>
          <w:p w14:paraId="1AAC764C" w14:textId="3B99C5F0" w:rsidR="00382B44" w:rsidRPr="003164B0" w:rsidRDefault="00382B44" w:rsidP="003164B0">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t>Vienlaicīgi jānorāda, ka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veiks visas darbības, lai atgūtu neatbilstoši izsniegto atbalstu no dzīvokļu īpašnieku pilnvarotajām personām vai dzīvokļu īpašniekiem. </w:t>
            </w:r>
            <w:r w:rsidR="006C66CD">
              <w:rPr>
                <w:rFonts w:ascii="Times New Roman" w:hAnsi="Times New Roman"/>
                <w:sz w:val="24"/>
                <w:szCs w:val="24"/>
              </w:rPr>
              <w:t>Par n</w:t>
            </w:r>
            <w:r w:rsidRPr="00F747C9">
              <w:rPr>
                <w:rFonts w:ascii="Times New Roman" w:hAnsi="Times New Roman"/>
                <w:sz w:val="24"/>
                <w:szCs w:val="24"/>
              </w:rPr>
              <w:t>eatbilstoši veikt</w:t>
            </w:r>
            <w:r w:rsidR="006C66CD">
              <w:rPr>
                <w:rFonts w:ascii="Times New Roman" w:hAnsi="Times New Roman"/>
                <w:sz w:val="24"/>
                <w:szCs w:val="24"/>
              </w:rPr>
              <w:t>o</w:t>
            </w:r>
            <w:r w:rsidRPr="00F747C9">
              <w:rPr>
                <w:rFonts w:ascii="Times New Roman" w:hAnsi="Times New Roman"/>
                <w:sz w:val="24"/>
                <w:szCs w:val="24"/>
              </w:rPr>
              <w:t xml:space="preserve"> izdevum</w:t>
            </w:r>
            <w:r w:rsidR="006C66CD">
              <w:rPr>
                <w:rFonts w:ascii="Times New Roman" w:hAnsi="Times New Roman"/>
                <w:sz w:val="24"/>
                <w:szCs w:val="24"/>
              </w:rPr>
              <w:t>u</w:t>
            </w:r>
            <w:r w:rsidRPr="00F747C9">
              <w:rPr>
                <w:rFonts w:ascii="Times New Roman" w:hAnsi="Times New Roman"/>
                <w:sz w:val="24"/>
                <w:szCs w:val="24"/>
              </w:rPr>
              <w:t xml:space="preserve"> </w:t>
            </w:r>
            <w:r w:rsidR="002C3D4E">
              <w:rPr>
                <w:rFonts w:ascii="Times New Roman" w:hAnsi="Times New Roman"/>
                <w:sz w:val="24"/>
                <w:szCs w:val="24"/>
              </w:rPr>
              <w:t>kompensēšanu</w:t>
            </w:r>
            <w:r w:rsidR="003164B0" w:rsidRPr="003164B0">
              <w:rPr>
                <w:rFonts w:ascii="Times New Roman" w:hAnsi="Times New Roman"/>
                <w:sz w:val="24"/>
                <w:szCs w:val="24"/>
              </w:rPr>
              <w:t xml:space="preserve"> jau piešķirtā finansējuma (avansa) ietvaros </w:t>
            </w:r>
            <w:r w:rsidR="006C66CD" w:rsidRPr="003164B0">
              <w:rPr>
                <w:rFonts w:ascii="Times New Roman" w:hAnsi="Times New Roman"/>
                <w:sz w:val="24"/>
                <w:szCs w:val="24"/>
              </w:rPr>
              <w:t>MK lems</w:t>
            </w:r>
            <w:r w:rsidRPr="003164B0">
              <w:rPr>
                <w:rFonts w:ascii="Times New Roman" w:hAnsi="Times New Roman"/>
                <w:sz w:val="24"/>
                <w:szCs w:val="24"/>
              </w:rPr>
              <w:t xml:space="preserve"> gadījumos, kad sabiedrība “</w:t>
            </w:r>
            <w:proofErr w:type="spellStart"/>
            <w:r w:rsidRPr="003164B0">
              <w:rPr>
                <w:rFonts w:ascii="Times New Roman" w:hAnsi="Times New Roman"/>
                <w:sz w:val="24"/>
                <w:szCs w:val="24"/>
              </w:rPr>
              <w:t>Altum</w:t>
            </w:r>
            <w:proofErr w:type="spellEnd"/>
            <w:r w:rsidRPr="003164B0">
              <w:rPr>
                <w:rFonts w:ascii="Times New Roman" w:hAnsi="Times New Roman"/>
                <w:sz w:val="24"/>
                <w:szCs w:val="24"/>
              </w:rPr>
              <w:t>” nevarēs atgūt izsniegto atbalstu vai atbalsta atgūšana tiks uzskatīta neefektīvu līdzekļu izmantošanu, proti, atgūstamā atbalsta apmērs ir mazāks vai vienāds par piedziņas procesa izmaksām.</w:t>
            </w:r>
          </w:p>
          <w:p w14:paraId="6542FDB3" w14:textId="1ACF3745" w:rsidR="00382B44" w:rsidRDefault="00382B44" w:rsidP="00C46C6D">
            <w:pPr>
              <w:pStyle w:val="ListParagraph"/>
              <w:spacing w:after="0" w:line="240" w:lineRule="auto"/>
              <w:ind w:left="54"/>
              <w:jc w:val="both"/>
              <w:rPr>
                <w:rFonts w:ascii="Times New Roman" w:hAnsi="Times New Roman"/>
                <w:sz w:val="24"/>
                <w:szCs w:val="24"/>
              </w:rPr>
            </w:pPr>
            <w:r w:rsidRPr="00F747C9">
              <w:rPr>
                <w:rFonts w:ascii="Times New Roman" w:hAnsi="Times New Roman"/>
                <w:sz w:val="24"/>
                <w:szCs w:val="24"/>
              </w:rPr>
              <w:t xml:space="preserve">Pašreiz nav iespējams prognozēt, kādā apmērā </w:t>
            </w:r>
            <w:r w:rsidR="003164B0" w:rsidRPr="00F747C9">
              <w:rPr>
                <w:rFonts w:ascii="Times New Roman" w:hAnsi="Times New Roman"/>
                <w:sz w:val="24"/>
                <w:szCs w:val="24"/>
              </w:rPr>
              <w:t>izdevum</w:t>
            </w:r>
            <w:r w:rsidR="003164B0">
              <w:rPr>
                <w:rFonts w:ascii="Times New Roman" w:hAnsi="Times New Roman"/>
                <w:sz w:val="24"/>
                <w:szCs w:val="24"/>
              </w:rPr>
              <w:t>u</w:t>
            </w:r>
            <w:r w:rsidR="003164B0" w:rsidRPr="00F747C9">
              <w:rPr>
                <w:rFonts w:ascii="Times New Roman" w:hAnsi="Times New Roman"/>
                <w:sz w:val="24"/>
                <w:szCs w:val="24"/>
              </w:rPr>
              <w:t xml:space="preserve"> </w:t>
            </w:r>
            <w:r w:rsidR="002C3D4E">
              <w:rPr>
                <w:rFonts w:ascii="Times New Roman" w:hAnsi="Times New Roman"/>
                <w:sz w:val="24"/>
                <w:szCs w:val="24"/>
              </w:rPr>
              <w:t>kompensēšana</w:t>
            </w:r>
            <w:r w:rsidR="00386B3A">
              <w:rPr>
                <w:rFonts w:ascii="Times New Roman" w:hAnsi="Times New Roman"/>
                <w:sz w:val="24"/>
                <w:szCs w:val="24"/>
              </w:rPr>
              <w:t xml:space="preserve"> sabiedrībai “</w:t>
            </w:r>
            <w:proofErr w:type="spellStart"/>
            <w:r w:rsidR="00386B3A">
              <w:rPr>
                <w:rFonts w:ascii="Times New Roman" w:hAnsi="Times New Roman"/>
                <w:sz w:val="24"/>
                <w:szCs w:val="24"/>
              </w:rPr>
              <w:t>Altum</w:t>
            </w:r>
            <w:proofErr w:type="spellEnd"/>
            <w:r w:rsidR="00386B3A">
              <w:rPr>
                <w:rFonts w:ascii="Times New Roman" w:hAnsi="Times New Roman"/>
                <w:sz w:val="24"/>
                <w:szCs w:val="24"/>
              </w:rPr>
              <w:t xml:space="preserve">” būs nepieciešama, </w:t>
            </w:r>
            <w:r w:rsidRPr="00F747C9">
              <w:rPr>
                <w:rFonts w:ascii="Times New Roman" w:hAnsi="Times New Roman"/>
                <w:sz w:val="24"/>
                <w:szCs w:val="24"/>
              </w:rPr>
              <w:t>jo atbalsta nosacījumu izpilde būs atkarīgi no trešajām pusēm, ko sabiedrība “</w:t>
            </w:r>
            <w:proofErr w:type="spellStart"/>
            <w:r w:rsidRPr="00F747C9">
              <w:rPr>
                <w:rFonts w:ascii="Times New Roman" w:hAnsi="Times New Roman"/>
                <w:sz w:val="24"/>
                <w:szCs w:val="24"/>
              </w:rPr>
              <w:t>Altum</w:t>
            </w:r>
            <w:proofErr w:type="spellEnd"/>
            <w:r w:rsidRPr="00F747C9">
              <w:rPr>
                <w:rFonts w:ascii="Times New Roman" w:hAnsi="Times New Roman"/>
                <w:sz w:val="24"/>
                <w:szCs w:val="24"/>
              </w:rPr>
              <w:t xml:space="preserve">” nevarēs tieši ietekmēt un kontrolēt. 01.11.2016. MK noteikumu grozījumu anotācijā (protokols nr.58, 47.§) iekļauts pieņēmumus, ka neatbilstoši izsniegto </w:t>
            </w:r>
            <w:proofErr w:type="spellStart"/>
            <w:r w:rsidRPr="00F747C9">
              <w:rPr>
                <w:rFonts w:ascii="Times New Roman" w:hAnsi="Times New Roman"/>
                <w:sz w:val="24"/>
                <w:szCs w:val="24"/>
              </w:rPr>
              <w:t>grantu</w:t>
            </w:r>
            <w:proofErr w:type="spellEnd"/>
            <w:r w:rsidRPr="00F747C9">
              <w:rPr>
                <w:rFonts w:ascii="Times New Roman" w:hAnsi="Times New Roman"/>
                <w:sz w:val="24"/>
                <w:szCs w:val="24"/>
              </w:rPr>
              <w:t xml:space="preserve"> apjoms, kurus nav iespējams atgūt vai kuru atgūšana nav ekonomiski pamatota, Pasākuma ieviešanas laikā būs 3 miljonu </w:t>
            </w:r>
            <w:proofErr w:type="spellStart"/>
            <w:r w:rsidRPr="00F747C9">
              <w:rPr>
                <w:rFonts w:ascii="Times New Roman" w:hAnsi="Times New Roman"/>
                <w:i/>
                <w:sz w:val="24"/>
                <w:szCs w:val="24"/>
              </w:rPr>
              <w:t>euro</w:t>
            </w:r>
            <w:proofErr w:type="spellEnd"/>
            <w:r w:rsidRPr="00F747C9">
              <w:rPr>
                <w:rFonts w:ascii="Times New Roman" w:hAnsi="Times New Roman"/>
                <w:sz w:val="24"/>
                <w:szCs w:val="24"/>
              </w:rPr>
              <w:t xml:space="preserve"> apmērā.</w:t>
            </w:r>
          </w:p>
          <w:p w14:paraId="560BAFCA" w14:textId="77777777" w:rsidR="00386B3A" w:rsidRPr="00386B3A" w:rsidRDefault="002B1F86" w:rsidP="00386B3A">
            <w:pPr>
              <w:pStyle w:val="ListParagraph"/>
              <w:spacing w:after="0" w:line="240" w:lineRule="auto"/>
              <w:ind w:left="54"/>
              <w:jc w:val="both"/>
              <w:rPr>
                <w:rFonts w:ascii="Times New Roman" w:hAnsi="Times New Roman"/>
                <w:sz w:val="24"/>
                <w:szCs w:val="24"/>
              </w:rPr>
            </w:pPr>
            <w:r>
              <w:rPr>
                <w:rFonts w:ascii="Times New Roman" w:hAnsi="Times New Roman"/>
                <w:sz w:val="24"/>
                <w:szCs w:val="24"/>
              </w:rPr>
              <w:t xml:space="preserve">Papildus </w:t>
            </w:r>
            <w:r w:rsidR="00386B3A" w:rsidRPr="00386B3A">
              <w:rPr>
                <w:rFonts w:ascii="Times New Roman" w:hAnsi="Times New Roman"/>
                <w:sz w:val="24"/>
                <w:szCs w:val="24"/>
              </w:rPr>
              <w:t xml:space="preserve">skaidrojam, ka  </w:t>
            </w:r>
            <w:r>
              <w:rPr>
                <w:rFonts w:ascii="Times New Roman" w:hAnsi="Times New Roman"/>
                <w:sz w:val="24"/>
                <w:szCs w:val="24"/>
              </w:rPr>
              <w:t>“</w:t>
            </w:r>
            <w:proofErr w:type="spellStart"/>
            <w:r w:rsidR="00386B3A" w:rsidRPr="00386B3A">
              <w:rPr>
                <w:rFonts w:ascii="Times New Roman" w:hAnsi="Times New Roman"/>
                <w:sz w:val="24"/>
                <w:szCs w:val="24"/>
              </w:rPr>
              <w:t>Altum</w:t>
            </w:r>
            <w:proofErr w:type="spellEnd"/>
            <w:r>
              <w:rPr>
                <w:rFonts w:ascii="Times New Roman" w:hAnsi="Times New Roman"/>
                <w:sz w:val="24"/>
                <w:szCs w:val="24"/>
              </w:rPr>
              <w:t>”</w:t>
            </w:r>
            <w:r w:rsidR="00386B3A" w:rsidRPr="00386B3A">
              <w:rPr>
                <w:rFonts w:ascii="Times New Roman" w:hAnsi="Times New Roman"/>
                <w:sz w:val="24"/>
                <w:szCs w:val="24"/>
              </w:rPr>
              <w:t xml:space="preserve"> pr</w:t>
            </w:r>
            <w:r w:rsidR="00386B3A">
              <w:rPr>
                <w:rFonts w:ascii="Times New Roman" w:hAnsi="Times New Roman"/>
                <w:sz w:val="24"/>
                <w:szCs w:val="24"/>
              </w:rPr>
              <w:t>ojekta neattiecinātās izmaksas s</w:t>
            </w:r>
            <w:r w:rsidR="00386B3A" w:rsidRPr="00386B3A">
              <w:rPr>
                <w:rFonts w:ascii="Times New Roman" w:hAnsi="Times New Roman"/>
                <w:sz w:val="24"/>
                <w:szCs w:val="24"/>
              </w:rPr>
              <w:t>abiedrība “</w:t>
            </w:r>
            <w:proofErr w:type="spellStart"/>
            <w:r w:rsidR="00386B3A" w:rsidRPr="00386B3A">
              <w:rPr>
                <w:rFonts w:ascii="Times New Roman" w:hAnsi="Times New Roman"/>
                <w:sz w:val="24"/>
                <w:szCs w:val="24"/>
              </w:rPr>
              <w:t>Altum</w:t>
            </w:r>
            <w:proofErr w:type="spellEnd"/>
            <w:r w:rsidR="00386B3A" w:rsidRPr="00386B3A">
              <w:rPr>
                <w:rFonts w:ascii="Times New Roman" w:hAnsi="Times New Roman"/>
                <w:sz w:val="24"/>
                <w:szCs w:val="24"/>
              </w:rPr>
              <w:t xml:space="preserve">” nevarēs segt no </w:t>
            </w:r>
            <w:r>
              <w:rPr>
                <w:rFonts w:ascii="Times New Roman" w:hAnsi="Times New Roman"/>
                <w:sz w:val="24"/>
                <w:szCs w:val="24"/>
              </w:rPr>
              <w:t>“</w:t>
            </w:r>
            <w:proofErr w:type="spellStart"/>
            <w:r w:rsidR="00386B3A" w:rsidRPr="00386B3A">
              <w:rPr>
                <w:rFonts w:ascii="Times New Roman" w:hAnsi="Times New Roman"/>
                <w:sz w:val="24"/>
                <w:szCs w:val="24"/>
              </w:rPr>
              <w:t>Altum</w:t>
            </w:r>
            <w:proofErr w:type="spellEnd"/>
            <w:r>
              <w:rPr>
                <w:rFonts w:ascii="Times New Roman" w:hAnsi="Times New Roman"/>
                <w:sz w:val="24"/>
                <w:szCs w:val="24"/>
              </w:rPr>
              <w:t>”</w:t>
            </w:r>
            <w:r w:rsidR="00386B3A" w:rsidRPr="00386B3A">
              <w:rPr>
                <w:rFonts w:ascii="Times New Roman" w:hAnsi="Times New Roman"/>
                <w:sz w:val="24"/>
                <w:szCs w:val="24"/>
              </w:rPr>
              <w:t xml:space="preserve"> projekta publi</w:t>
            </w:r>
            <w:r w:rsidR="00386B3A">
              <w:rPr>
                <w:rFonts w:ascii="Times New Roman" w:hAnsi="Times New Roman"/>
                <w:sz w:val="24"/>
                <w:szCs w:val="24"/>
              </w:rPr>
              <w:t>skā finansējuma, kuru iemaksās s</w:t>
            </w:r>
            <w:r w:rsidR="00386B3A" w:rsidRPr="00386B3A">
              <w:rPr>
                <w:rFonts w:ascii="Times New Roman" w:hAnsi="Times New Roman"/>
                <w:sz w:val="24"/>
                <w:szCs w:val="24"/>
              </w:rPr>
              <w:t xml:space="preserve">adarbības iestāde sabiedrībai </w:t>
            </w:r>
            <w:r w:rsidR="00386B3A">
              <w:rPr>
                <w:rFonts w:ascii="Times New Roman" w:hAnsi="Times New Roman"/>
                <w:sz w:val="24"/>
                <w:szCs w:val="24"/>
              </w:rPr>
              <w:t>“</w:t>
            </w:r>
            <w:proofErr w:type="spellStart"/>
            <w:r w:rsidR="00386B3A" w:rsidRPr="00386B3A">
              <w:rPr>
                <w:rFonts w:ascii="Times New Roman" w:hAnsi="Times New Roman"/>
                <w:sz w:val="24"/>
                <w:szCs w:val="24"/>
              </w:rPr>
              <w:t>Altum</w:t>
            </w:r>
            <w:proofErr w:type="spellEnd"/>
            <w:r w:rsidR="00386B3A">
              <w:rPr>
                <w:rFonts w:ascii="Times New Roman" w:hAnsi="Times New Roman"/>
                <w:sz w:val="24"/>
                <w:szCs w:val="24"/>
              </w:rPr>
              <w:t>”</w:t>
            </w:r>
            <w:r w:rsidR="00386B3A" w:rsidRPr="00386B3A">
              <w:rPr>
                <w:rFonts w:ascii="Times New Roman" w:hAnsi="Times New Roman"/>
                <w:sz w:val="24"/>
                <w:szCs w:val="24"/>
              </w:rPr>
              <w:t xml:space="preserve"> avansa maksājuma veidā.</w:t>
            </w:r>
          </w:p>
          <w:p w14:paraId="1963CA94" w14:textId="77777777" w:rsidR="00386B3A" w:rsidRPr="00386B3A" w:rsidRDefault="00386B3A" w:rsidP="00386B3A">
            <w:pPr>
              <w:pStyle w:val="ListParagraph"/>
              <w:spacing w:after="0" w:line="240" w:lineRule="auto"/>
              <w:ind w:left="54"/>
              <w:jc w:val="both"/>
              <w:rPr>
                <w:rFonts w:ascii="Times New Roman" w:hAnsi="Times New Roman"/>
                <w:sz w:val="24"/>
                <w:szCs w:val="24"/>
              </w:rPr>
            </w:pPr>
            <w:r w:rsidRPr="00386B3A">
              <w:rPr>
                <w:rFonts w:ascii="Times New Roman" w:hAnsi="Times New Roman"/>
                <w:sz w:val="24"/>
                <w:szCs w:val="24"/>
              </w:rPr>
              <w:lastRenderedPageBreak/>
              <w:t>Līgums, kas noslēgts starp sadarbības iestādi un sabiedrību “</w:t>
            </w:r>
            <w:proofErr w:type="spellStart"/>
            <w:r w:rsidRPr="00386B3A">
              <w:rPr>
                <w:rFonts w:ascii="Times New Roman" w:hAnsi="Times New Roman"/>
                <w:sz w:val="24"/>
                <w:szCs w:val="24"/>
              </w:rPr>
              <w:t>Altum</w:t>
            </w:r>
            <w:proofErr w:type="spellEnd"/>
            <w:r w:rsidRPr="00386B3A">
              <w:rPr>
                <w:rFonts w:ascii="Times New Roman" w:hAnsi="Times New Roman"/>
                <w:sz w:val="24"/>
                <w:szCs w:val="24"/>
              </w:rPr>
              <w:t>” paredz, ka sabiedrība “</w:t>
            </w:r>
            <w:proofErr w:type="spellStart"/>
            <w:r w:rsidRPr="00386B3A">
              <w:rPr>
                <w:rFonts w:ascii="Times New Roman" w:hAnsi="Times New Roman"/>
                <w:sz w:val="24"/>
                <w:szCs w:val="24"/>
              </w:rPr>
              <w:t>Altum</w:t>
            </w:r>
            <w:proofErr w:type="spellEnd"/>
            <w:r w:rsidRPr="00386B3A">
              <w:rPr>
                <w:rFonts w:ascii="Times New Roman" w:hAnsi="Times New Roman"/>
                <w:sz w:val="24"/>
                <w:szCs w:val="24"/>
              </w:rPr>
              <w:t>” saņem publiskā finansējuma avansu atbalsta maksājumu nodrošināšanai atbalsta saņēmējiem. Avansu paredzēts iemaksāt sabiedrībai “</w:t>
            </w:r>
            <w:proofErr w:type="spellStart"/>
            <w:r w:rsidRPr="00386B3A">
              <w:rPr>
                <w:rFonts w:ascii="Times New Roman" w:hAnsi="Times New Roman"/>
                <w:sz w:val="24"/>
                <w:szCs w:val="24"/>
              </w:rPr>
              <w:t>Altum</w:t>
            </w:r>
            <w:proofErr w:type="spellEnd"/>
            <w:r w:rsidRPr="00386B3A">
              <w:rPr>
                <w:rFonts w:ascii="Times New Roman" w:hAnsi="Times New Roman"/>
                <w:sz w:val="24"/>
                <w:szCs w:val="24"/>
              </w:rPr>
              <w:t xml:space="preserve">” pa daļām (katra daļa ne lielāka par 35% no </w:t>
            </w:r>
            <w:proofErr w:type="spellStart"/>
            <w:r w:rsidRPr="00386B3A">
              <w:rPr>
                <w:rFonts w:ascii="Times New Roman" w:hAnsi="Times New Roman"/>
                <w:sz w:val="24"/>
                <w:szCs w:val="24"/>
              </w:rPr>
              <w:t>grantu</w:t>
            </w:r>
            <w:proofErr w:type="spellEnd"/>
            <w:r w:rsidRPr="00386B3A">
              <w:rPr>
                <w:rFonts w:ascii="Times New Roman" w:hAnsi="Times New Roman"/>
                <w:sz w:val="24"/>
                <w:szCs w:val="24"/>
              </w:rPr>
              <w:t xml:space="preserve"> kopsummas).</w:t>
            </w:r>
            <w:r>
              <w:rPr>
                <w:rFonts w:ascii="Times New Roman" w:hAnsi="Times New Roman"/>
                <w:sz w:val="24"/>
                <w:szCs w:val="24"/>
              </w:rPr>
              <w:t xml:space="preserve"> Līguma 10.1.punkts paredz, ka s</w:t>
            </w:r>
            <w:r w:rsidRPr="00386B3A">
              <w:rPr>
                <w:rFonts w:ascii="Times New Roman" w:hAnsi="Times New Roman"/>
                <w:sz w:val="24"/>
                <w:szCs w:val="24"/>
              </w:rPr>
              <w:t>a</w:t>
            </w:r>
            <w:r>
              <w:rPr>
                <w:rFonts w:ascii="Times New Roman" w:hAnsi="Times New Roman"/>
                <w:sz w:val="24"/>
                <w:szCs w:val="24"/>
              </w:rPr>
              <w:t>darbības iestāde var samazināt a</w:t>
            </w:r>
            <w:r w:rsidRPr="00386B3A">
              <w:rPr>
                <w:rFonts w:ascii="Times New Roman" w:hAnsi="Times New Roman"/>
                <w:sz w:val="24"/>
                <w:szCs w:val="24"/>
              </w:rPr>
              <w:t>ttiecināmo izdevumu summu, ja cita starpā tiek konstatēta neatbilstība Regulas Nr. 1303/20137 2. panta 36. p</w:t>
            </w:r>
            <w:r>
              <w:rPr>
                <w:rFonts w:ascii="Times New Roman" w:hAnsi="Times New Roman"/>
                <w:sz w:val="24"/>
                <w:szCs w:val="24"/>
              </w:rPr>
              <w:t>unkta izpratnē un ir piemērota f</w:t>
            </w:r>
            <w:r w:rsidRPr="00386B3A">
              <w:rPr>
                <w:rFonts w:ascii="Times New Roman" w:hAnsi="Times New Roman"/>
                <w:sz w:val="24"/>
                <w:szCs w:val="24"/>
              </w:rPr>
              <w:t xml:space="preserve">inanšu korekcija. Šajos gadījumos </w:t>
            </w:r>
            <w:r>
              <w:rPr>
                <w:rFonts w:ascii="Times New Roman" w:hAnsi="Times New Roman"/>
                <w:sz w:val="24"/>
                <w:szCs w:val="24"/>
              </w:rPr>
              <w:t>s</w:t>
            </w:r>
            <w:r w:rsidRPr="00386B3A">
              <w:rPr>
                <w:rFonts w:ascii="Times New Roman" w:hAnsi="Times New Roman"/>
                <w:sz w:val="24"/>
                <w:szCs w:val="24"/>
              </w:rPr>
              <w:t xml:space="preserve">adarbības iestāde atbilstoši Līguma 9.6.punktam pieņem lēmumu par </w:t>
            </w:r>
            <w:r>
              <w:rPr>
                <w:rFonts w:ascii="Times New Roman" w:hAnsi="Times New Roman"/>
                <w:sz w:val="24"/>
                <w:szCs w:val="24"/>
              </w:rPr>
              <w:t>a</w:t>
            </w:r>
            <w:r w:rsidRPr="00386B3A">
              <w:rPr>
                <w:rFonts w:ascii="Times New Roman" w:hAnsi="Times New Roman"/>
                <w:sz w:val="24"/>
                <w:szCs w:val="24"/>
              </w:rPr>
              <w:t xml:space="preserve">ttiecināmo izdevumu summas samazināšanu un </w:t>
            </w:r>
            <w:r>
              <w:rPr>
                <w:rFonts w:ascii="Times New Roman" w:hAnsi="Times New Roman"/>
                <w:sz w:val="24"/>
                <w:szCs w:val="24"/>
              </w:rPr>
              <w:t>m</w:t>
            </w:r>
            <w:r w:rsidRPr="00386B3A">
              <w:rPr>
                <w:rFonts w:ascii="Times New Roman" w:hAnsi="Times New Roman"/>
                <w:sz w:val="24"/>
                <w:szCs w:val="24"/>
              </w:rPr>
              <w:t xml:space="preserve">aksājuma pieprasījumu apmaksu daļējā apmērā. </w:t>
            </w:r>
          </w:p>
          <w:p w14:paraId="245F3C5A" w14:textId="77777777" w:rsidR="00386B3A" w:rsidRPr="00386B3A" w:rsidRDefault="00386B3A" w:rsidP="00386B3A">
            <w:pPr>
              <w:pStyle w:val="ListParagraph"/>
              <w:spacing w:after="0" w:line="240" w:lineRule="auto"/>
              <w:ind w:left="54"/>
              <w:jc w:val="both"/>
              <w:rPr>
                <w:rFonts w:ascii="Times New Roman" w:hAnsi="Times New Roman"/>
                <w:sz w:val="24"/>
                <w:szCs w:val="24"/>
              </w:rPr>
            </w:pPr>
            <w:r w:rsidRPr="00386B3A">
              <w:rPr>
                <w:rFonts w:ascii="Times New Roman" w:hAnsi="Times New Roman"/>
                <w:sz w:val="24"/>
                <w:szCs w:val="24"/>
              </w:rPr>
              <w:t xml:space="preserve">Sabiedrība </w:t>
            </w:r>
            <w:r>
              <w:rPr>
                <w:rFonts w:ascii="Times New Roman" w:hAnsi="Times New Roman"/>
                <w:sz w:val="24"/>
                <w:szCs w:val="24"/>
              </w:rPr>
              <w:t>“</w:t>
            </w:r>
            <w:proofErr w:type="spellStart"/>
            <w:r w:rsidRPr="00386B3A">
              <w:rPr>
                <w:rFonts w:ascii="Times New Roman" w:hAnsi="Times New Roman"/>
                <w:sz w:val="24"/>
                <w:szCs w:val="24"/>
              </w:rPr>
              <w:t>Altum</w:t>
            </w:r>
            <w:proofErr w:type="spellEnd"/>
            <w:r>
              <w:rPr>
                <w:rFonts w:ascii="Times New Roman" w:hAnsi="Times New Roman"/>
                <w:sz w:val="24"/>
                <w:szCs w:val="24"/>
              </w:rPr>
              <w:t>” izvērtēs sadarbības iestādes piemērotās f</w:t>
            </w:r>
            <w:r w:rsidRPr="00386B3A">
              <w:rPr>
                <w:rFonts w:ascii="Times New Roman" w:hAnsi="Times New Roman"/>
                <w:sz w:val="24"/>
                <w:szCs w:val="24"/>
              </w:rPr>
              <w:t xml:space="preserve">inanšu korekcijas pamatotību un rīkosies saskaņā ar </w:t>
            </w:r>
            <w:r>
              <w:rPr>
                <w:rFonts w:ascii="Times New Roman" w:hAnsi="Times New Roman"/>
                <w:sz w:val="24"/>
                <w:szCs w:val="24"/>
              </w:rPr>
              <w:t>sabiedrības “</w:t>
            </w:r>
            <w:proofErr w:type="spellStart"/>
            <w:r w:rsidRPr="00386B3A">
              <w:rPr>
                <w:rFonts w:ascii="Times New Roman" w:hAnsi="Times New Roman"/>
                <w:sz w:val="24"/>
                <w:szCs w:val="24"/>
              </w:rPr>
              <w:t>Altum</w:t>
            </w:r>
            <w:proofErr w:type="spellEnd"/>
            <w:r>
              <w:rPr>
                <w:rFonts w:ascii="Times New Roman" w:hAnsi="Times New Roman"/>
                <w:sz w:val="24"/>
                <w:szCs w:val="24"/>
              </w:rPr>
              <w:t>”</w:t>
            </w:r>
            <w:r w:rsidRPr="00386B3A">
              <w:rPr>
                <w:rFonts w:ascii="Times New Roman" w:hAnsi="Times New Roman"/>
                <w:sz w:val="24"/>
                <w:szCs w:val="24"/>
              </w:rPr>
              <w:t xml:space="preserve"> </w:t>
            </w:r>
            <w:r w:rsidR="00B85612">
              <w:rPr>
                <w:rFonts w:ascii="Times New Roman" w:hAnsi="Times New Roman"/>
                <w:sz w:val="24"/>
                <w:szCs w:val="24"/>
              </w:rPr>
              <w:t xml:space="preserve">kārtību par </w:t>
            </w:r>
            <w:r w:rsidR="00B85612" w:rsidRPr="00F747C9">
              <w:rPr>
                <w:rFonts w:ascii="Times New Roman" w:hAnsi="Times New Roman"/>
                <w:sz w:val="24"/>
                <w:szCs w:val="24"/>
              </w:rPr>
              <w:t>neatbilstoši veikt</w:t>
            </w:r>
            <w:r w:rsidR="00B85612">
              <w:rPr>
                <w:rFonts w:ascii="Times New Roman" w:hAnsi="Times New Roman"/>
                <w:sz w:val="24"/>
                <w:szCs w:val="24"/>
              </w:rPr>
              <w:t>o</w:t>
            </w:r>
            <w:r w:rsidR="00B85612" w:rsidRPr="00F747C9">
              <w:rPr>
                <w:rFonts w:ascii="Times New Roman" w:hAnsi="Times New Roman"/>
                <w:sz w:val="24"/>
                <w:szCs w:val="24"/>
              </w:rPr>
              <w:t xml:space="preserve"> izdevum</w:t>
            </w:r>
            <w:r w:rsidR="00B85612">
              <w:rPr>
                <w:rFonts w:ascii="Times New Roman" w:hAnsi="Times New Roman"/>
                <w:sz w:val="24"/>
                <w:szCs w:val="24"/>
              </w:rPr>
              <w:t>u</w:t>
            </w:r>
            <w:r w:rsidR="00B85612" w:rsidRPr="00F747C9">
              <w:rPr>
                <w:rFonts w:ascii="Times New Roman" w:hAnsi="Times New Roman"/>
                <w:sz w:val="24"/>
                <w:szCs w:val="24"/>
              </w:rPr>
              <w:t xml:space="preserve"> atgūšanu</w:t>
            </w:r>
            <w:r w:rsidR="00B85612">
              <w:rPr>
                <w:rFonts w:ascii="Times New Roman" w:hAnsi="Times New Roman"/>
                <w:sz w:val="24"/>
                <w:szCs w:val="24"/>
              </w:rPr>
              <w:t>.</w:t>
            </w:r>
            <w:r w:rsidRPr="00386B3A">
              <w:rPr>
                <w:rFonts w:ascii="Times New Roman" w:hAnsi="Times New Roman"/>
                <w:sz w:val="24"/>
                <w:szCs w:val="24"/>
              </w:rPr>
              <w:t xml:space="preserve"> Gadījumos, ja </w:t>
            </w:r>
            <w:r w:rsidR="00B85612" w:rsidRPr="00F747C9">
              <w:rPr>
                <w:rFonts w:ascii="Times New Roman" w:hAnsi="Times New Roman"/>
                <w:sz w:val="24"/>
                <w:szCs w:val="24"/>
              </w:rPr>
              <w:t>neatbilstoši veikt</w:t>
            </w:r>
            <w:r w:rsidR="00B85612">
              <w:rPr>
                <w:rFonts w:ascii="Times New Roman" w:hAnsi="Times New Roman"/>
                <w:sz w:val="24"/>
                <w:szCs w:val="24"/>
              </w:rPr>
              <w:t>o</w:t>
            </w:r>
            <w:r w:rsidR="00B85612" w:rsidRPr="00F747C9">
              <w:rPr>
                <w:rFonts w:ascii="Times New Roman" w:hAnsi="Times New Roman"/>
                <w:sz w:val="24"/>
                <w:szCs w:val="24"/>
              </w:rPr>
              <w:t xml:space="preserve"> izdevum</w:t>
            </w:r>
            <w:r w:rsidR="00B85612">
              <w:rPr>
                <w:rFonts w:ascii="Times New Roman" w:hAnsi="Times New Roman"/>
                <w:sz w:val="24"/>
                <w:szCs w:val="24"/>
              </w:rPr>
              <w:t>u atgūšana</w:t>
            </w:r>
            <w:r w:rsidRPr="00386B3A">
              <w:rPr>
                <w:rFonts w:ascii="Times New Roman" w:hAnsi="Times New Roman"/>
                <w:sz w:val="24"/>
                <w:szCs w:val="24"/>
              </w:rPr>
              <w:t xml:space="preserve"> nebūs iespējama vai tā nebūs ekonomiski pamatota, tad </w:t>
            </w:r>
            <w:r>
              <w:rPr>
                <w:rFonts w:ascii="Times New Roman" w:hAnsi="Times New Roman"/>
                <w:sz w:val="24"/>
                <w:szCs w:val="24"/>
              </w:rPr>
              <w:t>sabiedrība “</w:t>
            </w:r>
            <w:proofErr w:type="spellStart"/>
            <w:r w:rsidRPr="00386B3A">
              <w:rPr>
                <w:rFonts w:ascii="Times New Roman" w:hAnsi="Times New Roman"/>
                <w:sz w:val="24"/>
                <w:szCs w:val="24"/>
              </w:rPr>
              <w:t>Altum</w:t>
            </w:r>
            <w:proofErr w:type="spellEnd"/>
            <w:r>
              <w:rPr>
                <w:rFonts w:ascii="Times New Roman" w:hAnsi="Times New Roman"/>
                <w:sz w:val="24"/>
                <w:szCs w:val="24"/>
              </w:rPr>
              <w:t>”</w:t>
            </w:r>
            <w:r w:rsidRPr="00386B3A">
              <w:rPr>
                <w:rFonts w:ascii="Times New Roman" w:hAnsi="Times New Roman"/>
                <w:sz w:val="24"/>
                <w:szCs w:val="24"/>
              </w:rPr>
              <w:t xml:space="preserve"> sagatavos ziņojumu Finanšu ministrijai (ne biežāk kā reizi pusgadā) un lūgs kompensēt </w:t>
            </w:r>
            <w:r w:rsidR="00B85612">
              <w:rPr>
                <w:rFonts w:ascii="Times New Roman" w:hAnsi="Times New Roman"/>
                <w:sz w:val="24"/>
                <w:szCs w:val="24"/>
              </w:rPr>
              <w:t xml:space="preserve">attiecīgos </w:t>
            </w:r>
            <w:r w:rsidR="00B85612" w:rsidRPr="00F747C9">
              <w:rPr>
                <w:rFonts w:ascii="Times New Roman" w:hAnsi="Times New Roman"/>
                <w:sz w:val="24"/>
                <w:szCs w:val="24"/>
              </w:rPr>
              <w:t>neatbilstoši veikt</w:t>
            </w:r>
            <w:r w:rsidR="00B85612">
              <w:rPr>
                <w:rFonts w:ascii="Times New Roman" w:hAnsi="Times New Roman"/>
                <w:sz w:val="24"/>
                <w:szCs w:val="24"/>
              </w:rPr>
              <w:t>os</w:t>
            </w:r>
            <w:r w:rsidR="00B85612" w:rsidRPr="00F747C9">
              <w:rPr>
                <w:rFonts w:ascii="Times New Roman" w:hAnsi="Times New Roman"/>
                <w:sz w:val="24"/>
                <w:szCs w:val="24"/>
              </w:rPr>
              <w:t xml:space="preserve"> izdevum</w:t>
            </w:r>
            <w:r w:rsidR="00B85612">
              <w:rPr>
                <w:rFonts w:ascii="Times New Roman" w:hAnsi="Times New Roman"/>
                <w:sz w:val="24"/>
                <w:szCs w:val="24"/>
              </w:rPr>
              <w:t>us</w:t>
            </w:r>
            <w:r w:rsidRPr="00386B3A">
              <w:rPr>
                <w:rFonts w:ascii="Times New Roman" w:hAnsi="Times New Roman"/>
                <w:sz w:val="24"/>
                <w:szCs w:val="24"/>
              </w:rPr>
              <w:t>, k</w:t>
            </w:r>
            <w:r>
              <w:rPr>
                <w:rFonts w:ascii="Times New Roman" w:hAnsi="Times New Roman"/>
                <w:sz w:val="24"/>
                <w:szCs w:val="24"/>
              </w:rPr>
              <w:t>as</w:t>
            </w:r>
            <w:r w:rsidRPr="00386B3A">
              <w:rPr>
                <w:rFonts w:ascii="Times New Roman" w:hAnsi="Times New Roman"/>
                <w:sz w:val="24"/>
                <w:szCs w:val="24"/>
              </w:rPr>
              <w:t xml:space="preserve"> radušās no </w:t>
            </w:r>
            <w:r>
              <w:rPr>
                <w:rFonts w:ascii="Times New Roman" w:hAnsi="Times New Roman"/>
                <w:sz w:val="24"/>
                <w:szCs w:val="24"/>
              </w:rPr>
              <w:t>sabiedrības “</w:t>
            </w:r>
            <w:proofErr w:type="spellStart"/>
            <w:r w:rsidRPr="00386B3A">
              <w:rPr>
                <w:rFonts w:ascii="Times New Roman" w:hAnsi="Times New Roman"/>
                <w:sz w:val="24"/>
                <w:szCs w:val="24"/>
              </w:rPr>
              <w:t>Altum</w:t>
            </w:r>
            <w:proofErr w:type="spellEnd"/>
            <w:r>
              <w:rPr>
                <w:rFonts w:ascii="Times New Roman" w:hAnsi="Times New Roman"/>
                <w:sz w:val="24"/>
                <w:szCs w:val="24"/>
              </w:rPr>
              <w:t>”</w:t>
            </w:r>
            <w:r w:rsidRPr="00386B3A">
              <w:rPr>
                <w:rFonts w:ascii="Times New Roman" w:hAnsi="Times New Roman"/>
                <w:sz w:val="24"/>
                <w:szCs w:val="24"/>
              </w:rPr>
              <w:t xml:space="preserve"> neatkarīgu iemeslu dēļ.</w:t>
            </w:r>
          </w:p>
          <w:p w14:paraId="749AFF17" w14:textId="77777777" w:rsidR="00451AE8" w:rsidRPr="000269FB" w:rsidRDefault="00451AE8" w:rsidP="00451AE8">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Papildus skaidrojam, ka MK noteikumu Nr.160 60.punkts nosaka “Ja dzīvokļu īpašnieku pilnvarotā persona energoefektivitātes paaugstināšanas pasākumu īstenošanai piesaista cita finansētāja finansējumu, sabiedrība "</w:t>
            </w:r>
            <w:proofErr w:type="spellStart"/>
            <w:r w:rsidRPr="000269FB">
              <w:rPr>
                <w:rFonts w:ascii="Times New Roman" w:hAnsi="Times New Roman"/>
                <w:sz w:val="24"/>
                <w:szCs w:val="24"/>
              </w:rPr>
              <w:t>Altum</w:t>
            </w:r>
            <w:proofErr w:type="spellEnd"/>
            <w:r w:rsidRPr="000269FB">
              <w:rPr>
                <w:rFonts w:ascii="Times New Roman" w:hAnsi="Times New Roman"/>
                <w:sz w:val="24"/>
                <w:szCs w:val="24"/>
              </w:rPr>
              <w:t xml:space="preserve">" </w:t>
            </w:r>
            <w:proofErr w:type="spellStart"/>
            <w:r w:rsidRPr="000269FB">
              <w:rPr>
                <w:rFonts w:ascii="Times New Roman" w:hAnsi="Times New Roman"/>
                <w:sz w:val="24"/>
                <w:szCs w:val="24"/>
              </w:rPr>
              <w:t>grantu</w:t>
            </w:r>
            <w:proofErr w:type="spellEnd"/>
            <w:r w:rsidRPr="000269FB">
              <w:rPr>
                <w:rFonts w:ascii="Times New Roman" w:hAnsi="Times New Roman"/>
                <w:sz w:val="24"/>
                <w:szCs w:val="24"/>
              </w:rPr>
              <w:t xml:space="preserve"> ieskaita energoefektivitātes paaugstināšanas pasākuma īstenošanai kredītiestādē atvērtā kontā saskaņā ar sadarbības līgumu, kas noslēgts starp sabiedrību "</w:t>
            </w:r>
            <w:proofErr w:type="spellStart"/>
            <w:r w:rsidRPr="000269FB">
              <w:rPr>
                <w:rFonts w:ascii="Times New Roman" w:hAnsi="Times New Roman"/>
                <w:sz w:val="24"/>
                <w:szCs w:val="24"/>
              </w:rPr>
              <w:t>Altum</w:t>
            </w:r>
            <w:proofErr w:type="spellEnd"/>
            <w:r w:rsidRPr="000269FB">
              <w:rPr>
                <w:rFonts w:ascii="Times New Roman" w:hAnsi="Times New Roman"/>
                <w:sz w:val="24"/>
                <w:szCs w:val="24"/>
              </w:rPr>
              <w:t xml:space="preserve">" un citu finansētāju.” </w:t>
            </w:r>
          </w:p>
          <w:p w14:paraId="7939109C" w14:textId="77777777" w:rsidR="00451AE8" w:rsidRPr="000269FB" w:rsidRDefault="00451AE8" w:rsidP="00451AE8">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 xml:space="preserve">Noslēgtie sadarbības līgumi ar komercbankām paredz, ka </w:t>
            </w:r>
            <w:proofErr w:type="spellStart"/>
            <w:r w:rsidRPr="000269FB">
              <w:rPr>
                <w:rFonts w:ascii="Times New Roman" w:hAnsi="Times New Roman"/>
                <w:sz w:val="24"/>
                <w:szCs w:val="24"/>
              </w:rPr>
              <w:t>granta</w:t>
            </w:r>
            <w:proofErr w:type="spellEnd"/>
            <w:r w:rsidRPr="000269FB">
              <w:rPr>
                <w:rFonts w:ascii="Times New Roman" w:hAnsi="Times New Roman"/>
                <w:sz w:val="24"/>
                <w:szCs w:val="24"/>
              </w:rPr>
              <w:t xml:space="preserve"> avanss 90% apmērā tiek pārskaitīts kredītiestādes atvērtajā kontā pēc aizdevuma un </w:t>
            </w:r>
            <w:proofErr w:type="spellStart"/>
            <w:r w:rsidRPr="000269FB">
              <w:rPr>
                <w:rFonts w:ascii="Times New Roman" w:hAnsi="Times New Roman"/>
                <w:sz w:val="24"/>
                <w:szCs w:val="24"/>
              </w:rPr>
              <w:t>granta</w:t>
            </w:r>
            <w:proofErr w:type="spellEnd"/>
            <w:r w:rsidRPr="000269FB">
              <w:rPr>
                <w:rFonts w:ascii="Times New Roman" w:hAnsi="Times New Roman"/>
                <w:sz w:val="24"/>
                <w:szCs w:val="24"/>
              </w:rPr>
              <w:t xml:space="preserve"> līguma parakstīšanas, sabiedrība “</w:t>
            </w:r>
            <w:proofErr w:type="spellStart"/>
            <w:r w:rsidRPr="000269FB">
              <w:rPr>
                <w:rFonts w:ascii="Times New Roman" w:hAnsi="Times New Roman"/>
                <w:sz w:val="24"/>
                <w:szCs w:val="24"/>
              </w:rPr>
              <w:t>Altum</w:t>
            </w:r>
            <w:proofErr w:type="spellEnd"/>
            <w:r w:rsidRPr="000269FB">
              <w:rPr>
                <w:rFonts w:ascii="Times New Roman" w:hAnsi="Times New Roman"/>
                <w:sz w:val="24"/>
                <w:szCs w:val="24"/>
              </w:rPr>
              <w:t xml:space="preserve">” pieņem lēmumu par </w:t>
            </w:r>
            <w:proofErr w:type="spellStart"/>
            <w:r w:rsidRPr="000269FB">
              <w:rPr>
                <w:rFonts w:ascii="Times New Roman" w:hAnsi="Times New Roman"/>
                <w:sz w:val="24"/>
                <w:szCs w:val="24"/>
              </w:rPr>
              <w:t>granta</w:t>
            </w:r>
            <w:proofErr w:type="spellEnd"/>
            <w:r w:rsidRPr="000269FB">
              <w:rPr>
                <w:rFonts w:ascii="Times New Roman" w:hAnsi="Times New Roman"/>
                <w:sz w:val="24"/>
                <w:szCs w:val="24"/>
              </w:rPr>
              <w:t xml:space="preserve"> atlikuma (līdz 10%) izmaksu pēc projekta pabeigšanas un visu nepieciešamo pārbaužu veikšanas. </w:t>
            </w:r>
          </w:p>
          <w:p w14:paraId="1D3F293C" w14:textId="77777777" w:rsidR="00451AE8" w:rsidRPr="000269FB" w:rsidRDefault="00451AE8" w:rsidP="00451AE8">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 xml:space="preserve">Tā kā atbalsts tiek sniegts dzīvokļu īpašnieku līmenī, tad arī visa uzskaite/aprēķini tiek veikti dzīvokļa īpašnieka līmenī, tas ietekmē līgumu ar piegādātājiem formu – līgumi </w:t>
            </w:r>
            <w:r w:rsidR="00B85612" w:rsidRPr="000269FB">
              <w:rPr>
                <w:rFonts w:ascii="Times New Roman" w:hAnsi="Times New Roman"/>
                <w:sz w:val="24"/>
                <w:szCs w:val="24"/>
              </w:rPr>
              <w:t xml:space="preserve">par daudzdzīvokļu mājas renovāciju </w:t>
            </w:r>
            <w:r w:rsidRPr="000269FB">
              <w:rPr>
                <w:rFonts w:ascii="Times New Roman" w:hAnsi="Times New Roman"/>
                <w:sz w:val="24"/>
                <w:szCs w:val="24"/>
              </w:rPr>
              <w:t xml:space="preserve">tiek slēgti dzīvokļu īpašnieku vārdā (nevis pilnvarotās personas vārdā). </w:t>
            </w:r>
          </w:p>
          <w:p w14:paraId="1B1DA051" w14:textId="77777777" w:rsidR="00451AE8" w:rsidRPr="000269FB" w:rsidRDefault="00451AE8" w:rsidP="00451AE8">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 xml:space="preserve">Katra atsevišķa dzīvokļa īpašnieka līmenī nosaka, vai </w:t>
            </w:r>
            <w:r w:rsidR="00A21444" w:rsidRPr="000269FB">
              <w:rPr>
                <w:rFonts w:ascii="Times New Roman" w:hAnsi="Times New Roman"/>
                <w:sz w:val="24"/>
                <w:szCs w:val="24"/>
              </w:rPr>
              <w:t xml:space="preserve">pievienotās vērtības nodoklis </w:t>
            </w:r>
            <w:r w:rsidRPr="000269FB">
              <w:rPr>
                <w:rFonts w:ascii="Times New Roman" w:hAnsi="Times New Roman"/>
                <w:sz w:val="24"/>
                <w:szCs w:val="24"/>
              </w:rPr>
              <w:t xml:space="preserve">ir projekta attiecināmās izmaksas, un atbilstoši </w:t>
            </w:r>
            <w:proofErr w:type="spellStart"/>
            <w:r w:rsidRPr="000269FB">
              <w:rPr>
                <w:rFonts w:ascii="Times New Roman" w:hAnsi="Times New Roman"/>
                <w:sz w:val="24"/>
                <w:szCs w:val="24"/>
              </w:rPr>
              <w:t>izvērtējumam</w:t>
            </w:r>
            <w:proofErr w:type="spellEnd"/>
            <w:r w:rsidRPr="000269FB">
              <w:rPr>
                <w:rFonts w:ascii="Times New Roman" w:hAnsi="Times New Roman"/>
                <w:sz w:val="24"/>
                <w:szCs w:val="24"/>
              </w:rPr>
              <w:t xml:space="preserve"> aprēķina projekta kopējās attiecināmās izmaksas. Izmaksājot </w:t>
            </w:r>
            <w:proofErr w:type="spellStart"/>
            <w:r w:rsidRPr="000269FB">
              <w:rPr>
                <w:rFonts w:ascii="Times New Roman" w:hAnsi="Times New Roman"/>
                <w:sz w:val="24"/>
                <w:szCs w:val="24"/>
              </w:rPr>
              <w:t>grantu</w:t>
            </w:r>
            <w:proofErr w:type="spellEnd"/>
            <w:r w:rsidRPr="000269FB">
              <w:rPr>
                <w:rFonts w:ascii="Times New Roman" w:hAnsi="Times New Roman"/>
                <w:sz w:val="24"/>
                <w:szCs w:val="24"/>
              </w:rPr>
              <w:t xml:space="preserve"> un aizdevumu: </w:t>
            </w:r>
          </w:p>
          <w:p w14:paraId="5A9BFBC5" w14:textId="77777777" w:rsidR="00451AE8" w:rsidRPr="000269FB" w:rsidRDefault="00451AE8" w:rsidP="00A21444">
            <w:pPr>
              <w:pStyle w:val="ListParagraph"/>
              <w:numPr>
                <w:ilvl w:val="0"/>
                <w:numId w:val="7"/>
              </w:numPr>
              <w:spacing w:after="0" w:line="240" w:lineRule="auto"/>
              <w:ind w:hanging="236"/>
              <w:jc w:val="both"/>
              <w:rPr>
                <w:rFonts w:ascii="Times New Roman" w:hAnsi="Times New Roman"/>
                <w:sz w:val="24"/>
                <w:szCs w:val="24"/>
              </w:rPr>
            </w:pPr>
            <w:r w:rsidRPr="000269FB">
              <w:rPr>
                <w:rFonts w:ascii="Times New Roman" w:hAnsi="Times New Roman"/>
                <w:sz w:val="24"/>
                <w:szCs w:val="24"/>
              </w:rPr>
              <w:t>dzīvokļa īpašniekiem – juridiskām personām (</w:t>
            </w:r>
            <w:proofErr w:type="spellStart"/>
            <w:r w:rsidRPr="000269FB">
              <w:rPr>
                <w:rFonts w:ascii="Times New Roman" w:hAnsi="Times New Roman"/>
                <w:sz w:val="24"/>
                <w:szCs w:val="24"/>
              </w:rPr>
              <w:t>t.sk.pašvaldībām</w:t>
            </w:r>
            <w:proofErr w:type="spellEnd"/>
            <w:r w:rsidRPr="000269FB">
              <w:rPr>
                <w:rFonts w:ascii="Times New Roman" w:hAnsi="Times New Roman"/>
                <w:sz w:val="24"/>
                <w:szCs w:val="24"/>
              </w:rPr>
              <w:t>) un fiziskām personām, kas ir saimnieciskās darbības veicēji un savā dzīvokļa īpašumā veic saimniecisko darbību, tiek izrakstīti atsevišķi rēķini;</w:t>
            </w:r>
          </w:p>
          <w:p w14:paraId="2D16A52F" w14:textId="77777777" w:rsidR="00451AE8" w:rsidRPr="000269FB" w:rsidRDefault="00451AE8" w:rsidP="00A21444">
            <w:pPr>
              <w:pStyle w:val="ListParagraph"/>
              <w:numPr>
                <w:ilvl w:val="0"/>
                <w:numId w:val="7"/>
              </w:numPr>
              <w:spacing w:after="0" w:line="240" w:lineRule="auto"/>
              <w:ind w:hanging="236"/>
              <w:jc w:val="both"/>
              <w:rPr>
                <w:rFonts w:ascii="Times New Roman" w:hAnsi="Times New Roman"/>
                <w:sz w:val="24"/>
                <w:szCs w:val="24"/>
              </w:rPr>
            </w:pPr>
            <w:r w:rsidRPr="000269FB">
              <w:rPr>
                <w:rFonts w:ascii="Times New Roman" w:hAnsi="Times New Roman"/>
                <w:sz w:val="24"/>
                <w:szCs w:val="24"/>
              </w:rPr>
              <w:t>dzīvokļa īpašniekiem, kuri nevar saņemt atbalstu un izmaksas sedz no citiem privātiem līdzekļiem, tiek izrakstīti atsevišķi rēķini;</w:t>
            </w:r>
          </w:p>
          <w:p w14:paraId="58CBD623" w14:textId="77777777" w:rsidR="00451AE8" w:rsidRPr="000269FB" w:rsidRDefault="00451AE8" w:rsidP="00A21444">
            <w:pPr>
              <w:pStyle w:val="ListParagraph"/>
              <w:numPr>
                <w:ilvl w:val="0"/>
                <w:numId w:val="7"/>
              </w:numPr>
              <w:spacing w:after="0" w:line="240" w:lineRule="auto"/>
              <w:ind w:hanging="236"/>
              <w:jc w:val="both"/>
              <w:rPr>
                <w:rFonts w:ascii="Times New Roman" w:hAnsi="Times New Roman"/>
                <w:sz w:val="24"/>
                <w:szCs w:val="24"/>
              </w:rPr>
            </w:pPr>
            <w:r w:rsidRPr="000269FB">
              <w:rPr>
                <w:rFonts w:ascii="Times New Roman" w:hAnsi="Times New Roman"/>
                <w:sz w:val="24"/>
                <w:szCs w:val="24"/>
              </w:rPr>
              <w:lastRenderedPageBreak/>
              <w:t xml:space="preserve">dzīvokļu īpašniekiem – fiziskām personām, tiek izrakstīts kopējs rēķins kā dzīvokļu īpašnieku kopības daļai. </w:t>
            </w:r>
          </w:p>
          <w:p w14:paraId="1EE2E34B" w14:textId="77777777" w:rsidR="00451AE8" w:rsidRPr="000269FB" w:rsidRDefault="00451AE8" w:rsidP="00A21444">
            <w:pPr>
              <w:spacing w:after="0" w:line="240" w:lineRule="auto"/>
              <w:jc w:val="both"/>
              <w:rPr>
                <w:rFonts w:ascii="Times New Roman" w:hAnsi="Times New Roman"/>
                <w:sz w:val="24"/>
                <w:szCs w:val="24"/>
              </w:rPr>
            </w:pPr>
            <w:r w:rsidRPr="000269FB">
              <w:rPr>
                <w:rFonts w:ascii="Times New Roman" w:hAnsi="Times New Roman"/>
                <w:sz w:val="24"/>
                <w:szCs w:val="24"/>
              </w:rPr>
              <w:t xml:space="preserve">Katrs rēķins tiek apmaksāts no </w:t>
            </w:r>
            <w:proofErr w:type="spellStart"/>
            <w:r w:rsidRPr="000269FB">
              <w:rPr>
                <w:rFonts w:ascii="Times New Roman" w:hAnsi="Times New Roman"/>
                <w:sz w:val="24"/>
                <w:szCs w:val="24"/>
              </w:rPr>
              <w:t>granta</w:t>
            </w:r>
            <w:proofErr w:type="spellEnd"/>
            <w:r w:rsidRPr="000269FB">
              <w:rPr>
                <w:rFonts w:ascii="Times New Roman" w:hAnsi="Times New Roman"/>
                <w:sz w:val="24"/>
                <w:szCs w:val="24"/>
              </w:rPr>
              <w:t xml:space="preserve"> un aizdevuma, kā arī dzīvokļu īpašnieku, kuri nedrīkst saņemt valsts atbalstu, līdzfinansējuma attiecīgajā proporcijā, kuru nosaka sabiedrība </w:t>
            </w:r>
            <w:r w:rsidR="00A21444" w:rsidRPr="000269FB">
              <w:rPr>
                <w:rFonts w:ascii="Times New Roman" w:hAnsi="Times New Roman"/>
                <w:sz w:val="24"/>
                <w:szCs w:val="24"/>
              </w:rPr>
              <w:t>“</w:t>
            </w:r>
            <w:proofErr w:type="spellStart"/>
            <w:r w:rsidRPr="000269FB">
              <w:rPr>
                <w:rFonts w:ascii="Times New Roman" w:hAnsi="Times New Roman"/>
                <w:sz w:val="24"/>
                <w:szCs w:val="24"/>
              </w:rPr>
              <w:t>Altum</w:t>
            </w:r>
            <w:proofErr w:type="spellEnd"/>
            <w:r w:rsidR="00984C8F" w:rsidRPr="000269FB">
              <w:rPr>
                <w:rFonts w:ascii="Times New Roman" w:hAnsi="Times New Roman"/>
                <w:sz w:val="24"/>
                <w:szCs w:val="24"/>
              </w:rPr>
              <w:t>”</w:t>
            </w:r>
            <w:r w:rsidRPr="000269FB">
              <w:rPr>
                <w:rFonts w:ascii="Times New Roman" w:hAnsi="Times New Roman"/>
                <w:sz w:val="24"/>
                <w:szCs w:val="24"/>
              </w:rPr>
              <w:t xml:space="preserve"> saskaņā ar MK noteikumie</w:t>
            </w:r>
            <w:r w:rsidR="00984C8F" w:rsidRPr="000269FB">
              <w:rPr>
                <w:rFonts w:ascii="Times New Roman" w:hAnsi="Times New Roman"/>
                <w:sz w:val="24"/>
                <w:szCs w:val="24"/>
              </w:rPr>
              <w:t>m N</w:t>
            </w:r>
            <w:r w:rsidRPr="000269FB">
              <w:rPr>
                <w:rFonts w:ascii="Times New Roman" w:hAnsi="Times New Roman"/>
                <w:sz w:val="24"/>
                <w:szCs w:val="24"/>
              </w:rPr>
              <w:t xml:space="preserve">r.160. </w:t>
            </w:r>
          </w:p>
          <w:p w14:paraId="01368147" w14:textId="77777777" w:rsidR="00451AE8" w:rsidRPr="000269FB" w:rsidRDefault="00451AE8" w:rsidP="00451AE8">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Pašreizējā pieredze rāda, ka ir salīdzinoši neliels skaits māju, kurā visi dzīvokļu īpašnieki ir fiziskas personas, kas neveic saimniecisko darbību savos dzīvokļos (tiek izrakstīts viens rēķins).</w:t>
            </w:r>
          </w:p>
          <w:p w14:paraId="230A29C8" w14:textId="77777777" w:rsidR="00451AE8" w:rsidRPr="000269FB" w:rsidRDefault="00451AE8" w:rsidP="00451AE8">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Komercbankas veic projekta uzraudzību saskaņā ar saviem standa</w:t>
            </w:r>
            <w:r w:rsidR="00984C8F" w:rsidRPr="000269FB">
              <w:rPr>
                <w:rFonts w:ascii="Times New Roman" w:hAnsi="Times New Roman"/>
                <w:sz w:val="24"/>
                <w:szCs w:val="24"/>
              </w:rPr>
              <w:t>rta uzraudzības noteikumiem un s</w:t>
            </w:r>
            <w:r w:rsidRPr="000269FB">
              <w:rPr>
                <w:rFonts w:ascii="Times New Roman" w:hAnsi="Times New Roman"/>
                <w:sz w:val="24"/>
                <w:szCs w:val="24"/>
              </w:rPr>
              <w:t xml:space="preserve">adarbības līgumu, kas noslēgts ar </w:t>
            </w:r>
            <w:r w:rsidR="00984C8F" w:rsidRPr="000269FB">
              <w:rPr>
                <w:rFonts w:ascii="Times New Roman" w:hAnsi="Times New Roman"/>
                <w:sz w:val="24"/>
                <w:szCs w:val="24"/>
              </w:rPr>
              <w:t>sabiedrību “</w:t>
            </w:r>
            <w:proofErr w:type="spellStart"/>
            <w:r w:rsidRPr="000269FB">
              <w:rPr>
                <w:rFonts w:ascii="Times New Roman" w:hAnsi="Times New Roman"/>
                <w:sz w:val="24"/>
                <w:szCs w:val="24"/>
              </w:rPr>
              <w:t>Altum</w:t>
            </w:r>
            <w:proofErr w:type="spellEnd"/>
            <w:r w:rsidR="00984C8F" w:rsidRPr="000269FB">
              <w:rPr>
                <w:rFonts w:ascii="Times New Roman" w:hAnsi="Times New Roman"/>
                <w:sz w:val="24"/>
                <w:szCs w:val="24"/>
              </w:rPr>
              <w:t>”</w:t>
            </w:r>
            <w:r w:rsidRPr="000269FB">
              <w:rPr>
                <w:rFonts w:ascii="Times New Roman" w:hAnsi="Times New Roman"/>
                <w:sz w:val="24"/>
                <w:szCs w:val="24"/>
              </w:rPr>
              <w:t xml:space="preserve">. </w:t>
            </w:r>
            <w:r w:rsidR="00984C8F" w:rsidRPr="000269FB">
              <w:rPr>
                <w:rFonts w:ascii="Times New Roman" w:hAnsi="Times New Roman"/>
                <w:sz w:val="24"/>
                <w:szCs w:val="24"/>
              </w:rPr>
              <w:t>Sabiedrība “</w:t>
            </w:r>
            <w:proofErr w:type="spellStart"/>
            <w:r w:rsidRPr="000269FB">
              <w:rPr>
                <w:rFonts w:ascii="Times New Roman" w:hAnsi="Times New Roman"/>
                <w:sz w:val="24"/>
                <w:szCs w:val="24"/>
              </w:rPr>
              <w:t>Altum</w:t>
            </w:r>
            <w:proofErr w:type="spellEnd"/>
            <w:r w:rsidR="00984C8F" w:rsidRPr="000269FB">
              <w:rPr>
                <w:rFonts w:ascii="Times New Roman" w:hAnsi="Times New Roman"/>
                <w:sz w:val="24"/>
                <w:szCs w:val="24"/>
              </w:rPr>
              <w:t>”</w:t>
            </w:r>
            <w:r w:rsidRPr="000269FB">
              <w:rPr>
                <w:rFonts w:ascii="Times New Roman" w:hAnsi="Times New Roman"/>
                <w:sz w:val="24"/>
                <w:szCs w:val="24"/>
              </w:rPr>
              <w:t xml:space="preserve"> veic projekta īstenošanas uzraudzību ga</w:t>
            </w:r>
            <w:r w:rsidR="00984C8F" w:rsidRPr="000269FB">
              <w:rPr>
                <w:rFonts w:ascii="Times New Roman" w:hAnsi="Times New Roman"/>
                <w:sz w:val="24"/>
                <w:szCs w:val="24"/>
              </w:rPr>
              <w:t>n veicot objekta apsekošanu</w:t>
            </w:r>
            <w:r w:rsidRPr="000269FB">
              <w:rPr>
                <w:rFonts w:ascii="Times New Roman" w:hAnsi="Times New Roman"/>
                <w:sz w:val="24"/>
                <w:szCs w:val="24"/>
              </w:rPr>
              <w:t>, gan pārliecinoties par dokumentācijas atbilstību, saņemot no pilnvarotās personas starpposmu un noslēguma pārskatus.</w:t>
            </w:r>
          </w:p>
          <w:p w14:paraId="57F19ED8" w14:textId="77777777" w:rsidR="00382B44" w:rsidRPr="000269FB" w:rsidRDefault="00984C8F" w:rsidP="00984C8F">
            <w:pPr>
              <w:pStyle w:val="ListParagraph"/>
              <w:spacing w:after="0" w:line="240" w:lineRule="auto"/>
              <w:ind w:left="54"/>
              <w:jc w:val="both"/>
              <w:rPr>
                <w:rFonts w:ascii="Times New Roman" w:hAnsi="Times New Roman"/>
                <w:sz w:val="24"/>
                <w:szCs w:val="24"/>
              </w:rPr>
            </w:pPr>
            <w:r w:rsidRPr="000269FB">
              <w:rPr>
                <w:rFonts w:ascii="Times New Roman" w:hAnsi="Times New Roman"/>
                <w:sz w:val="24"/>
                <w:szCs w:val="24"/>
              </w:rPr>
              <w:t>Sabiedrība “</w:t>
            </w:r>
            <w:proofErr w:type="spellStart"/>
            <w:r w:rsidR="00451AE8" w:rsidRPr="000269FB">
              <w:rPr>
                <w:rFonts w:ascii="Times New Roman" w:hAnsi="Times New Roman"/>
                <w:sz w:val="24"/>
                <w:szCs w:val="24"/>
              </w:rPr>
              <w:t>Altum</w:t>
            </w:r>
            <w:proofErr w:type="spellEnd"/>
            <w:r w:rsidRPr="000269FB">
              <w:rPr>
                <w:rFonts w:ascii="Times New Roman" w:hAnsi="Times New Roman"/>
                <w:sz w:val="24"/>
                <w:szCs w:val="24"/>
              </w:rPr>
              <w:t>”</w:t>
            </w:r>
            <w:r w:rsidR="00451AE8" w:rsidRPr="000269FB">
              <w:rPr>
                <w:rFonts w:ascii="Times New Roman" w:hAnsi="Times New Roman"/>
                <w:sz w:val="24"/>
                <w:szCs w:val="24"/>
              </w:rPr>
              <w:t xml:space="preserve"> </w:t>
            </w:r>
            <w:proofErr w:type="spellStart"/>
            <w:r w:rsidR="00451AE8" w:rsidRPr="000269FB">
              <w:rPr>
                <w:rFonts w:ascii="Times New Roman" w:hAnsi="Times New Roman"/>
                <w:sz w:val="24"/>
                <w:szCs w:val="24"/>
              </w:rPr>
              <w:t>granta</w:t>
            </w:r>
            <w:proofErr w:type="spellEnd"/>
            <w:r w:rsidR="00451AE8" w:rsidRPr="000269FB">
              <w:rPr>
                <w:rFonts w:ascii="Times New Roman" w:hAnsi="Times New Roman"/>
                <w:sz w:val="24"/>
                <w:szCs w:val="24"/>
              </w:rPr>
              <w:t xml:space="preserve"> atlikumu (līdz 10% apmērā) izmaksā pēc projekta pabeigšanas un visu nepieciešamo pārbaužu veikšanas tikai un vienīgi par faktiski paveiktajiem darbiem. Tā rezultātā var veidoties situācija, ka sabiedrība “</w:t>
            </w:r>
            <w:proofErr w:type="spellStart"/>
            <w:r w:rsidR="00451AE8" w:rsidRPr="000269FB">
              <w:rPr>
                <w:rFonts w:ascii="Times New Roman" w:hAnsi="Times New Roman"/>
                <w:sz w:val="24"/>
                <w:szCs w:val="24"/>
              </w:rPr>
              <w:t>Altum</w:t>
            </w:r>
            <w:proofErr w:type="spellEnd"/>
            <w:r w:rsidR="00451AE8" w:rsidRPr="000269FB">
              <w:rPr>
                <w:rFonts w:ascii="Times New Roman" w:hAnsi="Times New Roman"/>
                <w:sz w:val="24"/>
                <w:szCs w:val="24"/>
              </w:rPr>
              <w:t xml:space="preserve">” izmaksā </w:t>
            </w:r>
            <w:proofErr w:type="spellStart"/>
            <w:r w:rsidR="00451AE8" w:rsidRPr="000269FB">
              <w:rPr>
                <w:rFonts w:ascii="Times New Roman" w:hAnsi="Times New Roman"/>
                <w:sz w:val="24"/>
                <w:szCs w:val="24"/>
              </w:rPr>
              <w:t>grantu</w:t>
            </w:r>
            <w:proofErr w:type="spellEnd"/>
            <w:r w:rsidR="00451AE8" w:rsidRPr="000269FB">
              <w:rPr>
                <w:rFonts w:ascii="Times New Roman" w:hAnsi="Times New Roman"/>
                <w:sz w:val="24"/>
                <w:szCs w:val="24"/>
              </w:rPr>
              <w:t xml:space="preserve"> mazākā apmērā par apstiprināto. Šāda situācija var rasties, piemēram, ja</w:t>
            </w:r>
            <w:r w:rsidRPr="000269FB">
              <w:rPr>
                <w:rFonts w:ascii="Times New Roman" w:hAnsi="Times New Roman"/>
                <w:sz w:val="24"/>
                <w:szCs w:val="24"/>
              </w:rPr>
              <w:t xml:space="preserve"> </w:t>
            </w:r>
            <w:r w:rsidR="00451AE8" w:rsidRPr="000269FB">
              <w:rPr>
                <w:rFonts w:ascii="Times New Roman" w:hAnsi="Times New Roman"/>
                <w:sz w:val="24"/>
                <w:szCs w:val="24"/>
              </w:rPr>
              <w:t xml:space="preserve">projektā bija plānots nomainīt </w:t>
            </w:r>
            <w:r w:rsidR="007C565B" w:rsidRPr="000269FB">
              <w:rPr>
                <w:rFonts w:ascii="Times New Roman" w:hAnsi="Times New Roman"/>
                <w:sz w:val="24"/>
                <w:szCs w:val="24"/>
              </w:rPr>
              <w:t>10</w:t>
            </w:r>
            <w:r w:rsidR="00451AE8" w:rsidRPr="000269FB">
              <w:rPr>
                <w:rFonts w:ascii="Times New Roman" w:hAnsi="Times New Roman"/>
                <w:sz w:val="24"/>
                <w:szCs w:val="24"/>
              </w:rPr>
              <w:t xml:space="preserve"> logus, bet faktiski tika nomainīti </w:t>
            </w:r>
            <w:r w:rsidR="007C565B" w:rsidRPr="000269FB">
              <w:rPr>
                <w:rFonts w:ascii="Times New Roman" w:hAnsi="Times New Roman"/>
                <w:sz w:val="24"/>
                <w:szCs w:val="24"/>
              </w:rPr>
              <w:t>6</w:t>
            </w:r>
            <w:r w:rsidR="00451AE8" w:rsidRPr="000269FB">
              <w:rPr>
                <w:rFonts w:ascii="Times New Roman" w:hAnsi="Times New Roman"/>
                <w:sz w:val="24"/>
                <w:szCs w:val="24"/>
              </w:rPr>
              <w:t>, jo kāds no dzīvokļu īpašniekiem jau pats nomainīja logus pirms attiecīgo darbu veikšanas attiecīgā renovācijas projekta ietvaros</w:t>
            </w:r>
            <w:r w:rsidRPr="000269FB">
              <w:rPr>
                <w:rFonts w:ascii="Times New Roman" w:hAnsi="Times New Roman"/>
                <w:sz w:val="24"/>
                <w:szCs w:val="24"/>
              </w:rPr>
              <w:t xml:space="preserve"> vai </w:t>
            </w:r>
            <w:r w:rsidR="00451AE8" w:rsidRPr="000269FB">
              <w:rPr>
                <w:rFonts w:ascii="Times New Roman" w:hAnsi="Times New Roman"/>
                <w:sz w:val="24"/>
                <w:szCs w:val="24"/>
              </w:rPr>
              <w:t>dzīvokļa īpašnieks atteicās/nebija pieejams un būvnieki netika dzīvoklī, lai faktiski paveiktu plānotos darbus.</w:t>
            </w:r>
          </w:p>
          <w:p w14:paraId="6B67AADB" w14:textId="77777777" w:rsidR="00451AE8" w:rsidRDefault="00451AE8" w:rsidP="00451AE8">
            <w:pPr>
              <w:pStyle w:val="ListParagraph"/>
              <w:spacing w:after="0" w:line="240" w:lineRule="auto"/>
              <w:ind w:left="54"/>
              <w:jc w:val="both"/>
              <w:rPr>
                <w:rFonts w:ascii="Times New Roman" w:hAnsi="Times New Roman"/>
                <w:sz w:val="24"/>
                <w:szCs w:val="24"/>
                <w:u w:val="single"/>
              </w:rPr>
            </w:pPr>
          </w:p>
          <w:p w14:paraId="031288C0" w14:textId="77777777" w:rsidR="00382B44" w:rsidRPr="00C3043C" w:rsidRDefault="00382B44" w:rsidP="00C46C6D">
            <w:pPr>
              <w:numPr>
                <w:ilvl w:val="0"/>
                <w:numId w:val="4"/>
              </w:numPr>
              <w:spacing w:before="60" w:after="60" w:line="240" w:lineRule="auto"/>
              <w:ind w:left="0" w:firstLine="0"/>
              <w:contextualSpacing/>
              <w:jc w:val="both"/>
              <w:rPr>
                <w:rFonts w:ascii="Times New Roman" w:hAnsi="Times New Roman"/>
                <w:b/>
                <w:i/>
                <w:sz w:val="24"/>
                <w:szCs w:val="24"/>
                <w:u w:val="single"/>
              </w:rPr>
            </w:pPr>
            <w:r w:rsidRPr="00C3043C">
              <w:rPr>
                <w:rFonts w:ascii="Times New Roman" w:hAnsi="Times New Roman"/>
                <w:b/>
                <w:i/>
                <w:sz w:val="24"/>
                <w:szCs w:val="24"/>
                <w:u w:val="single"/>
              </w:rPr>
              <w:t>Svītrot nosacījumu par nodokļu parādu pārbaudi</w:t>
            </w:r>
          </w:p>
          <w:p w14:paraId="7914E485" w14:textId="77777777" w:rsidR="00382B44" w:rsidRDefault="00382B44" w:rsidP="00C46C6D">
            <w:pPr>
              <w:spacing w:after="0" w:line="240" w:lineRule="auto"/>
              <w:ind w:left="54" w:right="-1"/>
              <w:jc w:val="both"/>
              <w:rPr>
                <w:rFonts w:ascii="Times New Roman" w:hAnsi="Times New Roman"/>
                <w:sz w:val="24"/>
                <w:szCs w:val="24"/>
              </w:rPr>
            </w:pPr>
            <w:r w:rsidRPr="00C3043C">
              <w:rPr>
                <w:rFonts w:ascii="Times New Roman" w:hAnsi="Times New Roman"/>
                <w:sz w:val="24"/>
                <w:szCs w:val="24"/>
              </w:rPr>
              <w:t xml:space="preserve">MK noteikumu Nr.160 81.punkts nosaka, kādos gadījumos atbalstu nepiešķir, tostarp 81.2.apakšpunktā paredzēts, ka </w:t>
            </w:r>
            <w:r w:rsidRPr="00C3043C">
              <w:rPr>
                <w:rFonts w:ascii="Times New Roman" w:hAnsi="Times New Roman"/>
                <w:i/>
                <w:sz w:val="24"/>
                <w:szCs w:val="24"/>
              </w:rPr>
              <w:t>atbalstu nevar saņemt saimnieciskās darbības veicēji, kuriem uz atbalsta piešķiršanas brīdi saskaņā ar Valsts ieņēmumu dienesta publiskojamo datubāzes informāciju ir nodokļu parādi</w:t>
            </w:r>
            <w:r w:rsidRPr="00C3043C">
              <w:rPr>
                <w:rFonts w:ascii="Times New Roman" w:hAnsi="Times New Roman"/>
                <w:sz w:val="24"/>
                <w:szCs w:val="24"/>
              </w:rPr>
              <w:t>.</w:t>
            </w:r>
          </w:p>
          <w:p w14:paraId="318FBA0E" w14:textId="77777777" w:rsidR="00F557D9" w:rsidRPr="00C3043C" w:rsidRDefault="00F557D9" w:rsidP="00C46C6D">
            <w:pPr>
              <w:spacing w:after="0" w:line="240" w:lineRule="auto"/>
              <w:ind w:left="54" w:right="-1"/>
              <w:jc w:val="both"/>
              <w:rPr>
                <w:rFonts w:ascii="Times New Roman" w:hAnsi="Times New Roman"/>
                <w:sz w:val="24"/>
                <w:szCs w:val="24"/>
              </w:rPr>
            </w:pPr>
            <w:r w:rsidRPr="00F557D9">
              <w:rPr>
                <w:rFonts w:ascii="Times New Roman" w:hAnsi="Times New Roman"/>
                <w:sz w:val="24"/>
                <w:szCs w:val="24"/>
              </w:rPr>
              <w:t>Nosacījums par nodokļu parādiem ir pārņemts no vispārējās Eiropas Savienības fondu projektu ieviešanas prakses, kur ir viens atbalsta saņēmējs un kur netiek sīkāk vērtēti citi parādi vai saistības. Jāuzsver, ka minētais nosacījums nav noteikts Eiropas Savienības struktūrfondu un Kohēzijas fonda 2014.—2020.gada plānošanas perioda vadības likumā vai Eiropas Savienības līmeņa normatīvajā regulējumā, bet ir nacionāla līmeņa norma, kas pārņemta no publisko iepirkumu procesa.</w:t>
            </w:r>
          </w:p>
          <w:p w14:paraId="71E17FAD" w14:textId="41E2F215" w:rsidR="00382B44" w:rsidRPr="00C3043C" w:rsidRDefault="00F557D9" w:rsidP="00C46C6D">
            <w:pPr>
              <w:spacing w:after="0" w:line="240" w:lineRule="auto"/>
              <w:ind w:left="54" w:right="-1"/>
              <w:jc w:val="both"/>
              <w:rPr>
                <w:rFonts w:ascii="Times New Roman" w:hAnsi="Times New Roman"/>
                <w:sz w:val="24"/>
                <w:szCs w:val="24"/>
              </w:rPr>
            </w:pPr>
            <w:r>
              <w:rPr>
                <w:rFonts w:ascii="Times New Roman" w:hAnsi="Times New Roman"/>
                <w:sz w:val="24"/>
                <w:szCs w:val="24"/>
              </w:rPr>
              <w:t>Turklāt, lai samazinātu s</w:t>
            </w:r>
            <w:r w:rsidR="00382B44" w:rsidRPr="00C3043C">
              <w:rPr>
                <w:rFonts w:ascii="Times New Roman" w:hAnsi="Times New Roman"/>
                <w:sz w:val="24"/>
                <w:szCs w:val="24"/>
              </w:rPr>
              <w:t>abiedrība</w:t>
            </w:r>
            <w:r>
              <w:rPr>
                <w:rFonts w:ascii="Times New Roman" w:hAnsi="Times New Roman"/>
                <w:sz w:val="24"/>
                <w:szCs w:val="24"/>
              </w:rPr>
              <w:t>s</w:t>
            </w:r>
            <w:r w:rsidR="00382B44" w:rsidRPr="00C3043C">
              <w:rPr>
                <w:rFonts w:ascii="Times New Roman" w:hAnsi="Times New Roman"/>
                <w:sz w:val="24"/>
                <w:szCs w:val="24"/>
              </w:rPr>
              <w:t xml:space="preserve"> “</w:t>
            </w:r>
            <w:proofErr w:type="spellStart"/>
            <w:r w:rsidR="00382B44" w:rsidRPr="00C3043C">
              <w:rPr>
                <w:rFonts w:ascii="Times New Roman" w:hAnsi="Times New Roman"/>
                <w:sz w:val="24"/>
                <w:szCs w:val="24"/>
              </w:rPr>
              <w:t>Altum</w:t>
            </w:r>
            <w:proofErr w:type="spellEnd"/>
            <w:r w:rsidR="00382B44" w:rsidRPr="00C3043C">
              <w:rPr>
                <w:rFonts w:ascii="Times New Roman" w:hAnsi="Times New Roman"/>
                <w:sz w:val="24"/>
                <w:szCs w:val="24"/>
              </w:rPr>
              <w:t>”</w:t>
            </w:r>
            <w:r>
              <w:rPr>
                <w:rFonts w:ascii="Times New Roman" w:hAnsi="Times New Roman"/>
                <w:sz w:val="24"/>
                <w:szCs w:val="24"/>
              </w:rPr>
              <w:t xml:space="preserve"> riskus atgūstot neatmaksāto aizdevuma daļu</w:t>
            </w:r>
            <w:r w:rsidR="00382B44" w:rsidRPr="00C3043C">
              <w:rPr>
                <w:rFonts w:ascii="Times New Roman" w:hAnsi="Times New Roman"/>
                <w:sz w:val="24"/>
                <w:szCs w:val="24"/>
              </w:rPr>
              <w:t xml:space="preserve">, </w:t>
            </w:r>
            <w:r w:rsidR="002E5018" w:rsidRPr="002E5018">
              <w:rPr>
                <w:rFonts w:ascii="Times New Roman" w:hAnsi="Times New Roman"/>
                <w:sz w:val="24"/>
                <w:szCs w:val="24"/>
              </w:rPr>
              <w:t>cita starpā sabiedrība “</w:t>
            </w:r>
            <w:proofErr w:type="spellStart"/>
            <w:r w:rsidR="002E5018" w:rsidRPr="002E5018">
              <w:rPr>
                <w:rFonts w:ascii="Times New Roman" w:hAnsi="Times New Roman"/>
                <w:sz w:val="24"/>
                <w:szCs w:val="24"/>
              </w:rPr>
              <w:t>Altum</w:t>
            </w:r>
            <w:proofErr w:type="spellEnd"/>
            <w:r w:rsidR="002E5018" w:rsidRPr="002E5018">
              <w:rPr>
                <w:rFonts w:ascii="Times New Roman" w:hAnsi="Times New Roman"/>
                <w:sz w:val="24"/>
                <w:szCs w:val="24"/>
              </w:rPr>
              <w:t>”</w:t>
            </w:r>
            <w:r w:rsidR="00382B44" w:rsidRPr="00C3043C">
              <w:rPr>
                <w:rFonts w:ascii="Times New Roman" w:hAnsi="Times New Roman"/>
                <w:sz w:val="24"/>
                <w:szCs w:val="24"/>
              </w:rPr>
              <w:t xml:space="preserve"> izvērtē daudzdzīvokļu dzīvojamās mājas parādsaistību apjomu (MK noteikumu Nr.160 52.2.apakšpunkts) un tas nevar pārsniegt 10% no pakalpojumu rēķinu summas pēdējā gada laikā. Ar šo normu tiek vērtēta ēkas maksājumu disciplīna un izvērtēti riski aizdevumu atmaksai. </w:t>
            </w:r>
            <w:r w:rsidR="002E5018">
              <w:rPr>
                <w:rFonts w:ascii="Times New Roman" w:hAnsi="Times New Roman"/>
                <w:sz w:val="24"/>
                <w:szCs w:val="24"/>
              </w:rPr>
              <w:t>S</w:t>
            </w:r>
            <w:r w:rsidR="00382B44" w:rsidRPr="00C3043C">
              <w:rPr>
                <w:rFonts w:ascii="Times New Roman" w:hAnsi="Times New Roman"/>
                <w:sz w:val="24"/>
                <w:szCs w:val="24"/>
              </w:rPr>
              <w:t>abiedrība “</w:t>
            </w:r>
            <w:proofErr w:type="spellStart"/>
            <w:r w:rsidR="00382B44" w:rsidRPr="00C3043C">
              <w:rPr>
                <w:rFonts w:ascii="Times New Roman" w:hAnsi="Times New Roman"/>
                <w:sz w:val="24"/>
                <w:szCs w:val="24"/>
              </w:rPr>
              <w:t>Altum</w:t>
            </w:r>
            <w:proofErr w:type="spellEnd"/>
            <w:r w:rsidR="00382B44" w:rsidRPr="00C3043C">
              <w:rPr>
                <w:rFonts w:ascii="Times New Roman" w:hAnsi="Times New Roman"/>
                <w:sz w:val="24"/>
                <w:szCs w:val="24"/>
              </w:rPr>
              <w:t>” slēdz līgumus ar pilnvarotajām personām</w:t>
            </w:r>
            <w:r w:rsidR="002E5018">
              <w:rPr>
                <w:rFonts w:ascii="Times New Roman" w:hAnsi="Times New Roman"/>
                <w:sz w:val="24"/>
                <w:szCs w:val="24"/>
              </w:rPr>
              <w:t xml:space="preserve">, kuras nodrošina aizdevuma atmaksu no dzīvokļu </w:t>
            </w:r>
            <w:r w:rsidR="002E5018">
              <w:rPr>
                <w:rFonts w:ascii="Times New Roman" w:hAnsi="Times New Roman"/>
                <w:sz w:val="24"/>
                <w:szCs w:val="24"/>
              </w:rPr>
              <w:lastRenderedPageBreak/>
              <w:t>īpašnieku veiktajiem maksājumiem saskaņā ar dzīvokļu īpašnieku kopības pieņemto lēmumu</w:t>
            </w:r>
            <w:r w:rsidR="00382B44" w:rsidRPr="00C3043C">
              <w:rPr>
                <w:rFonts w:ascii="Times New Roman" w:hAnsi="Times New Roman"/>
                <w:sz w:val="24"/>
                <w:szCs w:val="24"/>
              </w:rPr>
              <w:t xml:space="preserve">. </w:t>
            </w:r>
          </w:p>
          <w:p w14:paraId="72EC12D2" w14:textId="77777777" w:rsidR="00382B44" w:rsidRPr="00C3043C" w:rsidRDefault="00382B44" w:rsidP="00C46C6D">
            <w:pPr>
              <w:spacing w:after="0" w:line="240" w:lineRule="auto"/>
              <w:ind w:left="54" w:right="-1"/>
              <w:jc w:val="both"/>
              <w:rPr>
                <w:rFonts w:ascii="Times New Roman" w:hAnsi="Times New Roman"/>
                <w:sz w:val="24"/>
                <w:szCs w:val="24"/>
              </w:rPr>
            </w:pPr>
            <w:r w:rsidRPr="00C3043C">
              <w:rPr>
                <w:rFonts w:ascii="Times New Roman" w:hAnsi="Times New Roman"/>
                <w:sz w:val="24"/>
                <w:szCs w:val="24"/>
              </w:rPr>
              <w:t>MK noteikumu Nr.160 52.2.apakšpunkts jau samazina riskus Pasākuma finansējuma aizdevumu neatmaksāšanai, līdz ar to nav lietderīgi sabiedrībai “</w:t>
            </w:r>
            <w:proofErr w:type="spellStart"/>
            <w:r w:rsidRPr="00C3043C">
              <w:rPr>
                <w:rFonts w:ascii="Times New Roman" w:hAnsi="Times New Roman"/>
                <w:sz w:val="24"/>
                <w:szCs w:val="24"/>
              </w:rPr>
              <w:t>Altum</w:t>
            </w:r>
            <w:proofErr w:type="spellEnd"/>
            <w:r w:rsidRPr="00C3043C">
              <w:rPr>
                <w:rFonts w:ascii="Times New Roman" w:hAnsi="Times New Roman"/>
                <w:sz w:val="24"/>
                <w:szCs w:val="24"/>
              </w:rPr>
              <w:t>” papildus izvērtēt atsevišķu dzīvokļu īpašnieku (tikai saimnieciskās darbības veicēji) nodokļus parādus, jo tie nav tieši saistīti ar maksājumiem par komunālajiem maksājumiem vai aizdevumu Pasākuma ietvaros</w:t>
            </w:r>
            <w:r w:rsidR="004F1433">
              <w:rPr>
                <w:rFonts w:ascii="Times New Roman" w:hAnsi="Times New Roman"/>
                <w:sz w:val="24"/>
                <w:szCs w:val="24"/>
              </w:rPr>
              <w:t>.</w:t>
            </w:r>
            <w:r w:rsidRPr="00C3043C">
              <w:rPr>
                <w:rFonts w:ascii="Times New Roman" w:hAnsi="Times New Roman"/>
                <w:sz w:val="24"/>
                <w:szCs w:val="24"/>
              </w:rPr>
              <w:t xml:space="preserve"> </w:t>
            </w:r>
          </w:p>
          <w:p w14:paraId="659AEF9C" w14:textId="1EC8C582" w:rsidR="00DD7B08" w:rsidRDefault="00DD7B08" w:rsidP="00C46C6D">
            <w:pPr>
              <w:spacing w:after="0" w:line="240" w:lineRule="auto"/>
              <w:ind w:left="54" w:right="-1"/>
              <w:jc w:val="both"/>
              <w:rPr>
                <w:rFonts w:ascii="Times New Roman" w:hAnsi="Times New Roman"/>
                <w:sz w:val="24"/>
                <w:szCs w:val="24"/>
              </w:rPr>
            </w:pPr>
          </w:p>
          <w:p w14:paraId="03E70E1D" w14:textId="77777777" w:rsidR="00DD7B08" w:rsidRPr="00691374" w:rsidRDefault="00DD7B08" w:rsidP="00DD7B08">
            <w:pPr>
              <w:pStyle w:val="ListParagraph"/>
              <w:numPr>
                <w:ilvl w:val="0"/>
                <w:numId w:val="4"/>
              </w:numPr>
              <w:spacing w:after="0" w:line="240" w:lineRule="auto"/>
              <w:ind w:right="-1"/>
              <w:jc w:val="both"/>
              <w:rPr>
                <w:rFonts w:ascii="Times New Roman" w:hAnsi="Times New Roman"/>
                <w:b/>
                <w:i/>
                <w:sz w:val="24"/>
                <w:szCs w:val="24"/>
                <w:u w:val="single"/>
              </w:rPr>
            </w:pPr>
            <w:r w:rsidRPr="00691374">
              <w:rPr>
                <w:rFonts w:ascii="Times New Roman" w:hAnsi="Times New Roman"/>
                <w:b/>
                <w:i/>
                <w:sz w:val="24"/>
                <w:szCs w:val="24"/>
                <w:u w:val="single"/>
              </w:rPr>
              <w:t>Precizēt Pasākumam pieejamo finansējumu.</w:t>
            </w:r>
          </w:p>
          <w:p w14:paraId="39BCC27A" w14:textId="1BFDF617" w:rsidR="00691374" w:rsidRDefault="00DD7B08" w:rsidP="00DD7B08">
            <w:pPr>
              <w:spacing w:after="0" w:line="240" w:lineRule="auto"/>
              <w:ind w:right="-1"/>
              <w:jc w:val="both"/>
              <w:rPr>
                <w:rFonts w:ascii="Times New Roman" w:hAnsi="Times New Roman"/>
                <w:sz w:val="24"/>
                <w:szCs w:val="24"/>
              </w:rPr>
            </w:pPr>
            <w:r w:rsidRPr="00DD7B08">
              <w:rPr>
                <w:rFonts w:ascii="Times New Roman" w:hAnsi="Times New Roman"/>
                <w:sz w:val="24"/>
                <w:szCs w:val="24"/>
              </w:rPr>
              <w:t>Ņemot vērā</w:t>
            </w:r>
            <w:r w:rsidR="00114DA1">
              <w:rPr>
                <w:rFonts w:ascii="Times New Roman" w:hAnsi="Times New Roman"/>
                <w:sz w:val="24"/>
                <w:szCs w:val="24"/>
              </w:rPr>
              <w:t>, ka</w:t>
            </w:r>
            <w:r w:rsidRPr="00DD7B08">
              <w:rPr>
                <w:rFonts w:ascii="Times New Roman" w:hAnsi="Times New Roman"/>
                <w:sz w:val="24"/>
                <w:szCs w:val="24"/>
              </w:rPr>
              <w:t xml:space="preserve"> MK noteikumu Nr.160 10.1.apakšpunktā noteikt</w:t>
            </w:r>
            <w:r w:rsidR="00EE0D4F">
              <w:rPr>
                <w:rFonts w:ascii="Times New Roman" w:hAnsi="Times New Roman"/>
                <w:sz w:val="24"/>
                <w:szCs w:val="24"/>
              </w:rPr>
              <w:t xml:space="preserve">ais pieejamais attiecināmais finansējums ir lielāks par </w:t>
            </w:r>
            <w:r w:rsidR="00EE0D4F" w:rsidRPr="00EE0D4F">
              <w:rPr>
                <w:rFonts w:ascii="Times New Roman" w:hAnsi="Times New Roman"/>
                <w:sz w:val="24"/>
                <w:szCs w:val="24"/>
              </w:rPr>
              <w:t xml:space="preserve">7 856 </w:t>
            </w:r>
            <w:proofErr w:type="spellStart"/>
            <w:r w:rsidR="00EE0D4F" w:rsidRPr="00EE0D4F">
              <w:rPr>
                <w:rFonts w:ascii="Times New Roman" w:hAnsi="Times New Roman"/>
                <w:i/>
                <w:sz w:val="24"/>
                <w:szCs w:val="24"/>
              </w:rPr>
              <w:t>euro</w:t>
            </w:r>
            <w:proofErr w:type="spellEnd"/>
            <w:r w:rsidR="00EE0D4F" w:rsidRPr="00EE0D4F">
              <w:rPr>
                <w:rFonts w:ascii="Times New Roman" w:hAnsi="Times New Roman"/>
                <w:sz w:val="24"/>
                <w:szCs w:val="24"/>
              </w:rPr>
              <w:t xml:space="preserve"> (ERAF daļa 6 682 </w:t>
            </w:r>
            <w:proofErr w:type="spellStart"/>
            <w:r w:rsidR="00EE0D4F" w:rsidRPr="00EE0D4F">
              <w:rPr>
                <w:rFonts w:ascii="Times New Roman" w:hAnsi="Times New Roman"/>
                <w:i/>
                <w:sz w:val="24"/>
                <w:szCs w:val="24"/>
              </w:rPr>
              <w:t>euro</w:t>
            </w:r>
            <w:proofErr w:type="spellEnd"/>
            <w:r w:rsidR="00EE0D4F" w:rsidRPr="00EE0D4F">
              <w:rPr>
                <w:rFonts w:ascii="Times New Roman" w:hAnsi="Times New Roman"/>
                <w:sz w:val="24"/>
                <w:szCs w:val="24"/>
              </w:rPr>
              <w:t xml:space="preserve"> un valsts budžeta līdzfinansējuma daļa 1 174 </w:t>
            </w:r>
            <w:proofErr w:type="spellStart"/>
            <w:r w:rsidR="00EE0D4F" w:rsidRPr="00EE0D4F">
              <w:rPr>
                <w:rFonts w:ascii="Times New Roman" w:hAnsi="Times New Roman"/>
                <w:i/>
                <w:sz w:val="24"/>
                <w:szCs w:val="24"/>
              </w:rPr>
              <w:t>euro</w:t>
            </w:r>
            <w:proofErr w:type="spellEnd"/>
            <w:r w:rsidR="00EE0D4F" w:rsidRPr="00EE0D4F">
              <w:rPr>
                <w:rFonts w:ascii="Times New Roman" w:hAnsi="Times New Roman"/>
                <w:sz w:val="24"/>
                <w:szCs w:val="24"/>
              </w:rPr>
              <w:t>)</w:t>
            </w:r>
            <w:r w:rsidR="00EE0D4F">
              <w:rPr>
                <w:rFonts w:ascii="Times New Roman" w:hAnsi="Times New Roman"/>
                <w:sz w:val="24"/>
                <w:szCs w:val="24"/>
              </w:rPr>
              <w:t xml:space="preserve"> </w:t>
            </w:r>
            <w:r w:rsidR="00114DA1">
              <w:rPr>
                <w:rFonts w:ascii="Times New Roman" w:hAnsi="Times New Roman"/>
                <w:sz w:val="24"/>
                <w:szCs w:val="24"/>
              </w:rPr>
              <w:t>nekā</w:t>
            </w:r>
            <w:r w:rsidRPr="00DD7B08">
              <w:rPr>
                <w:rFonts w:ascii="Times New Roman" w:hAnsi="Times New Roman"/>
                <w:sz w:val="24"/>
                <w:szCs w:val="24"/>
              </w:rPr>
              <w:t xml:space="preserve"> 2</w:t>
            </w:r>
            <w:r w:rsidR="00EE0D4F">
              <w:rPr>
                <w:rFonts w:ascii="Times New Roman" w:hAnsi="Times New Roman"/>
                <w:sz w:val="24"/>
                <w:szCs w:val="24"/>
              </w:rPr>
              <w:t>016.gada 14.septembrī noslēgtajā līgumā</w:t>
            </w:r>
            <w:r w:rsidRPr="00DD7B08">
              <w:rPr>
                <w:rFonts w:ascii="Times New Roman" w:hAnsi="Times New Roman"/>
                <w:sz w:val="24"/>
                <w:szCs w:val="24"/>
              </w:rPr>
              <w:t xml:space="preserve"> starp sadarbības iestādi un </w:t>
            </w:r>
            <w:r w:rsidR="00EE0D4F">
              <w:rPr>
                <w:rFonts w:ascii="Times New Roman" w:hAnsi="Times New Roman"/>
                <w:sz w:val="24"/>
                <w:szCs w:val="24"/>
              </w:rPr>
              <w:t>sabiedrību “</w:t>
            </w:r>
            <w:proofErr w:type="spellStart"/>
            <w:r w:rsidRPr="00DD7B08">
              <w:rPr>
                <w:rFonts w:ascii="Times New Roman" w:hAnsi="Times New Roman"/>
                <w:sz w:val="24"/>
                <w:szCs w:val="24"/>
              </w:rPr>
              <w:t>Altum</w:t>
            </w:r>
            <w:proofErr w:type="spellEnd"/>
            <w:r w:rsidR="00EE0D4F">
              <w:rPr>
                <w:rFonts w:ascii="Times New Roman" w:hAnsi="Times New Roman"/>
                <w:sz w:val="24"/>
                <w:szCs w:val="24"/>
              </w:rPr>
              <w:t>”</w:t>
            </w:r>
            <w:r w:rsidRPr="00DD7B08">
              <w:rPr>
                <w:rFonts w:ascii="Times New Roman" w:hAnsi="Times New Roman"/>
                <w:sz w:val="24"/>
                <w:szCs w:val="24"/>
              </w:rPr>
              <w:t xml:space="preserve"> par Eiropas Savienība</w:t>
            </w:r>
            <w:r w:rsidR="00EE0D4F">
              <w:rPr>
                <w:rFonts w:ascii="Times New Roman" w:hAnsi="Times New Roman"/>
                <w:sz w:val="24"/>
                <w:szCs w:val="24"/>
              </w:rPr>
              <w:t>s fonda projekta īstenošanu Nr.</w:t>
            </w:r>
            <w:r w:rsidRPr="00DD7B08">
              <w:rPr>
                <w:rFonts w:ascii="Times New Roman" w:hAnsi="Times New Roman"/>
                <w:sz w:val="24"/>
                <w:szCs w:val="24"/>
              </w:rPr>
              <w:t>4.2.1.1/16/I/001 pieejamo finansēj</w:t>
            </w:r>
            <w:r w:rsidR="00EE0D4F">
              <w:rPr>
                <w:rFonts w:ascii="Times New Roman" w:hAnsi="Times New Roman"/>
                <w:sz w:val="24"/>
                <w:szCs w:val="24"/>
              </w:rPr>
              <w:t>umu</w:t>
            </w:r>
            <w:r w:rsidRPr="00DD7B08">
              <w:rPr>
                <w:rFonts w:ascii="Times New Roman" w:hAnsi="Times New Roman"/>
                <w:sz w:val="24"/>
                <w:szCs w:val="24"/>
              </w:rPr>
              <w:t xml:space="preserve">, </w:t>
            </w:r>
            <w:r w:rsidR="00EE0D4F">
              <w:rPr>
                <w:rFonts w:ascii="Times New Roman" w:hAnsi="Times New Roman"/>
                <w:sz w:val="24"/>
                <w:szCs w:val="24"/>
              </w:rPr>
              <w:t>nepieciešams precizēt MK noteikumos</w:t>
            </w:r>
            <w:r w:rsidRPr="00DD7B08">
              <w:rPr>
                <w:rFonts w:ascii="Times New Roman" w:hAnsi="Times New Roman"/>
                <w:sz w:val="24"/>
                <w:szCs w:val="24"/>
              </w:rPr>
              <w:t xml:space="preserve"> Nr.160 </w:t>
            </w:r>
            <w:r w:rsidR="00EE0D4F">
              <w:rPr>
                <w:rFonts w:ascii="Times New Roman" w:hAnsi="Times New Roman"/>
                <w:sz w:val="24"/>
                <w:szCs w:val="24"/>
              </w:rPr>
              <w:t>noteikto</w:t>
            </w:r>
            <w:r w:rsidRPr="00DD7B08">
              <w:rPr>
                <w:rFonts w:ascii="Times New Roman" w:hAnsi="Times New Roman"/>
                <w:sz w:val="24"/>
                <w:szCs w:val="24"/>
              </w:rPr>
              <w:t xml:space="preserve"> pieejamo finansējumu</w:t>
            </w:r>
            <w:r w:rsidR="00EE0D4F">
              <w:rPr>
                <w:rFonts w:ascii="Times New Roman" w:hAnsi="Times New Roman"/>
                <w:sz w:val="24"/>
                <w:szCs w:val="24"/>
              </w:rPr>
              <w:t xml:space="preserve">. </w:t>
            </w:r>
            <w:r w:rsidR="00114DA1">
              <w:rPr>
                <w:rFonts w:ascii="Times New Roman" w:hAnsi="Times New Roman"/>
                <w:sz w:val="24"/>
                <w:szCs w:val="24"/>
              </w:rPr>
              <w:t xml:space="preserve">Finansējums tiks pārdalīts </w:t>
            </w:r>
            <w:r w:rsidRPr="00DD7B08">
              <w:rPr>
                <w:rFonts w:ascii="Times New Roman" w:hAnsi="Times New Roman"/>
                <w:sz w:val="24"/>
                <w:szCs w:val="24"/>
              </w:rPr>
              <w:t>4.2.1.1.pasākuma “Veicināt energoefektivitātes paaugstināšanu dzīvojamās ēkās (ESKO)” projektu iesniegumu atlases (otrās kārtas) īstenošanai.</w:t>
            </w:r>
          </w:p>
          <w:p w14:paraId="78D6A326" w14:textId="41A61C5C" w:rsidR="00691374" w:rsidRDefault="00691374" w:rsidP="00DD7B08">
            <w:pPr>
              <w:spacing w:after="0" w:line="240" w:lineRule="auto"/>
              <w:ind w:right="-1"/>
              <w:jc w:val="both"/>
              <w:rPr>
                <w:rFonts w:ascii="Times New Roman" w:hAnsi="Times New Roman"/>
                <w:sz w:val="24"/>
                <w:szCs w:val="24"/>
              </w:rPr>
            </w:pPr>
          </w:p>
          <w:p w14:paraId="47044207" w14:textId="27C419E5" w:rsidR="00D22E1B" w:rsidRPr="00EE0D4F" w:rsidRDefault="00691374" w:rsidP="00DD7B08">
            <w:pPr>
              <w:spacing w:after="0" w:line="240" w:lineRule="auto"/>
              <w:ind w:right="-1"/>
              <w:jc w:val="both"/>
              <w:rPr>
                <w:rFonts w:ascii="Times New Roman" w:hAnsi="Times New Roman"/>
                <w:sz w:val="24"/>
                <w:szCs w:val="24"/>
              </w:rPr>
            </w:pPr>
            <w:r>
              <w:rPr>
                <w:rFonts w:ascii="Times New Roman" w:hAnsi="Times New Roman"/>
                <w:sz w:val="24"/>
                <w:szCs w:val="24"/>
              </w:rPr>
              <w:t xml:space="preserve">Papildus Ekonomikas ministrija ir izstrādājusi Ministru kabineta </w:t>
            </w:r>
            <w:proofErr w:type="spellStart"/>
            <w:r>
              <w:rPr>
                <w:rFonts w:ascii="Times New Roman" w:hAnsi="Times New Roman"/>
                <w:sz w:val="24"/>
                <w:szCs w:val="24"/>
              </w:rPr>
              <w:t>protokollēmuma</w:t>
            </w:r>
            <w:proofErr w:type="spellEnd"/>
            <w:r>
              <w:rPr>
                <w:rFonts w:ascii="Times New Roman" w:hAnsi="Times New Roman"/>
                <w:sz w:val="24"/>
                <w:szCs w:val="24"/>
              </w:rPr>
              <w:t xml:space="preserve"> projektu</w:t>
            </w:r>
            <w:r w:rsidR="00D22E1B">
              <w:rPr>
                <w:rFonts w:ascii="Times New Roman" w:hAnsi="Times New Roman"/>
                <w:sz w:val="24"/>
                <w:szCs w:val="24"/>
              </w:rPr>
              <w:t xml:space="preserve">, kurā </w:t>
            </w:r>
            <w:r w:rsidR="00D22E1B" w:rsidRPr="00D22E1B">
              <w:rPr>
                <w:rFonts w:ascii="Times New Roman" w:hAnsi="Times New Roman"/>
                <w:sz w:val="24"/>
                <w:szCs w:val="24"/>
              </w:rPr>
              <w:t>4.2.1.1.pasākuma “Veicināt energoefektivitātes paaugstināšanu dzīvojamās ēkās (ESKO)” projektu iesniegumu atlases (otrās kārtas) īstenošanai</w:t>
            </w:r>
            <w:r w:rsidR="00D22E1B">
              <w:rPr>
                <w:rFonts w:ascii="Times New Roman" w:hAnsi="Times New Roman"/>
                <w:sz w:val="24"/>
                <w:szCs w:val="24"/>
              </w:rPr>
              <w:t xml:space="preserve"> izstrādes termiņš ir noteikts 2017. gada 31.augusts. Šāds </w:t>
            </w:r>
            <w:r w:rsidR="00093B66">
              <w:rPr>
                <w:rFonts w:ascii="Times New Roman" w:hAnsi="Times New Roman"/>
                <w:sz w:val="24"/>
                <w:szCs w:val="24"/>
              </w:rPr>
              <w:t xml:space="preserve">Ministru kabineta </w:t>
            </w:r>
            <w:proofErr w:type="spellStart"/>
            <w:r w:rsidR="00D22E1B">
              <w:rPr>
                <w:rFonts w:ascii="Times New Roman" w:hAnsi="Times New Roman"/>
                <w:sz w:val="24"/>
                <w:szCs w:val="24"/>
              </w:rPr>
              <w:t>protokollēmuma</w:t>
            </w:r>
            <w:proofErr w:type="spellEnd"/>
            <w:r w:rsidR="00D22E1B">
              <w:rPr>
                <w:rFonts w:ascii="Times New Roman" w:hAnsi="Times New Roman"/>
                <w:sz w:val="24"/>
                <w:szCs w:val="24"/>
              </w:rPr>
              <w:t xml:space="preserve"> punkts ir nepieciešams, jo </w:t>
            </w:r>
            <w:r w:rsidR="00D22E1B" w:rsidRPr="00D22E1B">
              <w:rPr>
                <w:rFonts w:ascii="Times New Roman" w:hAnsi="Times New Roman"/>
                <w:sz w:val="24"/>
                <w:szCs w:val="24"/>
              </w:rPr>
              <w:t>Ministru kabineta 2017. gada 14. marta sēdē izskatītajā informatīvā ziņojuma par “Eiropas Savienības struktūrfondu un Kohēzijas fonda, Eiropas Ekonomikas zonas finanšu instrumenta, Norvēģijas finanšu instrumenta un Latvijas un Šveices sadarbības programmas investīciju progresu līdz 2016. gada 31. decembrim” 5.pielikumā “Ministru kabineta noteikumu apstiprināšanas laika grafiks 2017. - 2019.gados Kohēzijas politikas ES fondu 2014-2020.gada plānošanas perioda ietvaros, statuss līdz 02.02.2017.” (turpmāk – Informatīvais ziņojums) izpildes termiņš Pasākuma “Veicināt energoefektivitātes paaugstināšanu dzīvojamās ēkās (ESKO)” kritēriju komplekta iesniegšanai  Eiropas Savienības fondu uzraudzības apakškomitejā un Ministru kabineta noteikumu izsludināšanai Valsts sekretāru sanāksmē ir noteikts 2017.gada aprīlis.</w:t>
            </w:r>
            <w:r w:rsidR="00D22E1B">
              <w:rPr>
                <w:rFonts w:ascii="Times New Roman" w:hAnsi="Times New Roman"/>
                <w:sz w:val="24"/>
                <w:szCs w:val="24"/>
              </w:rPr>
              <w:t xml:space="preserve"> </w:t>
            </w:r>
            <w:r w:rsidR="00D22E1B" w:rsidRPr="00D22E1B">
              <w:rPr>
                <w:rFonts w:ascii="Times New Roman" w:hAnsi="Times New Roman"/>
                <w:sz w:val="24"/>
                <w:szCs w:val="24"/>
              </w:rPr>
              <w:t xml:space="preserve">Ekonomikas ministrija ir uzsākusi Ministru kabineta noteikumu izstrādi ESKO aizdevumu fondam un </w:t>
            </w:r>
            <w:proofErr w:type="spellStart"/>
            <w:r w:rsidR="00D22E1B" w:rsidRPr="00D22E1B">
              <w:rPr>
                <w:rFonts w:ascii="Times New Roman" w:hAnsi="Times New Roman"/>
                <w:sz w:val="24"/>
                <w:szCs w:val="24"/>
              </w:rPr>
              <w:t>mezanīna</w:t>
            </w:r>
            <w:proofErr w:type="spellEnd"/>
            <w:r w:rsidR="00D22E1B" w:rsidRPr="00D22E1B">
              <w:rPr>
                <w:rFonts w:ascii="Times New Roman" w:hAnsi="Times New Roman"/>
                <w:sz w:val="24"/>
                <w:szCs w:val="24"/>
              </w:rPr>
              <w:t xml:space="preserve"> aizdevumiem, taču iekļaušanos Informatīvā ziņojuma norādītajos termiņos Ekonomikas ministrija nevarēs nodrošināt. Ekonomikas ministrijas ieskatā normatīvo regulējumu ERAF finansējuma izmantošanai var sagatavot iesniegšanai Valsts sekretāru sanāksmē līdz </w:t>
            </w:r>
            <w:r w:rsidR="00D22E1B">
              <w:rPr>
                <w:rFonts w:ascii="Times New Roman" w:hAnsi="Times New Roman"/>
                <w:sz w:val="24"/>
                <w:szCs w:val="24"/>
              </w:rPr>
              <w:t>augusta</w:t>
            </w:r>
            <w:r w:rsidR="00D22E1B" w:rsidRPr="00D22E1B">
              <w:rPr>
                <w:rFonts w:ascii="Times New Roman" w:hAnsi="Times New Roman"/>
                <w:sz w:val="24"/>
                <w:szCs w:val="24"/>
              </w:rPr>
              <w:t xml:space="preserve"> beigām.</w:t>
            </w:r>
            <w:r w:rsidR="00321F99">
              <w:rPr>
                <w:rFonts w:ascii="Times New Roman" w:hAnsi="Times New Roman"/>
                <w:sz w:val="24"/>
                <w:szCs w:val="24"/>
              </w:rPr>
              <w:t xml:space="preserve"> Šajā termiņā Ekonomikas ministrija arī nodrošinās </w:t>
            </w:r>
            <w:proofErr w:type="spellStart"/>
            <w:r w:rsidR="00321F99" w:rsidRPr="00321F99">
              <w:rPr>
                <w:rFonts w:ascii="Times New Roman" w:hAnsi="Times New Roman"/>
                <w:i/>
                <w:sz w:val="24"/>
                <w:szCs w:val="24"/>
              </w:rPr>
              <w:t>ex</w:t>
            </w:r>
            <w:proofErr w:type="spellEnd"/>
            <w:r w:rsidR="00321F99" w:rsidRPr="00321F99">
              <w:rPr>
                <w:rFonts w:ascii="Times New Roman" w:hAnsi="Times New Roman"/>
                <w:i/>
                <w:sz w:val="24"/>
                <w:szCs w:val="24"/>
              </w:rPr>
              <w:t xml:space="preserve"> </w:t>
            </w:r>
            <w:proofErr w:type="spellStart"/>
            <w:r w:rsidR="00321F99" w:rsidRPr="00321F99">
              <w:rPr>
                <w:rFonts w:ascii="Times New Roman" w:hAnsi="Times New Roman"/>
                <w:i/>
                <w:sz w:val="24"/>
                <w:szCs w:val="24"/>
              </w:rPr>
              <w:t>ante</w:t>
            </w:r>
            <w:proofErr w:type="spellEnd"/>
            <w:r w:rsidR="00321F99">
              <w:rPr>
                <w:rFonts w:ascii="Times New Roman" w:hAnsi="Times New Roman"/>
                <w:sz w:val="24"/>
                <w:szCs w:val="24"/>
              </w:rPr>
              <w:t xml:space="preserve"> tirgus nepilnību </w:t>
            </w:r>
            <w:proofErr w:type="spellStart"/>
            <w:r w:rsidR="00321F99">
              <w:rPr>
                <w:rFonts w:ascii="Times New Roman" w:hAnsi="Times New Roman"/>
                <w:sz w:val="24"/>
                <w:szCs w:val="24"/>
              </w:rPr>
              <w:t>izvērtējuma</w:t>
            </w:r>
            <w:proofErr w:type="spellEnd"/>
            <w:r w:rsidR="00321F99" w:rsidRPr="00321F99">
              <w:rPr>
                <w:rFonts w:ascii="Times New Roman" w:hAnsi="Times New Roman"/>
                <w:sz w:val="24"/>
                <w:szCs w:val="24"/>
              </w:rPr>
              <w:t xml:space="preserve"> attiecīgajā jomā</w:t>
            </w:r>
            <w:r w:rsidR="00321F99">
              <w:rPr>
                <w:rFonts w:ascii="Times New Roman" w:hAnsi="Times New Roman"/>
                <w:sz w:val="24"/>
                <w:szCs w:val="24"/>
              </w:rPr>
              <w:t xml:space="preserve"> aktualizēšanu un saskaņošanu.</w:t>
            </w:r>
          </w:p>
          <w:p w14:paraId="11282EDC" w14:textId="77777777" w:rsidR="00382B44" w:rsidRPr="00C3043C" w:rsidRDefault="00382B44" w:rsidP="00C46C6D">
            <w:pPr>
              <w:pStyle w:val="ListParagraph"/>
              <w:spacing w:after="0" w:line="240" w:lineRule="auto"/>
              <w:ind w:left="54"/>
              <w:jc w:val="both"/>
              <w:rPr>
                <w:rFonts w:ascii="Times New Roman" w:hAnsi="Times New Roman"/>
                <w:sz w:val="24"/>
                <w:szCs w:val="24"/>
                <w:u w:val="single"/>
              </w:rPr>
            </w:pPr>
          </w:p>
          <w:p w14:paraId="4D9A58C8" w14:textId="4E6B7F79" w:rsidR="00691374" w:rsidRPr="005B7C64" w:rsidRDefault="00382B44" w:rsidP="00691374">
            <w:pPr>
              <w:spacing w:after="0" w:line="240" w:lineRule="auto"/>
              <w:ind w:left="82" w:firstLine="567"/>
              <w:jc w:val="both"/>
              <w:rPr>
                <w:rFonts w:ascii="Times New Roman" w:hAnsi="Times New Roman"/>
                <w:sz w:val="24"/>
                <w:szCs w:val="24"/>
              </w:rPr>
            </w:pPr>
            <w:r w:rsidRPr="005B7C64">
              <w:rPr>
                <w:rFonts w:ascii="Times New Roman" w:hAnsi="Times New Roman"/>
                <w:sz w:val="24"/>
                <w:szCs w:val="24"/>
              </w:rPr>
              <w:t>Ekonomikas ministrijas ierosinātās izmaiņas pozitīvi ietekmēs sabiedrību “</w:t>
            </w:r>
            <w:proofErr w:type="spellStart"/>
            <w:r w:rsidRPr="005B7C64">
              <w:rPr>
                <w:rFonts w:ascii="Times New Roman" w:hAnsi="Times New Roman"/>
                <w:sz w:val="24"/>
                <w:szCs w:val="24"/>
              </w:rPr>
              <w:t>Altum</w:t>
            </w:r>
            <w:proofErr w:type="spellEnd"/>
            <w:r w:rsidRPr="005B7C64">
              <w:rPr>
                <w:rFonts w:ascii="Times New Roman" w:hAnsi="Times New Roman"/>
                <w:sz w:val="24"/>
                <w:szCs w:val="24"/>
              </w:rPr>
              <w:t xml:space="preserve">” kā finansējuma saņēmēju, jo </w:t>
            </w:r>
            <w:r>
              <w:rPr>
                <w:rFonts w:ascii="Times New Roman" w:hAnsi="Times New Roman"/>
                <w:sz w:val="24"/>
                <w:szCs w:val="24"/>
              </w:rPr>
              <w:t xml:space="preserve">tiks paplašināts to daudzdzīvokļu dzīvojamo māju loks, kas var pretendēt uz atbalstu Pasākuma ietvaros, kā arī Pasākuma īstenošanā tiks iesaistīti papildu privātā sektora finansētāji un ESKO kompānijas. Ar plašāku potenciālo atbalsta saņēmēju un finansētāju loku tiek radīta pozitīva ietekme uz Pasākuma ietvaros noteikto rādītāju sasniegšanu. </w:t>
            </w:r>
          </w:p>
        </w:tc>
      </w:tr>
      <w:tr w:rsidR="00382B44" w:rsidRPr="00D859A3" w14:paraId="0E0D1D8A" w14:textId="77777777" w:rsidTr="00C46C6D">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D6BC288" w14:textId="77777777" w:rsidR="00382B44" w:rsidRPr="00D859A3" w:rsidRDefault="00382B44" w:rsidP="00C46C6D">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lastRenderedPageBreak/>
              <w:t>3. Projekta izstrādē iesaistītās institūcijas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12CB47" w14:textId="77777777" w:rsidR="00382B44" w:rsidRPr="00D859A3" w:rsidRDefault="00382B44" w:rsidP="00C46C6D">
            <w:pPr>
              <w:spacing w:after="0" w:line="240" w:lineRule="auto"/>
              <w:ind w:firstLine="567"/>
              <w:jc w:val="both"/>
              <w:rPr>
                <w:rFonts w:ascii="Times New Roman" w:hAnsi="Times New Roman"/>
                <w:color w:val="000000"/>
                <w:sz w:val="24"/>
                <w:szCs w:val="24"/>
              </w:rPr>
            </w:pPr>
            <w:r w:rsidRPr="00D859A3">
              <w:rPr>
                <w:rFonts w:ascii="Times New Roman" w:hAnsi="Times New Roman"/>
                <w:color w:val="000000"/>
                <w:sz w:val="24"/>
                <w:szCs w:val="24"/>
              </w:rPr>
              <w:t>Nav</w:t>
            </w:r>
          </w:p>
        </w:tc>
      </w:tr>
      <w:tr w:rsidR="00382B44" w:rsidRPr="00D859A3" w14:paraId="2C9DF69E" w14:textId="77777777" w:rsidTr="00C46C6D">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2832FA32" w14:textId="77777777" w:rsidR="00382B44" w:rsidRPr="00D859A3" w:rsidRDefault="00382B44" w:rsidP="00C46C6D">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4. Cita informācija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B51972" w14:textId="77777777" w:rsidR="00382B44" w:rsidRPr="00D859A3" w:rsidRDefault="00382B44" w:rsidP="00C46C6D">
            <w:pPr>
              <w:spacing w:after="0" w:line="240" w:lineRule="auto"/>
              <w:ind w:firstLine="567"/>
              <w:jc w:val="both"/>
              <w:rPr>
                <w:rFonts w:ascii="Times New Roman" w:hAnsi="Times New Roman"/>
                <w:sz w:val="24"/>
                <w:szCs w:val="24"/>
              </w:rPr>
            </w:pPr>
            <w:r w:rsidRPr="00D859A3">
              <w:rPr>
                <w:rFonts w:ascii="Times New Roman" w:hAnsi="Times New Roman"/>
                <w:sz w:val="24"/>
                <w:szCs w:val="24"/>
              </w:rPr>
              <w:t>Nav</w:t>
            </w:r>
          </w:p>
        </w:tc>
      </w:tr>
    </w:tbl>
    <w:p w14:paraId="430ADAD3" w14:textId="77777777" w:rsidR="00382B44" w:rsidRPr="00D859A3" w:rsidRDefault="00382B44" w:rsidP="00382B44">
      <w:pPr>
        <w:spacing w:after="0" w:line="240" w:lineRule="auto"/>
        <w:jc w:val="center"/>
        <w:rPr>
          <w:rFonts w:ascii="Times New Roman" w:eastAsia="Arial Unicode MS" w:hAnsi="Times New Roman"/>
          <w:b/>
          <w:sz w:val="24"/>
          <w:szCs w:val="24"/>
        </w:rPr>
      </w:pPr>
    </w:p>
    <w:tbl>
      <w:tblPr>
        <w:tblpPr w:leftFromText="180" w:rightFromText="180" w:bottomFromText="200" w:vertAnchor="text" w:horzAnchor="page" w:tblpX="1381" w:tblpY="8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3231"/>
        <w:gridCol w:w="6408"/>
      </w:tblGrid>
      <w:tr w:rsidR="00382B44" w:rsidRPr="00D859A3" w14:paraId="5DE813F7" w14:textId="77777777" w:rsidTr="00C46C6D">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127998D0" w14:textId="77777777" w:rsidR="00382B44" w:rsidRPr="00D859A3" w:rsidRDefault="00382B44" w:rsidP="00C46C6D">
            <w:pPr>
              <w:spacing w:after="0" w:line="240" w:lineRule="auto"/>
              <w:jc w:val="center"/>
              <w:rPr>
                <w:rFonts w:ascii="Times New Roman" w:eastAsia="Times New Roman" w:hAnsi="Times New Roman"/>
                <w:b/>
                <w:bCs/>
                <w:sz w:val="24"/>
                <w:szCs w:val="24"/>
                <w:lang w:eastAsia="lv-LV"/>
              </w:rPr>
            </w:pPr>
            <w:r w:rsidRPr="00D859A3">
              <w:rPr>
                <w:rFonts w:ascii="Times New Roman" w:eastAsia="Times New Roman" w:hAnsi="Times New Roman"/>
                <w:b/>
                <w:bCs/>
                <w:sz w:val="24"/>
                <w:szCs w:val="24"/>
                <w:lang w:eastAsia="lv-LV"/>
              </w:rPr>
              <w:t>II. Tiesību akta projekta ietekme uz sabiedrību, tautsaimniecības attīstību un administratīvo slogu</w:t>
            </w:r>
          </w:p>
        </w:tc>
      </w:tr>
      <w:tr w:rsidR="00382B44" w:rsidRPr="00D859A3" w14:paraId="6BBAA67B" w14:textId="77777777" w:rsidTr="00C46C6D">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52D19C" w14:textId="77777777" w:rsidR="00382B44" w:rsidRPr="00D859A3" w:rsidRDefault="00382B44" w:rsidP="00C46C6D">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Sabiedrības </w:t>
            </w:r>
            <w:proofErr w:type="spellStart"/>
            <w:r w:rsidRPr="00D859A3">
              <w:rPr>
                <w:rFonts w:ascii="Times New Roman" w:eastAsia="Times New Roman" w:hAnsi="Times New Roman"/>
                <w:sz w:val="24"/>
                <w:szCs w:val="24"/>
                <w:lang w:eastAsia="lv-LV"/>
              </w:rPr>
              <w:t>mērķgrupas</w:t>
            </w:r>
            <w:proofErr w:type="spellEnd"/>
            <w:r w:rsidRPr="00D859A3">
              <w:rPr>
                <w:rFonts w:ascii="Times New Roman" w:eastAsia="Times New Roman" w:hAnsi="Times New Roman"/>
                <w:sz w:val="24"/>
                <w:szCs w:val="24"/>
                <w:lang w:eastAsia="lv-LV"/>
              </w:rPr>
              <w:t>,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3401036" w14:textId="77777777" w:rsidR="00382B44" w:rsidRPr="00D859A3" w:rsidRDefault="00382B44" w:rsidP="00C46C6D">
            <w:pPr>
              <w:spacing w:before="75" w:after="75"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Sabiedrība “</w:t>
            </w:r>
            <w:proofErr w:type="spellStart"/>
            <w:r w:rsidRPr="00D859A3">
              <w:rPr>
                <w:rFonts w:ascii="Times New Roman" w:eastAsia="Times New Roman" w:hAnsi="Times New Roman"/>
                <w:iCs/>
                <w:sz w:val="24"/>
                <w:szCs w:val="24"/>
                <w:lang w:eastAsia="lv-LV"/>
              </w:rPr>
              <w:t>Altum</w:t>
            </w:r>
            <w:proofErr w:type="spellEnd"/>
            <w:r w:rsidRPr="00D859A3">
              <w:rPr>
                <w:rFonts w:ascii="Times New Roman" w:eastAsia="Times New Roman" w:hAnsi="Times New Roman"/>
                <w:iCs/>
                <w:sz w:val="24"/>
                <w:szCs w:val="24"/>
                <w:lang w:eastAsia="lv-LV"/>
              </w:rPr>
              <w:t>”, daudzdzīvokļu dzīvojamo māju dzīvokļu īpašnieki, īpaši pašvaldības, dzīvokļu īpašnieku pilnvarotās personas</w:t>
            </w:r>
            <w:r>
              <w:rPr>
                <w:rFonts w:ascii="Times New Roman" w:eastAsia="Times New Roman" w:hAnsi="Times New Roman"/>
                <w:iCs/>
                <w:sz w:val="24"/>
                <w:szCs w:val="24"/>
                <w:lang w:eastAsia="lv-LV"/>
              </w:rPr>
              <w:t>, ESKO kompānijas, pārvaldnieki.</w:t>
            </w:r>
          </w:p>
        </w:tc>
      </w:tr>
      <w:tr w:rsidR="00382B44" w:rsidRPr="00D859A3" w14:paraId="16E9EE4D" w14:textId="77777777" w:rsidTr="00C46C6D">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91A5BB" w14:textId="77777777" w:rsidR="00382B44" w:rsidRPr="00D859A3" w:rsidRDefault="00382B44" w:rsidP="00C46C6D">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588FEA3F" w14:textId="77777777" w:rsidR="00382B44" w:rsidRPr="00D859A3" w:rsidRDefault="00382B44" w:rsidP="00C46C6D">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projekts neparedz ietekmi uz administratīvo slogu.</w:t>
            </w:r>
          </w:p>
          <w:p w14:paraId="241A61B5" w14:textId="77777777" w:rsidR="00382B44" w:rsidRPr="00D859A3" w:rsidRDefault="00382B44" w:rsidP="00C46C6D">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projekta īstenošanu nodrošinās sabiedrība “</w:t>
            </w:r>
            <w:proofErr w:type="spellStart"/>
            <w:r w:rsidRPr="00D859A3">
              <w:rPr>
                <w:rFonts w:ascii="Times New Roman" w:eastAsia="Times New Roman" w:hAnsi="Times New Roman"/>
                <w:iCs/>
                <w:sz w:val="24"/>
                <w:szCs w:val="24"/>
                <w:lang w:eastAsia="lv-LV"/>
              </w:rPr>
              <w:t>Altum</w:t>
            </w:r>
            <w:proofErr w:type="spellEnd"/>
            <w:r w:rsidRPr="00D859A3">
              <w:rPr>
                <w:rFonts w:ascii="Times New Roman" w:eastAsia="Times New Roman" w:hAnsi="Times New Roman"/>
                <w:iCs/>
                <w:sz w:val="24"/>
                <w:szCs w:val="24"/>
                <w:lang w:eastAsia="lv-LV"/>
              </w:rPr>
              <w:t>”.</w:t>
            </w:r>
          </w:p>
          <w:p w14:paraId="23232908" w14:textId="77777777" w:rsidR="00382B44" w:rsidRPr="00D859A3" w:rsidRDefault="00382B44" w:rsidP="00C46C6D">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Noteikumu projekts paredz pozitīvu ietek</w:t>
            </w:r>
            <w:r>
              <w:rPr>
                <w:rFonts w:ascii="Times New Roman" w:eastAsia="Times New Roman" w:hAnsi="Times New Roman"/>
                <w:iCs/>
                <w:sz w:val="24"/>
                <w:szCs w:val="24"/>
                <w:lang w:eastAsia="lv-LV"/>
              </w:rPr>
              <w:t xml:space="preserve">mi uz tautsaimniecību, jo  </w:t>
            </w:r>
            <w:r w:rsidRPr="00D859A3">
              <w:rPr>
                <w:rFonts w:ascii="Times New Roman" w:eastAsia="Times New Roman" w:hAnsi="Times New Roman"/>
                <w:iCs/>
                <w:sz w:val="24"/>
                <w:szCs w:val="24"/>
                <w:lang w:eastAsia="lv-LV"/>
              </w:rPr>
              <w:t>nodrošina, ka Pasākuma īst</w:t>
            </w:r>
            <w:r>
              <w:rPr>
                <w:rFonts w:ascii="Times New Roman" w:eastAsia="Times New Roman" w:hAnsi="Times New Roman"/>
                <w:iCs/>
                <w:sz w:val="24"/>
                <w:szCs w:val="24"/>
                <w:lang w:eastAsia="lv-LV"/>
              </w:rPr>
              <w:t>enošanā tiek iesaistīti papildu</w:t>
            </w:r>
            <w:r w:rsidRPr="00D859A3">
              <w:rPr>
                <w:rFonts w:ascii="Times New Roman" w:eastAsia="Times New Roman" w:hAnsi="Times New Roman"/>
                <w:iCs/>
                <w:sz w:val="24"/>
                <w:szCs w:val="24"/>
                <w:lang w:eastAsia="lv-LV"/>
              </w:rPr>
              <w:t xml:space="preserve"> energoefektivitātes paau</w:t>
            </w:r>
            <w:r>
              <w:rPr>
                <w:rFonts w:ascii="Times New Roman" w:eastAsia="Times New Roman" w:hAnsi="Times New Roman"/>
                <w:iCs/>
                <w:sz w:val="24"/>
                <w:szCs w:val="24"/>
                <w:lang w:eastAsia="lv-LV"/>
              </w:rPr>
              <w:t>gstināšanas pasākumu finansētāji</w:t>
            </w:r>
            <w:r w:rsidRPr="00D859A3">
              <w:rPr>
                <w:rFonts w:ascii="Times New Roman" w:eastAsia="Times New Roman" w:hAnsi="Times New Roman"/>
                <w:iCs/>
                <w:sz w:val="24"/>
                <w:szCs w:val="24"/>
                <w:lang w:eastAsia="lv-LV"/>
              </w:rPr>
              <w:t xml:space="preserve"> – </w:t>
            </w:r>
            <w:r>
              <w:rPr>
                <w:rFonts w:ascii="Times New Roman" w:eastAsia="Times New Roman" w:hAnsi="Times New Roman"/>
                <w:iCs/>
                <w:sz w:val="24"/>
                <w:szCs w:val="24"/>
                <w:lang w:eastAsia="lv-LV"/>
              </w:rPr>
              <w:t>ESKO kompānijas un pašvaldību kapitālsabiedrības.</w:t>
            </w:r>
          </w:p>
        </w:tc>
      </w:tr>
      <w:tr w:rsidR="00382B44" w:rsidRPr="00D859A3" w14:paraId="2A52C301" w14:textId="77777777" w:rsidTr="00C46C6D">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2767C402" w14:textId="77777777" w:rsidR="00382B44" w:rsidRPr="00D859A3" w:rsidRDefault="00382B44" w:rsidP="00C46C6D">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D757DE" w14:textId="77777777" w:rsidR="00382B44" w:rsidRPr="00D859A3" w:rsidRDefault="00382B44" w:rsidP="00C46C6D">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color w:val="000000"/>
                <w:sz w:val="24"/>
                <w:szCs w:val="24"/>
                <w:lang w:eastAsia="lv-LV"/>
              </w:rPr>
              <w:t>Eiropas Savienības fondu administrēšanas izmaksas plānots segt no Eiropas Savienības struktūrfondu un Kohēzijas fonda 2014.-2020.gada plānošanas perioda finansējuma vai atmaksātā finansējuma atbilstoši</w:t>
            </w:r>
            <w:r>
              <w:t xml:space="preserve"> </w:t>
            </w:r>
            <w:r w:rsidRPr="00F86F96">
              <w:rPr>
                <w:rFonts w:ascii="Times New Roman" w:eastAsia="Times New Roman" w:hAnsi="Times New Roman"/>
                <w:color w:val="000000"/>
                <w:sz w:val="24"/>
                <w:szCs w:val="24"/>
                <w:lang w:eastAsia="lv-LV"/>
              </w:rPr>
              <w:t>Komisijas regula</w:t>
            </w:r>
            <w:r>
              <w:rPr>
                <w:rFonts w:ascii="Times New Roman" w:eastAsia="Times New Roman" w:hAnsi="Times New Roman"/>
                <w:color w:val="000000"/>
                <w:sz w:val="24"/>
                <w:szCs w:val="24"/>
                <w:lang w:eastAsia="lv-LV"/>
              </w:rPr>
              <w:t>s</w:t>
            </w:r>
            <w:r w:rsidRPr="00F86F96">
              <w:rPr>
                <w:rFonts w:ascii="Times New Roman" w:eastAsia="Times New Roman" w:hAnsi="Times New Roman"/>
                <w:color w:val="000000"/>
                <w:sz w:val="24"/>
                <w:szCs w:val="24"/>
                <w:lang w:eastAsia="lv-LV"/>
              </w:rPr>
              <w:t xml:space="preserve"> Nr.1303/2013</w:t>
            </w:r>
            <w:r w:rsidRPr="00D859A3">
              <w:rPr>
                <w:rFonts w:ascii="Times New Roman" w:eastAsia="Times New Roman" w:hAnsi="Times New Roman"/>
                <w:color w:val="000000"/>
                <w:sz w:val="24"/>
                <w:szCs w:val="24"/>
                <w:lang w:eastAsia="lv-LV"/>
              </w:rPr>
              <w:t xml:space="preserve"> 44.</w:t>
            </w:r>
            <w:r>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pantam, sabiedrībai “</w:t>
            </w:r>
            <w:proofErr w:type="spellStart"/>
            <w:r w:rsidRPr="00D859A3">
              <w:rPr>
                <w:rFonts w:ascii="Times New Roman" w:eastAsia="Times New Roman" w:hAnsi="Times New Roman"/>
                <w:color w:val="000000"/>
                <w:sz w:val="24"/>
                <w:szCs w:val="24"/>
                <w:lang w:eastAsia="lv-LV"/>
              </w:rPr>
              <w:t>Altum</w:t>
            </w:r>
            <w:proofErr w:type="spellEnd"/>
            <w:r w:rsidRPr="00D859A3">
              <w:rPr>
                <w:rFonts w:ascii="Times New Roman" w:eastAsia="Times New Roman" w:hAnsi="Times New Roman"/>
                <w:color w:val="000000"/>
                <w:sz w:val="24"/>
                <w:szCs w:val="24"/>
                <w:lang w:eastAsia="lv-LV"/>
              </w:rPr>
              <w:t xml:space="preserve">”, sedzot vadības izmaksas saskaņā ar </w:t>
            </w:r>
            <w:r w:rsidRPr="00D859A3">
              <w:rPr>
                <w:sz w:val="24"/>
                <w:szCs w:val="24"/>
              </w:rPr>
              <w:t xml:space="preserve"> </w:t>
            </w:r>
            <w:r w:rsidRPr="00F86F96">
              <w:rPr>
                <w:rFonts w:ascii="Times New Roman" w:eastAsia="Times New Roman" w:hAnsi="Times New Roman"/>
                <w:color w:val="000000"/>
                <w:sz w:val="24"/>
                <w:szCs w:val="24"/>
                <w:lang w:eastAsia="lv-LV"/>
              </w:rPr>
              <w:t>Komisijas 2014. gada 3. m</w:t>
            </w:r>
            <w:r>
              <w:rPr>
                <w:rFonts w:ascii="Times New Roman" w:eastAsia="Times New Roman" w:hAnsi="Times New Roman"/>
                <w:color w:val="000000"/>
                <w:sz w:val="24"/>
                <w:szCs w:val="24"/>
                <w:lang w:eastAsia="lv-LV"/>
              </w:rPr>
              <w:t>arta Deleģētās regulas (ES) Nr. </w:t>
            </w:r>
            <w:r w:rsidRPr="00F86F96">
              <w:rPr>
                <w:rFonts w:ascii="Times New Roman" w:eastAsia="Times New Roman" w:hAnsi="Times New Roman"/>
                <w:color w:val="000000"/>
                <w:sz w:val="24"/>
                <w:szCs w:val="24"/>
                <w:lang w:eastAsia="lv-LV"/>
              </w:rPr>
              <w:t xml:space="preserve">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Pr="00D859A3">
              <w:rPr>
                <w:rFonts w:ascii="Times New Roman" w:eastAsia="Times New Roman" w:hAnsi="Times New Roman"/>
                <w:color w:val="000000"/>
                <w:sz w:val="24"/>
                <w:szCs w:val="24"/>
                <w:lang w:eastAsia="lv-LV"/>
              </w:rPr>
              <w:t>13.</w:t>
            </w:r>
            <w:r>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pantā noteikto.</w:t>
            </w:r>
          </w:p>
        </w:tc>
      </w:tr>
      <w:tr w:rsidR="00382B44" w:rsidRPr="00D859A3" w14:paraId="2B974CCB" w14:textId="77777777" w:rsidTr="00C46C6D">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0FD1A8" w14:textId="77777777" w:rsidR="00382B44" w:rsidRPr="00D859A3" w:rsidRDefault="00382B44" w:rsidP="00C46C6D">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DEB0122" w14:textId="77777777" w:rsidR="00382B44" w:rsidRPr="00D859A3" w:rsidRDefault="00382B44" w:rsidP="00C46C6D">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color w:val="000000"/>
                <w:sz w:val="24"/>
                <w:szCs w:val="24"/>
                <w:lang w:eastAsia="lv-LV"/>
              </w:rPr>
              <w:t>Nav</w:t>
            </w:r>
          </w:p>
        </w:tc>
      </w:tr>
    </w:tbl>
    <w:tbl>
      <w:tblPr>
        <w:tblW w:w="5814" w:type="pct"/>
        <w:tblCellSpacing w:w="15" w:type="dxa"/>
        <w:tblInd w:w="-4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2"/>
        <w:gridCol w:w="1508"/>
        <w:gridCol w:w="6170"/>
      </w:tblGrid>
      <w:tr w:rsidR="00382B44" w:rsidRPr="00EE5C24" w14:paraId="06DAAAD9" w14:textId="77777777" w:rsidTr="00C46C6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669E09C"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b/>
                <w:bCs/>
                <w:sz w:val="24"/>
                <w:szCs w:val="24"/>
                <w:lang w:eastAsia="lv-LV"/>
              </w:rPr>
            </w:pPr>
            <w:r w:rsidRPr="00EE5C24">
              <w:rPr>
                <w:rFonts w:ascii="Times New Roman" w:eastAsia="Times New Roman" w:hAnsi="Times New Roman"/>
                <w:b/>
                <w:bCs/>
                <w:sz w:val="24"/>
                <w:szCs w:val="24"/>
                <w:lang w:eastAsia="lv-LV"/>
              </w:rPr>
              <w:t>V. Tiesību akta projekta atbilstība Latvijas Republikas starptautiskajām saistībām</w:t>
            </w:r>
          </w:p>
        </w:tc>
      </w:tr>
      <w:tr w:rsidR="00382B44" w:rsidRPr="00EE5C24" w14:paraId="2BCE8F17" w14:textId="77777777" w:rsidTr="00C46C6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0DD90912"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lastRenderedPageBreak/>
              <w:t>1.</w:t>
            </w:r>
          </w:p>
        </w:tc>
        <w:tc>
          <w:tcPr>
            <w:tcW w:w="771" w:type="pct"/>
            <w:tcBorders>
              <w:top w:val="outset" w:sz="6" w:space="0" w:color="auto"/>
              <w:left w:val="outset" w:sz="6" w:space="0" w:color="auto"/>
              <w:bottom w:val="outset" w:sz="6" w:space="0" w:color="auto"/>
              <w:right w:val="outset" w:sz="6" w:space="0" w:color="auto"/>
            </w:tcBorders>
            <w:hideMark/>
          </w:tcPr>
          <w:p w14:paraId="5A3DC0E5"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Saistības pret Eiropas Savienību</w:t>
            </w:r>
          </w:p>
        </w:tc>
        <w:tc>
          <w:tcPr>
            <w:tcW w:w="3166" w:type="pct"/>
            <w:tcBorders>
              <w:top w:val="outset" w:sz="6" w:space="0" w:color="auto"/>
              <w:left w:val="outset" w:sz="6" w:space="0" w:color="auto"/>
              <w:bottom w:val="outset" w:sz="6" w:space="0" w:color="auto"/>
              <w:right w:val="outset" w:sz="6" w:space="0" w:color="auto"/>
            </w:tcBorders>
            <w:hideMark/>
          </w:tcPr>
          <w:p w14:paraId="0E1DE45D" w14:textId="77777777" w:rsidR="00382B44" w:rsidRPr="00EE5C24" w:rsidRDefault="00382B44" w:rsidP="00C46C6D">
            <w:pPr>
              <w:spacing w:after="0" w:line="240" w:lineRule="auto"/>
              <w:jc w:val="both"/>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Ar noteikumu projektu tiks ieviestas prasības no Komisijas regula</w:t>
            </w:r>
            <w:r>
              <w:rPr>
                <w:rFonts w:ascii="Times New Roman" w:eastAsia="Times New Roman" w:hAnsi="Times New Roman"/>
                <w:sz w:val="24"/>
                <w:szCs w:val="24"/>
                <w:lang w:eastAsia="lv-LV"/>
              </w:rPr>
              <w:t>s</w:t>
            </w:r>
            <w:r w:rsidRPr="00EE5C2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Nr.1303/2013</w:t>
            </w:r>
            <w:r w:rsidRPr="00EE5C24">
              <w:rPr>
                <w:rFonts w:ascii="Times New Roman" w:eastAsia="Times New Roman" w:hAnsi="Times New Roman"/>
                <w:sz w:val="24"/>
                <w:szCs w:val="24"/>
                <w:lang w:eastAsia="lv-LV"/>
              </w:rPr>
              <w:t>.</w:t>
            </w:r>
          </w:p>
        </w:tc>
      </w:tr>
      <w:tr w:rsidR="00382B44" w:rsidRPr="00EE5C24" w14:paraId="038B28E4" w14:textId="77777777" w:rsidTr="00C46C6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2E542DE3"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2.</w:t>
            </w:r>
          </w:p>
        </w:tc>
        <w:tc>
          <w:tcPr>
            <w:tcW w:w="771" w:type="pct"/>
            <w:tcBorders>
              <w:top w:val="outset" w:sz="6" w:space="0" w:color="auto"/>
              <w:left w:val="outset" w:sz="6" w:space="0" w:color="auto"/>
              <w:bottom w:val="outset" w:sz="6" w:space="0" w:color="auto"/>
              <w:right w:val="outset" w:sz="6" w:space="0" w:color="auto"/>
            </w:tcBorders>
            <w:hideMark/>
          </w:tcPr>
          <w:p w14:paraId="6E7130B5"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Citas starptautiskās saistības</w:t>
            </w:r>
          </w:p>
        </w:tc>
        <w:tc>
          <w:tcPr>
            <w:tcW w:w="3166" w:type="pct"/>
            <w:tcBorders>
              <w:top w:val="outset" w:sz="6" w:space="0" w:color="auto"/>
              <w:left w:val="outset" w:sz="6" w:space="0" w:color="auto"/>
              <w:bottom w:val="outset" w:sz="6" w:space="0" w:color="auto"/>
              <w:right w:val="outset" w:sz="6" w:space="0" w:color="auto"/>
            </w:tcBorders>
            <w:hideMark/>
          </w:tcPr>
          <w:p w14:paraId="07668864"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Projekts šo jomu neskar</w:t>
            </w:r>
          </w:p>
        </w:tc>
      </w:tr>
      <w:tr w:rsidR="00382B44" w:rsidRPr="00EE5C24" w14:paraId="13767003" w14:textId="77777777" w:rsidTr="00C46C6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0CAC6E06"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3.</w:t>
            </w:r>
          </w:p>
        </w:tc>
        <w:tc>
          <w:tcPr>
            <w:tcW w:w="771" w:type="pct"/>
            <w:tcBorders>
              <w:top w:val="outset" w:sz="6" w:space="0" w:color="auto"/>
              <w:left w:val="outset" w:sz="6" w:space="0" w:color="auto"/>
              <w:bottom w:val="outset" w:sz="6" w:space="0" w:color="auto"/>
              <w:right w:val="outset" w:sz="6" w:space="0" w:color="auto"/>
            </w:tcBorders>
            <w:hideMark/>
          </w:tcPr>
          <w:p w14:paraId="4E05A2B0"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93F10DB"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Nav</w:t>
            </w:r>
          </w:p>
        </w:tc>
      </w:tr>
    </w:tbl>
    <w:p w14:paraId="41B3DD62" w14:textId="77777777" w:rsidR="00382B44" w:rsidRPr="00EE5C24" w:rsidRDefault="00382B44" w:rsidP="00382B44">
      <w:pPr>
        <w:spacing w:before="100" w:beforeAutospacing="1" w:after="0" w:line="240" w:lineRule="auto"/>
        <w:rPr>
          <w:rFonts w:ascii="Times New Roman" w:eastAsia="Times New Roman" w:hAnsi="Times New Roman"/>
          <w:sz w:val="24"/>
          <w:szCs w:val="24"/>
          <w:lang w:eastAsia="lv-LV"/>
        </w:rPr>
      </w:pPr>
    </w:p>
    <w:tbl>
      <w:tblPr>
        <w:tblW w:w="572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1"/>
        <w:gridCol w:w="1889"/>
        <w:gridCol w:w="1457"/>
        <w:gridCol w:w="4093"/>
      </w:tblGrid>
      <w:tr w:rsidR="00382B44" w:rsidRPr="00EE5C24" w14:paraId="4FA7B5C5" w14:textId="77777777" w:rsidTr="00C46C6D">
        <w:trPr>
          <w:tblCellSpacing w:w="15" w:type="dxa"/>
          <w:jc w:val="center"/>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2C40DE95"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b/>
                <w:bCs/>
                <w:sz w:val="24"/>
                <w:szCs w:val="24"/>
                <w:lang w:eastAsia="lv-LV"/>
              </w:rPr>
            </w:pPr>
            <w:r w:rsidRPr="00EE5C24">
              <w:rPr>
                <w:rFonts w:ascii="Times New Roman" w:eastAsia="Times New Roman" w:hAnsi="Times New Roman"/>
                <w:b/>
                <w:bCs/>
                <w:sz w:val="24"/>
                <w:szCs w:val="24"/>
                <w:lang w:eastAsia="lv-LV"/>
              </w:rPr>
              <w:t>1.tabula</w:t>
            </w:r>
            <w:r w:rsidRPr="00EE5C24">
              <w:rPr>
                <w:rFonts w:ascii="Times New Roman" w:eastAsia="Times New Roman" w:hAnsi="Times New Roman"/>
                <w:b/>
                <w:bCs/>
                <w:sz w:val="24"/>
                <w:szCs w:val="24"/>
                <w:lang w:eastAsia="lv-LV"/>
              </w:rPr>
              <w:br/>
              <w:t>Tiesību akta projekta atbilstība ES tiesību aktiem</w:t>
            </w:r>
          </w:p>
        </w:tc>
      </w:tr>
      <w:tr w:rsidR="00382B44" w:rsidRPr="00EE5C24" w14:paraId="2653DDE1"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hideMark/>
          </w:tcPr>
          <w:p w14:paraId="6FF536E2"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Attiecīgā ES tiesību akta datums, numurs un nosaukums</w:t>
            </w:r>
          </w:p>
        </w:tc>
        <w:tc>
          <w:tcPr>
            <w:tcW w:w="3886" w:type="pct"/>
            <w:gridSpan w:val="3"/>
            <w:tcBorders>
              <w:top w:val="outset" w:sz="6" w:space="0" w:color="auto"/>
              <w:left w:val="outset" w:sz="6" w:space="0" w:color="auto"/>
              <w:bottom w:val="outset" w:sz="6" w:space="0" w:color="auto"/>
              <w:right w:val="outset" w:sz="6" w:space="0" w:color="auto"/>
            </w:tcBorders>
            <w:hideMark/>
          </w:tcPr>
          <w:p w14:paraId="2D4760A8" w14:textId="77777777" w:rsidR="00382B44" w:rsidRPr="00EE5C24" w:rsidRDefault="00382B44" w:rsidP="00C46C6D">
            <w:pPr>
              <w:spacing w:after="0" w:line="240" w:lineRule="auto"/>
              <w:jc w:val="both"/>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Ar normatīvo aktu tiek ieviestas Komisijas regulas Nr.1303/2013 prasības.</w:t>
            </w:r>
          </w:p>
        </w:tc>
      </w:tr>
      <w:tr w:rsidR="00382B44" w:rsidRPr="00EE5C24" w14:paraId="7F7D8291"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vAlign w:val="center"/>
            <w:hideMark/>
          </w:tcPr>
          <w:p w14:paraId="7A73DA33"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A</w:t>
            </w:r>
          </w:p>
        </w:tc>
        <w:tc>
          <w:tcPr>
            <w:tcW w:w="989" w:type="pct"/>
            <w:tcBorders>
              <w:top w:val="outset" w:sz="6" w:space="0" w:color="auto"/>
              <w:left w:val="outset" w:sz="6" w:space="0" w:color="auto"/>
              <w:bottom w:val="outset" w:sz="6" w:space="0" w:color="auto"/>
              <w:right w:val="outset" w:sz="6" w:space="0" w:color="auto"/>
            </w:tcBorders>
            <w:vAlign w:val="center"/>
            <w:hideMark/>
          </w:tcPr>
          <w:p w14:paraId="4986D215"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B</w:t>
            </w:r>
          </w:p>
        </w:tc>
        <w:tc>
          <w:tcPr>
            <w:tcW w:w="759" w:type="pct"/>
            <w:tcBorders>
              <w:top w:val="outset" w:sz="6" w:space="0" w:color="auto"/>
              <w:left w:val="outset" w:sz="6" w:space="0" w:color="auto"/>
              <w:bottom w:val="outset" w:sz="6" w:space="0" w:color="auto"/>
              <w:right w:val="outset" w:sz="6" w:space="0" w:color="auto"/>
            </w:tcBorders>
            <w:vAlign w:val="center"/>
            <w:hideMark/>
          </w:tcPr>
          <w:p w14:paraId="54365DB3"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w:t>
            </w:r>
          </w:p>
        </w:tc>
        <w:tc>
          <w:tcPr>
            <w:tcW w:w="2106" w:type="pct"/>
            <w:tcBorders>
              <w:top w:val="outset" w:sz="6" w:space="0" w:color="auto"/>
              <w:left w:val="outset" w:sz="6" w:space="0" w:color="auto"/>
              <w:bottom w:val="outset" w:sz="6" w:space="0" w:color="auto"/>
              <w:right w:val="outset" w:sz="6" w:space="0" w:color="auto"/>
            </w:tcBorders>
            <w:vAlign w:val="center"/>
            <w:hideMark/>
          </w:tcPr>
          <w:p w14:paraId="44B56F59"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D</w:t>
            </w:r>
          </w:p>
        </w:tc>
      </w:tr>
      <w:tr w:rsidR="00382B44" w:rsidRPr="00EE5C24" w14:paraId="66E6F9B4"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vAlign w:val="center"/>
          </w:tcPr>
          <w:p w14:paraId="0D0701B2" w14:textId="77777777" w:rsidR="00382B44" w:rsidRPr="00EE5C24" w:rsidRDefault="00382B44" w:rsidP="00C46C6D">
            <w:pPr>
              <w:spacing w:before="100" w:beforeAutospacing="1" w:after="100" w:afterAutospacing="1"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 xml:space="preserve">Attiecīgā ES tiesību akta panta numurs (uzskaitot katru tiesību akta </w:t>
            </w:r>
          </w:p>
          <w:p w14:paraId="60D8B772" w14:textId="77777777" w:rsidR="00382B44" w:rsidRPr="00EE5C24" w:rsidRDefault="00382B44" w:rsidP="00C46C6D">
            <w:pPr>
              <w:spacing w:before="100" w:beforeAutospacing="1" w:after="100" w:afterAutospacing="1"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vienību – pantu, daļu, punktu, apakšpunktu)</w:t>
            </w:r>
          </w:p>
        </w:tc>
        <w:tc>
          <w:tcPr>
            <w:tcW w:w="989" w:type="pct"/>
            <w:tcBorders>
              <w:top w:val="outset" w:sz="6" w:space="0" w:color="auto"/>
              <w:left w:val="outset" w:sz="6" w:space="0" w:color="auto"/>
              <w:bottom w:val="outset" w:sz="6" w:space="0" w:color="auto"/>
              <w:right w:val="outset" w:sz="6" w:space="0" w:color="auto"/>
            </w:tcBorders>
            <w:vAlign w:val="center"/>
          </w:tcPr>
          <w:p w14:paraId="75026993" w14:textId="77777777" w:rsidR="00382B44" w:rsidRPr="00EE5C24" w:rsidRDefault="00382B44" w:rsidP="00C46C6D">
            <w:pPr>
              <w:spacing w:before="100" w:beforeAutospacing="1" w:after="100" w:afterAutospacing="1"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59" w:type="pct"/>
            <w:tcBorders>
              <w:top w:val="outset" w:sz="6" w:space="0" w:color="auto"/>
              <w:left w:val="outset" w:sz="6" w:space="0" w:color="auto"/>
              <w:bottom w:val="outset" w:sz="6" w:space="0" w:color="auto"/>
              <w:right w:val="outset" w:sz="6" w:space="0" w:color="auto"/>
            </w:tcBorders>
            <w:vAlign w:val="center"/>
          </w:tcPr>
          <w:p w14:paraId="78993272"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Informācija par to, vai šīs tabulas A ailē minētās ES tiesību akta vienības tiek pārņemtas vai ieviestas pilnībā vai daļēji.</w:t>
            </w:r>
          </w:p>
          <w:p w14:paraId="28313DF8"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14:paraId="042324FF"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lastRenderedPageBreak/>
              <w:t>Norāda institūciju, kas ir atbildīga par šo saistību izpildi pilnībā</w:t>
            </w:r>
          </w:p>
        </w:tc>
        <w:tc>
          <w:tcPr>
            <w:tcW w:w="2106" w:type="pct"/>
            <w:tcBorders>
              <w:top w:val="outset" w:sz="6" w:space="0" w:color="auto"/>
              <w:left w:val="outset" w:sz="6" w:space="0" w:color="auto"/>
              <w:bottom w:val="outset" w:sz="6" w:space="0" w:color="auto"/>
              <w:right w:val="outset" w:sz="6" w:space="0" w:color="auto"/>
            </w:tcBorders>
            <w:vAlign w:val="center"/>
          </w:tcPr>
          <w:p w14:paraId="534EEC34"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lastRenderedPageBreak/>
              <w:t>Informācija par to, vai šīs tabulas B ailē minētās projekta vienības paredz stingrākas prasības nekā šīs tabulas A ailē minētās ES tiesību akta vienības.</w:t>
            </w:r>
          </w:p>
          <w:p w14:paraId="15C86F1E"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Ja projekts satur stingrākas prasības nekā attiecīgais ES tiesību akts, – norāda pamatojumu un samērīgumu.</w:t>
            </w:r>
          </w:p>
          <w:p w14:paraId="455B9EC6"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82B44" w:rsidRPr="00EE5C24" w14:paraId="158142BA"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tcPr>
          <w:p w14:paraId="46065E2F" w14:textId="77777777" w:rsidR="00382B44" w:rsidRPr="00EE5C24" w:rsidRDefault="00382B44" w:rsidP="00C46C6D">
            <w:pPr>
              <w:spacing w:after="0" w:line="240" w:lineRule="auto"/>
              <w:rPr>
                <w:rFonts w:ascii="Times New Roman" w:hAnsi="Times New Roman"/>
                <w:i/>
                <w:sz w:val="24"/>
                <w:szCs w:val="24"/>
                <w:lang w:val="en-AU"/>
              </w:rPr>
            </w:pPr>
            <w:proofErr w:type="spellStart"/>
            <w:r w:rsidRPr="00EE5C24">
              <w:rPr>
                <w:rFonts w:ascii="Times New Roman" w:hAnsi="Times New Roman"/>
                <w:i/>
                <w:sz w:val="24"/>
                <w:szCs w:val="24"/>
                <w:lang w:val="en-AU"/>
              </w:rPr>
              <w:t>Komisijas</w:t>
            </w:r>
            <w:proofErr w:type="spellEnd"/>
            <w:r w:rsidRPr="00EE5C24">
              <w:rPr>
                <w:rFonts w:ascii="Times New Roman" w:hAnsi="Times New Roman"/>
                <w:i/>
                <w:sz w:val="24"/>
                <w:szCs w:val="24"/>
                <w:lang w:val="en-AU"/>
              </w:rPr>
              <w:t xml:space="preserve"> </w:t>
            </w:r>
            <w:proofErr w:type="spellStart"/>
            <w:r w:rsidRPr="00EE5C24">
              <w:rPr>
                <w:rFonts w:ascii="Times New Roman" w:hAnsi="Times New Roman"/>
                <w:i/>
                <w:sz w:val="24"/>
                <w:szCs w:val="24"/>
                <w:lang w:val="en-AU"/>
              </w:rPr>
              <w:t>Regulas</w:t>
            </w:r>
            <w:proofErr w:type="spellEnd"/>
            <w:r w:rsidRPr="00EE5C24">
              <w:rPr>
                <w:rFonts w:ascii="Times New Roman" w:hAnsi="Times New Roman"/>
                <w:i/>
                <w:sz w:val="24"/>
                <w:szCs w:val="24"/>
                <w:lang w:val="en-AU"/>
              </w:rPr>
              <w:t xml:space="preserve"> </w:t>
            </w:r>
            <w:proofErr w:type="spellStart"/>
            <w:r w:rsidRPr="00EE5C24">
              <w:rPr>
                <w:rFonts w:ascii="Times New Roman" w:hAnsi="Times New Roman"/>
                <w:i/>
                <w:sz w:val="24"/>
                <w:szCs w:val="24"/>
                <w:lang w:val="en-AU"/>
              </w:rPr>
              <w:t>Nr</w:t>
            </w:r>
            <w:proofErr w:type="spellEnd"/>
            <w:r w:rsidRPr="00EE5C24">
              <w:rPr>
                <w:rFonts w:ascii="Times New Roman" w:hAnsi="Times New Roman"/>
                <w:i/>
                <w:sz w:val="24"/>
                <w:szCs w:val="24"/>
                <w:lang w:val="en-AU"/>
              </w:rPr>
              <w:t>.</w:t>
            </w:r>
            <w:r w:rsidRPr="00EE5C24">
              <w:rPr>
                <w:rFonts w:ascii="Times New Roman" w:eastAsia="Times New Roman" w:hAnsi="Times New Roman"/>
                <w:i/>
                <w:sz w:val="24"/>
                <w:szCs w:val="24"/>
                <w:lang w:eastAsia="lv-LV"/>
              </w:rPr>
              <w:t xml:space="preserve">1303/2013 </w:t>
            </w:r>
            <w:r w:rsidRPr="00EE5C24">
              <w:rPr>
                <w:rFonts w:ascii="Times New Roman" w:hAnsi="Times New Roman"/>
                <w:i/>
                <w:sz w:val="24"/>
                <w:szCs w:val="24"/>
                <w:lang w:val="en-AU"/>
              </w:rPr>
              <w:t>44. pants</w:t>
            </w:r>
          </w:p>
        </w:tc>
        <w:tc>
          <w:tcPr>
            <w:tcW w:w="989" w:type="pct"/>
            <w:tcBorders>
              <w:top w:val="outset" w:sz="6" w:space="0" w:color="auto"/>
              <w:left w:val="outset" w:sz="6" w:space="0" w:color="auto"/>
              <w:bottom w:val="outset" w:sz="6" w:space="0" w:color="auto"/>
              <w:right w:val="outset" w:sz="6" w:space="0" w:color="auto"/>
            </w:tcBorders>
          </w:tcPr>
          <w:p w14:paraId="7D580B36" w14:textId="14A20273" w:rsidR="00382B44" w:rsidRPr="00EE5C24" w:rsidRDefault="00382B44" w:rsidP="00C46C6D">
            <w:pPr>
              <w:spacing w:after="0"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 xml:space="preserve">Noteikumu projekta </w:t>
            </w:r>
            <w:r w:rsidR="00DE551A">
              <w:rPr>
                <w:rFonts w:ascii="Times New Roman" w:eastAsia="Times New Roman" w:hAnsi="Times New Roman"/>
                <w:i/>
                <w:sz w:val="24"/>
                <w:szCs w:val="24"/>
                <w:lang w:eastAsia="lv-LV"/>
              </w:rPr>
              <w:t>30</w:t>
            </w:r>
            <w:r w:rsidRPr="00EE5C24">
              <w:rPr>
                <w:rFonts w:ascii="Times New Roman" w:eastAsia="Times New Roman" w:hAnsi="Times New Roman"/>
                <w:i/>
                <w:sz w:val="24"/>
                <w:szCs w:val="24"/>
                <w:lang w:eastAsia="lv-LV"/>
              </w:rPr>
              <w:t>.punkts</w:t>
            </w:r>
          </w:p>
        </w:tc>
        <w:tc>
          <w:tcPr>
            <w:tcW w:w="759" w:type="pct"/>
            <w:tcBorders>
              <w:top w:val="outset" w:sz="6" w:space="0" w:color="auto"/>
              <w:left w:val="outset" w:sz="6" w:space="0" w:color="auto"/>
              <w:bottom w:val="outset" w:sz="6" w:space="0" w:color="auto"/>
              <w:right w:val="outset" w:sz="6" w:space="0" w:color="auto"/>
            </w:tcBorders>
          </w:tcPr>
          <w:p w14:paraId="35B3042A"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Ieviests pilnībā</w:t>
            </w:r>
          </w:p>
        </w:tc>
        <w:tc>
          <w:tcPr>
            <w:tcW w:w="2106" w:type="pct"/>
            <w:tcBorders>
              <w:top w:val="outset" w:sz="6" w:space="0" w:color="auto"/>
              <w:left w:val="outset" w:sz="6" w:space="0" w:color="auto"/>
              <w:bottom w:val="outset" w:sz="6" w:space="0" w:color="auto"/>
              <w:right w:val="outset" w:sz="6" w:space="0" w:color="auto"/>
            </w:tcBorders>
          </w:tcPr>
          <w:p w14:paraId="2FB38850" w14:textId="77777777" w:rsidR="00382B44" w:rsidRPr="00EE5C24" w:rsidRDefault="00382B44" w:rsidP="00C46C6D">
            <w:pPr>
              <w:spacing w:before="100" w:beforeAutospacing="1" w:after="100" w:afterAutospacing="1" w:line="240" w:lineRule="auto"/>
              <w:jc w:val="center"/>
              <w:rPr>
                <w:rFonts w:ascii="Times New Roman" w:eastAsia="Times New Roman" w:hAnsi="Times New Roman"/>
                <w:i/>
                <w:sz w:val="24"/>
                <w:szCs w:val="24"/>
                <w:lang w:eastAsia="lv-LV"/>
              </w:rPr>
            </w:pPr>
            <w:r w:rsidRPr="00EE5C24">
              <w:rPr>
                <w:rFonts w:ascii="Times New Roman" w:eastAsia="Times New Roman" w:hAnsi="Times New Roman"/>
                <w:i/>
                <w:sz w:val="24"/>
                <w:szCs w:val="24"/>
                <w:lang w:eastAsia="lv-LV"/>
              </w:rPr>
              <w:t>Neparedz stingrākas prasības</w:t>
            </w:r>
          </w:p>
        </w:tc>
      </w:tr>
      <w:tr w:rsidR="00382B44" w:rsidRPr="00EE5C24" w14:paraId="7992821A"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hideMark/>
          </w:tcPr>
          <w:p w14:paraId="1AE98EFF"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Kā ir izmantota ES tiesību aktā paredzētā rīcības brīvība dalībvalstij pārņemt vai ieviest noteiktas ES tiesību akta normas?</w:t>
            </w:r>
          </w:p>
          <w:p w14:paraId="0D1F93AC"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Kādēļ?</w:t>
            </w:r>
          </w:p>
        </w:tc>
        <w:tc>
          <w:tcPr>
            <w:tcW w:w="3886" w:type="pct"/>
            <w:gridSpan w:val="3"/>
            <w:tcBorders>
              <w:top w:val="outset" w:sz="6" w:space="0" w:color="auto"/>
              <w:left w:val="outset" w:sz="6" w:space="0" w:color="auto"/>
              <w:bottom w:val="outset" w:sz="6" w:space="0" w:color="auto"/>
              <w:right w:val="outset" w:sz="6" w:space="0" w:color="auto"/>
            </w:tcBorders>
            <w:hideMark/>
          </w:tcPr>
          <w:p w14:paraId="0F70E875" w14:textId="77777777" w:rsidR="00382B44" w:rsidRPr="00EE5C24" w:rsidRDefault="00382B44" w:rsidP="00C46C6D">
            <w:pPr>
              <w:spacing w:after="0" w:line="240" w:lineRule="auto"/>
              <w:jc w:val="both"/>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Nav</w:t>
            </w:r>
          </w:p>
        </w:tc>
      </w:tr>
      <w:tr w:rsidR="00382B44" w:rsidRPr="00EE5C24" w14:paraId="6695F24D"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hideMark/>
          </w:tcPr>
          <w:p w14:paraId="04962918"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6" w:type="pct"/>
            <w:gridSpan w:val="3"/>
            <w:tcBorders>
              <w:top w:val="outset" w:sz="6" w:space="0" w:color="auto"/>
              <w:left w:val="outset" w:sz="6" w:space="0" w:color="auto"/>
              <w:bottom w:val="outset" w:sz="6" w:space="0" w:color="auto"/>
              <w:right w:val="outset" w:sz="6" w:space="0" w:color="auto"/>
            </w:tcBorders>
            <w:hideMark/>
          </w:tcPr>
          <w:p w14:paraId="0FB324C2" w14:textId="77777777" w:rsidR="00382B44" w:rsidRPr="00EE5C24" w:rsidRDefault="00382B44" w:rsidP="00C46C6D">
            <w:pPr>
              <w:spacing w:after="0" w:line="240" w:lineRule="auto"/>
              <w:jc w:val="both"/>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Nav</w:t>
            </w:r>
          </w:p>
        </w:tc>
      </w:tr>
      <w:tr w:rsidR="00382B44" w:rsidRPr="00EE5C24" w14:paraId="2D5EEF44" w14:textId="77777777" w:rsidTr="00C46C6D">
        <w:trPr>
          <w:tblCellSpacing w:w="15" w:type="dxa"/>
          <w:jc w:val="center"/>
        </w:trPr>
        <w:tc>
          <w:tcPr>
            <w:tcW w:w="1067" w:type="pct"/>
            <w:tcBorders>
              <w:top w:val="outset" w:sz="6" w:space="0" w:color="auto"/>
              <w:left w:val="outset" w:sz="6" w:space="0" w:color="auto"/>
              <w:bottom w:val="outset" w:sz="6" w:space="0" w:color="auto"/>
              <w:right w:val="outset" w:sz="6" w:space="0" w:color="auto"/>
            </w:tcBorders>
            <w:hideMark/>
          </w:tcPr>
          <w:p w14:paraId="217D6D49"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Cita informācija</w:t>
            </w:r>
          </w:p>
        </w:tc>
        <w:tc>
          <w:tcPr>
            <w:tcW w:w="3886" w:type="pct"/>
            <w:gridSpan w:val="3"/>
            <w:tcBorders>
              <w:top w:val="outset" w:sz="6" w:space="0" w:color="auto"/>
              <w:left w:val="outset" w:sz="6" w:space="0" w:color="auto"/>
              <w:bottom w:val="outset" w:sz="6" w:space="0" w:color="auto"/>
              <w:right w:val="outset" w:sz="6" w:space="0" w:color="auto"/>
            </w:tcBorders>
            <w:hideMark/>
          </w:tcPr>
          <w:p w14:paraId="63D63FEA" w14:textId="77777777" w:rsidR="00382B44" w:rsidRPr="00EE5C24" w:rsidRDefault="00382B44" w:rsidP="00C46C6D">
            <w:pPr>
              <w:spacing w:after="0" w:line="240" w:lineRule="auto"/>
              <w:rPr>
                <w:rFonts w:ascii="Times New Roman" w:eastAsia="Times New Roman" w:hAnsi="Times New Roman"/>
                <w:sz w:val="24"/>
                <w:szCs w:val="24"/>
                <w:lang w:eastAsia="lv-LV"/>
              </w:rPr>
            </w:pPr>
            <w:r w:rsidRPr="00EE5C24">
              <w:rPr>
                <w:rFonts w:ascii="Times New Roman" w:eastAsia="Times New Roman" w:hAnsi="Times New Roman"/>
                <w:sz w:val="24"/>
                <w:szCs w:val="24"/>
                <w:lang w:eastAsia="lv-LV"/>
              </w:rPr>
              <w:t>Nav</w:t>
            </w:r>
          </w:p>
        </w:tc>
      </w:tr>
    </w:tbl>
    <w:p w14:paraId="2E0DD5D3" w14:textId="77777777" w:rsidR="00382B44" w:rsidRPr="00D859A3" w:rsidRDefault="00382B44" w:rsidP="00382B44">
      <w:pPr>
        <w:spacing w:after="0" w:line="240" w:lineRule="auto"/>
        <w:rPr>
          <w:rFonts w:ascii="Times New Roman" w:hAnsi="Times New Roman"/>
          <w:bCs/>
          <w:sz w:val="24"/>
          <w:szCs w:val="24"/>
        </w:rPr>
      </w:pPr>
    </w:p>
    <w:tbl>
      <w:tblPr>
        <w:tblW w:w="9558"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171"/>
        <w:gridCol w:w="5387"/>
      </w:tblGrid>
      <w:tr w:rsidR="00382B44" w:rsidRPr="00D859A3" w14:paraId="5EA78345" w14:textId="77777777" w:rsidTr="00C46C6D">
        <w:tc>
          <w:tcPr>
            <w:tcW w:w="955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63D0DC7D" w14:textId="77777777" w:rsidR="00382B44" w:rsidRPr="00D859A3" w:rsidRDefault="00382B44" w:rsidP="00C46C6D">
            <w:pPr>
              <w:spacing w:line="240" w:lineRule="auto"/>
              <w:jc w:val="center"/>
              <w:rPr>
                <w:rFonts w:ascii="Times New Roman" w:eastAsia="Times New Roman" w:hAnsi="Times New Roman"/>
                <w:b/>
                <w:sz w:val="24"/>
                <w:szCs w:val="24"/>
                <w:lang w:eastAsia="lv-LV"/>
              </w:rPr>
            </w:pPr>
            <w:r w:rsidRPr="00D859A3">
              <w:rPr>
                <w:rFonts w:ascii="Times New Roman" w:hAnsi="Times New Roman"/>
                <w:b/>
                <w:bCs/>
                <w:sz w:val="24"/>
                <w:szCs w:val="24"/>
              </w:rPr>
              <w:t>VI. Sabiedrības līdzdalība un komunikācijas aktivitātes</w:t>
            </w:r>
          </w:p>
        </w:tc>
      </w:tr>
      <w:tr w:rsidR="00382B44" w:rsidRPr="00D859A3" w14:paraId="6D393753" w14:textId="77777777" w:rsidTr="00C46C6D">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63E26E" w14:textId="77777777" w:rsidR="00382B44" w:rsidRPr="00D859A3" w:rsidRDefault="00382B44" w:rsidP="00C46C6D">
            <w:pPr>
              <w:numPr>
                <w:ilvl w:val="0"/>
                <w:numId w:val="2"/>
              </w:numPr>
              <w:spacing w:after="0"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tcPr>
          <w:p w14:paraId="21F2732D" w14:textId="77777777" w:rsidR="00382B44" w:rsidRPr="00D859A3" w:rsidRDefault="00382B44" w:rsidP="00C46C6D">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Noteikumu </w:t>
            </w:r>
            <w:r>
              <w:rPr>
                <w:rFonts w:ascii="Times New Roman" w:eastAsia="Times New Roman" w:hAnsi="Times New Roman"/>
                <w:sz w:val="24"/>
                <w:szCs w:val="24"/>
                <w:lang w:eastAsia="lv-LV"/>
              </w:rPr>
              <w:t>ir</w:t>
            </w:r>
            <w:r w:rsidRPr="00D859A3">
              <w:rPr>
                <w:rFonts w:ascii="Times New Roman" w:eastAsia="Times New Roman" w:hAnsi="Times New Roman"/>
                <w:sz w:val="24"/>
                <w:szCs w:val="24"/>
                <w:lang w:eastAsia="lv-LV"/>
              </w:rPr>
              <w:t xml:space="preserve"> ievietots EM  tīmekļa vietnē.</w:t>
            </w:r>
          </w:p>
        </w:tc>
      </w:tr>
      <w:tr w:rsidR="00382B44" w:rsidRPr="00D859A3" w14:paraId="24A8AB69" w14:textId="77777777" w:rsidTr="00C46C6D">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0C4AE9" w14:textId="77777777" w:rsidR="00382B44" w:rsidRPr="00D859A3" w:rsidRDefault="00382B44" w:rsidP="00C46C6D">
            <w:pPr>
              <w:numPr>
                <w:ilvl w:val="0"/>
                <w:numId w:val="2"/>
              </w:numPr>
              <w:spacing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tcPr>
          <w:p w14:paraId="3DA2ABE1" w14:textId="77777777" w:rsidR="00382B44" w:rsidRPr="00D859A3" w:rsidRDefault="00382B44" w:rsidP="00C46C6D">
            <w:pPr>
              <w:spacing w:after="0" w:line="240" w:lineRule="auto"/>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Nav</w:t>
            </w:r>
          </w:p>
        </w:tc>
      </w:tr>
      <w:tr w:rsidR="00382B44" w:rsidRPr="00D859A3" w14:paraId="6DD6B07F" w14:textId="77777777" w:rsidTr="00C46C6D">
        <w:trPr>
          <w:trHeight w:val="726"/>
        </w:trPr>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C4985C" w14:textId="77777777" w:rsidR="00382B44" w:rsidRPr="00D859A3" w:rsidRDefault="00382B44" w:rsidP="00C46C6D">
            <w:pPr>
              <w:numPr>
                <w:ilvl w:val="0"/>
                <w:numId w:val="2"/>
              </w:numPr>
              <w:spacing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lastRenderedPageBreak/>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215EAA0" w14:textId="77777777" w:rsidR="00382B44" w:rsidRPr="00D859A3" w:rsidRDefault="00382B44" w:rsidP="00C46C6D">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Nav</w:t>
            </w:r>
          </w:p>
        </w:tc>
      </w:tr>
      <w:tr w:rsidR="00382B44" w:rsidRPr="00D859A3" w14:paraId="50167BC8" w14:textId="77777777" w:rsidTr="00C46C6D">
        <w:trPr>
          <w:trHeight w:val="366"/>
        </w:trPr>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14:paraId="603DF710" w14:textId="77777777" w:rsidR="00382B44" w:rsidRPr="00D859A3" w:rsidRDefault="00382B44" w:rsidP="00C46C6D">
            <w:pPr>
              <w:numPr>
                <w:ilvl w:val="0"/>
                <w:numId w:val="2"/>
              </w:numPr>
              <w:spacing w:after="0"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3C15A0" w14:textId="77777777" w:rsidR="00382B44" w:rsidRPr="00D859A3" w:rsidRDefault="00382B44" w:rsidP="00C46C6D">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Nav</w:t>
            </w:r>
          </w:p>
        </w:tc>
      </w:tr>
    </w:tbl>
    <w:p w14:paraId="09978DA3" w14:textId="77777777" w:rsidR="00382B44" w:rsidRPr="00D859A3" w:rsidRDefault="00382B44" w:rsidP="00382B44">
      <w:pPr>
        <w:tabs>
          <w:tab w:val="left" w:pos="7655"/>
        </w:tabs>
        <w:spacing w:line="240" w:lineRule="auto"/>
        <w:jc w:val="both"/>
        <w:rPr>
          <w:rFonts w:ascii="Times New Roman" w:hAnsi="Times New Roman"/>
          <w:bCs/>
          <w:sz w:val="24"/>
          <w:szCs w:val="24"/>
        </w:rPr>
      </w:pPr>
    </w:p>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111"/>
        <w:gridCol w:w="5387"/>
      </w:tblGrid>
      <w:tr w:rsidR="00382B44" w:rsidRPr="00D859A3" w14:paraId="19B3FEE1" w14:textId="77777777" w:rsidTr="00C46C6D">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162161DC" w14:textId="77777777" w:rsidR="00382B44" w:rsidRPr="00D859A3" w:rsidRDefault="00382B44" w:rsidP="00C46C6D">
            <w:pPr>
              <w:spacing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VII. Tiesību akta projekta izpildes nodrošināšana un tās ietekme uz institūcijām</w:t>
            </w:r>
          </w:p>
        </w:tc>
      </w:tr>
      <w:tr w:rsidR="00382B44" w:rsidRPr="00D859A3" w14:paraId="15C0726D" w14:textId="77777777" w:rsidTr="00C46C6D">
        <w:trPr>
          <w:trHeight w:val="558"/>
        </w:trPr>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45BBEE" w14:textId="77777777" w:rsidR="00382B44" w:rsidRPr="00D859A3" w:rsidRDefault="00382B44" w:rsidP="00C46C6D">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Projekta izpildē iesaistītās institūcijas</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3476A28" w14:textId="77777777" w:rsidR="00382B44" w:rsidRPr="00D859A3" w:rsidRDefault="00382B44" w:rsidP="00C46C6D">
            <w:pPr>
              <w:spacing w:after="0" w:line="240" w:lineRule="auto"/>
              <w:ind w:firstLine="425"/>
              <w:jc w:val="both"/>
              <w:rPr>
                <w:rFonts w:ascii="Times New Roman" w:hAnsi="Times New Roman"/>
                <w:sz w:val="24"/>
                <w:szCs w:val="24"/>
                <w:lang w:eastAsia="lv-LV"/>
              </w:rPr>
            </w:pPr>
            <w:r w:rsidRPr="00D859A3">
              <w:rPr>
                <w:rFonts w:ascii="Times New Roman" w:hAnsi="Times New Roman"/>
                <w:sz w:val="24"/>
                <w:szCs w:val="24"/>
              </w:rPr>
              <w:t>Noteikumu projekta izpildē ir iesaistīta EM, Finanšu ministrija,  CFLA un sabiedrība “</w:t>
            </w:r>
            <w:proofErr w:type="spellStart"/>
            <w:r w:rsidRPr="00D859A3">
              <w:rPr>
                <w:rFonts w:ascii="Times New Roman" w:hAnsi="Times New Roman"/>
                <w:sz w:val="24"/>
                <w:szCs w:val="24"/>
              </w:rPr>
              <w:t>Altum</w:t>
            </w:r>
            <w:proofErr w:type="spellEnd"/>
            <w:r w:rsidRPr="00D859A3">
              <w:rPr>
                <w:rFonts w:ascii="Times New Roman" w:hAnsi="Times New Roman"/>
                <w:sz w:val="24"/>
                <w:szCs w:val="24"/>
              </w:rPr>
              <w:t>”.</w:t>
            </w:r>
          </w:p>
        </w:tc>
      </w:tr>
      <w:tr w:rsidR="00382B44" w:rsidRPr="00D859A3" w14:paraId="79C85CC7" w14:textId="77777777" w:rsidTr="00C46C6D">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2F276AC" w14:textId="77777777" w:rsidR="00382B44" w:rsidRPr="00D859A3" w:rsidRDefault="00382B44" w:rsidP="00C46C6D">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Projekta izpildes ietekme uz pārvaldes funkcijām un institucionālo struktūru.</w:t>
            </w:r>
          </w:p>
          <w:p w14:paraId="7ABF6B5D" w14:textId="77777777" w:rsidR="00382B44" w:rsidRPr="00D859A3" w:rsidRDefault="00382B44" w:rsidP="00C46C6D">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C86C88C" w14:textId="77777777" w:rsidR="00382B44" w:rsidRPr="00D859A3" w:rsidRDefault="00382B44" w:rsidP="00C46C6D">
            <w:pPr>
              <w:spacing w:line="240" w:lineRule="auto"/>
              <w:ind w:firstLine="567"/>
              <w:jc w:val="both"/>
              <w:rPr>
                <w:rFonts w:ascii="Times New Roman" w:hAnsi="Times New Roman"/>
                <w:sz w:val="24"/>
                <w:szCs w:val="24"/>
              </w:rPr>
            </w:pPr>
            <w:r w:rsidRPr="00D859A3">
              <w:rPr>
                <w:rFonts w:ascii="Times New Roman" w:hAnsi="Times New Roman"/>
                <w:sz w:val="24"/>
                <w:szCs w:val="24"/>
              </w:rPr>
              <w:t>Noteikumu projekta izpildi nodrošinās EM un CFLA darbības ietvaros.</w:t>
            </w:r>
          </w:p>
        </w:tc>
      </w:tr>
      <w:tr w:rsidR="00382B44" w:rsidRPr="00D859A3" w14:paraId="070F0CB9" w14:textId="77777777" w:rsidTr="00C46C6D">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69C27CB" w14:textId="77777777" w:rsidR="00382B44" w:rsidRPr="00D859A3" w:rsidRDefault="00382B44" w:rsidP="00C46C6D">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AF66FE" w14:textId="77777777" w:rsidR="00382B44" w:rsidRPr="00D859A3" w:rsidRDefault="00382B44" w:rsidP="00C46C6D">
            <w:pPr>
              <w:spacing w:after="0" w:line="240" w:lineRule="auto"/>
              <w:ind w:firstLine="284"/>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Nav</w:t>
            </w:r>
          </w:p>
        </w:tc>
      </w:tr>
    </w:tbl>
    <w:p w14:paraId="6767BECA" w14:textId="77777777" w:rsidR="00382B44" w:rsidRPr="00D859A3" w:rsidRDefault="00382B44" w:rsidP="00382B44">
      <w:pPr>
        <w:tabs>
          <w:tab w:val="right" w:pos="9071"/>
        </w:tabs>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Anotācijas </w:t>
      </w:r>
      <w:r>
        <w:rPr>
          <w:rFonts w:ascii="Times New Roman" w:eastAsia="Times New Roman" w:hAnsi="Times New Roman"/>
          <w:sz w:val="24"/>
          <w:szCs w:val="24"/>
          <w:lang w:eastAsia="lv-LV"/>
        </w:rPr>
        <w:t xml:space="preserve">III., </w:t>
      </w:r>
      <w:proofErr w:type="spellStart"/>
      <w:r w:rsidRPr="00D859A3">
        <w:rPr>
          <w:rFonts w:ascii="Times New Roman" w:eastAsia="Times New Roman" w:hAnsi="Times New Roman"/>
          <w:sz w:val="24"/>
          <w:szCs w:val="24"/>
          <w:lang w:eastAsia="lv-LV"/>
        </w:rPr>
        <w:t>IV.sadaļas</w:t>
      </w:r>
      <w:proofErr w:type="spellEnd"/>
      <w:r w:rsidRPr="00D859A3">
        <w:rPr>
          <w:rFonts w:ascii="Times New Roman" w:eastAsia="Times New Roman" w:hAnsi="Times New Roman"/>
          <w:sz w:val="24"/>
          <w:szCs w:val="24"/>
          <w:lang w:eastAsia="lv-LV"/>
        </w:rPr>
        <w:t xml:space="preserve"> – noteikumu projekts šīs jomas neskar. </w:t>
      </w:r>
    </w:p>
    <w:p w14:paraId="120F4452" w14:textId="77777777" w:rsidR="00382B44" w:rsidRPr="00D859A3" w:rsidRDefault="00382B44" w:rsidP="00382B44">
      <w:pPr>
        <w:tabs>
          <w:tab w:val="right" w:pos="9071"/>
        </w:tabs>
        <w:spacing w:after="0" w:line="240" w:lineRule="auto"/>
        <w:ind w:left="-567"/>
        <w:jc w:val="both"/>
        <w:rPr>
          <w:rFonts w:ascii="Times New Roman" w:hAnsi="Times New Roman"/>
          <w:color w:val="000000"/>
          <w:sz w:val="24"/>
          <w:szCs w:val="24"/>
        </w:rPr>
      </w:pPr>
    </w:p>
    <w:p w14:paraId="6EBCB7B5" w14:textId="77777777" w:rsidR="00382B44" w:rsidRPr="00D859A3" w:rsidRDefault="00382B44" w:rsidP="00382B44">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Ministru prezidenta biedrs,</w:t>
      </w:r>
    </w:p>
    <w:p w14:paraId="58E08440" w14:textId="77777777" w:rsidR="00382B44" w:rsidRPr="00D859A3" w:rsidRDefault="00382B44" w:rsidP="00382B44">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 xml:space="preserve">ekonomikas ministrs </w:t>
      </w:r>
      <w:r w:rsidRPr="00D859A3">
        <w:rPr>
          <w:rFonts w:ascii="Times New Roman" w:hAnsi="Times New Roman"/>
          <w:color w:val="000000"/>
          <w:sz w:val="24"/>
          <w:szCs w:val="24"/>
        </w:rPr>
        <w:tab/>
        <w:t>A. Ašeradens</w:t>
      </w:r>
    </w:p>
    <w:p w14:paraId="383E81DD" w14:textId="77777777" w:rsidR="00382B44" w:rsidRPr="00D859A3" w:rsidRDefault="00382B44" w:rsidP="00382B44">
      <w:pPr>
        <w:keepLines/>
        <w:widowControl w:val="0"/>
        <w:tabs>
          <w:tab w:val="right" w:pos="9071"/>
        </w:tabs>
        <w:spacing w:after="0" w:line="240" w:lineRule="auto"/>
        <w:rPr>
          <w:rFonts w:ascii="Times New Roman" w:eastAsia="Times New Roman" w:hAnsi="Times New Roman"/>
          <w:color w:val="000000"/>
          <w:sz w:val="24"/>
          <w:szCs w:val="24"/>
          <w:lang w:eastAsia="lv-LV"/>
        </w:rPr>
      </w:pPr>
    </w:p>
    <w:p w14:paraId="583BBCF2" w14:textId="7150B03D" w:rsidR="00382B44" w:rsidRDefault="00382B44" w:rsidP="00BC6736">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 xml:space="preserve">Vīza: </w:t>
      </w:r>
      <w:r w:rsidR="007329C2">
        <w:rPr>
          <w:rFonts w:ascii="Times New Roman" w:hAnsi="Times New Roman"/>
          <w:sz w:val="24"/>
          <w:szCs w:val="24"/>
        </w:rPr>
        <w:t>Valsts sekretār</w:t>
      </w:r>
      <w:r w:rsidR="00BC6736">
        <w:rPr>
          <w:rFonts w:ascii="Times New Roman" w:hAnsi="Times New Roman"/>
          <w:sz w:val="24"/>
          <w:szCs w:val="24"/>
        </w:rPr>
        <w:t>s</w:t>
      </w:r>
      <w:r w:rsidR="00BC6736">
        <w:rPr>
          <w:rFonts w:ascii="Times New Roman" w:hAnsi="Times New Roman"/>
          <w:color w:val="000000"/>
          <w:sz w:val="24"/>
          <w:szCs w:val="24"/>
        </w:rPr>
        <w:tab/>
      </w:r>
      <w:proofErr w:type="spellStart"/>
      <w:r w:rsidR="00BC6736">
        <w:rPr>
          <w:rFonts w:ascii="Times New Roman" w:hAnsi="Times New Roman"/>
          <w:color w:val="000000"/>
          <w:sz w:val="24"/>
          <w:szCs w:val="24"/>
        </w:rPr>
        <w:t>J.Stinka</w:t>
      </w:r>
      <w:proofErr w:type="spellEnd"/>
    </w:p>
    <w:p w14:paraId="3F861244" w14:textId="77777777" w:rsidR="00BC6736" w:rsidRPr="00BC6736" w:rsidRDefault="00BC6736" w:rsidP="00BC6736">
      <w:pPr>
        <w:tabs>
          <w:tab w:val="right" w:pos="9071"/>
        </w:tabs>
        <w:spacing w:after="0" w:line="240" w:lineRule="auto"/>
        <w:ind w:left="-567"/>
        <w:jc w:val="both"/>
        <w:rPr>
          <w:rFonts w:ascii="Times New Roman" w:hAnsi="Times New Roman"/>
          <w:color w:val="000000"/>
          <w:sz w:val="24"/>
          <w:szCs w:val="24"/>
        </w:rPr>
      </w:pPr>
    </w:p>
    <w:p w14:paraId="06CC7AEA" w14:textId="7093C52F" w:rsidR="00382B44" w:rsidRPr="007C3924" w:rsidRDefault="001805AA" w:rsidP="00382B44">
      <w:pPr>
        <w:tabs>
          <w:tab w:val="right" w:pos="9071"/>
        </w:tabs>
        <w:spacing w:after="0" w:line="240" w:lineRule="auto"/>
        <w:ind w:left="-567"/>
        <w:jc w:val="both"/>
        <w:rPr>
          <w:rFonts w:ascii="Times New Roman" w:hAnsi="Times New Roman"/>
          <w:sz w:val="20"/>
          <w:szCs w:val="20"/>
        </w:rPr>
      </w:pPr>
      <w:r>
        <w:rPr>
          <w:rFonts w:ascii="Times New Roman" w:eastAsia="Times New Roman" w:hAnsi="Times New Roman"/>
          <w:sz w:val="20"/>
          <w:szCs w:val="20"/>
          <w:lang w:eastAsia="lv-LV"/>
        </w:rPr>
        <w:fldChar w:fldCharType="begin"/>
      </w:r>
      <w:r w:rsidR="00382B44">
        <w:rPr>
          <w:rFonts w:ascii="Times New Roman" w:eastAsia="Times New Roman" w:hAnsi="Times New Roman"/>
          <w:sz w:val="20"/>
          <w:szCs w:val="20"/>
          <w:lang w:eastAsia="lv-LV"/>
        </w:rPr>
        <w:instrText xml:space="preserve"> DATE  \@ "dd.MM.yyyy HH:mm"  \* MERGEFORMAT </w:instrText>
      </w:r>
      <w:r>
        <w:rPr>
          <w:rFonts w:ascii="Times New Roman" w:eastAsia="Times New Roman" w:hAnsi="Times New Roman"/>
          <w:sz w:val="20"/>
          <w:szCs w:val="20"/>
          <w:lang w:eastAsia="lv-LV"/>
        </w:rPr>
        <w:fldChar w:fldCharType="separate"/>
      </w:r>
      <w:r w:rsidR="008C50DE">
        <w:rPr>
          <w:rFonts w:ascii="Times New Roman" w:eastAsia="Times New Roman" w:hAnsi="Times New Roman"/>
          <w:noProof/>
          <w:sz w:val="20"/>
          <w:szCs w:val="20"/>
          <w:lang w:eastAsia="lv-LV"/>
        </w:rPr>
        <w:t>15.06.2017 14:40</w:t>
      </w:r>
      <w:r>
        <w:rPr>
          <w:rFonts w:ascii="Times New Roman" w:eastAsia="Times New Roman" w:hAnsi="Times New Roman"/>
          <w:sz w:val="20"/>
          <w:szCs w:val="20"/>
          <w:lang w:eastAsia="lv-LV"/>
        </w:rPr>
        <w:fldChar w:fldCharType="end"/>
      </w:r>
      <w:r w:rsidR="00382B44" w:rsidRPr="007C3924">
        <w:rPr>
          <w:rFonts w:ascii="Times New Roman" w:eastAsia="Times New Roman" w:hAnsi="Times New Roman"/>
          <w:sz w:val="20"/>
          <w:szCs w:val="20"/>
          <w:lang w:eastAsia="lv-LV"/>
        </w:rPr>
        <w:tab/>
      </w:r>
    </w:p>
    <w:p w14:paraId="6D94252B" w14:textId="77149537" w:rsidR="00382B44" w:rsidRPr="00D859A3" w:rsidRDefault="008C50DE" w:rsidP="00382B44">
      <w:pPr>
        <w:widowControl w:val="0"/>
        <w:spacing w:after="0" w:line="240" w:lineRule="auto"/>
        <w:ind w:left="-567"/>
        <w:jc w:val="both"/>
        <w:rPr>
          <w:rFonts w:ascii="Times New Roman" w:eastAsia="Times New Roman" w:hAnsi="Times New Roman"/>
          <w:sz w:val="20"/>
          <w:szCs w:val="20"/>
        </w:rPr>
      </w:pPr>
      <w:r>
        <w:fldChar w:fldCharType="begin"/>
      </w:r>
      <w:r>
        <w:instrText xml:space="preserve"> NUMWORDS   \* MERGEFORMAT </w:instrText>
      </w:r>
      <w:r>
        <w:fldChar w:fldCharType="separate"/>
      </w:r>
      <w:r w:rsidRPr="008C50DE">
        <w:rPr>
          <w:rFonts w:ascii="Times New Roman" w:eastAsia="Times New Roman" w:hAnsi="Times New Roman"/>
          <w:noProof/>
          <w:sz w:val="20"/>
          <w:szCs w:val="20"/>
        </w:rPr>
        <w:t>4151</w:t>
      </w:r>
      <w:r>
        <w:rPr>
          <w:rFonts w:ascii="Times New Roman" w:eastAsia="Times New Roman" w:hAnsi="Times New Roman"/>
          <w:noProof/>
          <w:sz w:val="20"/>
          <w:szCs w:val="20"/>
        </w:rPr>
        <w:fldChar w:fldCharType="end"/>
      </w:r>
    </w:p>
    <w:p w14:paraId="6762CB5E" w14:textId="77777777" w:rsidR="00382B44" w:rsidRPr="00D859A3" w:rsidRDefault="00382B44" w:rsidP="00382B44">
      <w:pPr>
        <w:widowControl w:val="0"/>
        <w:tabs>
          <w:tab w:val="left" w:pos="2025"/>
        </w:tabs>
        <w:spacing w:after="0" w:line="240" w:lineRule="auto"/>
        <w:ind w:left="-567"/>
        <w:jc w:val="both"/>
        <w:rPr>
          <w:rFonts w:ascii="Times New Roman" w:eastAsia="Times New Roman" w:hAnsi="Times New Roman"/>
          <w:sz w:val="20"/>
          <w:szCs w:val="20"/>
        </w:rPr>
      </w:pPr>
      <w:proofErr w:type="spellStart"/>
      <w:r w:rsidRPr="00D859A3">
        <w:rPr>
          <w:rFonts w:ascii="Times New Roman" w:eastAsia="Times New Roman" w:hAnsi="Times New Roman"/>
          <w:sz w:val="20"/>
          <w:szCs w:val="20"/>
        </w:rPr>
        <w:t>A.Lagzdiņa</w:t>
      </w:r>
      <w:proofErr w:type="spellEnd"/>
      <w:r w:rsidRPr="00D859A3">
        <w:rPr>
          <w:rFonts w:ascii="Times New Roman" w:eastAsia="Times New Roman" w:hAnsi="Times New Roman"/>
          <w:sz w:val="20"/>
          <w:szCs w:val="20"/>
        </w:rPr>
        <w:tab/>
      </w:r>
    </w:p>
    <w:p w14:paraId="5420D2F4" w14:textId="77777777" w:rsidR="00382B44" w:rsidRPr="00D859A3" w:rsidRDefault="00382B44" w:rsidP="00382B44">
      <w:pPr>
        <w:widowControl w:val="0"/>
        <w:spacing w:after="0" w:line="240" w:lineRule="auto"/>
        <w:ind w:left="-567"/>
        <w:jc w:val="both"/>
        <w:rPr>
          <w:rFonts w:ascii="Times New Roman" w:hAnsi="Times New Roman"/>
          <w:sz w:val="20"/>
          <w:szCs w:val="20"/>
        </w:rPr>
      </w:pPr>
      <w:r w:rsidRPr="00D859A3">
        <w:rPr>
          <w:rFonts w:ascii="Times New Roman" w:eastAsia="Times New Roman" w:hAnsi="Times New Roman"/>
          <w:sz w:val="20"/>
          <w:szCs w:val="20"/>
        </w:rPr>
        <w:t>Anda.Lagzdina@em.gov.lv, 67013161</w:t>
      </w:r>
      <w:r w:rsidRPr="00D859A3">
        <w:rPr>
          <w:rFonts w:ascii="Times New Roman" w:hAnsi="Times New Roman"/>
          <w:sz w:val="20"/>
          <w:szCs w:val="20"/>
        </w:rPr>
        <w:tab/>
      </w:r>
    </w:p>
    <w:p w14:paraId="178895FE" w14:textId="77777777" w:rsidR="00382B44" w:rsidRPr="00682673" w:rsidRDefault="00382B44" w:rsidP="00382B44"/>
    <w:p w14:paraId="6DEEFC46" w14:textId="77777777" w:rsidR="00382B44" w:rsidRPr="00682673" w:rsidRDefault="00382B44" w:rsidP="00382B44"/>
    <w:p w14:paraId="045102D1" w14:textId="77777777" w:rsidR="00382B44" w:rsidRPr="00682673" w:rsidRDefault="00382B44" w:rsidP="00382B44"/>
    <w:p w14:paraId="32E5C94B" w14:textId="77777777" w:rsidR="00382B44" w:rsidRPr="00682673" w:rsidRDefault="00382B44" w:rsidP="00382B44">
      <w:bookmarkStart w:id="1" w:name="_GoBack"/>
      <w:bookmarkEnd w:id="1"/>
    </w:p>
    <w:p w14:paraId="34681305" w14:textId="77777777" w:rsidR="00382B44" w:rsidRPr="00682673" w:rsidRDefault="00382B44" w:rsidP="00382B44"/>
    <w:p w14:paraId="17AE7951" w14:textId="77777777" w:rsidR="00382B44" w:rsidRPr="00682673" w:rsidRDefault="00382B44" w:rsidP="00382B44"/>
    <w:p w14:paraId="1B70CB61" w14:textId="77777777" w:rsidR="00382B44" w:rsidRPr="00682673" w:rsidRDefault="00382B44" w:rsidP="00382B44"/>
    <w:p w14:paraId="51370F7F" w14:textId="77777777" w:rsidR="00382B44" w:rsidRPr="00682673" w:rsidRDefault="00382B44" w:rsidP="00382B44"/>
    <w:p w14:paraId="485A4B03" w14:textId="77777777" w:rsidR="00382B44" w:rsidRPr="00682673" w:rsidRDefault="00382B44" w:rsidP="00382B44"/>
    <w:p w14:paraId="4AFC7DB1" w14:textId="77777777" w:rsidR="00382B44" w:rsidRPr="00682673" w:rsidRDefault="00382B44" w:rsidP="00382B44">
      <w:pPr>
        <w:tabs>
          <w:tab w:val="left" w:pos="1200"/>
        </w:tabs>
      </w:pPr>
      <w:r>
        <w:tab/>
      </w:r>
    </w:p>
    <w:p w14:paraId="536ED3B4" w14:textId="77777777" w:rsidR="000F72AE" w:rsidRDefault="000F72AE" w:rsidP="002C3D4E">
      <w:pPr>
        <w:ind w:firstLine="720"/>
      </w:pPr>
    </w:p>
    <w:sectPr w:rsidR="000F72AE" w:rsidSect="0073506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39B9E" w14:textId="77777777" w:rsidR="005A31AC" w:rsidRDefault="005A31AC">
      <w:pPr>
        <w:spacing w:after="0" w:line="240" w:lineRule="auto"/>
      </w:pPr>
      <w:r>
        <w:separator/>
      </w:r>
    </w:p>
  </w:endnote>
  <w:endnote w:type="continuationSeparator" w:id="0">
    <w:p w14:paraId="74EA22D1" w14:textId="77777777" w:rsidR="005A31AC" w:rsidRDefault="005A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FEBE" w14:textId="051092B6" w:rsidR="005A357E" w:rsidRPr="007563C2" w:rsidRDefault="00E85736" w:rsidP="00A06BA8">
    <w:pPr>
      <w:spacing w:after="0" w:line="240" w:lineRule="auto"/>
      <w:ind w:left="-426" w:right="-483"/>
      <w:jc w:val="both"/>
      <w:rPr>
        <w:rFonts w:ascii="Times New Roman" w:eastAsia="Times New Roman" w:hAnsi="Times New Roman"/>
        <w:sz w:val="20"/>
        <w:szCs w:val="20"/>
        <w:lang w:eastAsia="lv-LV"/>
      </w:rPr>
    </w:pPr>
    <w:fldSimple w:instr=" FILENAME   \* MERGEFORMAT ">
      <w:r w:rsidR="008C50DE" w:rsidRPr="008C50DE">
        <w:rPr>
          <w:rFonts w:ascii="Times New Roman" w:eastAsia="Times New Roman" w:hAnsi="Times New Roman"/>
          <w:noProof/>
          <w:sz w:val="20"/>
          <w:szCs w:val="20"/>
          <w:lang w:eastAsia="lv-LV"/>
        </w:rPr>
        <w:t>EMAnot_15062017_Groz160.docx</w:t>
      </w:r>
    </w:fldSimple>
    <w:r w:rsidR="008E14FC" w:rsidRPr="007563C2">
      <w:rPr>
        <w:rFonts w:ascii="Times New Roman" w:eastAsia="Times New Roman" w:hAnsi="Times New Roman"/>
        <w:sz w:val="20"/>
        <w:szCs w:val="20"/>
        <w:lang w:eastAsia="lv-LV"/>
      </w:rPr>
      <w:t xml:space="preserve">; </w:t>
    </w:r>
    <w:r w:rsidR="008E14FC" w:rsidRPr="00130199">
      <w:rPr>
        <w:rFonts w:ascii="Times New Roman" w:eastAsia="Times New Roman" w:hAnsi="Times New Roman"/>
        <w:sz w:val="20"/>
        <w:szCs w:val="20"/>
        <w:lang w:eastAsia="lv-LV"/>
      </w:rPr>
      <w:t>Ministru kabineta noteikumu projekta „</w:t>
    </w:r>
    <w:r w:rsidR="008E14FC" w:rsidRPr="00A06BA8">
      <w:rPr>
        <w:rFonts w:ascii="Times New Roman" w:eastAsia="Times New Roman" w:hAnsi="Times New Roman"/>
        <w:sz w:val="20"/>
        <w:szCs w:val="20"/>
        <w:lang w:eastAsia="lv-LV"/>
      </w:rPr>
      <w:t>Ministru kabineta 2016.gada 15.marta noteikumos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8E14FC" w:rsidRPr="00130199">
      <w:rPr>
        <w:rFonts w:ascii="Times New Roman" w:eastAsia="Times New Roman" w:hAnsi="Times New Roman"/>
        <w:sz w:val="20"/>
        <w:szCs w:val="20"/>
        <w:lang w:eastAsia="lv-LV"/>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2E2A" w14:textId="49B6F4F2" w:rsidR="005A357E" w:rsidRPr="002973CD" w:rsidRDefault="00E85736" w:rsidP="0073506A">
    <w:pPr>
      <w:spacing w:after="0" w:line="240" w:lineRule="auto"/>
      <w:ind w:left="-426" w:right="-483"/>
      <w:jc w:val="both"/>
      <w:rPr>
        <w:rFonts w:ascii="Times New Roman" w:eastAsia="Times New Roman" w:hAnsi="Times New Roman"/>
        <w:sz w:val="20"/>
        <w:szCs w:val="20"/>
        <w:lang w:eastAsia="lv-LV"/>
      </w:rPr>
    </w:pPr>
    <w:fldSimple w:instr=" FILENAME   \* MERGEFORMAT ">
      <w:r w:rsidR="008C50DE" w:rsidRPr="008C50DE">
        <w:rPr>
          <w:rFonts w:ascii="Times New Roman" w:eastAsia="Times New Roman" w:hAnsi="Times New Roman"/>
          <w:noProof/>
          <w:sz w:val="20"/>
          <w:szCs w:val="20"/>
          <w:lang w:eastAsia="lv-LV"/>
        </w:rPr>
        <w:t>EMAnot_15062017_Groz160.docx</w:t>
      </w:r>
    </w:fldSimple>
    <w:r w:rsidR="008E14FC" w:rsidRPr="007563C2">
      <w:rPr>
        <w:rFonts w:ascii="Times New Roman" w:eastAsia="Times New Roman" w:hAnsi="Times New Roman"/>
        <w:sz w:val="20"/>
        <w:szCs w:val="20"/>
        <w:lang w:eastAsia="lv-LV"/>
      </w:rPr>
      <w:t xml:space="preserve">; </w:t>
    </w:r>
    <w:r w:rsidR="008E14FC" w:rsidRPr="00130199">
      <w:rPr>
        <w:rFonts w:ascii="Times New Roman" w:eastAsia="Times New Roman" w:hAnsi="Times New Roman"/>
        <w:sz w:val="20"/>
        <w:szCs w:val="20"/>
        <w:lang w:eastAsia="lv-LV"/>
      </w:rPr>
      <w:t>Ministru kabineta noteikumu projekta „</w:t>
    </w:r>
    <w:r w:rsidR="008E14FC" w:rsidRPr="00A06BA8">
      <w:rPr>
        <w:rFonts w:ascii="Times New Roman" w:eastAsia="Times New Roman" w:hAnsi="Times New Roman"/>
        <w:sz w:val="20"/>
        <w:szCs w:val="20"/>
        <w:lang w:eastAsia="lv-LV"/>
      </w:rPr>
      <w:t>Ministru kabineta</w:t>
    </w:r>
    <w:r w:rsidR="008E14FC">
      <w:rPr>
        <w:rFonts w:ascii="Times New Roman" w:eastAsia="Times New Roman" w:hAnsi="Times New Roman"/>
        <w:sz w:val="20"/>
        <w:szCs w:val="20"/>
        <w:lang w:eastAsia="lv-LV"/>
      </w:rPr>
      <w:t xml:space="preserve"> 2016.gada 15.marta noteikumos N</w:t>
    </w:r>
    <w:r w:rsidR="008E14FC" w:rsidRPr="00A06BA8">
      <w:rPr>
        <w:rFonts w:ascii="Times New Roman" w:eastAsia="Times New Roman" w:hAnsi="Times New Roman"/>
        <w:sz w:val="20"/>
        <w:szCs w:val="20"/>
        <w:lang w:eastAsia="lv-LV"/>
      </w:rPr>
      <w:t>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8E14FC" w:rsidRPr="00130199">
      <w:rPr>
        <w:rFonts w:ascii="Times New Roman" w:eastAsia="Times New Roman" w:hAnsi="Times New Roman"/>
        <w:sz w:val="20"/>
        <w:szCs w:val="20"/>
        <w:lang w:eastAsia="lv-LV"/>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2BB6B" w14:textId="77777777" w:rsidR="005A31AC" w:rsidRDefault="005A31AC">
      <w:pPr>
        <w:spacing w:after="0" w:line="240" w:lineRule="auto"/>
      </w:pPr>
      <w:r>
        <w:separator/>
      </w:r>
    </w:p>
  </w:footnote>
  <w:footnote w:type="continuationSeparator" w:id="0">
    <w:p w14:paraId="5ECA3470" w14:textId="77777777" w:rsidR="005A31AC" w:rsidRDefault="005A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CFA5" w14:textId="22369623" w:rsidR="005A357E" w:rsidRPr="00370273" w:rsidRDefault="001805AA">
    <w:pPr>
      <w:pStyle w:val="Header"/>
      <w:jc w:val="center"/>
      <w:rPr>
        <w:rFonts w:ascii="Times New Roman" w:hAnsi="Times New Roman"/>
      </w:rPr>
    </w:pPr>
    <w:r w:rsidRPr="00370273">
      <w:rPr>
        <w:rFonts w:ascii="Times New Roman" w:hAnsi="Times New Roman"/>
      </w:rPr>
      <w:fldChar w:fldCharType="begin"/>
    </w:r>
    <w:r w:rsidR="008E14FC" w:rsidRPr="00370273">
      <w:rPr>
        <w:rFonts w:ascii="Times New Roman" w:hAnsi="Times New Roman"/>
      </w:rPr>
      <w:instrText xml:space="preserve"> PAGE   \* MERGEFORMAT </w:instrText>
    </w:r>
    <w:r w:rsidRPr="00370273">
      <w:rPr>
        <w:rFonts w:ascii="Times New Roman" w:hAnsi="Times New Roman"/>
      </w:rPr>
      <w:fldChar w:fldCharType="separate"/>
    </w:r>
    <w:r w:rsidR="008C50DE">
      <w:rPr>
        <w:rFonts w:ascii="Times New Roman" w:hAnsi="Times New Roman"/>
        <w:noProof/>
      </w:rPr>
      <w:t>3</w:t>
    </w:r>
    <w:r w:rsidRPr="00370273">
      <w:rPr>
        <w:rFonts w:ascii="Times New Roman" w:hAnsi="Times New Roman"/>
        <w:noProof/>
      </w:rPr>
      <w:fldChar w:fldCharType="end"/>
    </w:r>
  </w:p>
  <w:p w14:paraId="38F99A59" w14:textId="77777777" w:rsidR="005A357E" w:rsidRDefault="008C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1" w15:restartNumberingAfterBreak="0">
    <w:nsid w:val="2C992CD0"/>
    <w:multiLevelType w:val="hybridMultilevel"/>
    <w:tmpl w:val="D59E9310"/>
    <w:lvl w:ilvl="0" w:tplc="9894E7C4">
      <w:numFmt w:val="bullet"/>
      <w:lvlText w:val="•"/>
      <w:lvlJc w:val="left"/>
      <w:pPr>
        <w:ind w:left="714" w:hanging="660"/>
      </w:pPr>
      <w:rPr>
        <w:rFonts w:ascii="Times New Roman" w:eastAsia="Calibri"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2"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09200A"/>
    <w:multiLevelType w:val="hybridMultilevel"/>
    <w:tmpl w:val="9D58A74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 w15:restartNumberingAfterBreak="0">
    <w:nsid w:val="361F7A1C"/>
    <w:multiLevelType w:val="hybridMultilevel"/>
    <w:tmpl w:val="C9C63744"/>
    <w:lvl w:ilvl="0" w:tplc="9894E7C4">
      <w:numFmt w:val="bullet"/>
      <w:lvlText w:val="•"/>
      <w:lvlJc w:val="left"/>
      <w:pPr>
        <w:ind w:left="768" w:hanging="660"/>
      </w:pPr>
      <w:rPr>
        <w:rFonts w:ascii="Times New Roman" w:eastAsia="Calibri"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5"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737D58"/>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EA2063"/>
    <w:multiLevelType w:val="hybridMultilevel"/>
    <w:tmpl w:val="CEF4F88E"/>
    <w:lvl w:ilvl="0" w:tplc="9894E7C4">
      <w:numFmt w:val="bullet"/>
      <w:lvlText w:val="•"/>
      <w:lvlJc w:val="left"/>
      <w:pPr>
        <w:ind w:left="714" w:hanging="660"/>
      </w:pPr>
      <w:rPr>
        <w:rFonts w:ascii="Times New Roman" w:eastAsia="Calibri"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8" w15:restartNumberingAfterBreak="0">
    <w:nsid w:val="6DD25271"/>
    <w:multiLevelType w:val="hybridMultilevel"/>
    <w:tmpl w:val="1312EA8C"/>
    <w:lvl w:ilvl="0" w:tplc="0426000B">
      <w:start w:val="1"/>
      <w:numFmt w:val="bullet"/>
      <w:lvlText w:val=""/>
      <w:lvlJc w:val="left"/>
      <w:pPr>
        <w:ind w:left="714" w:hanging="660"/>
      </w:pPr>
      <w:rPr>
        <w:rFonts w:ascii="Wingdings" w:hAnsi="Wingdings"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9"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0"/>
  </w:num>
  <w:num w:numId="6">
    <w:abstractNumId w:val="3"/>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44"/>
    <w:rsid w:val="000269FB"/>
    <w:rsid w:val="00043F63"/>
    <w:rsid w:val="00093B66"/>
    <w:rsid w:val="000F72AE"/>
    <w:rsid w:val="00112344"/>
    <w:rsid w:val="00114DA1"/>
    <w:rsid w:val="00140998"/>
    <w:rsid w:val="00152E1E"/>
    <w:rsid w:val="001805AA"/>
    <w:rsid w:val="002153D5"/>
    <w:rsid w:val="002B1F86"/>
    <w:rsid w:val="002B464B"/>
    <w:rsid w:val="002C3D4E"/>
    <w:rsid w:val="002C5EA0"/>
    <w:rsid w:val="002E5018"/>
    <w:rsid w:val="002F47FD"/>
    <w:rsid w:val="003164B0"/>
    <w:rsid w:val="00321F99"/>
    <w:rsid w:val="0037611F"/>
    <w:rsid w:val="00382B44"/>
    <w:rsid w:val="00384860"/>
    <w:rsid w:val="00386B3A"/>
    <w:rsid w:val="00451AE8"/>
    <w:rsid w:val="004F1433"/>
    <w:rsid w:val="005A31AC"/>
    <w:rsid w:val="00602A28"/>
    <w:rsid w:val="00691374"/>
    <w:rsid w:val="006B27D0"/>
    <w:rsid w:val="006C66CD"/>
    <w:rsid w:val="007329C2"/>
    <w:rsid w:val="00770F76"/>
    <w:rsid w:val="007C565B"/>
    <w:rsid w:val="008C50DE"/>
    <w:rsid w:val="008E14FC"/>
    <w:rsid w:val="008F1946"/>
    <w:rsid w:val="00922271"/>
    <w:rsid w:val="00984C8F"/>
    <w:rsid w:val="00A21444"/>
    <w:rsid w:val="00A251E2"/>
    <w:rsid w:val="00A264CC"/>
    <w:rsid w:val="00A26508"/>
    <w:rsid w:val="00B7743B"/>
    <w:rsid w:val="00B805EE"/>
    <w:rsid w:val="00B85612"/>
    <w:rsid w:val="00BA15F0"/>
    <w:rsid w:val="00BC6736"/>
    <w:rsid w:val="00CA4C2A"/>
    <w:rsid w:val="00D017FC"/>
    <w:rsid w:val="00D22E1B"/>
    <w:rsid w:val="00D35753"/>
    <w:rsid w:val="00D41377"/>
    <w:rsid w:val="00D41675"/>
    <w:rsid w:val="00DD7B08"/>
    <w:rsid w:val="00DE551A"/>
    <w:rsid w:val="00E85736"/>
    <w:rsid w:val="00E95BBB"/>
    <w:rsid w:val="00EB3CCF"/>
    <w:rsid w:val="00EE0D4F"/>
    <w:rsid w:val="00F557D9"/>
    <w:rsid w:val="00F74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3A17"/>
  <w15:docId w15:val="{9B30B824-BBA7-46B2-9FEB-12F853F2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2B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44"/>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382B44"/>
    <w:rPr>
      <w:rFonts w:ascii="Calibri" w:eastAsia="Calibri" w:hAnsi="Calibri" w:cs="Times New Roman"/>
      <w:sz w:val="20"/>
      <w:szCs w:val="20"/>
    </w:rPr>
  </w:style>
  <w:style w:type="paragraph" w:styleId="ListParagraph">
    <w:name w:val="List Paragraph"/>
    <w:basedOn w:val="Normal"/>
    <w:link w:val="ListParagraphChar"/>
    <w:uiPriority w:val="34"/>
    <w:qFormat/>
    <w:rsid w:val="00382B44"/>
    <w:pPr>
      <w:ind w:left="720"/>
      <w:contextualSpacing/>
    </w:pPr>
    <w:rPr>
      <w:sz w:val="20"/>
      <w:szCs w:val="20"/>
    </w:rPr>
  </w:style>
  <w:style w:type="character" w:customStyle="1" w:styleId="ListParagraphChar">
    <w:name w:val="List Paragraph Char"/>
    <w:link w:val="ListParagraph"/>
    <w:uiPriority w:val="34"/>
    <w:locked/>
    <w:rsid w:val="00382B44"/>
    <w:rPr>
      <w:rFonts w:ascii="Calibri" w:eastAsia="Calibri" w:hAnsi="Calibri" w:cs="Times New Roman"/>
      <w:sz w:val="20"/>
      <w:szCs w:val="20"/>
    </w:rPr>
  </w:style>
  <w:style w:type="character" w:styleId="Hyperlink">
    <w:name w:val="Hyperlink"/>
    <w:basedOn w:val="DefaultParagraphFont"/>
    <w:uiPriority w:val="99"/>
    <w:unhideWhenUsed/>
    <w:rsid w:val="00382B44"/>
    <w:rPr>
      <w:color w:val="0563C1" w:themeColor="hyperlink"/>
      <w:u w:val="single"/>
    </w:rPr>
  </w:style>
  <w:style w:type="paragraph" w:styleId="BalloonText">
    <w:name w:val="Balloon Text"/>
    <w:basedOn w:val="Normal"/>
    <w:link w:val="BalloonTextChar"/>
    <w:uiPriority w:val="99"/>
    <w:semiHidden/>
    <w:unhideWhenUsed/>
    <w:rsid w:val="00382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4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C66CD"/>
    <w:rPr>
      <w:sz w:val="16"/>
      <w:szCs w:val="16"/>
    </w:rPr>
  </w:style>
  <w:style w:type="paragraph" w:styleId="CommentText">
    <w:name w:val="annotation text"/>
    <w:basedOn w:val="Normal"/>
    <w:link w:val="CommentTextChar"/>
    <w:uiPriority w:val="99"/>
    <w:semiHidden/>
    <w:unhideWhenUsed/>
    <w:rsid w:val="006C66CD"/>
    <w:pPr>
      <w:spacing w:line="240" w:lineRule="auto"/>
    </w:pPr>
    <w:rPr>
      <w:sz w:val="20"/>
      <w:szCs w:val="20"/>
    </w:rPr>
  </w:style>
  <w:style w:type="character" w:customStyle="1" w:styleId="CommentTextChar">
    <w:name w:val="Comment Text Char"/>
    <w:basedOn w:val="DefaultParagraphFont"/>
    <w:link w:val="CommentText"/>
    <w:uiPriority w:val="99"/>
    <w:semiHidden/>
    <w:rsid w:val="006C66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66CD"/>
    <w:rPr>
      <w:b/>
      <w:bCs/>
    </w:rPr>
  </w:style>
  <w:style w:type="character" w:customStyle="1" w:styleId="CommentSubjectChar">
    <w:name w:val="Comment Subject Char"/>
    <w:basedOn w:val="CommentTextChar"/>
    <w:link w:val="CommentSubject"/>
    <w:uiPriority w:val="99"/>
    <w:semiHidden/>
    <w:rsid w:val="006C66CD"/>
    <w:rPr>
      <w:rFonts w:ascii="Calibri" w:eastAsia="Calibri" w:hAnsi="Calibri" w:cs="Times New Roman"/>
      <w:b/>
      <w:bCs/>
      <w:sz w:val="20"/>
      <w:szCs w:val="20"/>
    </w:rPr>
  </w:style>
  <w:style w:type="paragraph" w:styleId="Footer">
    <w:name w:val="footer"/>
    <w:basedOn w:val="Normal"/>
    <w:link w:val="FooterChar"/>
    <w:uiPriority w:val="99"/>
    <w:unhideWhenUsed/>
    <w:rsid w:val="00112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23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tum.lv/lv/pakalpojumi/energoefektivitate/daudzdzivoklu-maju-energoefektivitate-pamatinformacija/dzivoklu-ipasnieku-lem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4188</Words>
  <Characters>30576</Characters>
  <Application>Microsoft Office Word</Application>
  <DocSecurity>0</DocSecurity>
  <Lines>784</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Lagzdiņa</dc:creator>
  <cp:lastModifiedBy>Anda Lagzdiņa</cp:lastModifiedBy>
  <cp:revision>15</cp:revision>
  <dcterms:created xsi:type="dcterms:W3CDTF">2017-05-19T09:59:00Z</dcterms:created>
  <dcterms:modified xsi:type="dcterms:W3CDTF">2017-06-15T11:40:00Z</dcterms:modified>
</cp:coreProperties>
</file>