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07CA" w14:textId="77777777" w:rsidR="00865185" w:rsidRDefault="00865185" w:rsidP="000E2F9C">
      <w:pPr>
        <w:spacing w:after="0" w:line="240" w:lineRule="auto"/>
        <w:jc w:val="center"/>
        <w:rPr>
          <w:rFonts w:ascii="Times New Roman" w:eastAsia="Times New Roman" w:hAnsi="Times New Roman"/>
          <w:b/>
          <w:sz w:val="24"/>
          <w:szCs w:val="24"/>
          <w:lang w:eastAsia="lv-LV"/>
        </w:rPr>
      </w:pPr>
      <w:bookmarkStart w:id="0" w:name="_GoBack"/>
      <w:bookmarkEnd w:id="0"/>
      <w:r w:rsidRPr="00865185">
        <w:rPr>
          <w:rFonts w:ascii="Times New Roman" w:eastAsia="Times New Roman" w:hAnsi="Times New Roman"/>
          <w:b/>
          <w:sz w:val="24"/>
          <w:szCs w:val="24"/>
          <w:lang w:eastAsia="lv-LV"/>
        </w:rPr>
        <w:t xml:space="preserve">Ministru kabineta noteikumu projekta </w:t>
      </w:r>
      <w:r w:rsidR="00013A8D">
        <w:rPr>
          <w:rFonts w:ascii="Times New Roman" w:eastAsia="Times New Roman" w:hAnsi="Times New Roman"/>
          <w:b/>
          <w:sz w:val="24"/>
          <w:szCs w:val="24"/>
          <w:lang w:eastAsia="lv-LV"/>
        </w:rPr>
        <w:t>“</w:t>
      </w:r>
      <w:r w:rsidR="00013A8D" w:rsidRPr="00905F41">
        <w:rPr>
          <w:rFonts w:ascii="Times New Roman" w:hAnsi="Times New Roman"/>
          <w:b/>
          <w:sz w:val="24"/>
          <w:szCs w:val="24"/>
        </w:rPr>
        <w:t xml:space="preserve">Noteikumi par aizdevumiem </w:t>
      </w:r>
      <w:r w:rsidR="00013A8D" w:rsidRPr="00905F41">
        <w:rPr>
          <w:rFonts w:ascii="Times New Roman" w:eastAsia="Times New Roman" w:hAnsi="Times New Roman"/>
          <w:b/>
          <w:sz w:val="24"/>
          <w:szCs w:val="24"/>
        </w:rPr>
        <w:t>energoefektivitātes pakalpojuma sniedzējiem</w:t>
      </w:r>
      <w:r w:rsidR="00013A8D" w:rsidRPr="006F378F">
        <w:rPr>
          <w:rFonts w:ascii="Times New Roman" w:hAnsi="Times New Roman"/>
          <w:b/>
          <w:sz w:val="24"/>
          <w:szCs w:val="24"/>
        </w:rPr>
        <w:t xml:space="preserve"> </w:t>
      </w:r>
      <w:r w:rsidR="00013A8D" w:rsidRPr="0042584B">
        <w:rPr>
          <w:rFonts w:ascii="Times New Roman" w:hAnsi="Times New Roman"/>
          <w:b/>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w:t>
      </w:r>
      <w:r w:rsidR="00013A8D">
        <w:rPr>
          <w:rFonts w:ascii="Times New Roman" w:hAnsi="Times New Roman"/>
          <w:b/>
          <w:sz w:val="24"/>
          <w:szCs w:val="24"/>
        </w:rPr>
        <w:t xml:space="preserve"> ietvaros</w:t>
      </w:r>
      <w:r w:rsidRPr="00865185">
        <w:rPr>
          <w:rFonts w:ascii="Times New Roman" w:eastAsia="Times New Roman" w:hAnsi="Times New Roman"/>
          <w:b/>
          <w:sz w:val="24"/>
          <w:szCs w:val="24"/>
          <w:lang w:eastAsia="lv-LV"/>
        </w:rPr>
        <w:t>” sākotnējās ietekmes novērtējuma ziņojums (anotācija)</w:t>
      </w:r>
    </w:p>
    <w:p w14:paraId="388CBBE8" w14:textId="77777777" w:rsidR="00865185" w:rsidRPr="00D859A3" w:rsidRDefault="00865185" w:rsidP="000E2F9C">
      <w:pPr>
        <w:spacing w:after="0" w:line="240" w:lineRule="auto"/>
        <w:jc w:val="center"/>
        <w:rPr>
          <w:rFonts w:ascii="Times New Roman" w:hAnsi="Times New Roman"/>
          <w:b/>
          <w:sz w:val="24"/>
          <w:szCs w:val="24"/>
        </w:rPr>
      </w:pPr>
    </w:p>
    <w:tbl>
      <w:tblPr>
        <w:tblW w:w="960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6485"/>
      </w:tblGrid>
      <w:tr w:rsidR="00865185" w:rsidRPr="00D859A3" w14:paraId="5C65C6B2" w14:textId="77777777" w:rsidTr="00E33E85">
        <w:tc>
          <w:tcPr>
            <w:tcW w:w="9604" w:type="dxa"/>
            <w:gridSpan w:val="2"/>
            <w:vAlign w:val="center"/>
            <w:hideMark/>
          </w:tcPr>
          <w:p w14:paraId="0A117FF0" w14:textId="77777777" w:rsidR="00865185" w:rsidRPr="00D859A3" w:rsidRDefault="00865185" w:rsidP="000E2F9C">
            <w:pPr>
              <w:spacing w:after="0"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I.</w:t>
            </w:r>
            <w:r>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Tiesību akta projekta izstrādes nepieciešamība</w:t>
            </w:r>
          </w:p>
        </w:tc>
      </w:tr>
      <w:tr w:rsidR="00865185" w:rsidRPr="00D859A3" w14:paraId="17025F2C" w14:textId="77777777" w:rsidTr="00E33E85">
        <w:tc>
          <w:tcPr>
            <w:tcW w:w="3119" w:type="dxa"/>
            <w:hideMark/>
          </w:tcPr>
          <w:p w14:paraId="47847075" w14:textId="77777777" w:rsidR="00865185" w:rsidRPr="00D859A3" w:rsidRDefault="00865185" w:rsidP="000E2F9C">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1. Pamatojums</w:t>
            </w:r>
          </w:p>
        </w:tc>
        <w:tc>
          <w:tcPr>
            <w:tcW w:w="6485" w:type="dxa"/>
            <w:hideMark/>
          </w:tcPr>
          <w:p w14:paraId="753BED0F" w14:textId="13AAC7A1" w:rsidR="00865185" w:rsidRPr="00D859A3" w:rsidRDefault="003269F1" w:rsidP="00F07D03">
            <w:pPr>
              <w:spacing w:after="0" w:line="240" w:lineRule="auto"/>
              <w:jc w:val="both"/>
              <w:rPr>
                <w:rFonts w:ascii="Times New Roman" w:hAnsi="Times New Roman"/>
                <w:sz w:val="24"/>
                <w:szCs w:val="24"/>
              </w:rPr>
            </w:pPr>
            <w:r w:rsidRPr="002C5024">
              <w:rPr>
                <w:rFonts w:ascii="Times New Roman" w:eastAsia="Times New Roman" w:hAnsi="Times New Roman"/>
                <w:bCs/>
                <w:sz w:val="24"/>
                <w:szCs w:val="24"/>
              </w:rPr>
              <w:t>Eiropas Savienības struktūrfondu un Kohēzijas fonda 2014.-2020.gada plānošanas perioda vadības likuma 20.panta 13. un 14.punkt</w:t>
            </w:r>
            <w:r w:rsidR="00D2468C">
              <w:rPr>
                <w:rFonts w:ascii="Times New Roman" w:eastAsia="Times New Roman" w:hAnsi="Times New Roman"/>
                <w:bCs/>
                <w:sz w:val="24"/>
                <w:szCs w:val="24"/>
              </w:rPr>
              <w:t>s</w:t>
            </w:r>
            <w:r w:rsidRPr="002C5024">
              <w:rPr>
                <w:rFonts w:ascii="Times New Roman" w:eastAsia="Times New Roman" w:hAnsi="Times New Roman"/>
                <w:bCs/>
                <w:sz w:val="24"/>
                <w:szCs w:val="24"/>
              </w:rPr>
              <w:t xml:space="preserve"> un Attīstības finanšu institūcijas likuma 12. panta ceturt</w:t>
            </w:r>
            <w:r w:rsidR="00D2468C">
              <w:rPr>
                <w:rFonts w:ascii="Times New Roman" w:eastAsia="Times New Roman" w:hAnsi="Times New Roman"/>
                <w:bCs/>
                <w:sz w:val="24"/>
                <w:szCs w:val="24"/>
              </w:rPr>
              <w:t>ā</w:t>
            </w:r>
            <w:r w:rsidRPr="002C5024">
              <w:rPr>
                <w:rFonts w:ascii="Times New Roman" w:eastAsia="Times New Roman" w:hAnsi="Times New Roman"/>
                <w:bCs/>
                <w:sz w:val="24"/>
                <w:szCs w:val="24"/>
              </w:rPr>
              <w:t xml:space="preserve"> daļ</w:t>
            </w:r>
            <w:r w:rsidR="00D2468C">
              <w:rPr>
                <w:rFonts w:ascii="Times New Roman" w:eastAsia="Times New Roman" w:hAnsi="Times New Roman"/>
                <w:bCs/>
                <w:sz w:val="24"/>
                <w:szCs w:val="24"/>
              </w:rPr>
              <w:t>a</w:t>
            </w:r>
            <w:r w:rsidR="00865185" w:rsidRPr="002C5024">
              <w:rPr>
                <w:rFonts w:ascii="Times New Roman" w:eastAsia="Times New Roman" w:hAnsi="Times New Roman"/>
                <w:bCs/>
                <w:sz w:val="24"/>
                <w:szCs w:val="24"/>
              </w:rPr>
              <w:t>.</w:t>
            </w:r>
          </w:p>
        </w:tc>
      </w:tr>
      <w:tr w:rsidR="00865185" w:rsidRPr="00D859A3" w14:paraId="0A30F599" w14:textId="77777777" w:rsidTr="00E33E85">
        <w:trPr>
          <w:trHeight w:val="360"/>
        </w:trPr>
        <w:tc>
          <w:tcPr>
            <w:tcW w:w="3119" w:type="dxa"/>
            <w:hideMark/>
          </w:tcPr>
          <w:p w14:paraId="5109E53D" w14:textId="77777777" w:rsidR="00865185" w:rsidRPr="00D859A3" w:rsidRDefault="00865185" w:rsidP="000E2F9C">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2. </w:t>
            </w:r>
            <w:r w:rsidRPr="0086518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3AC2F3A" w14:textId="77777777" w:rsidR="00865185" w:rsidRPr="00D859A3" w:rsidRDefault="00865185" w:rsidP="000E2F9C">
            <w:pPr>
              <w:spacing w:line="240" w:lineRule="auto"/>
              <w:rPr>
                <w:rFonts w:ascii="Times New Roman" w:eastAsia="Times New Roman" w:hAnsi="Times New Roman"/>
                <w:sz w:val="24"/>
                <w:szCs w:val="24"/>
                <w:lang w:eastAsia="lv-LV"/>
              </w:rPr>
            </w:pPr>
          </w:p>
          <w:p w14:paraId="7F9C8448" w14:textId="77777777" w:rsidR="00865185" w:rsidRPr="00D859A3" w:rsidRDefault="00865185" w:rsidP="000E2F9C">
            <w:pPr>
              <w:spacing w:line="240" w:lineRule="auto"/>
              <w:rPr>
                <w:rFonts w:ascii="Times New Roman" w:eastAsia="Times New Roman" w:hAnsi="Times New Roman"/>
                <w:sz w:val="24"/>
                <w:szCs w:val="24"/>
                <w:lang w:eastAsia="lv-LV"/>
              </w:rPr>
            </w:pPr>
          </w:p>
          <w:p w14:paraId="328BB18C" w14:textId="77777777" w:rsidR="00865185" w:rsidRPr="00D859A3" w:rsidRDefault="00865185" w:rsidP="000E2F9C">
            <w:pPr>
              <w:spacing w:line="240" w:lineRule="auto"/>
              <w:rPr>
                <w:rFonts w:ascii="Times New Roman" w:eastAsia="Times New Roman" w:hAnsi="Times New Roman"/>
                <w:sz w:val="24"/>
                <w:szCs w:val="24"/>
                <w:lang w:eastAsia="lv-LV"/>
              </w:rPr>
            </w:pPr>
          </w:p>
          <w:p w14:paraId="34271736" w14:textId="77777777" w:rsidR="00865185" w:rsidRPr="00D859A3" w:rsidRDefault="00865185" w:rsidP="000E2F9C">
            <w:pPr>
              <w:spacing w:line="240" w:lineRule="auto"/>
              <w:rPr>
                <w:rFonts w:ascii="Times New Roman" w:eastAsia="Times New Roman" w:hAnsi="Times New Roman"/>
                <w:sz w:val="24"/>
                <w:szCs w:val="24"/>
                <w:lang w:eastAsia="lv-LV"/>
              </w:rPr>
            </w:pPr>
          </w:p>
          <w:p w14:paraId="5AB233CE" w14:textId="77777777" w:rsidR="00865185" w:rsidRPr="00D859A3" w:rsidRDefault="00865185" w:rsidP="000E2F9C">
            <w:pPr>
              <w:spacing w:line="240" w:lineRule="auto"/>
              <w:rPr>
                <w:rFonts w:ascii="Times New Roman" w:eastAsia="Times New Roman" w:hAnsi="Times New Roman"/>
                <w:sz w:val="24"/>
                <w:szCs w:val="24"/>
                <w:lang w:eastAsia="lv-LV"/>
              </w:rPr>
            </w:pPr>
          </w:p>
          <w:p w14:paraId="017A40BA" w14:textId="77777777" w:rsidR="00865185" w:rsidRPr="00D859A3" w:rsidRDefault="00865185" w:rsidP="000E2F9C">
            <w:pPr>
              <w:spacing w:line="240" w:lineRule="auto"/>
              <w:rPr>
                <w:rFonts w:ascii="Times New Roman" w:eastAsia="Times New Roman" w:hAnsi="Times New Roman"/>
                <w:sz w:val="24"/>
                <w:szCs w:val="24"/>
                <w:lang w:eastAsia="lv-LV"/>
              </w:rPr>
            </w:pPr>
          </w:p>
          <w:p w14:paraId="4A11DFB5" w14:textId="77777777" w:rsidR="00865185" w:rsidRPr="00D859A3" w:rsidRDefault="00865185" w:rsidP="000E2F9C">
            <w:pPr>
              <w:spacing w:line="240" w:lineRule="auto"/>
              <w:rPr>
                <w:rFonts w:ascii="Times New Roman" w:eastAsia="Times New Roman" w:hAnsi="Times New Roman"/>
                <w:sz w:val="24"/>
                <w:szCs w:val="24"/>
                <w:lang w:eastAsia="lv-LV"/>
              </w:rPr>
            </w:pPr>
          </w:p>
          <w:p w14:paraId="2AC00F2E" w14:textId="77777777" w:rsidR="00865185" w:rsidRPr="00D859A3" w:rsidRDefault="00865185" w:rsidP="000E2F9C">
            <w:pPr>
              <w:spacing w:line="240" w:lineRule="auto"/>
              <w:rPr>
                <w:rFonts w:ascii="Times New Roman" w:eastAsia="Times New Roman" w:hAnsi="Times New Roman"/>
                <w:sz w:val="24"/>
                <w:szCs w:val="24"/>
                <w:lang w:eastAsia="lv-LV"/>
              </w:rPr>
            </w:pPr>
          </w:p>
          <w:p w14:paraId="25131049" w14:textId="77777777" w:rsidR="00865185" w:rsidRPr="00D859A3" w:rsidRDefault="00865185" w:rsidP="000E2F9C">
            <w:pPr>
              <w:spacing w:line="240" w:lineRule="auto"/>
              <w:rPr>
                <w:rFonts w:ascii="Times New Roman" w:eastAsia="Times New Roman" w:hAnsi="Times New Roman"/>
                <w:sz w:val="24"/>
                <w:szCs w:val="24"/>
                <w:lang w:eastAsia="lv-LV"/>
              </w:rPr>
            </w:pPr>
          </w:p>
          <w:p w14:paraId="67647950" w14:textId="77777777" w:rsidR="00865185" w:rsidRPr="00D859A3" w:rsidRDefault="00865185" w:rsidP="000E2F9C">
            <w:pPr>
              <w:spacing w:line="240" w:lineRule="auto"/>
              <w:jc w:val="center"/>
              <w:rPr>
                <w:rFonts w:ascii="Times New Roman" w:eastAsia="Times New Roman" w:hAnsi="Times New Roman"/>
                <w:sz w:val="24"/>
                <w:szCs w:val="24"/>
                <w:lang w:eastAsia="lv-LV"/>
              </w:rPr>
            </w:pPr>
          </w:p>
        </w:tc>
        <w:tc>
          <w:tcPr>
            <w:tcW w:w="6485" w:type="dxa"/>
            <w:hideMark/>
          </w:tcPr>
          <w:p w14:paraId="148EE621" w14:textId="6D16DBB7" w:rsidR="00D2468C" w:rsidRDefault="00D2468C" w:rsidP="000E2F9C">
            <w:pPr>
              <w:spacing w:after="0" w:line="240" w:lineRule="auto"/>
              <w:ind w:firstLine="365"/>
              <w:jc w:val="both"/>
              <w:rPr>
                <w:rFonts w:ascii="Times New Roman" w:eastAsia="Times New Roman" w:hAnsi="Times New Roman"/>
                <w:bCs/>
                <w:sz w:val="24"/>
                <w:szCs w:val="24"/>
              </w:rPr>
            </w:pPr>
            <w:r w:rsidRPr="00D2468C">
              <w:rPr>
                <w:rFonts w:ascii="Times New Roman" w:eastAsia="Times New Roman" w:hAnsi="Times New Roman"/>
                <w:bCs/>
                <w:sz w:val="24"/>
                <w:szCs w:val="24"/>
              </w:rPr>
              <w:t>Ministru kabineta noteikumu projekt</w:t>
            </w:r>
            <w:r w:rsidR="00F07D03">
              <w:rPr>
                <w:rFonts w:ascii="Times New Roman" w:eastAsia="Times New Roman" w:hAnsi="Times New Roman"/>
                <w:bCs/>
                <w:sz w:val="24"/>
                <w:szCs w:val="24"/>
              </w:rPr>
              <w:t>a</w:t>
            </w:r>
            <w:r w:rsidRPr="00D2468C">
              <w:rPr>
                <w:rFonts w:ascii="Times New Roman" w:eastAsia="Times New Roman" w:hAnsi="Times New Roman"/>
                <w:bCs/>
                <w:sz w:val="24"/>
                <w:szCs w:val="24"/>
              </w:rPr>
              <w:t xml:space="preserve"> “Noteikumi par aizdevumiem energoefektivitātes pakalpojuma sniedzējiem Darbības programmas "Izaugsme un nodarbinātība" 4.2.1. specifiskā atbalsta mērķa "Veicināt energoefektivitātes paaugstināšanu valsts un dzīvojamās ēkās" 4.2.1.1. specifiskā atbalsta mērķa pasākuma "Veicināt energoefektivitātes paaugstināšanu dzīvojamās ēkās" ietvaros” (turpmāk - Noteikumu projekts)</w:t>
            </w:r>
            <w:r w:rsidR="00F07D03">
              <w:rPr>
                <w:rFonts w:ascii="Times New Roman" w:eastAsia="Times New Roman" w:hAnsi="Times New Roman"/>
                <w:bCs/>
                <w:sz w:val="24"/>
                <w:szCs w:val="24"/>
              </w:rPr>
              <w:t xml:space="preserve"> mērķis ir </w:t>
            </w:r>
            <w:r w:rsidR="00F07D03" w:rsidRPr="00F07D03">
              <w:rPr>
                <w:rFonts w:ascii="Times New Roman" w:eastAsia="Times New Roman" w:hAnsi="Times New Roman"/>
                <w:bCs/>
                <w:sz w:val="24"/>
                <w:szCs w:val="24"/>
              </w:rPr>
              <w:t>sekmēt ESKO kompāniju attīstību un konkurētspēju, sniedzot finansējumu paralēlo aizdevumu veidā dzīvotspējīgu uzņēmējdarbības projektu īstenošanai</w:t>
            </w:r>
            <w:r w:rsidR="00F07D03">
              <w:rPr>
                <w:rFonts w:ascii="Times New Roman" w:eastAsia="Times New Roman" w:hAnsi="Times New Roman"/>
                <w:bCs/>
                <w:sz w:val="24"/>
                <w:szCs w:val="24"/>
              </w:rPr>
              <w:t>.</w:t>
            </w:r>
          </w:p>
          <w:p w14:paraId="491F4153" w14:textId="77777777" w:rsidR="00865185" w:rsidRPr="00865185" w:rsidRDefault="00AE6169" w:rsidP="000E2F9C">
            <w:pPr>
              <w:spacing w:after="0" w:line="240" w:lineRule="auto"/>
              <w:ind w:firstLine="365"/>
              <w:jc w:val="both"/>
              <w:rPr>
                <w:rFonts w:ascii="Times New Roman" w:eastAsia="Times New Roman" w:hAnsi="Times New Roman"/>
                <w:bCs/>
                <w:sz w:val="24"/>
                <w:szCs w:val="24"/>
              </w:rPr>
            </w:pPr>
            <w:r>
              <w:rPr>
                <w:rFonts w:ascii="Times New Roman" w:eastAsia="Times New Roman" w:hAnsi="Times New Roman"/>
                <w:bCs/>
                <w:sz w:val="24"/>
                <w:szCs w:val="24"/>
              </w:rPr>
              <w:t>Energoefektivitātes</w:t>
            </w:r>
            <w:r w:rsidRPr="002B162C">
              <w:rPr>
                <w:rFonts w:ascii="Times New Roman" w:eastAsia="Times New Roman" w:hAnsi="Times New Roman"/>
                <w:bCs/>
                <w:sz w:val="24"/>
                <w:szCs w:val="24"/>
              </w:rPr>
              <w:t xml:space="preserve"> paaugstināšana ir viens no faktoriem, kas ļauj samazināt enerģijas patēriņu mājsaimniecībās un uzlabot iedzīvotāju dzīves apstākļus</w:t>
            </w:r>
            <w:r>
              <w:rPr>
                <w:rFonts w:ascii="Times New Roman" w:eastAsia="Times New Roman" w:hAnsi="Times New Roman"/>
                <w:bCs/>
                <w:sz w:val="24"/>
                <w:szCs w:val="24"/>
              </w:rPr>
              <w:t>. Tāpat tas ļauj</w:t>
            </w:r>
            <w:r w:rsidRPr="002B162C">
              <w:rPr>
                <w:rFonts w:ascii="Times New Roman" w:eastAsia="Times New Roman" w:hAnsi="Times New Roman"/>
                <w:bCs/>
                <w:sz w:val="24"/>
                <w:szCs w:val="24"/>
              </w:rPr>
              <w:t xml:space="preserve"> samazināt enerģijas intensitāti uzņēmumos, </w:t>
            </w:r>
            <w:r>
              <w:rPr>
                <w:rFonts w:ascii="Times New Roman" w:eastAsia="Times New Roman" w:hAnsi="Times New Roman"/>
                <w:bCs/>
                <w:sz w:val="24"/>
                <w:szCs w:val="24"/>
              </w:rPr>
              <w:t>tādejādi</w:t>
            </w:r>
            <w:r w:rsidRPr="002B162C">
              <w:rPr>
                <w:rFonts w:ascii="Times New Roman" w:eastAsia="Times New Roman" w:hAnsi="Times New Roman"/>
                <w:bCs/>
                <w:sz w:val="24"/>
                <w:szCs w:val="24"/>
              </w:rPr>
              <w:t xml:space="preserve"> ceļot uzņēmumu konkurētspēju. </w:t>
            </w:r>
            <w:r w:rsidR="00865185" w:rsidRPr="00865185">
              <w:rPr>
                <w:rFonts w:ascii="Times New Roman" w:eastAsia="Times New Roman" w:hAnsi="Times New Roman"/>
                <w:bCs/>
                <w:sz w:val="24"/>
                <w:szCs w:val="24"/>
              </w:rPr>
              <w:t>Latvijā darbību uzsāk arvien vairāk komersantu, kas sniedz energoefektivitātes pakalpojumus vai veic citus energoefektivitātes uzlabošanas pasākumus gala</w:t>
            </w:r>
            <w:r w:rsidR="00B54FF0">
              <w:rPr>
                <w:rFonts w:ascii="Times New Roman" w:eastAsia="Times New Roman" w:hAnsi="Times New Roman"/>
                <w:bCs/>
                <w:sz w:val="24"/>
                <w:szCs w:val="24"/>
              </w:rPr>
              <w:t>lietotāja iekārtās vai telpās. Tai pat laikā e</w:t>
            </w:r>
            <w:r w:rsidR="00865185" w:rsidRPr="00865185">
              <w:rPr>
                <w:rFonts w:ascii="Times New Roman" w:eastAsia="Times New Roman" w:hAnsi="Times New Roman"/>
                <w:bCs/>
                <w:sz w:val="24"/>
                <w:szCs w:val="24"/>
              </w:rPr>
              <w:t>nergoefektivitātes pakalpojumu sniedzēju (turpmāk – ESKO) finansēšana Latvijā ir apgrūtināta šādu iemeslu dēļ:</w:t>
            </w:r>
          </w:p>
          <w:p w14:paraId="4F19F5FA" w14:textId="77777777" w:rsidR="00865185" w:rsidRPr="00865185" w:rsidRDefault="00865185" w:rsidP="000E2F9C">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nav pietiekama nodrošinājuma aizdevumu saņemšanai (ieguldījumi tiek veikti ESKO nepiederošos īpašumos un attiecīgajam ieguldījuma atgūšanas iespējas ir apgrūtinošas – nelikvīds tirgus, ierobežotas iespējas iekļūt ieguldījumu veikšanas vietā);</w:t>
            </w:r>
          </w:p>
          <w:p w14:paraId="31FE5615" w14:textId="77777777" w:rsidR="00865185" w:rsidRPr="00865185" w:rsidRDefault="00865185" w:rsidP="000E2F9C">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darbībai ir nepietiekama vēsture, kā rezultātā komercbankām nav pieredzes attiecīgo projektu jomā;</w:t>
            </w:r>
          </w:p>
          <w:p w14:paraId="05392A71" w14:textId="77777777" w:rsidR="00865185" w:rsidRPr="00865185" w:rsidRDefault="00865185" w:rsidP="000E2F9C">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darbības modelis nav pazīstams potenciālo klientu vidū;</w:t>
            </w:r>
          </w:p>
          <w:p w14:paraId="7D1DD71C" w14:textId="77777777" w:rsidR="00865185" w:rsidRPr="00865185" w:rsidRDefault="00865185" w:rsidP="000E2F9C">
            <w:pPr>
              <w:numPr>
                <w:ilvl w:val="0"/>
                <w:numId w:val="6"/>
              </w:numPr>
              <w:spacing w:after="0" w:line="240" w:lineRule="auto"/>
              <w:ind w:left="932"/>
              <w:contextualSpacing/>
              <w:jc w:val="both"/>
              <w:rPr>
                <w:rFonts w:ascii="Times New Roman" w:eastAsia="Times New Roman" w:hAnsi="Times New Roman"/>
                <w:bCs/>
                <w:sz w:val="24"/>
                <w:szCs w:val="24"/>
              </w:rPr>
            </w:pPr>
            <w:r w:rsidRPr="00865185">
              <w:rPr>
                <w:rFonts w:ascii="Times New Roman" w:eastAsia="Times New Roman" w:hAnsi="Times New Roman"/>
                <w:bCs/>
                <w:sz w:val="24"/>
                <w:szCs w:val="24"/>
              </w:rPr>
              <w:t>ESKO uzņēmumu attīstības un kapitalizācijas līmenis ir salīdzinoši zems.</w:t>
            </w:r>
          </w:p>
          <w:p w14:paraId="7CD257DC" w14:textId="2BBA0C4F" w:rsidR="00B54FF0" w:rsidRDefault="00B54FF0" w:rsidP="000E2F9C">
            <w:pPr>
              <w:spacing w:after="0" w:line="240" w:lineRule="auto"/>
              <w:ind w:firstLine="365"/>
              <w:jc w:val="both"/>
              <w:rPr>
                <w:rFonts w:ascii="Times New Roman" w:eastAsia="Times New Roman" w:hAnsi="Times New Roman"/>
                <w:bCs/>
                <w:sz w:val="24"/>
                <w:szCs w:val="24"/>
              </w:rPr>
            </w:pPr>
            <w:r w:rsidRPr="002B162C">
              <w:rPr>
                <w:rFonts w:ascii="Times New Roman" w:eastAsia="Times New Roman" w:hAnsi="Times New Roman"/>
                <w:bCs/>
                <w:sz w:val="24"/>
                <w:szCs w:val="24"/>
              </w:rPr>
              <w:t>Energoefektivitātes pasākumu plašākai īstenošanai ir nepieciešamas lielas sākotnējās investīcijas, kur</w:t>
            </w:r>
            <w:r w:rsidR="007B42BF">
              <w:rPr>
                <w:rFonts w:ascii="Times New Roman" w:eastAsia="Times New Roman" w:hAnsi="Times New Roman"/>
                <w:bCs/>
                <w:sz w:val="24"/>
                <w:szCs w:val="24"/>
              </w:rPr>
              <w:t xml:space="preserve"> daļā gadījumu atmaksāšanās laiks ir 1 līdz 7 gadi, bet </w:t>
            </w:r>
            <w:r w:rsidRPr="002B162C">
              <w:rPr>
                <w:rFonts w:ascii="Times New Roman" w:eastAsia="Times New Roman" w:hAnsi="Times New Roman"/>
                <w:bCs/>
                <w:sz w:val="24"/>
                <w:szCs w:val="24"/>
              </w:rPr>
              <w:t xml:space="preserve">lielākā daļā gadījumu </w:t>
            </w:r>
            <w:r w:rsidR="007B42BF">
              <w:rPr>
                <w:rFonts w:ascii="Times New Roman" w:eastAsia="Times New Roman" w:hAnsi="Times New Roman"/>
                <w:bCs/>
                <w:sz w:val="24"/>
                <w:szCs w:val="24"/>
              </w:rPr>
              <w:t xml:space="preserve">tās </w:t>
            </w:r>
            <w:r w:rsidRPr="002B162C">
              <w:rPr>
                <w:rFonts w:ascii="Times New Roman" w:eastAsia="Times New Roman" w:hAnsi="Times New Roman"/>
                <w:bCs/>
                <w:sz w:val="24"/>
                <w:szCs w:val="24"/>
              </w:rPr>
              <w:t>atmaksājas ilgtermiņā</w:t>
            </w:r>
            <w:r w:rsidR="007B42BF">
              <w:rPr>
                <w:rFonts w:ascii="Times New Roman" w:eastAsia="Times New Roman" w:hAnsi="Times New Roman"/>
                <w:bCs/>
                <w:sz w:val="24"/>
                <w:szCs w:val="24"/>
              </w:rPr>
              <w:t xml:space="preserve"> līdz pat 20 gadiem</w:t>
            </w:r>
            <w:r>
              <w:rPr>
                <w:rFonts w:ascii="Times New Roman" w:eastAsia="Times New Roman" w:hAnsi="Times New Roman"/>
                <w:bCs/>
                <w:sz w:val="24"/>
                <w:szCs w:val="24"/>
              </w:rPr>
              <w:t>.</w:t>
            </w:r>
            <w:r w:rsidRPr="002B162C">
              <w:rPr>
                <w:rFonts w:ascii="Times New Roman" w:eastAsia="Times New Roman" w:hAnsi="Times New Roman"/>
                <w:bCs/>
                <w:sz w:val="24"/>
                <w:szCs w:val="24"/>
              </w:rPr>
              <w:t xml:space="preserve"> </w:t>
            </w:r>
            <w:r w:rsidR="00865185" w:rsidRPr="00865185">
              <w:rPr>
                <w:rFonts w:ascii="Times New Roman" w:eastAsia="Times New Roman" w:hAnsi="Times New Roman"/>
                <w:bCs/>
                <w:sz w:val="24"/>
                <w:szCs w:val="24"/>
              </w:rPr>
              <w:t>Attiecīgo projektu izmaksas bieži vien sasniedz pa</w:t>
            </w:r>
            <w:r>
              <w:rPr>
                <w:rFonts w:ascii="Times New Roman" w:eastAsia="Times New Roman" w:hAnsi="Times New Roman"/>
                <w:bCs/>
                <w:sz w:val="24"/>
                <w:szCs w:val="24"/>
              </w:rPr>
              <w:t>t</w:t>
            </w:r>
            <w:r w:rsidR="00865185" w:rsidRPr="00865185">
              <w:rPr>
                <w:rFonts w:ascii="Times New Roman" w:eastAsia="Times New Roman" w:hAnsi="Times New Roman"/>
                <w:bCs/>
                <w:sz w:val="24"/>
                <w:szCs w:val="24"/>
              </w:rPr>
              <w:t xml:space="preserve"> 1 milj. EUR, kas ir salīdzinoši lielas investīcijas ESKO, kuras tikai uzsāk savu darbību attiecīgajā jomā. </w:t>
            </w:r>
            <w:r w:rsidRPr="002B162C">
              <w:rPr>
                <w:rFonts w:ascii="Times New Roman" w:eastAsia="Times New Roman" w:hAnsi="Times New Roman"/>
                <w:bCs/>
                <w:sz w:val="24"/>
                <w:szCs w:val="24"/>
              </w:rPr>
              <w:t xml:space="preserve">Turklāt, jāņem vērā, ka ESKO kompānijām to veiksmīgas darbības nodrošināšanai ir būtiski piesaistīt salīdzinoši lielu klientu portfeli (10 klienti un vairāk), kas ļauj diversificēt riskus attiecībā </w:t>
            </w:r>
            <w:r w:rsidRPr="002B162C">
              <w:rPr>
                <w:rFonts w:ascii="Times New Roman" w:eastAsia="Times New Roman" w:hAnsi="Times New Roman"/>
                <w:bCs/>
                <w:sz w:val="24"/>
                <w:szCs w:val="24"/>
              </w:rPr>
              <w:lastRenderedPageBreak/>
              <w:t>uz ESKO pakalpojuma korektu cenošanu. Bez tam ESKO kompānijām ir būtiski piesaistīt jaunus klientus gadu no gada, pretējā gadījumā tas var zaudēt savu kvalifikāciju attiecīgajā tirgus segmentā (energoefektivitātes paaugstināšanas jomā notiek strauja materiālu, risinājumu un tehnoloģiju izaugsme).</w:t>
            </w:r>
          </w:p>
          <w:p w14:paraId="2C819B85" w14:textId="77777777" w:rsidR="00865185" w:rsidRPr="00865185" w:rsidRDefault="00865185" w:rsidP="000E2F9C">
            <w:pPr>
              <w:spacing w:after="0" w:line="240" w:lineRule="auto"/>
              <w:ind w:firstLine="365"/>
              <w:jc w:val="both"/>
              <w:rPr>
                <w:rFonts w:ascii="Times New Roman" w:eastAsia="Times New Roman" w:hAnsi="Times New Roman"/>
                <w:bCs/>
                <w:sz w:val="24"/>
                <w:szCs w:val="24"/>
              </w:rPr>
            </w:pPr>
            <w:r w:rsidRPr="00865185">
              <w:rPr>
                <w:rFonts w:ascii="Times New Roman" w:eastAsia="Times New Roman" w:hAnsi="Times New Roman"/>
                <w:bCs/>
                <w:sz w:val="24"/>
                <w:szCs w:val="24"/>
              </w:rPr>
              <w:t>Noteikumu projekts dos iespēju ESKO piesaistīt finansējumu ieguldīšanai energoefektivitātes paaugstināšanas pasākumos</w:t>
            </w:r>
            <w:r w:rsidR="00F36727">
              <w:rPr>
                <w:rFonts w:ascii="Times New Roman" w:eastAsia="Times New Roman" w:hAnsi="Times New Roman"/>
                <w:bCs/>
                <w:sz w:val="24"/>
                <w:szCs w:val="24"/>
              </w:rPr>
              <w:t xml:space="preserve"> gan </w:t>
            </w:r>
            <w:r w:rsidRPr="00865185">
              <w:rPr>
                <w:rFonts w:ascii="Times New Roman" w:eastAsia="Times New Roman" w:hAnsi="Times New Roman"/>
                <w:bCs/>
                <w:sz w:val="24"/>
                <w:szCs w:val="24"/>
              </w:rPr>
              <w:t xml:space="preserve"> daudzdzīvokļu dzīvojamās ēkās, sniedzot pakalpojumu daudzdzīvokļu māju dzīvokļu īpašniekiem</w:t>
            </w:r>
            <w:r w:rsidR="00F36727">
              <w:rPr>
                <w:rFonts w:ascii="Times New Roman" w:eastAsia="Times New Roman" w:hAnsi="Times New Roman"/>
                <w:bCs/>
                <w:sz w:val="24"/>
                <w:szCs w:val="24"/>
              </w:rPr>
              <w:t xml:space="preserve">, gan </w:t>
            </w:r>
            <w:r w:rsidR="00C95220">
              <w:rPr>
                <w:rFonts w:ascii="Times New Roman" w:eastAsia="Times New Roman" w:hAnsi="Times New Roman"/>
                <w:bCs/>
                <w:sz w:val="24"/>
                <w:szCs w:val="24"/>
              </w:rPr>
              <w:t xml:space="preserve">dažādu nozaru </w:t>
            </w:r>
            <w:r w:rsidR="00F36727">
              <w:rPr>
                <w:rFonts w:ascii="Times New Roman" w:eastAsia="Times New Roman" w:hAnsi="Times New Roman"/>
                <w:bCs/>
                <w:sz w:val="24"/>
                <w:szCs w:val="24"/>
              </w:rPr>
              <w:t>uzņ</w:t>
            </w:r>
            <w:r w:rsidR="005B614D">
              <w:rPr>
                <w:rFonts w:ascii="Times New Roman" w:eastAsia="Times New Roman" w:hAnsi="Times New Roman"/>
                <w:bCs/>
                <w:sz w:val="24"/>
                <w:szCs w:val="24"/>
              </w:rPr>
              <w:t>ēmumos</w:t>
            </w:r>
            <w:r w:rsidRPr="00865185">
              <w:rPr>
                <w:rFonts w:ascii="Times New Roman" w:eastAsia="Times New Roman" w:hAnsi="Times New Roman"/>
                <w:bCs/>
                <w:sz w:val="24"/>
                <w:szCs w:val="24"/>
              </w:rPr>
              <w:t>. Parasti komersanti pamatā koncentrējas uz savas pamatdarbības izaugsmi (jaunu produktu un tirgu apgūšanu) un energoefektivitātes pasākumu īstenošana nav attiecīgā objekta īpašnieka primārais mērķis. Tas paver ESKO iespēju sniegt energoefektivitātes pakalpojumu attiecīgo objektu īpašniekiem, tiem samazinot energoresursu izmantošanas izmaksas, nekoncentrējot resursus uz tiem nespecifiskām funkcijām. Vienlaikus attiecīgo darījumu īstenošana arī veicina valsts energoefektivitātes uzlabošanas mērķa sasniegšanu.</w:t>
            </w:r>
          </w:p>
          <w:p w14:paraId="0337F5E4" w14:textId="77777777" w:rsidR="00865185" w:rsidRPr="00865185" w:rsidRDefault="00E57641" w:rsidP="000E2F9C">
            <w:pPr>
              <w:spacing w:after="0" w:line="240" w:lineRule="auto"/>
              <w:ind w:firstLine="365"/>
              <w:jc w:val="both"/>
              <w:rPr>
                <w:rFonts w:ascii="Times New Roman" w:eastAsia="Times New Roman" w:hAnsi="Times New Roman"/>
                <w:bCs/>
                <w:sz w:val="24"/>
                <w:szCs w:val="24"/>
              </w:rPr>
            </w:pPr>
            <w:r w:rsidRPr="002B162C">
              <w:rPr>
                <w:rFonts w:ascii="Times New Roman" w:hAnsi="Times New Roman"/>
                <w:sz w:val="24"/>
                <w:szCs w:val="24"/>
              </w:rPr>
              <w:t>Attiecīgais finanšu produkta piedāvājums dod iespēju piesaistīt komercbanku aizdevumus ESKO kompānijām.</w:t>
            </w:r>
            <w:r>
              <w:rPr>
                <w:rFonts w:ascii="Times New Roman" w:hAnsi="Times New Roman"/>
                <w:sz w:val="24"/>
                <w:szCs w:val="24"/>
              </w:rPr>
              <w:t xml:space="preserve"> Komercbankas attiecīgi</w:t>
            </w:r>
            <w:r w:rsidRPr="002B162C">
              <w:rPr>
                <w:rFonts w:ascii="Times New Roman" w:hAnsi="Times New Roman"/>
                <w:sz w:val="24"/>
                <w:szCs w:val="24"/>
              </w:rPr>
              <w:t xml:space="preserve"> var palielināt ESKO tirgus daļu un, iegūstot papildus pieredzi attiecīgajā tirgus segmentā, kāpināt apjomus.</w:t>
            </w:r>
          </w:p>
          <w:p w14:paraId="14E0E4A0" w14:textId="0F489FAC" w:rsidR="00E57641" w:rsidRDefault="00E57641" w:rsidP="000E2F9C">
            <w:pPr>
              <w:spacing w:after="0" w:line="240" w:lineRule="auto"/>
              <w:ind w:firstLine="365"/>
              <w:jc w:val="both"/>
              <w:rPr>
                <w:rFonts w:ascii="Times New Roman" w:eastAsia="Times New Roman" w:hAnsi="Times New Roman"/>
                <w:bCs/>
                <w:sz w:val="24"/>
                <w:szCs w:val="24"/>
              </w:rPr>
            </w:pPr>
            <w:r>
              <w:rPr>
                <w:rFonts w:ascii="Times New Roman" w:eastAsia="Times New Roman" w:hAnsi="Times New Roman"/>
                <w:bCs/>
                <w:sz w:val="24"/>
                <w:szCs w:val="24"/>
              </w:rPr>
              <w:t>Attiecībā uz jau šobrīd sniegto atbalstu energoefektivitātes pasākumiem daudzdzīvokļu mājās, d</w:t>
            </w:r>
            <w:r w:rsidRPr="00865185">
              <w:rPr>
                <w:rFonts w:ascii="Times New Roman" w:eastAsia="Times New Roman" w:hAnsi="Times New Roman"/>
                <w:bCs/>
                <w:sz w:val="24"/>
                <w:szCs w:val="24"/>
              </w:rPr>
              <w:t>audzdzīvokļu māju dzīvokļu īpašnieki (ar pilnvarotās personas starpniecību) šajā gadījumā var pretendēt tikai uz atbalstu granta veidā, kas tiek sniegts saskaņā ar 2016.gada 15.marta Ministru kabineta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Šajā gadījumā dzīvokļu īpašnieki nepiesaista aizdevumu finansējum</w:t>
            </w:r>
            <w:r w:rsidR="00293B28">
              <w:rPr>
                <w:rFonts w:ascii="Times New Roman" w:eastAsia="Times New Roman" w:hAnsi="Times New Roman"/>
                <w:bCs/>
                <w:sz w:val="24"/>
                <w:szCs w:val="24"/>
              </w:rPr>
              <w:t>u</w:t>
            </w:r>
            <w:r w:rsidRPr="00865185">
              <w:rPr>
                <w:rFonts w:ascii="Times New Roman" w:eastAsia="Times New Roman" w:hAnsi="Times New Roman"/>
                <w:bCs/>
                <w:sz w:val="24"/>
                <w:szCs w:val="24"/>
              </w:rPr>
              <w:t xml:space="preserve"> paši, bet izmanto</w:t>
            </w:r>
            <w:r w:rsidR="00293B28">
              <w:rPr>
                <w:rFonts w:ascii="Times New Roman" w:eastAsia="Times New Roman" w:hAnsi="Times New Roman"/>
                <w:bCs/>
                <w:sz w:val="24"/>
                <w:szCs w:val="24"/>
              </w:rPr>
              <w:t>jo</w:t>
            </w:r>
            <w:r w:rsidRPr="00865185">
              <w:rPr>
                <w:rFonts w:ascii="Times New Roman" w:eastAsia="Times New Roman" w:hAnsi="Times New Roman"/>
                <w:bCs/>
                <w:sz w:val="24"/>
                <w:szCs w:val="24"/>
              </w:rPr>
              <w:t>t ESKO pakalpojumu, slēdzot ar ESKO energoefektivitātes uzlabošanas pakalpojuma līgumu, kas paredz cita starpā ESKO ieguldījumu apmēru energoefektivitātes pasākumu realizācijai daudzdzīvokļu mājā un dzīvokļu īpašnieku norēķinu kārtību par ESKO sniegtajiem pakalpojumiem.</w:t>
            </w:r>
          </w:p>
          <w:p w14:paraId="12AF9BD5" w14:textId="77777777" w:rsidR="00C32AA9" w:rsidRPr="003C25D2" w:rsidRDefault="00C32AA9" w:rsidP="000E2F9C">
            <w:pPr>
              <w:spacing w:after="0" w:line="240" w:lineRule="auto"/>
              <w:ind w:firstLine="365"/>
              <w:jc w:val="both"/>
              <w:rPr>
                <w:rFonts w:ascii="Times New Roman" w:hAnsi="Times New Roman"/>
                <w:sz w:val="24"/>
                <w:szCs w:val="24"/>
              </w:rPr>
            </w:pPr>
          </w:p>
          <w:p w14:paraId="75F9EC5A" w14:textId="77777777" w:rsidR="003C25D2" w:rsidRPr="003C25D2" w:rsidRDefault="003E6546" w:rsidP="003C25D2">
            <w:pPr>
              <w:spacing w:after="0" w:line="240" w:lineRule="auto"/>
              <w:ind w:firstLine="365"/>
              <w:jc w:val="both"/>
              <w:rPr>
                <w:rFonts w:ascii="Times New Roman" w:hAnsi="Times New Roman"/>
                <w:sz w:val="24"/>
                <w:szCs w:val="24"/>
              </w:rPr>
            </w:pPr>
            <w:r w:rsidRPr="003C25D2">
              <w:rPr>
                <w:rFonts w:ascii="Times New Roman" w:hAnsi="Times New Roman"/>
                <w:sz w:val="24"/>
                <w:szCs w:val="24"/>
              </w:rPr>
              <w:t xml:space="preserve">Noteikumu projekts neparedz ietekmi uz komercbanku kreditēšanas politiku. Ņemot vērā līdzšinējo praksi, </w:t>
            </w:r>
            <w:r w:rsidR="00CA1EFD">
              <w:rPr>
                <w:rFonts w:ascii="Times New Roman" w:hAnsi="Times New Roman"/>
                <w:sz w:val="24"/>
                <w:szCs w:val="24"/>
              </w:rPr>
              <w:t>paralēlais</w:t>
            </w:r>
            <w:r w:rsidRPr="003C25D2">
              <w:rPr>
                <w:rFonts w:ascii="Times New Roman" w:hAnsi="Times New Roman"/>
                <w:sz w:val="24"/>
                <w:szCs w:val="24"/>
              </w:rPr>
              <w:t xml:space="preserve"> aizdevums tiek izsniegts vienlaikus ar komercbanku finansējumu gadījumos, kad darījums ir augstāka riska (tā piemēram, neto ieņēmumu un uzņemto saistību attiecība nav atbilstoša komercbanku</w:t>
            </w:r>
            <w:r w:rsidR="003C25D2">
              <w:rPr>
                <w:rFonts w:ascii="Times New Roman" w:hAnsi="Times New Roman"/>
                <w:sz w:val="24"/>
                <w:szCs w:val="24"/>
              </w:rPr>
              <w:t xml:space="preserve"> </w:t>
            </w:r>
            <w:r w:rsidR="003C25D2" w:rsidRPr="003C25D2">
              <w:rPr>
                <w:rFonts w:ascii="Times New Roman" w:hAnsi="Times New Roman"/>
                <w:sz w:val="24"/>
                <w:szCs w:val="24"/>
              </w:rPr>
              <w:t xml:space="preserve">kredītpolitikai). Kredītiestāde (meitas sabiedrība) kreditē klientus uz tirgus nosacījumiem. Pirms aizdevumu izsniegšanas tiek slēgts trīspusējais līgums starp kredītiestādi, </w:t>
            </w:r>
            <w:r w:rsidR="00C336E8" w:rsidRPr="00300F26">
              <w:rPr>
                <w:rFonts w:ascii="Times New Roman" w:eastAsia="Times New Roman" w:hAnsi="Times New Roman"/>
                <w:iCs/>
                <w:sz w:val="24"/>
                <w:szCs w:val="24"/>
                <w:lang w:eastAsia="lv-LV"/>
              </w:rPr>
              <w:t>AS “Attīstības finanšu institūcija Altum” (turpmāk –</w:t>
            </w:r>
            <w:r w:rsidR="00C336E8">
              <w:rPr>
                <w:rFonts w:ascii="Times New Roman" w:eastAsia="Times New Roman" w:hAnsi="Times New Roman"/>
                <w:iCs/>
                <w:sz w:val="24"/>
                <w:szCs w:val="24"/>
                <w:lang w:eastAsia="lv-LV"/>
              </w:rPr>
              <w:t xml:space="preserve"> </w:t>
            </w:r>
            <w:r w:rsidR="00C336E8" w:rsidRPr="003C25D2">
              <w:rPr>
                <w:rFonts w:ascii="Times New Roman" w:hAnsi="Times New Roman"/>
                <w:sz w:val="24"/>
                <w:szCs w:val="24"/>
              </w:rPr>
              <w:t>sabiedrīb</w:t>
            </w:r>
            <w:r w:rsidR="00C336E8">
              <w:rPr>
                <w:rFonts w:ascii="Times New Roman" w:hAnsi="Times New Roman"/>
                <w:sz w:val="24"/>
                <w:szCs w:val="24"/>
              </w:rPr>
              <w:t>a</w:t>
            </w:r>
            <w:r w:rsidR="00C336E8" w:rsidRPr="003C25D2">
              <w:rPr>
                <w:rFonts w:ascii="Times New Roman" w:hAnsi="Times New Roman"/>
                <w:sz w:val="24"/>
                <w:szCs w:val="24"/>
              </w:rPr>
              <w:t xml:space="preserve"> </w:t>
            </w:r>
            <w:r w:rsidR="00C336E8" w:rsidRPr="00300F26">
              <w:rPr>
                <w:rFonts w:ascii="Times New Roman" w:eastAsia="Times New Roman" w:hAnsi="Times New Roman"/>
                <w:iCs/>
                <w:sz w:val="24"/>
                <w:szCs w:val="24"/>
                <w:lang w:eastAsia="lv-LV"/>
              </w:rPr>
              <w:t>Altum)</w:t>
            </w:r>
            <w:r w:rsidR="00C336E8">
              <w:rPr>
                <w:rFonts w:ascii="Times New Roman" w:eastAsia="Times New Roman" w:hAnsi="Times New Roman"/>
                <w:iCs/>
                <w:sz w:val="24"/>
                <w:szCs w:val="24"/>
                <w:lang w:eastAsia="lv-LV"/>
              </w:rPr>
              <w:t xml:space="preserve"> </w:t>
            </w:r>
            <w:r w:rsidR="003C25D2" w:rsidRPr="003C25D2">
              <w:rPr>
                <w:rFonts w:ascii="Times New Roman" w:hAnsi="Times New Roman"/>
                <w:sz w:val="24"/>
                <w:szCs w:val="24"/>
              </w:rPr>
              <w:t>un aizņēmēju, kas atrunā līguma slēdzēju pušu saistības un subordinācijas nosacījumus (noteikumu projekta  7.</w:t>
            </w:r>
            <w:r w:rsidR="002B162E">
              <w:rPr>
                <w:rFonts w:ascii="Times New Roman" w:hAnsi="Times New Roman"/>
                <w:sz w:val="24"/>
                <w:szCs w:val="24"/>
              </w:rPr>
              <w:t> </w:t>
            </w:r>
            <w:r w:rsidR="003C25D2" w:rsidRPr="003C25D2">
              <w:rPr>
                <w:rFonts w:ascii="Times New Roman" w:hAnsi="Times New Roman"/>
                <w:sz w:val="24"/>
                <w:szCs w:val="24"/>
              </w:rPr>
              <w:t xml:space="preserve">punkts). </w:t>
            </w:r>
          </w:p>
          <w:p w14:paraId="0FED3ED2" w14:textId="77777777" w:rsidR="003C25D2" w:rsidRPr="003C25D2" w:rsidRDefault="00C63D4E" w:rsidP="003C25D2">
            <w:pPr>
              <w:spacing w:after="0" w:line="240" w:lineRule="auto"/>
              <w:ind w:firstLine="365"/>
              <w:jc w:val="both"/>
              <w:rPr>
                <w:rFonts w:ascii="Times New Roman" w:hAnsi="Times New Roman"/>
                <w:sz w:val="24"/>
                <w:szCs w:val="24"/>
              </w:rPr>
            </w:pPr>
            <w:r>
              <w:rPr>
                <w:rFonts w:ascii="Times New Roman" w:hAnsi="Times New Roman"/>
                <w:sz w:val="24"/>
                <w:szCs w:val="24"/>
              </w:rPr>
              <w:t>Paralēlais</w:t>
            </w:r>
            <w:r w:rsidR="002B162E" w:rsidRPr="003C25D2">
              <w:rPr>
                <w:rFonts w:ascii="Times New Roman" w:hAnsi="Times New Roman"/>
                <w:sz w:val="24"/>
                <w:szCs w:val="24"/>
              </w:rPr>
              <w:t xml:space="preserve"> </w:t>
            </w:r>
            <w:r w:rsidR="003C25D2" w:rsidRPr="003C25D2">
              <w:rPr>
                <w:rFonts w:ascii="Times New Roman" w:hAnsi="Times New Roman"/>
                <w:sz w:val="24"/>
                <w:szCs w:val="24"/>
              </w:rPr>
              <w:t xml:space="preserve">aizdevums </w:t>
            </w:r>
            <w:r w:rsidR="001C0982">
              <w:rPr>
                <w:rFonts w:ascii="Times New Roman" w:hAnsi="Times New Roman"/>
                <w:sz w:val="24"/>
                <w:szCs w:val="24"/>
              </w:rPr>
              <w:t>ESKO</w:t>
            </w:r>
            <w:r w:rsidR="003C25D2" w:rsidRPr="003C25D2">
              <w:rPr>
                <w:rFonts w:ascii="Times New Roman" w:hAnsi="Times New Roman"/>
                <w:sz w:val="24"/>
                <w:szCs w:val="24"/>
              </w:rPr>
              <w:t xml:space="preserve"> tiks sniegts kā reģionālais </w:t>
            </w:r>
            <w:r w:rsidR="003C25D2" w:rsidRPr="003C25D2">
              <w:rPr>
                <w:rFonts w:ascii="Times New Roman" w:hAnsi="Times New Roman"/>
                <w:sz w:val="24"/>
                <w:szCs w:val="24"/>
              </w:rPr>
              <w:lastRenderedPageBreak/>
              <w:t xml:space="preserve">ieguldījuma atbalsts saskaņā ar  Komisijas 2014.gada 17.jūnija Regulas (ES) Nr. 651/2014, ar ko noteiktas atbalsta kategorijas atzīst par saderīgām ar iekšējo tirgu, piemērojot Līguma 107. un 108. pantu (vispārējā grupu atbrīvojuma regula) (turpmāk – Komisijas regula Nr.651/2014) (Eiropas Savienības Oficiālais Vēstnesis, 2014.gada 26.jūnijs, L 187) 13. un 14.pantu. </w:t>
            </w:r>
          </w:p>
          <w:p w14:paraId="1B8FB72A" w14:textId="77777777" w:rsidR="00B472DB" w:rsidRPr="00727708" w:rsidRDefault="00B472DB" w:rsidP="003C25D2">
            <w:pPr>
              <w:spacing w:after="0" w:line="240" w:lineRule="auto"/>
              <w:ind w:firstLine="365"/>
              <w:jc w:val="both"/>
              <w:rPr>
                <w:rFonts w:ascii="Times New Roman" w:hAnsi="Times New Roman"/>
                <w:sz w:val="24"/>
                <w:szCs w:val="24"/>
              </w:rPr>
            </w:pPr>
            <w:r>
              <w:rPr>
                <w:rFonts w:ascii="Times New Roman" w:hAnsi="Times New Roman"/>
                <w:sz w:val="24"/>
                <w:szCs w:val="24"/>
              </w:rPr>
              <w:t xml:space="preserve">Ņemot vērā ESKO darbības specifiku, tie darbojas </w:t>
            </w:r>
            <w:r w:rsidR="009E20E6">
              <w:rPr>
                <w:rFonts w:ascii="Times New Roman" w:hAnsi="Times New Roman"/>
                <w:sz w:val="24"/>
                <w:szCs w:val="24"/>
              </w:rPr>
              <w:t>dažādās</w:t>
            </w:r>
            <w:r>
              <w:rPr>
                <w:rFonts w:ascii="Times New Roman" w:hAnsi="Times New Roman"/>
                <w:sz w:val="24"/>
                <w:szCs w:val="24"/>
              </w:rPr>
              <w:t xml:space="preserve"> nozarēs</w:t>
            </w:r>
            <w:r w:rsidR="009E20E6">
              <w:rPr>
                <w:rFonts w:ascii="Times New Roman" w:hAnsi="Times New Roman"/>
                <w:sz w:val="24"/>
                <w:szCs w:val="24"/>
              </w:rPr>
              <w:t>, piemēram,</w:t>
            </w:r>
            <w:r>
              <w:rPr>
                <w:rFonts w:ascii="Times New Roman" w:hAnsi="Times New Roman"/>
                <w:sz w:val="24"/>
                <w:szCs w:val="24"/>
              </w:rPr>
              <w:t xml:space="preserve"> </w:t>
            </w:r>
            <w:r w:rsidR="009E20E6" w:rsidRPr="009E20E6">
              <w:rPr>
                <w:rFonts w:ascii="Times New Roman" w:hAnsi="Times New Roman"/>
                <w:sz w:val="24"/>
                <w:szCs w:val="24"/>
              </w:rPr>
              <w:t xml:space="preserve">operācijas ar nekustamo īpašumu, </w:t>
            </w:r>
            <w:r w:rsidR="001A2D8A" w:rsidRPr="009E20E6">
              <w:rPr>
                <w:rFonts w:ascii="Times New Roman" w:hAnsi="Times New Roman"/>
                <w:sz w:val="24"/>
                <w:szCs w:val="24"/>
              </w:rPr>
              <w:t>fi</w:t>
            </w:r>
            <w:r w:rsidR="006E2597">
              <w:rPr>
                <w:rFonts w:ascii="Times New Roman" w:hAnsi="Times New Roman"/>
                <w:sz w:val="24"/>
                <w:szCs w:val="24"/>
              </w:rPr>
              <w:t xml:space="preserve">nanšu un apdrošināšanas darbība (ne kā galvenā </w:t>
            </w:r>
            <w:r w:rsidR="00560CCB">
              <w:rPr>
                <w:rFonts w:ascii="Times New Roman" w:hAnsi="Times New Roman"/>
                <w:sz w:val="24"/>
                <w:szCs w:val="24"/>
              </w:rPr>
              <w:t xml:space="preserve">uzņēmuma </w:t>
            </w:r>
            <w:r w:rsidR="006E2597">
              <w:rPr>
                <w:rFonts w:ascii="Times New Roman" w:hAnsi="Times New Roman"/>
                <w:sz w:val="24"/>
                <w:szCs w:val="24"/>
              </w:rPr>
              <w:t xml:space="preserve">darbības joma – atbilstoši </w:t>
            </w:r>
            <w:r w:rsidR="006E2597" w:rsidRPr="003C25D2">
              <w:rPr>
                <w:rFonts w:ascii="Times New Roman" w:hAnsi="Times New Roman"/>
                <w:sz w:val="24"/>
                <w:szCs w:val="24"/>
              </w:rPr>
              <w:t>Komisijas regula</w:t>
            </w:r>
            <w:r w:rsidR="006E2597">
              <w:rPr>
                <w:rFonts w:ascii="Times New Roman" w:hAnsi="Times New Roman"/>
                <w:sz w:val="24"/>
                <w:szCs w:val="24"/>
              </w:rPr>
              <w:t>s</w:t>
            </w:r>
            <w:r w:rsidR="006E2597" w:rsidRPr="003C25D2">
              <w:rPr>
                <w:rFonts w:ascii="Times New Roman" w:hAnsi="Times New Roman"/>
                <w:sz w:val="24"/>
                <w:szCs w:val="24"/>
              </w:rPr>
              <w:t xml:space="preserve"> Nr.651/2014</w:t>
            </w:r>
            <w:r w:rsidR="006E2597">
              <w:rPr>
                <w:rFonts w:ascii="Times New Roman" w:hAnsi="Times New Roman"/>
                <w:sz w:val="24"/>
                <w:szCs w:val="24"/>
              </w:rPr>
              <w:t xml:space="preserve"> 13.panta “e” apakšpunktam)</w:t>
            </w:r>
            <w:r w:rsidR="001A2D8A" w:rsidRPr="009E20E6">
              <w:rPr>
                <w:rFonts w:ascii="Times New Roman" w:hAnsi="Times New Roman"/>
                <w:sz w:val="24"/>
                <w:szCs w:val="24"/>
              </w:rPr>
              <w:t xml:space="preserve">, </w:t>
            </w:r>
            <w:r w:rsidR="009E20E6" w:rsidRPr="009E20E6">
              <w:rPr>
                <w:rFonts w:ascii="Times New Roman" w:hAnsi="Times New Roman"/>
                <w:sz w:val="24"/>
                <w:szCs w:val="24"/>
              </w:rPr>
              <w:t xml:space="preserve">vairumtirdzniecība </w:t>
            </w:r>
            <w:r w:rsidR="009E20E6" w:rsidRPr="00727708">
              <w:rPr>
                <w:rFonts w:ascii="Times New Roman" w:hAnsi="Times New Roman"/>
                <w:sz w:val="24"/>
                <w:szCs w:val="24"/>
              </w:rPr>
              <w:t>un mazumtirdzniecība, transportlīdzekļu, mašīnu un iekārtu, individuālās lietošanas priekšmetu, sadzīves aparatūras un iekārtu iznomāšana, elektroenerģija un siltumapgāde</w:t>
            </w:r>
            <w:r w:rsidR="00842416" w:rsidRPr="00727708">
              <w:rPr>
                <w:rFonts w:ascii="Times New Roman" w:hAnsi="Times New Roman"/>
                <w:sz w:val="24"/>
                <w:szCs w:val="24"/>
              </w:rPr>
              <w:t xml:space="preserve"> (lokālā)</w:t>
            </w:r>
            <w:r w:rsidR="009E20E6" w:rsidRPr="00727708">
              <w:rPr>
                <w:rFonts w:ascii="Times New Roman" w:hAnsi="Times New Roman"/>
                <w:sz w:val="24"/>
                <w:szCs w:val="24"/>
              </w:rPr>
              <w:t xml:space="preserve"> u.c.</w:t>
            </w:r>
          </w:p>
          <w:p w14:paraId="73727490" w14:textId="77777777" w:rsidR="00C32AA9" w:rsidRPr="00727708" w:rsidRDefault="00842416" w:rsidP="003C25D2">
            <w:pPr>
              <w:spacing w:after="0" w:line="240" w:lineRule="auto"/>
              <w:ind w:firstLine="365"/>
              <w:jc w:val="both"/>
              <w:rPr>
                <w:rFonts w:ascii="Times New Roman" w:hAnsi="Times New Roman"/>
                <w:sz w:val="24"/>
                <w:szCs w:val="24"/>
              </w:rPr>
            </w:pPr>
            <w:r w:rsidRPr="00727708">
              <w:rPr>
                <w:rFonts w:ascii="Times New Roman" w:hAnsi="Times New Roman"/>
                <w:sz w:val="24"/>
                <w:szCs w:val="24"/>
              </w:rPr>
              <w:t>Paralēlais</w:t>
            </w:r>
            <w:r w:rsidR="003C25D2" w:rsidRPr="00727708">
              <w:rPr>
                <w:rFonts w:ascii="Times New Roman" w:hAnsi="Times New Roman"/>
                <w:sz w:val="24"/>
                <w:szCs w:val="24"/>
              </w:rPr>
              <w:t xml:space="preserve"> aizdevums var tikt izmantots, lai finansētu sākotnējās investīcijas vai sākotnējas investīcijas jaunā ekonomiskā aktivitātē, vienlaikus ievērojot, ka ieguldījumiem jābūt veiktiem Latvijas Republikas teritorijā. Ievērojot attiecīgās noteikumu projektu normas, </w:t>
            </w:r>
            <w:r w:rsidRPr="00727708">
              <w:rPr>
                <w:rFonts w:ascii="Times New Roman" w:hAnsi="Times New Roman"/>
                <w:sz w:val="24"/>
                <w:szCs w:val="24"/>
              </w:rPr>
              <w:t>paralēlo</w:t>
            </w:r>
            <w:r w:rsidR="003C25D2" w:rsidRPr="00727708">
              <w:rPr>
                <w:rFonts w:ascii="Times New Roman" w:hAnsi="Times New Roman"/>
                <w:sz w:val="24"/>
                <w:szCs w:val="24"/>
              </w:rPr>
              <w:t xml:space="preserve"> aizdevumu iespējams izmantot, lai finansētu tādus ieguldījumu projektus, kas paredz būtiskas pārmaiņas ražošanas procesā un esošās uzņēmējdarbības vietas darbības dažādošanu.</w:t>
            </w:r>
          </w:p>
          <w:p w14:paraId="08EE9BE5" w14:textId="77777777" w:rsidR="00E33E85" w:rsidRPr="00E33E85" w:rsidRDefault="00E33E85" w:rsidP="00E33E85">
            <w:pPr>
              <w:spacing w:after="0" w:line="240" w:lineRule="auto"/>
              <w:ind w:firstLine="365"/>
              <w:jc w:val="both"/>
              <w:rPr>
                <w:rFonts w:ascii="Times New Roman" w:hAnsi="Times New Roman"/>
                <w:sz w:val="24"/>
                <w:szCs w:val="24"/>
              </w:rPr>
            </w:pPr>
            <w:r w:rsidRPr="00727708">
              <w:rPr>
                <w:rFonts w:ascii="Times New Roman" w:hAnsi="Times New Roman"/>
                <w:sz w:val="24"/>
                <w:szCs w:val="24"/>
              </w:rPr>
              <w:t xml:space="preserve">Noteikumu projekts paredz, ka </w:t>
            </w:r>
            <w:r w:rsidR="00EC60A1" w:rsidRPr="00727708">
              <w:rPr>
                <w:rFonts w:ascii="Times New Roman" w:hAnsi="Times New Roman"/>
                <w:sz w:val="24"/>
                <w:szCs w:val="24"/>
              </w:rPr>
              <w:t>paralēlā</w:t>
            </w:r>
            <w:r w:rsidRPr="00727708">
              <w:rPr>
                <w:rFonts w:ascii="Times New Roman" w:hAnsi="Times New Roman"/>
                <w:sz w:val="24"/>
                <w:szCs w:val="24"/>
              </w:rPr>
              <w:t xml:space="preserve"> aizdevuma apmērs nepārsniedz 5 000 000 euro no aizdevuma kopsummas vienam saimnieciskās darbības veicējam. </w:t>
            </w:r>
            <w:r w:rsidR="006862D0" w:rsidRPr="00727708">
              <w:rPr>
                <w:rFonts w:ascii="Times New Roman" w:hAnsi="Times New Roman"/>
                <w:sz w:val="24"/>
                <w:szCs w:val="24"/>
              </w:rPr>
              <w:t>Paralēlā</w:t>
            </w:r>
            <w:r w:rsidR="002B162E" w:rsidRPr="00727708">
              <w:rPr>
                <w:rFonts w:ascii="Times New Roman" w:hAnsi="Times New Roman"/>
                <w:sz w:val="24"/>
                <w:szCs w:val="24"/>
              </w:rPr>
              <w:t xml:space="preserve"> </w:t>
            </w:r>
            <w:r w:rsidRPr="00727708">
              <w:rPr>
                <w:rFonts w:ascii="Times New Roman" w:hAnsi="Times New Roman"/>
                <w:sz w:val="24"/>
                <w:szCs w:val="24"/>
              </w:rPr>
              <w:t xml:space="preserve">aizdevuma īpatsvars ir atkarīgs no saimnieciskā darbības veicēja statusa un aizdevuma apmēra. </w:t>
            </w:r>
            <w:r w:rsidR="008C1F0F" w:rsidRPr="00727708">
              <w:rPr>
                <w:rFonts w:ascii="Times New Roman" w:hAnsi="Times New Roman"/>
                <w:sz w:val="24"/>
                <w:szCs w:val="24"/>
              </w:rPr>
              <w:t>Paralēlā</w:t>
            </w:r>
            <w:r w:rsidR="002B162E" w:rsidRPr="00727708">
              <w:rPr>
                <w:rFonts w:ascii="Times New Roman" w:hAnsi="Times New Roman"/>
                <w:sz w:val="24"/>
                <w:szCs w:val="24"/>
              </w:rPr>
              <w:t xml:space="preserve"> </w:t>
            </w:r>
            <w:r w:rsidRPr="00727708">
              <w:rPr>
                <w:rFonts w:ascii="Times New Roman" w:hAnsi="Times New Roman"/>
                <w:sz w:val="24"/>
                <w:szCs w:val="24"/>
              </w:rPr>
              <w:t>aizdevuma apmērs ir 45 % no noteikumu</w:t>
            </w:r>
            <w:r w:rsidRPr="00E33E85">
              <w:rPr>
                <w:rFonts w:ascii="Times New Roman" w:hAnsi="Times New Roman"/>
                <w:sz w:val="24"/>
                <w:szCs w:val="24"/>
              </w:rPr>
              <w:t xml:space="preserve"> projektā definētajām ieguldījuma projekta attiecināmajām izmaksām mikro, mazam un vidējam saimnieciskās darbības veicējam un 35 % - lielajam saimnieciskās darbības veicējam gadījumā, ja </w:t>
            </w:r>
            <w:r w:rsidR="003F5E9F">
              <w:rPr>
                <w:rFonts w:ascii="Times New Roman" w:hAnsi="Times New Roman"/>
                <w:sz w:val="24"/>
                <w:szCs w:val="24"/>
              </w:rPr>
              <w:t>paralēlā</w:t>
            </w:r>
            <w:r w:rsidR="002B162E" w:rsidRPr="003C25D2">
              <w:rPr>
                <w:rFonts w:ascii="Times New Roman" w:hAnsi="Times New Roman"/>
                <w:sz w:val="24"/>
                <w:szCs w:val="24"/>
              </w:rPr>
              <w:t xml:space="preserve"> </w:t>
            </w:r>
            <w:r w:rsidRPr="00E33E85">
              <w:rPr>
                <w:rFonts w:ascii="Times New Roman" w:hAnsi="Times New Roman"/>
                <w:sz w:val="24"/>
                <w:szCs w:val="24"/>
              </w:rPr>
              <w:t>aizdevuma apmērs nepārsniedz 2</w:t>
            </w:r>
            <w:r w:rsidR="002B162E">
              <w:rPr>
                <w:rFonts w:ascii="Times New Roman" w:hAnsi="Times New Roman"/>
                <w:sz w:val="24"/>
                <w:szCs w:val="24"/>
              </w:rPr>
              <w:t> </w:t>
            </w:r>
            <w:r w:rsidRPr="00E33E85">
              <w:rPr>
                <w:rFonts w:ascii="Times New Roman" w:hAnsi="Times New Roman"/>
                <w:sz w:val="24"/>
                <w:szCs w:val="24"/>
              </w:rPr>
              <w:t>000</w:t>
            </w:r>
            <w:r w:rsidR="002B162E">
              <w:rPr>
                <w:rFonts w:ascii="Times New Roman" w:hAnsi="Times New Roman"/>
                <w:sz w:val="24"/>
                <w:szCs w:val="24"/>
              </w:rPr>
              <w:t> </w:t>
            </w:r>
            <w:r w:rsidRPr="00E33E85">
              <w:rPr>
                <w:rFonts w:ascii="Times New Roman" w:hAnsi="Times New Roman"/>
                <w:sz w:val="24"/>
                <w:szCs w:val="24"/>
              </w:rPr>
              <w:t xml:space="preserve">000 euro. Finansiāli ietilpīgāku ieguldījumu projektu gadījumā sabiedrības Altum uzņemtā darījuma risku daļa ir mazāka, attiecīgi atbalsta intensitāte ir 35 % mikro, mazajiem, vidējiem un arī lielajiem saimnieciskās darbības veicējiem, ja </w:t>
            </w:r>
            <w:r w:rsidR="003F5E9F">
              <w:rPr>
                <w:rFonts w:ascii="Times New Roman" w:hAnsi="Times New Roman"/>
                <w:sz w:val="24"/>
                <w:szCs w:val="24"/>
              </w:rPr>
              <w:t>paralēlā</w:t>
            </w:r>
            <w:r w:rsidRPr="00E33E85">
              <w:rPr>
                <w:rFonts w:ascii="Times New Roman" w:hAnsi="Times New Roman"/>
                <w:sz w:val="24"/>
                <w:szCs w:val="24"/>
              </w:rPr>
              <w:t xml:space="preserve"> aizdevuma apmērs ir virs 2 000 000 euro  un tas nepārsniedz 5 000 000 euro. Atbalsta intensitāte ir noteikta, ievērojot Latvijas kartē reģionālās attīstības atbalsta piešķiršanai 2014.-2020. gadam noteikto atbalsta līmeni.</w:t>
            </w:r>
          </w:p>
          <w:p w14:paraId="44DF631A" w14:textId="77777777" w:rsidR="00E33E85" w:rsidRPr="00E33E85" w:rsidRDefault="00E9772A" w:rsidP="00E33E85">
            <w:pPr>
              <w:spacing w:after="0" w:line="240" w:lineRule="auto"/>
              <w:ind w:firstLine="365"/>
              <w:jc w:val="both"/>
              <w:rPr>
                <w:rFonts w:ascii="Times New Roman" w:hAnsi="Times New Roman"/>
                <w:sz w:val="24"/>
                <w:szCs w:val="24"/>
              </w:rPr>
            </w:pPr>
            <w:r>
              <w:rPr>
                <w:rFonts w:ascii="Times New Roman" w:hAnsi="Times New Roman"/>
                <w:sz w:val="24"/>
                <w:szCs w:val="24"/>
              </w:rPr>
              <w:t>Paralēlie</w:t>
            </w:r>
            <w:r w:rsidR="002B162E" w:rsidRPr="003C25D2">
              <w:rPr>
                <w:rFonts w:ascii="Times New Roman" w:hAnsi="Times New Roman"/>
                <w:sz w:val="24"/>
                <w:szCs w:val="24"/>
              </w:rPr>
              <w:t xml:space="preserve"> </w:t>
            </w:r>
            <w:r w:rsidR="00E33E85" w:rsidRPr="00E33E85">
              <w:rPr>
                <w:rFonts w:ascii="Times New Roman" w:hAnsi="Times New Roman"/>
                <w:sz w:val="24"/>
                <w:szCs w:val="24"/>
              </w:rPr>
              <w:t xml:space="preserve">aizdevumi tiek </w:t>
            </w:r>
            <w:r w:rsidR="00E33E85" w:rsidRPr="00881FDB">
              <w:rPr>
                <w:rFonts w:ascii="Times New Roman" w:hAnsi="Times New Roman"/>
                <w:sz w:val="24"/>
                <w:szCs w:val="24"/>
              </w:rPr>
              <w:t xml:space="preserve">sniegti ieguldījumu projektu realizēšanai. Ņemot vērā, ka šāda projektu realizēšana ir laikietilpīga, noteikumu projekts paredz atbilstošu </w:t>
            </w:r>
            <w:r w:rsidR="006B06F2" w:rsidRPr="00881FDB">
              <w:rPr>
                <w:rFonts w:ascii="Times New Roman" w:hAnsi="Times New Roman"/>
                <w:sz w:val="24"/>
                <w:szCs w:val="24"/>
              </w:rPr>
              <w:t>paralēlo</w:t>
            </w:r>
            <w:r w:rsidR="00E33E85" w:rsidRPr="00881FDB">
              <w:rPr>
                <w:rFonts w:ascii="Times New Roman" w:hAnsi="Times New Roman"/>
                <w:sz w:val="24"/>
                <w:szCs w:val="24"/>
              </w:rPr>
              <w:t xml:space="preserve"> aizdevuma atmaksas termiņu, kas ir 1</w:t>
            </w:r>
            <w:r w:rsidR="00881FDB" w:rsidRPr="00881FDB">
              <w:rPr>
                <w:rFonts w:ascii="Times New Roman" w:hAnsi="Times New Roman"/>
                <w:sz w:val="24"/>
                <w:szCs w:val="24"/>
              </w:rPr>
              <w:t>5 gadi</w:t>
            </w:r>
            <w:r w:rsidR="00E33E85" w:rsidRPr="00881FDB">
              <w:rPr>
                <w:rFonts w:ascii="Times New Roman" w:hAnsi="Times New Roman"/>
                <w:sz w:val="24"/>
                <w:szCs w:val="24"/>
              </w:rPr>
              <w:t xml:space="preserve">. </w:t>
            </w:r>
          </w:p>
          <w:p w14:paraId="48E9BE27" w14:textId="77777777" w:rsidR="00E33E85" w:rsidRPr="00E33E85" w:rsidRDefault="00E33E85" w:rsidP="00E33E85">
            <w:pPr>
              <w:spacing w:after="0" w:line="240" w:lineRule="auto"/>
              <w:ind w:firstLine="365"/>
              <w:jc w:val="both"/>
              <w:rPr>
                <w:rFonts w:ascii="Times New Roman" w:hAnsi="Times New Roman"/>
                <w:sz w:val="24"/>
                <w:szCs w:val="24"/>
              </w:rPr>
            </w:pPr>
            <w:r w:rsidRPr="00E33E85">
              <w:rPr>
                <w:rFonts w:ascii="Times New Roman" w:hAnsi="Times New Roman"/>
                <w:sz w:val="24"/>
                <w:szCs w:val="24"/>
              </w:rPr>
              <w:t xml:space="preserve">Lai saņemtu </w:t>
            </w:r>
            <w:r w:rsidR="006A6C36">
              <w:rPr>
                <w:rFonts w:ascii="Times New Roman" w:hAnsi="Times New Roman"/>
                <w:sz w:val="24"/>
                <w:szCs w:val="24"/>
              </w:rPr>
              <w:t>paralēlo</w:t>
            </w:r>
            <w:r w:rsidRPr="00E33E85">
              <w:rPr>
                <w:rFonts w:ascii="Times New Roman" w:hAnsi="Times New Roman"/>
                <w:sz w:val="24"/>
                <w:szCs w:val="24"/>
              </w:rPr>
              <w:t xml:space="preserve"> aizdevumu, saimnieciskās darbības veicējam ir jānodrošina finansiālais ieguldījums 25 % apmērā no ieguldījuma projekta attiecināmajām izmaksām, izmantojot pašu līdzekļus vai ārējo finansējumu (t.sk., kredītiestādes), kas ir brīvs no jebkāda valsts atbalsta. Minētais finansējums nevar būt saistīts ar valsts atbalstu, tostarp, tas nevar būt valsts vai pašvaldības izsniegts kredīts uz atvieglotiem nosacījumiem, kā arī minētā finansējuma saņemšanai nevar būt piešķirts valsts vai pašvaldības galvojums. Šāds nosacījums ir noteikts, lai nodrošinātu Komisijas </w:t>
            </w:r>
            <w:r w:rsidRPr="00E33E85">
              <w:rPr>
                <w:rFonts w:ascii="Times New Roman" w:hAnsi="Times New Roman"/>
                <w:sz w:val="24"/>
                <w:szCs w:val="24"/>
              </w:rPr>
              <w:lastRenderedPageBreak/>
              <w:t xml:space="preserve">regulas Nr.651/2014 14.panta 14.punktā noteikto nosacījumu ievērošanu. </w:t>
            </w:r>
          </w:p>
          <w:p w14:paraId="4A30B29D" w14:textId="77777777" w:rsidR="00E33E85" w:rsidRPr="00E33E85" w:rsidRDefault="00E33E85" w:rsidP="00E33E85">
            <w:pPr>
              <w:spacing w:after="0" w:line="240" w:lineRule="auto"/>
              <w:ind w:firstLine="365"/>
              <w:jc w:val="both"/>
              <w:rPr>
                <w:rFonts w:ascii="Times New Roman" w:hAnsi="Times New Roman"/>
                <w:sz w:val="24"/>
                <w:szCs w:val="24"/>
              </w:rPr>
            </w:pPr>
            <w:r w:rsidRPr="00E33E85">
              <w:rPr>
                <w:rFonts w:ascii="Times New Roman" w:hAnsi="Times New Roman"/>
                <w:sz w:val="24"/>
                <w:szCs w:val="24"/>
              </w:rPr>
              <w:t xml:space="preserve">Komisijas regulas Nr.651/2014 1.panta 4.punkts liedz </w:t>
            </w:r>
            <w:r w:rsidR="00DC6D99">
              <w:rPr>
                <w:rFonts w:ascii="Times New Roman" w:hAnsi="Times New Roman"/>
                <w:sz w:val="24"/>
                <w:szCs w:val="24"/>
              </w:rPr>
              <w:t>paralēlos</w:t>
            </w:r>
            <w:r w:rsidRPr="00E33E85">
              <w:rPr>
                <w:rFonts w:ascii="Times New Roman" w:hAnsi="Times New Roman"/>
                <w:sz w:val="24"/>
                <w:szCs w:val="24"/>
              </w:rPr>
              <w:t xml:space="preserve"> aizdevumus piešķirt tiem saimnieciskās darbības veicējiem, kas ir nonākuši finanšu grūtībās, attiecīgi  noteikumu projekts ierobežo </w:t>
            </w:r>
            <w:r w:rsidR="00DC6D99">
              <w:rPr>
                <w:rFonts w:ascii="Times New Roman" w:hAnsi="Times New Roman"/>
                <w:sz w:val="24"/>
                <w:szCs w:val="24"/>
              </w:rPr>
              <w:t>paralēlo</w:t>
            </w:r>
            <w:r w:rsidR="00256500" w:rsidRPr="003C25D2">
              <w:rPr>
                <w:rFonts w:ascii="Times New Roman" w:hAnsi="Times New Roman"/>
                <w:sz w:val="24"/>
                <w:szCs w:val="24"/>
              </w:rPr>
              <w:t xml:space="preserve"> </w:t>
            </w:r>
            <w:r w:rsidRPr="00E33E85">
              <w:rPr>
                <w:rFonts w:ascii="Times New Roman" w:hAnsi="Times New Roman"/>
                <w:sz w:val="24"/>
                <w:szCs w:val="24"/>
              </w:rPr>
              <w:t xml:space="preserve">aizdevumu piešķiršanu saimnieciskās darbības veicējiem, kas ir nonākuši finanšu grūtībās saskaņā ar Komisijas regulas Nr.651/2014 2.panta 18.punktā minētajiem kritērijiem. </w:t>
            </w:r>
          </w:p>
          <w:p w14:paraId="4940FFB6" w14:textId="77777777" w:rsidR="00E33E85" w:rsidRPr="00A65C89" w:rsidRDefault="00DC6D99" w:rsidP="00E33E85">
            <w:pPr>
              <w:spacing w:after="0" w:line="240" w:lineRule="auto"/>
              <w:ind w:firstLine="365"/>
              <w:jc w:val="both"/>
              <w:rPr>
                <w:rFonts w:ascii="Times New Roman" w:hAnsi="Times New Roman"/>
                <w:sz w:val="24"/>
                <w:szCs w:val="24"/>
              </w:rPr>
            </w:pPr>
            <w:r>
              <w:rPr>
                <w:rFonts w:ascii="Times New Roman" w:hAnsi="Times New Roman"/>
                <w:sz w:val="24"/>
                <w:szCs w:val="24"/>
              </w:rPr>
              <w:t>Paralēlo</w:t>
            </w:r>
            <w:r w:rsidR="00256500" w:rsidRPr="003C25D2">
              <w:rPr>
                <w:rFonts w:ascii="Times New Roman" w:hAnsi="Times New Roman"/>
                <w:sz w:val="24"/>
                <w:szCs w:val="24"/>
              </w:rPr>
              <w:t xml:space="preserve"> </w:t>
            </w:r>
            <w:r w:rsidR="00E33E85" w:rsidRPr="00E33E85">
              <w:rPr>
                <w:rFonts w:ascii="Times New Roman" w:hAnsi="Times New Roman"/>
                <w:sz w:val="24"/>
                <w:szCs w:val="24"/>
              </w:rPr>
              <w:t xml:space="preserve">aizdevumu piešķiršanas termiņš ir noteikts 2020.gada 31.decembris, un tas ir noteikts saskaņā ar Komisijas regulas Nr.651/2014 59.pantu. Ja </w:t>
            </w:r>
            <w:r w:rsidR="00CB3212">
              <w:rPr>
                <w:rFonts w:ascii="Times New Roman" w:hAnsi="Times New Roman"/>
                <w:sz w:val="24"/>
                <w:szCs w:val="24"/>
              </w:rPr>
              <w:t>paralēl</w:t>
            </w:r>
            <w:r w:rsidR="001A6C45">
              <w:rPr>
                <w:rFonts w:ascii="Times New Roman" w:hAnsi="Times New Roman"/>
                <w:sz w:val="24"/>
                <w:szCs w:val="24"/>
              </w:rPr>
              <w:t>o</w:t>
            </w:r>
            <w:r w:rsidR="00256500" w:rsidRPr="003C25D2">
              <w:rPr>
                <w:rFonts w:ascii="Times New Roman" w:hAnsi="Times New Roman"/>
                <w:sz w:val="24"/>
                <w:szCs w:val="24"/>
              </w:rPr>
              <w:t xml:space="preserve"> </w:t>
            </w:r>
            <w:r w:rsidR="00E33E85" w:rsidRPr="00E33E85">
              <w:rPr>
                <w:rFonts w:ascii="Times New Roman" w:hAnsi="Times New Roman"/>
                <w:sz w:val="24"/>
                <w:szCs w:val="24"/>
              </w:rPr>
              <w:t>aizdevum</w:t>
            </w:r>
            <w:r w:rsidR="001A6C45">
              <w:rPr>
                <w:rFonts w:ascii="Times New Roman" w:hAnsi="Times New Roman"/>
                <w:sz w:val="24"/>
                <w:szCs w:val="24"/>
              </w:rPr>
              <w:t>u</w:t>
            </w:r>
            <w:r w:rsidR="00E33E85" w:rsidRPr="00E33E85">
              <w:rPr>
                <w:rFonts w:ascii="Times New Roman" w:hAnsi="Times New Roman"/>
                <w:sz w:val="24"/>
                <w:szCs w:val="24"/>
              </w:rPr>
              <w:t xml:space="preserve"> instrumenta īstenošanas laikā sabiedrība Altum konstatēs nepieciešamību palielināt pieejamā publiskā finansējuma apmēru atbilstoši pieprasījumam, EM </w:t>
            </w:r>
            <w:r w:rsidR="00E33E85" w:rsidRPr="00A65C89">
              <w:rPr>
                <w:rFonts w:ascii="Times New Roman" w:hAnsi="Times New Roman"/>
                <w:sz w:val="24"/>
                <w:szCs w:val="24"/>
              </w:rPr>
              <w:t>sadarbībā ar sabiedrību Altum izstrādās un virzīs apstiprināšanai attiecīgos grozījumus.</w:t>
            </w:r>
          </w:p>
          <w:p w14:paraId="5D9EB851" w14:textId="372EEF86" w:rsidR="00E33E85" w:rsidRDefault="00E33E85" w:rsidP="00E33E85">
            <w:pPr>
              <w:spacing w:after="0" w:line="240" w:lineRule="auto"/>
              <w:ind w:firstLine="365"/>
              <w:jc w:val="both"/>
              <w:rPr>
                <w:rFonts w:ascii="Times New Roman" w:hAnsi="Times New Roman"/>
                <w:sz w:val="24"/>
                <w:szCs w:val="24"/>
              </w:rPr>
            </w:pPr>
            <w:r w:rsidRPr="00A65C89">
              <w:rPr>
                <w:rFonts w:ascii="Times New Roman" w:hAnsi="Times New Roman"/>
                <w:sz w:val="24"/>
                <w:szCs w:val="24"/>
              </w:rPr>
              <w:t xml:space="preserve">Ņemot vērā </w:t>
            </w:r>
            <w:r w:rsidR="00223D14" w:rsidRPr="00A65C89">
              <w:rPr>
                <w:rFonts w:ascii="Times New Roman" w:hAnsi="Times New Roman"/>
                <w:sz w:val="24"/>
                <w:szCs w:val="24"/>
              </w:rPr>
              <w:t>paralēlo</w:t>
            </w:r>
            <w:r w:rsidR="00256500" w:rsidRPr="00A65C89">
              <w:rPr>
                <w:rFonts w:ascii="Times New Roman" w:hAnsi="Times New Roman"/>
                <w:sz w:val="24"/>
                <w:szCs w:val="24"/>
              </w:rPr>
              <w:t xml:space="preserve"> </w:t>
            </w:r>
            <w:r w:rsidRPr="00A65C89">
              <w:rPr>
                <w:rFonts w:ascii="Times New Roman" w:hAnsi="Times New Roman"/>
                <w:sz w:val="24"/>
                <w:szCs w:val="24"/>
              </w:rPr>
              <w:t xml:space="preserve">aizdevumu instrumenta īstenošanai paredzēto publisko finansējumu, kā arī </w:t>
            </w:r>
            <w:r w:rsidR="00A51256">
              <w:rPr>
                <w:rFonts w:ascii="Times New Roman" w:eastAsia="Times New Roman" w:hAnsi="Times New Roman"/>
                <w:bCs/>
                <w:sz w:val="24"/>
                <w:szCs w:val="24"/>
              </w:rPr>
              <w:t>d</w:t>
            </w:r>
            <w:r w:rsidR="00A51256" w:rsidRPr="00865185">
              <w:rPr>
                <w:rFonts w:ascii="Times New Roman" w:eastAsia="Times New Roman" w:hAnsi="Times New Roman"/>
                <w:bCs/>
                <w:sz w:val="24"/>
                <w:szCs w:val="24"/>
              </w:rPr>
              <w:t>arbības programmas "Izaugsme un nodarbinātība" 4.2.1. specifiskā atbalsta mērķa "Veicināt energoefektivitātes paaugstināšanu valsts un dzīvojamās ēkās" 4.2.1.1. specifiskā atbalsta mērķa pasākuma "Veicināt energoefektivitātes paaugstināšanu dzīvojamās ēkās"</w:t>
            </w:r>
            <w:r w:rsidR="00A51256">
              <w:rPr>
                <w:rFonts w:ascii="Times New Roman" w:eastAsia="Times New Roman" w:hAnsi="Times New Roman"/>
                <w:bCs/>
                <w:sz w:val="24"/>
                <w:szCs w:val="24"/>
              </w:rPr>
              <w:t xml:space="preserve"> (turpmāk – </w:t>
            </w:r>
            <w:r w:rsidR="006821FD" w:rsidRPr="00A65C89">
              <w:rPr>
                <w:rFonts w:ascii="Times New Roman" w:hAnsi="Times New Roman"/>
                <w:sz w:val="24"/>
                <w:szCs w:val="24"/>
              </w:rPr>
              <w:t>4.2.1.1. pasākum</w:t>
            </w:r>
            <w:r w:rsidR="00A51256">
              <w:rPr>
                <w:rFonts w:ascii="Times New Roman" w:hAnsi="Times New Roman"/>
                <w:sz w:val="24"/>
                <w:szCs w:val="24"/>
              </w:rPr>
              <w:t>s)</w:t>
            </w:r>
            <w:r w:rsidR="006821FD" w:rsidRPr="00A65C89">
              <w:rPr>
                <w:rFonts w:ascii="Times New Roman" w:hAnsi="Times New Roman"/>
                <w:sz w:val="24"/>
                <w:szCs w:val="24"/>
              </w:rPr>
              <w:t xml:space="preserve"> </w:t>
            </w:r>
            <w:r w:rsidRPr="00A65C89">
              <w:rPr>
                <w:rFonts w:ascii="Times New Roman" w:hAnsi="Times New Roman"/>
                <w:sz w:val="24"/>
                <w:szCs w:val="24"/>
              </w:rPr>
              <w:t>ietvaros īstenot</w:t>
            </w:r>
            <w:r w:rsidR="006821FD" w:rsidRPr="00A65C89">
              <w:rPr>
                <w:rFonts w:ascii="Times New Roman" w:hAnsi="Times New Roman"/>
                <w:sz w:val="24"/>
                <w:szCs w:val="24"/>
              </w:rPr>
              <w:t>o daudzdzīvokļu māju energoefektivitātes paaugstināšanas projektu izmaksas</w:t>
            </w:r>
            <w:r w:rsidRPr="00A65C89">
              <w:rPr>
                <w:rFonts w:ascii="Times New Roman" w:hAnsi="Times New Roman"/>
                <w:sz w:val="24"/>
                <w:szCs w:val="24"/>
              </w:rPr>
              <w:t xml:space="preserve">, tiek prognozēts, ka </w:t>
            </w:r>
            <w:r w:rsidR="006E308C" w:rsidRPr="00A65C89">
              <w:rPr>
                <w:rFonts w:ascii="Times New Roman" w:hAnsi="Times New Roman"/>
                <w:sz w:val="24"/>
                <w:szCs w:val="24"/>
              </w:rPr>
              <w:t xml:space="preserve">paralēlo </w:t>
            </w:r>
            <w:r w:rsidRPr="00A65C89">
              <w:rPr>
                <w:rFonts w:ascii="Times New Roman" w:hAnsi="Times New Roman"/>
                <w:sz w:val="24"/>
                <w:szCs w:val="24"/>
              </w:rPr>
              <w:t xml:space="preserve">aizdevumu instrumenta ietvarā tiks </w:t>
            </w:r>
            <w:r w:rsidR="006E308C" w:rsidRPr="00A65C89">
              <w:rPr>
                <w:rFonts w:ascii="Times New Roman" w:hAnsi="Times New Roman"/>
                <w:sz w:val="24"/>
                <w:szCs w:val="24"/>
              </w:rPr>
              <w:t>izsniegti 3</w:t>
            </w:r>
            <w:r w:rsidRPr="00A65C89">
              <w:rPr>
                <w:rFonts w:ascii="Times New Roman" w:hAnsi="Times New Roman"/>
                <w:sz w:val="24"/>
                <w:szCs w:val="24"/>
              </w:rPr>
              <w:t>0</w:t>
            </w:r>
            <w:r w:rsidR="006E308C" w:rsidRPr="00A65C89">
              <w:rPr>
                <w:rFonts w:ascii="Times New Roman" w:hAnsi="Times New Roman"/>
                <w:sz w:val="24"/>
                <w:szCs w:val="24"/>
              </w:rPr>
              <w:t xml:space="preserve"> aizdevumi</w:t>
            </w:r>
            <w:r w:rsidRPr="00A65C89">
              <w:rPr>
                <w:rFonts w:ascii="Times New Roman" w:hAnsi="Times New Roman"/>
                <w:sz w:val="24"/>
                <w:szCs w:val="24"/>
              </w:rPr>
              <w:t xml:space="preserve"> </w:t>
            </w:r>
            <w:r w:rsidR="006E308C" w:rsidRPr="00A65C89">
              <w:rPr>
                <w:rFonts w:ascii="Times New Roman" w:hAnsi="Times New Roman"/>
                <w:sz w:val="24"/>
                <w:szCs w:val="24"/>
              </w:rPr>
              <w:t>ESKO</w:t>
            </w:r>
            <w:r w:rsidR="001C512F" w:rsidRPr="00A65C89">
              <w:rPr>
                <w:rFonts w:ascii="Times New Roman" w:hAnsi="Times New Roman"/>
                <w:sz w:val="24"/>
                <w:szCs w:val="24"/>
              </w:rPr>
              <w:t xml:space="preserve"> (viens paralēlais aizdevums var tikt izsniegts vairāku energoefektivitātes paaugstināšanas projektu īstenošanai, izmaksājot to pa daļām atbilstoši īstenotajiem projektiem)</w:t>
            </w:r>
            <w:r w:rsidRPr="00A65C89">
              <w:rPr>
                <w:rFonts w:ascii="Times New Roman" w:hAnsi="Times New Roman"/>
                <w:sz w:val="24"/>
                <w:szCs w:val="24"/>
              </w:rPr>
              <w:t xml:space="preserve">. </w:t>
            </w:r>
          </w:p>
          <w:p w14:paraId="2D11D50B" w14:textId="242263B7" w:rsidR="00A907F1" w:rsidRPr="00A65C89" w:rsidRDefault="00A907F1" w:rsidP="00E33E85">
            <w:pPr>
              <w:spacing w:after="0" w:line="240" w:lineRule="auto"/>
              <w:ind w:firstLine="365"/>
              <w:jc w:val="both"/>
              <w:rPr>
                <w:rFonts w:ascii="Times New Roman" w:hAnsi="Times New Roman"/>
                <w:sz w:val="24"/>
                <w:szCs w:val="24"/>
              </w:rPr>
            </w:pPr>
            <w:r>
              <w:rPr>
                <w:rFonts w:ascii="Times New Roman" w:hAnsi="Times New Roman"/>
                <w:sz w:val="24"/>
                <w:szCs w:val="24"/>
              </w:rPr>
              <w:t xml:space="preserve">ESKO atbalsta pasākums attiecas uz energoefektivitātes pasākumu īstenošanu un sabiedrība Altum </w:t>
            </w:r>
            <w:r w:rsidR="00A70BBB">
              <w:rPr>
                <w:rFonts w:ascii="Times New Roman" w:hAnsi="Times New Roman"/>
                <w:sz w:val="24"/>
                <w:szCs w:val="24"/>
              </w:rPr>
              <w:t xml:space="preserve">jau </w:t>
            </w:r>
            <w:r>
              <w:rPr>
                <w:rFonts w:ascii="Times New Roman" w:hAnsi="Times New Roman"/>
                <w:sz w:val="24"/>
                <w:szCs w:val="24"/>
              </w:rPr>
              <w:t xml:space="preserve">ir noslēgusi finansēšanas nolīgumu </w:t>
            </w:r>
            <w:r w:rsidR="00A70BBB" w:rsidRPr="00853554">
              <w:rPr>
                <w:rFonts w:ascii="Times New Roman" w:hAnsi="Times New Roman"/>
                <w:sz w:val="24"/>
                <w:szCs w:val="24"/>
              </w:rPr>
              <w:t xml:space="preserve">atbilstoši </w:t>
            </w:r>
            <w:r w:rsidR="001914C9" w:rsidRPr="000F7E0A">
              <w:rPr>
                <w:rFonts w:ascii="Times New Roman" w:hAnsi="Times New Roman"/>
                <w:sz w:val="24"/>
                <w:szCs w:val="24"/>
              </w:rPr>
              <w:t xml:space="preserve">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005B5DFD" w:rsidRPr="000F7E0A">
              <w:rPr>
                <w:rFonts w:ascii="Times New Roman" w:hAnsi="Times New Roman"/>
                <w:sz w:val="24"/>
                <w:szCs w:val="24"/>
              </w:rPr>
              <w:t xml:space="preserve">Eiropas Parlamenta un Padomes </w:t>
            </w:r>
            <w:r w:rsidR="001914C9" w:rsidRPr="000F7E0A">
              <w:rPr>
                <w:rFonts w:ascii="Times New Roman" w:hAnsi="Times New Roman"/>
                <w:sz w:val="24"/>
                <w:szCs w:val="24"/>
              </w:rPr>
              <w:t>regula Nr. 1303/2013)</w:t>
            </w:r>
            <w:r w:rsidR="001914C9">
              <w:rPr>
                <w:rFonts w:ascii="Times New Roman" w:hAnsi="Times New Roman"/>
                <w:sz w:val="24"/>
                <w:szCs w:val="24"/>
              </w:rPr>
              <w:t xml:space="preserve"> </w:t>
            </w:r>
            <w:r w:rsidR="00A70BBB" w:rsidRPr="00853554">
              <w:rPr>
                <w:rFonts w:ascii="Times New Roman" w:hAnsi="Times New Roman"/>
                <w:sz w:val="24"/>
                <w:szCs w:val="24"/>
              </w:rPr>
              <w:t>IV pielikumam</w:t>
            </w:r>
            <w:r w:rsidR="00A70BBB">
              <w:rPr>
                <w:rFonts w:ascii="Times New Roman" w:hAnsi="Times New Roman"/>
                <w:sz w:val="24"/>
                <w:szCs w:val="24"/>
              </w:rPr>
              <w:t xml:space="preserve"> ar Centrālo finanšu un līgumu aģentūru par 4.2.1.1. pasākuma ietvaros īstenojamo finanšu instrumentu īstenošanu. Lai nodrošinātu energoefektivitātes paaugstināšanas pasākumu optimālu pārvaldību, MK noteikumos ir at</w:t>
            </w:r>
            <w:r w:rsidR="000D3244">
              <w:rPr>
                <w:rFonts w:ascii="Times New Roman" w:hAnsi="Times New Roman"/>
                <w:sz w:val="24"/>
                <w:szCs w:val="24"/>
              </w:rPr>
              <w:t xml:space="preserve">ļauts veikt grozījumus </w:t>
            </w:r>
            <w:r w:rsidR="000D3244" w:rsidRPr="000D3244">
              <w:rPr>
                <w:rFonts w:ascii="Times New Roman" w:hAnsi="Times New Roman"/>
                <w:sz w:val="24"/>
                <w:szCs w:val="24"/>
              </w:rPr>
              <w:t>finansēšanas nolīgumā, kurš noslēgts 4.2.1.1. pasākuma ietvaros</w:t>
            </w:r>
            <w:r w:rsidR="000D3244">
              <w:rPr>
                <w:rFonts w:ascii="Times New Roman" w:hAnsi="Times New Roman"/>
                <w:sz w:val="24"/>
                <w:szCs w:val="24"/>
              </w:rPr>
              <w:t xml:space="preserve">, lai ieviestu </w:t>
            </w:r>
            <w:r w:rsidR="001937FF">
              <w:rPr>
                <w:rFonts w:ascii="Times New Roman" w:hAnsi="Times New Roman"/>
                <w:sz w:val="24"/>
                <w:szCs w:val="24"/>
              </w:rPr>
              <w:t xml:space="preserve">arī </w:t>
            </w:r>
            <w:r w:rsidR="000D3244">
              <w:rPr>
                <w:rFonts w:ascii="Times New Roman" w:hAnsi="Times New Roman"/>
                <w:sz w:val="24"/>
                <w:szCs w:val="24"/>
              </w:rPr>
              <w:t xml:space="preserve">ESKO atbalsta pasākumu. Tādejādi viens finansēšanas nolīgums </w:t>
            </w:r>
            <w:r w:rsidR="001641E8">
              <w:rPr>
                <w:rFonts w:ascii="Times New Roman" w:hAnsi="Times New Roman"/>
                <w:sz w:val="24"/>
                <w:szCs w:val="24"/>
              </w:rPr>
              <w:t>ap</w:t>
            </w:r>
            <w:r w:rsidR="000D3244">
              <w:rPr>
                <w:rFonts w:ascii="Times New Roman" w:hAnsi="Times New Roman"/>
                <w:sz w:val="24"/>
                <w:szCs w:val="24"/>
              </w:rPr>
              <w:t>tvertu visu finanšu instrumentu energoefektivitātes jomā īstenošanu.</w:t>
            </w:r>
          </w:p>
          <w:p w14:paraId="2026C3C4" w14:textId="77777777" w:rsidR="00842416" w:rsidRPr="006D37F6" w:rsidRDefault="00E33E85" w:rsidP="00A65C89">
            <w:pPr>
              <w:spacing w:after="0" w:line="240" w:lineRule="auto"/>
              <w:ind w:firstLine="365"/>
              <w:jc w:val="both"/>
              <w:rPr>
                <w:rFonts w:ascii="Times New Roman" w:hAnsi="Times New Roman"/>
                <w:sz w:val="24"/>
                <w:szCs w:val="24"/>
              </w:rPr>
            </w:pPr>
            <w:r w:rsidRPr="004E1DBC">
              <w:rPr>
                <w:rFonts w:ascii="Times New Roman" w:hAnsi="Times New Roman"/>
                <w:i/>
                <w:sz w:val="24"/>
                <w:szCs w:val="24"/>
              </w:rPr>
              <w:t xml:space="preserve">Ar mērķi ievērot Attīstības finanšu institūcijas likuma 12.panta trešajā daļā noteikto, anotācijas pielikumā  kā ierobežotas pieejamības informācija ir ietverts kopējais riska novērtējums </w:t>
            </w:r>
            <w:r w:rsidR="00184915" w:rsidRPr="004E1DBC">
              <w:rPr>
                <w:rFonts w:ascii="Times New Roman" w:hAnsi="Times New Roman"/>
                <w:i/>
                <w:sz w:val="24"/>
                <w:szCs w:val="24"/>
              </w:rPr>
              <w:t>paralēlo</w:t>
            </w:r>
            <w:r w:rsidR="004E1DBC">
              <w:rPr>
                <w:rFonts w:ascii="Times New Roman" w:hAnsi="Times New Roman"/>
                <w:i/>
                <w:sz w:val="24"/>
                <w:szCs w:val="24"/>
              </w:rPr>
              <w:t xml:space="preserve"> aizdevumu programmas ietvaros</w:t>
            </w:r>
            <w:r w:rsidR="006D37F6">
              <w:rPr>
                <w:rFonts w:ascii="Times New Roman" w:hAnsi="Times New Roman"/>
                <w:sz w:val="24"/>
                <w:szCs w:val="24"/>
              </w:rPr>
              <w:t xml:space="preserve"> </w:t>
            </w:r>
            <w:r w:rsidR="004E1DBC">
              <w:rPr>
                <w:rFonts w:ascii="Times New Roman" w:hAnsi="Times New Roman"/>
                <w:i/>
                <w:sz w:val="24"/>
                <w:szCs w:val="24"/>
              </w:rPr>
              <w:t>(minētais dokuments t</w:t>
            </w:r>
            <w:r w:rsidR="004E1DBC" w:rsidRPr="004E1DBC">
              <w:rPr>
                <w:rFonts w:ascii="Times New Roman" w:hAnsi="Times New Roman"/>
                <w:i/>
                <w:sz w:val="24"/>
                <w:szCs w:val="24"/>
              </w:rPr>
              <w:t xml:space="preserve">iks </w:t>
            </w:r>
            <w:r w:rsidR="004E1DBC" w:rsidRPr="004E1DBC">
              <w:rPr>
                <w:rFonts w:ascii="Times New Roman" w:hAnsi="Times New Roman"/>
                <w:i/>
                <w:sz w:val="24"/>
                <w:szCs w:val="24"/>
              </w:rPr>
              <w:lastRenderedPageBreak/>
              <w:t>ietverts pēc pilnīgas MK noteikumu saskaņošanas ar visām iesaistītajām pusēm, sūtot</w:t>
            </w:r>
            <w:r w:rsidR="004E1DBC">
              <w:rPr>
                <w:rFonts w:ascii="Times New Roman" w:hAnsi="Times New Roman"/>
                <w:i/>
                <w:sz w:val="24"/>
                <w:szCs w:val="24"/>
              </w:rPr>
              <w:t xml:space="preserve"> MK noteikumu gala redakciju</w:t>
            </w:r>
            <w:r w:rsidR="004E1DBC" w:rsidRPr="004E1DBC">
              <w:rPr>
                <w:rFonts w:ascii="Times New Roman" w:hAnsi="Times New Roman"/>
                <w:i/>
                <w:sz w:val="24"/>
                <w:szCs w:val="24"/>
              </w:rPr>
              <w:t xml:space="preserve"> izskatīšana</w:t>
            </w:r>
            <w:r w:rsidR="004E1DBC">
              <w:rPr>
                <w:rFonts w:ascii="Times New Roman" w:hAnsi="Times New Roman"/>
                <w:i/>
                <w:sz w:val="24"/>
                <w:szCs w:val="24"/>
              </w:rPr>
              <w:t>i</w:t>
            </w:r>
            <w:r w:rsidR="004E1DBC" w:rsidRPr="004E1DBC">
              <w:rPr>
                <w:rFonts w:ascii="Times New Roman" w:hAnsi="Times New Roman"/>
                <w:i/>
                <w:sz w:val="24"/>
                <w:szCs w:val="24"/>
              </w:rPr>
              <w:t xml:space="preserve"> MK</w:t>
            </w:r>
            <w:r w:rsidR="004E1DBC">
              <w:rPr>
                <w:rFonts w:ascii="Times New Roman" w:hAnsi="Times New Roman"/>
                <w:i/>
                <w:sz w:val="24"/>
                <w:szCs w:val="24"/>
              </w:rPr>
              <w:t>)</w:t>
            </w:r>
            <w:r w:rsidR="004E1DBC" w:rsidRPr="004E1DBC">
              <w:rPr>
                <w:rFonts w:ascii="Times New Roman" w:hAnsi="Times New Roman"/>
                <w:i/>
                <w:sz w:val="24"/>
                <w:szCs w:val="24"/>
              </w:rPr>
              <w:t>.</w:t>
            </w:r>
          </w:p>
        </w:tc>
      </w:tr>
      <w:tr w:rsidR="00865185" w:rsidRPr="00D859A3" w14:paraId="0E818C3E" w14:textId="77777777" w:rsidTr="00E33E85">
        <w:trPr>
          <w:trHeight w:val="360"/>
        </w:trPr>
        <w:tc>
          <w:tcPr>
            <w:tcW w:w="3119" w:type="dxa"/>
            <w:hideMark/>
          </w:tcPr>
          <w:p w14:paraId="134A9553" w14:textId="77777777" w:rsidR="00865185" w:rsidRPr="00D859A3" w:rsidRDefault="00865185" w:rsidP="000E2F9C">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lastRenderedPageBreak/>
              <w:t>3. Projekta izstrādē iesaistītās institūcijas</w:t>
            </w:r>
          </w:p>
        </w:tc>
        <w:tc>
          <w:tcPr>
            <w:tcW w:w="6485" w:type="dxa"/>
            <w:hideMark/>
          </w:tcPr>
          <w:p w14:paraId="2F4F411C" w14:textId="0FC2A0A8" w:rsidR="00865185" w:rsidRPr="00D859A3" w:rsidRDefault="00A51256" w:rsidP="000E2F9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865185" w:rsidRPr="00D859A3" w14:paraId="69C092CB" w14:textId="77777777" w:rsidTr="00E33E85">
        <w:tc>
          <w:tcPr>
            <w:tcW w:w="3119" w:type="dxa"/>
            <w:hideMark/>
          </w:tcPr>
          <w:p w14:paraId="1AEDDB6D" w14:textId="77777777" w:rsidR="00865185" w:rsidRPr="00D859A3" w:rsidRDefault="00865185" w:rsidP="000E2F9C">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4. Cita informācija</w:t>
            </w:r>
          </w:p>
        </w:tc>
        <w:tc>
          <w:tcPr>
            <w:tcW w:w="6485" w:type="dxa"/>
            <w:hideMark/>
          </w:tcPr>
          <w:p w14:paraId="3207A137" w14:textId="77777777" w:rsidR="00865185" w:rsidRPr="00D859A3" w:rsidRDefault="00865185" w:rsidP="000E2F9C">
            <w:pPr>
              <w:spacing w:after="0" w:line="240" w:lineRule="auto"/>
              <w:ind w:firstLine="567"/>
              <w:jc w:val="both"/>
              <w:rPr>
                <w:rFonts w:ascii="Times New Roman" w:hAnsi="Times New Roman"/>
                <w:sz w:val="24"/>
                <w:szCs w:val="24"/>
              </w:rPr>
            </w:pPr>
            <w:r w:rsidRPr="00D859A3">
              <w:rPr>
                <w:rFonts w:ascii="Times New Roman" w:hAnsi="Times New Roman"/>
                <w:sz w:val="24"/>
                <w:szCs w:val="24"/>
              </w:rPr>
              <w:t>Nav</w:t>
            </w:r>
          </w:p>
        </w:tc>
      </w:tr>
    </w:tbl>
    <w:p w14:paraId="1BCC7175" w14:textId="77777777" w:rsidR="00865185" w:rsidRPr="00D859A3" w:rsidRDefault="00865185" w:rsidP="000E2F9C">
      <w:pPr>
        <w:spacing w:after="0" w:line="240" w:lineRule="auto"/>
        <w:jc w:val="center"/>
        <w:rPr>
          <w:rFonts w:ascii="Times New Roman" w:eastAsia="Arial Unicode MS" w:hAnsi="Times New Roman"/>
          <w:b/>
          <w:sz w:val="24"/>
          <w:szCs w:val="24"/>
        </w:rPr>
      </w:pPr>
    </w:p>
    <w:tbl>
      <w:tblPr>
        <w:tblpPr w:leftFromText="180" w:rightFromText="180" w:bottomFromText="20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2"/>
        <w:gridCol w:w="6824"/>
      </w:tblGrid>
      <w:tr w:rsidR="00865185" w:rsidRPr="00D859A3" w14:paraId="033DBE3B" w14:textId="77777777" w:rsidTr="00FC5195">
        <w:tc>
          <w:tcPr>
            <w:tcW w:w="9776" w:type="dxa"/>
            <w:gridSpan w:val="2"/>
            <w:vAlign w:val="center"/>
            <w:hideMark/>
          </w:tcPr>
          <w:p w14:paraId="0D2944B6" w14:textId="77777777" w:rsidR="00865185" w:rsidRPr="00D859A3" w:rsidRDefault="00865185" w:rsidP="000E2F9C">
            <w:pPr>
              <w:spacing w:after="0" w:line="240" w:lineRule="auto"/>
              <w:jc w:val="center"/>
              <w:rPr>
                <w:rFonts w:ascii="Times New Roman" w:eastAsia="Times New Roman" w:hAnsi="Times New Roman"/>
                <w:b/>
                <w:bCs/>
                <w:sz w:val="24"/>
                <w:szCs w:val="24"/>
                <w:lang w:eastAsia="lv-LV"/>
              </w:rPr>
            </w:pPr>
            <w:r w:rsidRPr="00D859A3">
              <w:rPr>
                <w:rFonts w:ascii="Times New Roman" w:eastAsia="Times New Roman" w:hAnsi="Times New Roman"/>
                <w:b/>
                <w:bCs/>
                <w:sz w:val="24"/>
                <w:szCs w:val="24"/>
                <w:lang w:eastAsia="lv-LV"/>
              </w:rPr>
              <w:t>II. Tiesību akta projekta ietekme uz sabiedrību, tautsaimniecības attīstību un administratīvo slogu</w:t>
            </w:r>
          </w:p>
        </w:tc>
      </w:tr>
      <w:tr w:rsidR="00865185" w:rsidRPr="00D859A3" w14:paraId="26760397" w14:textId="77777777" w:rsidTr="00FC5195">
        <w:trPr>
          <w:trHeight w:val="467"/>
        </w:trPr>
        <w:tc>
          <w:tcPr>
            <w:tcW w:w="2952" w:type="dxa"/>
            <w:hideMark/>
          </w:tcPr>
          <w:p w14:paraId="72B7952D" w14:textId="77777777" w:rsidR="00865185" w:rsidRPr="00D859A3" w:rsidRDefault="00865185" w:rsidP="000E2F9C">
            <w:pPr>
              <w:numPr>
                <w:ilvl w:val="0"/>
                <w:numId w:val="1"/>
              </w:numPr>
              <w:spacing w:after="0" w:line="240" w:lineRule="auto"/>
              <w:ind w:left="30" w:right="261" w:firstLine="0"/>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Sabiedrības mērķgrupas, kuras tiesiskais regulējums ietekmē vai varētu ietekmēt</w:t>
            </w:r>
          </w:p>
        </w:tc>
        <w:tc>
          <w:tcPr>
            <w:tcW w:w="6824" w:type="dxa"/>
            <w:hideMark/>
          </w:tcPr>
          <w:p w14:paraId="07E2E4F3" w14:textId="77777777" w:rsidR="00865185" w:rsidRPr="00D859A3" w:rsidRDefault="007F3D4B" w:rsidP="00873E70">
            <w:pPr>
              <w:spacing w:after="0" w:line="240" w:lineRule="auto"/>
              <w:ind w:firstLine="44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ESKO kompānijas, d</w:t>
            </w:r>
            <w:r w:rsidR="00865185" w:rsidRPr="00D859A3">
              <w:rPr>
                <w:rFonts w:ascii="Times New Roman" w:eastAsia="Times New Roman" w:hAnsi="Times New Roman"/>
                <w:iCs/>
                <w:sz w:val="24"/>
                <w:szCs w:val="24"/>
                <w:lang w:eastAsia="lv-LV"/>
              </w:rPr>
              <w:t>audzdzīvokļu dzīvojamo māju dzīvokļu īpašnieki, dzīvokļu īpašnieku pilnvarotās personas</w:t>
            </w:r>
            <w:r w:rsidR="00865185">
              <w:rPr>
                <w:rFonts w:ascii="Times New Roman" w:eastAsia="Times New Roman" w:hAnsi="Times New Roman"/>
                <w:iCs/>
                <w:sz w:val="24"/>
                <w:szCs w:val="24"/>
                <w:lang w:eastAsia="lv-LV"/>
              </w:rPr>
              <w:t>, pārvaldnieki</w:t>
            </w:r>
            <w:r>
              <w:rPr>
                <w:rFonts w:ascii="Times New Roman" w:eastAsia="Times New Roman" w:hAnsi="Times New Roman"/>
                <w:iCs/>
                <w:sz w:val="24"/>
                <w:szCs w:val="24"/>
                <w:lang w:eastAsia="lv-LV"/>
              </w:rPr>
              <w:t>, dažādu nozaru uzņēmumi, pašvaldības</w:t>
            </w:r>
            <w:r w:rsidR="00865185">
              <w:rPr>
                <w:rFonts w:ascii="Times New Roman" w:eastAsia="Times New Roman" w:hAnsi="Times New Roman"/>
                <w:iCs/>
                <w:sz w:val="24"/>
                <w:szCs w:val="24"/>
                <w:lang w:eastAsia="lv-LV"/>
              </w:rPr>
              <w:t>.</w:t>
            </w:r>
          </w:p>
        </w:tc>
      </w:tr>
      <w:tr w:rsidR="00865185" w:rsidRPr="00D859A3" w14:paraId="3756B46A" w14:textId="77777777" w:rsidTr="00FC5195">
        <w:trPr>
          <w:trHeight w:val="523"/>
        </w:trPr>
        <w:tc>
          <w:tcPr>
            <w:tcW w:w="2952" w:type="dxa"/>
            <w:hideMark/>
          </w:tcPr>
          <w:p w14:paraId="18746C02" w14:textId="77777777" w:rsidR="00865185" w:rsidRPr="00D859A3" w:rsidRDefault="00865185" w:rsidP="000E2F9C">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Tiesiskā regulējuma ietekme uz tautsaimniecību un administratīvo slogu</w:t>
            </w:r>
          </w:p>
        </w:tc>
        <w:tc>
          <w:tcPr>
            <w:tcW w:w="6824" w:type="dxa"/>
            <w:hideMark/>
          </w:tcPr>
          <w:p w14:paraId="45604C63" w14:textId="77777777" w:rsidR="00865185" w:rsidRPr="00D859A3" w:rsidRDefault="00865185" w:rsidP="000E2F9C">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projekts neparedz ietekmi uz administratīvo slogu.</w:t>
            </w:r>
          </w:p>
          <w:p w14:paraId="1A5F4CA1" w14:textId="389A1018" w:rsidR="00865185" w:rsidRPr="00D859A3" w:rsidRDefault="00865185" w:rsidP="000E2F9C">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projekta īstenošanu nodrošinās</w:t>
            </w:r>
            <w:r w:rsidR="00300F26">
              <w:t xml:space="preserve"> </w:t>
            </w:r>
            <w:r w:rsidR="009C67DC" w:rsidRPr="000B5889">
              <w:rPr>
                <w:rFonts w:ascii="Times New Roman" w:hAnsi="Times New Roman"/>
                <w:sz w:val="24"/>
                <w:szCs w:val="24"/>
              </w:rPr>
              <w:t>Centrālā finanšu un līgumu aģentūra</w:t>
            </w:r>
            <w:r w:rsidR="009C67DC">
              <w:rPr>
                <w:rFonts w:ascii="Times New Roman" w:eastAsia="Times New Roman" w:hAnsi="Times New Roman"/>
                <w:iCs/>
                <w:sz w:val="24"/>
                <w:szCs w:val="24"/>
                <w:lang w:eastAsia="lv-LV"/>
              </w:rPr>
              <w:t xml:space="preserve"> un </w:t>
            </w:r>
            <w:r w:rsidR="008F4161">
              <w:rPr>
                <w:rFonts w:ascii="Times New Roman" w:eastAsia="Times New Roman" w:hAnsi="Times New Roman"/>
                <w:iCs/>
                <w:sz w:val="24"/>
                <w:szCs w:val="24"/>
                <w:lang w:eastAsia="lv-LV"/>
              </w:rPr>
              <w:t>sabiedrība</w:t>
            </w:r>
            <w:r w:rsidR="00F60722">
              <w:rPr>
                <w:rFonts w:ascii="Times New Roman" w:eastAsia="Times New Roman" w:hAnsi="Times New Roman"/>
                <w:iCs/>
                <w:sz w:val="24"/>
                <w:szCs w:val="24"/>
                <w:lang w:eastAsia="lv-LV"/>
              </w:rPr>
              <w:t xml:space="preserve"> </w:t>
            </w:r>
            <w:r w:rsidR="00300F26" w:rsidRPr="00300F26">
              <w:rPr>
                <w:rFonts w:ascii="Times New Roman" w:eastAsia="Times New Roman" w:hAnsi="Times New Roman"/>
                <w:iCs/>
                <w:sz w:val="24"/>
                <w:szCs w:val="24"/>
                <w:lang w:eastAsia="lv-LV"/>
              </w:rPr>
              <w:t>Altum</w:t>
            </w:r>
            <w:r w:rsidRPr="00D859A3">
              <w:rPr>
                <w:rFonts w:ascii="Times New Roman" w:eastAsia="Times New Roman" w:hAnsi="Times New Roman"/>
                <w:iCs/>
                <w:sz w:val="24"/>
                <w:szCs w:val="24"/>
                <w:lang w:eastAsia="lv-LV"/>
              </w:rPr>
              <w:t>.</w:t>
            </w:r>
          </w:p>
          <w:p w14:paraId="550B8E16" w14:textId="77777777" w:rsidR="00865185" w:rsidRPr="00D859A3" w:rsidRDefault="00865185" w:rsidP="000E2F9C">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Noteikumu projekts paredz pozitīvu ietek</w:t>
            </w:r>
            <w:r>
              <w:rPr>
                <w:rFonts w:ascii="Times New Roman" w:eastAsia="Times New Roman" w:hAnsi="Times New Roman"/>
                <w:iCs/>
                <w:sz w:val="24"/>
                <w:szCs w:val="24"/>
                <w:lang w:eastAsia="lv-LV"/>
              </w:rPr>
              <w:t xml:space="preserve">mi uz tautsaimniecību, jo  </w:t>
            </w:r>
            <w:r w:rsidR="00DA662E">
              <w:rPr>
                <w:rFonts w:ascii="Times New Roman" w:eastAsia="Times New Roman" w:hAnsi="Times New Roman"/>
                <w:iCs/>
                <w:sz w:val="24"/>
                <w:szCs w:val="24"/>
                <w:lang w:eastAsia="lv-LV"/>
              </w:rPr>
              <w:t>nodrošina</w:t>
            </w:r>
            <w:r w:rsidRPr="00D859A3">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atbalsta pieejamību ESKO kompānijām energoefektivitātes paaugstināšanas pasākumu</w:t>
            </w:r>
            <w:r w:rsidR="00DA662E">
              <w:rPr>
                <w:rFonts w:ascii="Times New Roman" w:eastAsia="Times New Roman" w:hAnsi="Times New Roman"/>
                <w:iCs/>
                <w:sz w:val="24"/>
                <w:szCs w:val="24"/>
                <w:lang w:eastAsia="lv-LV"/>
              </w:rPr>
              <w:t xml:space="preserve"> veikšanai</w:t>
            </w:r>
            <w:r>
              <w:rPr>
                <w:rFonts w:ascii="Times New Roman" w:eastAsia="Times New Roman" w:hAnsi="Times New Roman"/>
                <w:iCs/>
                <w:sz w:val="24"/>
                <w:szCs w:val="24"/>
                <w:lang w:eastAsia="lv-LV"/>
              </w:rPr>
              <w:t xml:space="preserve">. </w:t>
            </w:r>
          </w:p>
        </w:tc>
      </w:tr>
      <w:tr w:rsidR="00865185" w:rsidRPr="00D859A3" w14:paraId="33A94AB0" w14:textId="77777777" w:rsidTr="00FC5195">
        <w:trPr>
          <w:trHeight w:val="517"/>
        </w:trPr>
        <w:tc>
          <w:tcPr>
            <w:tcW w:w="2952" w:type="dxa"/>
            <w:hideMark/>
          </w:tcPr>
          <w:p w14:paraId="145418DB" w14:textId="77777777" w:rsidR="00865185" w:rsidRPr="00D859A3" w:rsidRDefault="00865185" w:rsidP="000E2F9C">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Administratīvo izmaksu monetārs novērtējums</w:t>
            </w:r>
          </w:p>
        </w:tc>
        <w:tc>
          <w:tcPr>
            <w:tcW w:w="6824" w:type="dxa"/>
            <w:hideMark/>
          </w:tcPr>
          <w:p w14:paraId="794A54EF" w14:textId="09683201" w:rsidR="00865185" w:rsidRPr="00D859A3" w:rsidRDefault="00865185" w:rsidP="000E2F9C">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color w:val="000000"/>
                <w:sz w:val="24"/>
                <w:szCs w:val="24"/>
                <w:lang w:eastAsia="lv-LV"/>
              </w:rPr>
              <w:t>Eiropas Savienības fondu administrēšanas izmaksas plānots segt no Eiropas Savienības struktūrfondu un Kohēzijas fonda 2014.-2020.gada plānošanas perioda finansējuma atbilstoši</w:t>
            </w:r>
            <w:r>
              <w:t xml:space="preserve"> </w:t>
            </w:r>
            <w:r w:rsidR="005B5DFD" w:rsidRPr="000F7E0A">
              <w:rPr>
                <w:rFonts w:ascii="Times New Roman" w:hAnsi="Times New Roman"/>
                <w:sz w:val="24"/>
                <w:szCs w:val="24"/>
              </w:rPr>
              <w:t xml:space="preserve"> Eiropas Parlamenta un Padomes </w:t>
            </w:r>
            <w:r w:rsidRPr="00F86F96">
              <w:rPr>
                <w:rFonts w:ascii="Times New Roman" w:eastAsia="Times New Roman" w:hAnsi="Times New Roman"/>
                <w:color w:val="000000"/>
                <w:sz w:val="24"/>
                <w:szCs w:val="24"/>
                <w:lang w:eastAsia="lv-LV"/>
              </w:rPr>
              <w:t>regula</w:t>
            </w:r>
            <w:r>
              <w:rPr>
                <w:rFonts w:ascii="Times New Roman" w:eastAsia="Times New Roman" w:hAnsi="Times New Roman"/>
                <w:color w:val="000000"/>
                <w:sz w:val="24"/>
                <w:szCs w:val="24"/>
                <w:lang w:eastAsia="lv-LV"/>
              </w:rPr>
              <w:t>s</w:t>
            </w:r>
            <w:r w:rsidRPr="00F86F96">
              <w:rPr>
                <w:rFonts w:ascii="Times New Roman" w:eastAsia="Times New Roman" w:hAnsi="Times New Roman"/>
                <w:color w:val="000000"/>
                <w:sz w:val="24"/>
                <w:szCs w:val="24"/>
                <w:lang w:eastAsia="lv-LV"/>
              </w:rPr>
              <w:t xml:space="preserve"> Nr.1303/2013</w:t>
            </w:r>
            <w:r w:rsidRPr="00D859A3">
              <w:rPr>
                <w:rFonts w:ascii="Times New Roman" w:eastAsia="Times New Roman" w:hAnsi="Times New Roman"/>
                <w:color w:val="000000"/>
                <w:sz w:val="24"/>
                <w:szCs w:val="24"/>
                <w:lang w:eastAsia="lv-LV"/>
              </w:rPr>
              <w:t xml:space="preserve"> 44.</w:t>
            </w:r>
            <w:r>
              <w:rPr>
                <w:rFonts w:ascii="Times New Roman" w:eastAsia="Times New Roman" w:hAnsi="Times New Roman"/>
                <w:color w:val="000000"/>
                <w:sz w:val="24"/>
                <w:szCs w:val="24"/>
                <w:lang w:eastAsia="lv-LV"/>
              </w:rPr>
              <w:t> </w:t>
            </w:r>
            <w:r w:rsidR="003F41A0">
              <w:rPr>
                <w:rFonts w:ascii="Times New Roman" w:eastAsia="Times New Roman" w:hAnsi="Times New Roman"/>
                <w:color w:val="000000"/>
                <w:sz w:val="24"/>
                <w:szCs w:val="24"/>
                <w:lang w:eastAsia="lv-LV"/>
              </w:rPr>
              <w:t xml:space="preserve">pantam, sabiedrībai </w:t>
            </w:r>
            <w:r w:rsidRPr="00D859A3">
              <w:rPr>
                <w:rFonts w:ascii="Times New Roman" w:eastAsia="Times New Roman" w:hAnsi="Times New Roman"/>
                <w:color w:val="000000"/>
                <w:sz w:val="24"/>
                <w:szCs w:val="24"/>
                <w:lang w:eastAsia="lv-LV"/>
              </w:rPr>
              <w:t xml:space="preserve">Altum, sedzot vadības izmaksas saskaņā ar </w:t>
            </w:r>
            <w:r w:rsidRPr="00D859A3">
              <w:rPr>
                <w:sz w:val="24"/>
                <w:szCs w:val="24"/>
              </w:rPr>
              <w:t xml:space="preserve"> </w:t>
            </w:r>
            <w:r w:rsidRPr="00F86F96">
              <w:rPr>
                <w:rFonts w:ascii="Times New Roman" w:eastAsia="Times New Roman" w:hAnsi="Times New Roman"/>
                <w:color w:val="000000"/>
                <w:sz w:val="24"/>
                <w:szCs w:val="24"/>
                <w:lang w:eastAsia="lv-LV"/>
              </w:rPr>
              <w:t>Komisijas 2014. gada 3. m</w:t>
            </w:r>
            <w:r>
              <w:rPr>
                <w:rFonts w:ascii="Times New Roman" w:eastAsia="Times New Roman" w:hAnsi="Times New Roman"/>
                <w:color w:val="000000"/>
                <w:sz w:val="24"/>
                <w:szCs w:val="24"/>
                <w:lang w:eastAsia="lv-LV"/>
              </w:rPr>
              <w:t>arta Deleģētās regulas (ES) Nr. </w:t>
            </w:r>
            <w:r w:rsidRPr="00F86F96">
              <w:rPr>
                <w:rFonts w:ascii="Times New Roman" w:eastAsia="Times New Roman" w:hAnsi="Times New Roman"/>
                <w:color w:val="000000"/>
                <w:sz w:val="24"/>
                <w:szCs w:val="24"/>
                <w:lang w:eastAsia="lv-LV"/>
              </w:rPr>
              <w:t xml:space="preserve">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Pr="00D859A3">
              <w:rPr>
                <w:rFonts w:ascii="Times New Roman" w:eastAsia="Times New Roman" w:hAnsi="Times New Roman"/>
                <w:color w:val="000000"/>
                <w:sz w:val="24"/>
                <w:szCs w:val="24"/>
                <w:lang w:eastAsia="lv-LV"/>
              </w:rPr>
              <w:t>13.</w:t>
            </w:r>
            <w:r>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pantā noteikto.</w:t>
            </w:r>
          </w:p>
        </w:tc>
      </w:tr>
      <w:tr w:rsidR="00865185" w:rsidRPr="00D859A3" w14:paraId="32D18AA6" w14:textId="77777777" w:rsidTr="00FC5195">
        <w:trPr>
          <w:trHeight w:val="390"/>
        </w:trPr>
        <w:tc>
          <w:tcPr>
            <w:tcW w:w="2952" w:type="dxa"/>
            <w:hideMark/>
          </w:tcPr>
          <w:p w14:paraId="00A31124" w14:textId="77777777" w:rsidR="00865185" w:rsidRPr="00D859A3" w:rsidRDefault="00865185" w:rsidP="000E2F9C">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Cita informācija</w:t>
            </w:r>
          </w:p>
        </w:tc>
        <w:tc>
          <w:tcPr>
            <w:tcW w:w="6824" w:type="dxa"/>
            <w:hideMark/>
          </w:tcPr>
          <w:p w14:paraId="0AD54555" w14:textId="77777777" w:rsidR="00865185" w:rsidRPr="00D859A3" w:rsidRDefault="00865185" w:rsidP="000E2F9C">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color w:val="000000"/>
                <w:sz w:val="24"/>
                <w:szCs w:val="24"/>
                <w:lang w:eastAsia="lv-LV"/>
              </w:rPr>
              <w:t>Nav</w:t>
            </w:r>
          </w:p>
        </w:tc>
      </w:tr>
    </w:tbl>
    <w:tbl>
      <w:tblPr>
        <w:tblW w:w="9819" w:type="dxa"/>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1"/>
        <w:gridCol w:w="1551"/>
        <w:gridCol w:w="1273"/>
        <w:gridCol w:w="1271"/>
        <w:gridCol w:w="1271"/>
        <w:gridCol w:w="1192"/>
      </w:tblGrid>
      <w:tr w:rsidR="00ED0F98" w:rsidRPr="00ED0F98" w14:paraId="1E8CD2EB" w14:textId="77777777" w:rsidTr="00BA4B20">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0CD32"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b/>
                <w:bCs/>
                <w:sz w:val="24"/>
                <w:szCs w:val="24"/>
              </w:rPr>
            </w:pPr>
            <w:r w:rsidRPr="00ED0F98">
              <w:rPr>
                <w:rFonts w:ascii="Times New Roman" w:eastAsia="Times New Roman" w:hAnsi="Times New Roman"/>
                <w:b/>
                <w:bCs/>
                <w:sz w:val="24"/>
                <w:szCs w:val="24"/>
              </w:rPr>
              <w:t>III Tiesību akta projekta ietekme uz valsts budžetu un pašvaldību budžetiem</w:t>
            </w:r>
          </w:p>
        </w:tc>
      </w:tr>
      <w:tr w:rsidR="00ED0F98" w:rsidRPr="00ED0F98" w14:paraId="1B07CB64" w14:textId="77777777" w:rsidTr="00BA4B20">
        <w:tc>
          <w:tcPr>
            <w:tcW w:w="166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431BD"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b/>
                <w:bCs/>
                <w:sz w:val="24"/>
                <w:szCs w:val="24"/>
              </w:rPr>
            </w:pPr>
            <w:r w:rsidRPr="00ED0F98">
              <w:rPr>
                <w:rFonts w:ascii="Times New Roman" w:eastAsia="Times New Roman" w:hAnsi="Times New Roman"/>
                <w:b/>
                <w:bCs/>
                <w:sz w:val="24"/>
                <w:szCs w:val="24"/>
              </w:rPr>
              <w:t>Rādītāji</w:t>
            </w:r>
          </w:p>
        </w:tc>
        <w:tc>
          <w:tcPr>
            <w:tcW w:w="143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4EFDF"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b/>
                <w:bCs/>
                <w:sz w:val="24"/>
                <w:szCs w:val="24"/>
              </w:rPr>
            </w:pPr>
            <w:r w:rsidRPr="00ED0F98">
              <w:rPr>
                <w:rFonts w:ascii="Times New Roman" w:eastAsia="Times New Roman" w:hAnsi="Times New Roman"/>
                <w:b/>
                <w:bCs/>
                <w:sz w:val="24"/>
                <w:szCs w:val="24"/>
              </w:rPr>
              <w:t>2017</w:t>
            </w:r>
          </w:p>
        </w:tc>
        <w:tc>
          <w:tcPr>
            <w:tcW w:w="190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315CA"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Turpmākie trīs gadi (</w:t>
            </w:r>
            <w:r w:rsidRPr="00ED0F98">
              <w:rPr>
                <w:rFonts w:ascii="Times New Roman" w:eastAsia="Times New Roman" w:hAnsi="Times New Roman"/>
                <w:i/>
                <w:iCs/>
                <w:sz w:val="24"/>
                <w:szCs w:val="24"/>
              </w:rPr>
              <w:t>euro</w:t>
            </w:r>
            <w:r w:rsidRPr="00ED0F98">
              <w:rPr>
                <w:rFonts w:ascii="Times New Roman" w:eastAsia="Times New Roman" w:hAnsi="Times New Roman"/>
                <w:sz w:val="24"/>
                <w:szCs w:val="24"/>
              </w:rPr>
              <w:t>)</w:t>
            </w:r>
          </w:p>
        </w:tc>
      </w:tr>
      <w:tr w:rsidR="00ED0F98" w:rsidRPr="00ED0F98" w14:paraId="76BD3E96" w14:textId="77777777" w:rsidTr="00BA4B20">
        <w:tc>
          <w:tcPr>
            <w:tcW w:w="16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2691D" w14:textId="77777777" w:rsidR="00ED0F98" w:rsidRPr="00ED0F98" w:rsidRDefault="00ED0F98" w:rsidP="000E2F9C">
            <w:pPr>
              <w:spacing w:line="240" w:lineRule="auto"/>
              <w:rPr>
                <w:rFonts w:ascii="Times New Roman" w:eastAsia="Times New Roman" w:hAnsi="Times New Roman"/>
                <w:b/>
                <w:bCs/>
                <w:sz w:val="24"/>
                <w:szCs w:val="24"/>
              </w:rPr>
            </w:pPr>
          </w:p>
        </w:tc>
        <w:tc>
          <w:tcPr>
            <w:tcW w:w="143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73055" w14:textId="77777777" w:rsidR="00ED0F98" w:rsidRPr="00ED0F98" w:rsidRDefault="00ED0F98" w:rsidP="000E2F9C">
            <w:pPr>
              <w:spacing w:line="240" w:lineRule="auto"/>
              <w:rPr>
                <w:rFonts w:ascii="Times New Roman" w:eastAsia="Times New Roman" w:hAnsi="Times New Roman"/>
                <w:b/>
                <w:bCs/>
                <w:sz w:val="24"/>
                <w:szCs w:val="24"/>
              </w:rPr>
            </w:pP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632EC"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b/>
                <w:bCs/>
                <w:sz w:val="24"/>
                <w:szCs w:val="24"/>
              </w:rPr>
            </w:pPr>
            <w:r w:rsidRPr="00ED0F98">
              <w:rPr>
                <w:rFonts w:ascii="Times New Roman" w:eastAsia="Times New Roman" w:hAnsi="Times New Roman"/>
                <w:b/>
                <w:bCs/>
                <w:sz w:val="24"/>
                <w:szCs w:val="24"/>
              </w:rPr>
              <w:t>2018</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C864A"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b/>
                <w:bCs/>
                <w:sz w:val="24"/>
                <w:szCs w:val="24"/>
              </w:rPr>
            </w:pPr>
            <w:r w:rsidRPr="00ED0F98">
              <w:rPr>
                <w:rFonts w:ascii="Times New Roman" w:eastAsia="Times New Roman" w:hAnsi="Times New Roman"/>
                <w:b/>
                <w:bCs/>
                <w:sz w:val="24"/>
                <w:szCs w:val="24"/>
              </w:rPr>
              <w:t>2019</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F896C7"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b/>
                <w:bCs/>
                <w:sz w:val="24"/>
                <w:szCs w:val="24"/>
              </w:rPr>
            </w:pPr>
            <w:r w:rsidRPr="00ED0F98">
              <w:rPr>
                <w:rFonts w:ascii="Times New Roman" w:eastAsia="Times New Roman" w:hAnsi="Times New Roman"/>
                <w:b/>
                <w:bCs/>
                <w:sz w:val="24"/>
                <w:szCs w:val="24"/>
              </w:rPr>
              <w:t>2020</w:t>
            </w:r>
          </w:p>
        </w:tc>
      </w:tr>
      <w:tr w:rsidR="00ED0F98" w:rsidRPr="00ED0F98" w14:paraId="552B6B83" w14:textId="77777777" w:rsidTr="00BA4B20">
        <w:tc>
          <w:tcPr>
            <w:tcW w:w="16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6E8B7" w14:textId="77777777" w:rsidR="00ED0F98" w:rsidRPr="00ED0F98" w:rsidRDefault="00ED0F98" w:rsidP="000E2F9C">
            <w:pPr>
              <w:spacing w:line="240" w:lineRule="auto"/>
              <w:rPr>
                <w:rFonts w:ascii="Times New Roman" w:eastAsia="Times New Roman" w:hAnsi="Times New Roman"/>
                <w:b/>
                <w:bCs/>
                <w:sz w:val="24"/>
                <w:szCs w:val="24"/>
              </w:rPr>
            </w:pPr>
          </w:p>
        </w:tc>
        <w:tc>
          <w:tcPr>
            <w:tcW w:w="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AA7CB"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saskaņā ar valsts budžetu kārtējam gadam</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4057D"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izmaiņas kārtējā gadā, salīdzinot ar valsts budžetu kārtējam gadam</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3783C"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izmaiņas, salīdzinot ar kārtējo (2017) gadu</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857E2"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izmaiņas, salīdzinot ar kārtējo (2017) gadu</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05AE3"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izmaiņas, salīdzinot ar kārtējo (2017) gadu</w:t>
            </w:r>
          </w:p>
        </w:tc>
      </w:tr>
      <w:tr w:rsidR="00ED0F98" w:rsidRPr="00ED0F98" w14:paraId="033EFB2C"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87181"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1</w:t>
            </w:r>
          </w:p>
        </w:tc>
        <w:tc>
          <w:tcPr>
            <w:tcW w:w="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757CE"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2</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029B7"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3</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D2DF0"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4</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855F0"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5</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9480"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6</w:t>
            </w:r>
          </w:p>
        </w:tc>
      </w:tr>
      <w:tr w:rsidR="000F1BC0" w:rsidRPr="00ED0F98" w14:paraId="513FB50F"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22368673" w14:textId="77777777" w:rsidR="000F1BC0" w:rsidRPr="00ED0F98" w:rsidRDefault="000F1BC0"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1. Budžeta ieņēmumi:</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14:paraId="20D0BDDA" w14:textId="77777777" w:rsidR="000F1BC0" w:rsidRPr="00ED0F98" w:rsidRDefault="000F1BC0"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c>
          <w:tcPr>
            <w:tcW w:w="648" w:type="pct"/>
            <w:tcBorders>
              <w:top w:val="outset" w:sz="6" w:space="0" w:color="414142"/>
              <w:left w:val="outset" w:sz="6" w:space="0" w:color="414142"/>
              <w:bottom w:val="outset" w:sz="6" w:space="0" w:color="414142"/>
              <w:right w:val="outset" w:sz="6" w:space="0" w:color="414142"/>
            </w:tcBorders>
            <w:shd w:val="clear" w:color="auto" w:fill="FFFFFF"/>
          </w:tcPr>
          <w:p w14:paraId="03101709" w14:textId="77777777" w:rsidR="000F1BC0" w:rsidRPr="00ED0F98" w:rsidRDefault="006A52F6"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100 </w:t>
            </w:r>
            <w:r w:rsidR="000F1BC0">
              <w:rPr>
                <w:rFonts w:ascii="Times New Roman" w:eastAsia="Times New Roman" w:hAnsi="Times New Roman"/>
                <w:sz w:val="24"/>
                <w:szCs w:val="24"/>
              </w:rPr>
              <w:t>000</w:t>
            </w:r>
          </w:p>
        </w:tc>
        <w:tc>
          <w:tcPr>
            <w:tcW w:w="647" w:type="pct"/>
            <w:tcBorders>
              <w:top w:val="outset" w:sz="6" w:space="0" w:color="414142"/>
              <w:left w:val="outset" w:sz="6" w:space="0" w:color="414142"/>
              <w:bottom w:val="outset" w:sz="6" w:space="0" w:color="414142"/>
              <w:right w:val="outset" w:sz="6" w:space="0" w:color="414142"/>
            </w:tcBorders>
            <w:shd w:val="clear" w:color="auto" w:fill="auto"/>
          </w:tcPr>
          <w:p w14:paraId="1B5068A6" w14:textId="77777777" w:rsidR="000F1BC0" w:rsidRPr="00ED0F98" w:rsidRDefault="000F1BC0"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1 </w:t>
            </w:r>
            <w:r w:rsidR="00D262AE">
              <w:rPr>
                <w:rFonts w:ascii="Times New Roman" w:eastAsia="Times New Roman" w:hAnsi="Times New Roman"/>
                <w:sz w:val="24"/>
                <w:szCs w:val="24"/>
              </w:rPr>
              <w:t>000 </w:t>
            </w:r>
            <w:r>
              <w:rPr>
                <w:rFonts w:ascii="Times New Roman" w:eastAsia="Times New Roman" w:hAnsi="Times New Roman"/>
                <w:sz w:val="24"/>
                <w:szCs w:val="24"/>
              </w:rPr>
              <w:t>000</w:t>
            </w:r>
          </w:p>
        </w:tc>
        <w:tc>
          <w:tcPr>
            <w:tcW w:w="647" w:type="pct"/>
            <w:tcBorders>
              <w:top w:val="outset" w:sz="6" w:space="0" w:color="414142"/>
              <w:left w:val="outset" w:sz="6" w:space="0" w:color="414142"/>
              <w:bottom w:val="outset" w:sz="6" w:space="0" w:color="414142"/>
              <w:right w:val="outset" w:sz="6" w:space="0" w:color="414142"/>
            </w:tcBorders>
            <w:shd w:val="clear" w:color="auto" w:fill="auto"/>
          </w:tcPr>
          <w:p w14:paraId="76CB5A82" w14:textId="77777777" w:rsidR="000F1BC0" w:rsidRPr="00ED0F98" w:rsidRDefault="000F1BC0"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1 </w:t>
            </w:r>
            <w:r w:rsidR="00D262AE">
              <w:rPr>
                <w:rFonts w:ascii="Times New Roman" w:eastAsia="Times New Roman" w:hAnsi="Times New Roman"/>
                <w:sz w:val="24"/>
                <w:szCs w:val="24"/>
              </w:rPr>
              <w:t xml:space="preserve">850 </w:t>
            </w:r>
            <w:r>
              <w:rPr>
                <w:rFonts w:ascii="Times New Roman" w:eastAsia="Times New Roman" w:hAnsi="Times New Roman"/>
                <w:sz w:val="24"/>
                <w:szCs w:val="24"/>
              </w:rPr>
              <w:t>000</w:t>
            </w:r>
          </w:p>
        </w:tc>
        <w:tc>
          <w:tcPr>
            <w:tcW w:w="607" w:type="pct"/>
            <w:tcBorders>
              <w:top w:val="outset" w:sz="6" w:space="0" w:color="414142"/>
              <w:left w:val="outset" w:sz="6" w:space="0" w:color="414142"/>
              <w:bottom w:val="outset" w:sz="6" w:space="0" w:color="414142"/>
              <w:right w:val="outset" w:sz="6" w:space="0" w:color="414142"/>
            </w:tcBorders>
            <w:shd w:val="clear" w:color="auto" w:fill="auto"/>
          </w:tcPr>
          <w:p w14:paraId="725C1287" w14:textId="77777777" w:rsidR="000F1BC0" w:rsidRPr="00ED0F98" w:rsidRDefault="000F1BC0"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1 </w:t>
            </w:r>
            <w:r w:rsidR="00D262AE">
              <w:rPr>
                <w:rFonts w:ascii="Times New Roman" w:eastAsia="Times New Roman" w:hAnsi="Times New Roman"/>
                <w:sz w:val="24"/>
                <w:szCs w:val="24"/>
              </w:rPr>
              <w:t xml:space="preserve">850 </w:t>
            </w:r>
            <w:r>
              <w:rPr>
                <w:rFonts w:ascii="Times New Roman" w:eastAsia="Times New Roman" w:hAnsi="Times New Roman"/>
                <w:sz w:val="24"/>
                <w:szCs w:val="24"/>
              </w:rPr>
              <w:t>000</w:t>
            </w:r>
          </w:p>
        </w:tc>
      </w:tr>
      <w:tr w:rsidR="00ED0F98" w:rsidRPr="00ED0F98" w14:paraId="0E64A557"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1411EF92"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lastRenderedPageBreak/>
              <w:t>2. Budžeta izdevumi:</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14:paraId="0F2075D4"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c>
          <w:tcPr>
            <w:tcW w:w="648" w:type="pct"/>
            <w:tcBorders>
              <w:top w:val="outset" w:sz="6" w:space="0" w:color="414142"/>
              <w:left w:val="outset" w:sz="6" w:space="0" w:color="414142"/>
              <w:bottom w:val="outset" w:sz="6" w:space="0" w:color="414142"/>
              <w:right w:val="outset" w:sz="6" w:space="0" w:color="414142"/>
            </w:tcBorders>
            <w:shd w:val="clear" w:color="auto" w:fill="FFFFFF"/>
          </w:tcPr>
          <w:p w14:paraId="6B550BEC" w14:textId="77777777" w:rsidR="00ED0F98" w:rsidRPr="00ED0F98" w:rsidRDefault="006A52F6"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100 </w:t>
            </w:r>
            <w:r w:rsidR="000F1BC0">
              <w:rPr>
                <w:rFonts w:ascii="Times New Roman" w:eastAsia="Times New Roman" w:hAnsi="Times New Roman"/>
                <w:sz w:val="24"/>
                <w:szCs w:val="24"/>
              </w:rPr>
              <w:t>000</w:t>
            </w:r>
          </w:p>
        </w:tc>
        <w:tc>
          <w:tcPr>
            <w:tcW w:w="647" w:type="pct"/>
            <w:tcBorders>
              <w:top w:val="outset" w:sz="6" w:space="0" w:color="414142"/>
              <w:left w:val="outset" w:sz="6" w:space="0" w:color="414142"/>
              <w:bottom w:val="outset" w:sz="6" w:space="0" w:color="414142"/>
              <w:right w:val="outset" w:sz="6" w:space="0" w:color="414142"/>
            </w:tcBorders>
            <w:shd w:val="clear" w:color="auto" w:fill="auto"/>
          </w:tcPr>
          <w:p w14:paraId="38B748A2" w14:textId="77777777" w:rsidR="00ED0F98" w:rsidRPr="00ED0F98" w:rsidRDefault="000F1BC0"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1 </w:t>
            </w:r>
            <w:r w:rsidR="00D262AE">
              <w:rPr>
                <w:rFonts w:ascii="Times New Roman" w:eastAsia="Times New Roman" w:hAnsi="Times New Roman"/>
                <w:sz w:val="24"/>
                <w:szCs w:val="24"/>
              </w:rPr>
              <w:t>000 </w:t>
            </w:r>
            <w:r>
              <w:rPr>
                <w:rFonts w:ascii="Times New Roman" w:eastAsia="Times New Roman" w:hAnsi="Times New Roman"/>
                <w:sz w:val="24"/>
                <w:szCs w:val="24"/>
              </w:rPr>
              <w:t>000</w:t>
            </w:r>
          </w:p>
        </w:tc>
        <w:tc>
          <w:tcPr>
            <w:tcW w:w="647" w:type="pct"/>
            <w:tcBorders>
              <w:top w:val="outset" w:sz="6" w:space="0" w:color="414142"/>
              <w:left w:val="outset" w:sz="6" w:space="0" w:color="414142"/>
              <w:bottom w:val="outset" w:sz="6" w:space="0" w:color="414142"/>
              <w:right w:val="outset" w:sz="6" w:space="0" w:color="414142"/>
            </w:tcBorders>
            <w:shd w:val="clear" w:color="auto" w:fill="auto"/>
          </w:tcPr>
          <w:p w14:paraId="6A6A37E8" w14:textId="7C01F707" w:rsidR="00ED0F98" w:rsidRPr="00ED0F98" w:rsidRDefault="00DC2A34"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3 700</w:t>
            </w:r>
            <w:r w:rsidR="00D262AE">
              <w:rPr>
                <w:rFonts w:ascii="Times New Roman" w:eastAsia="Times New Roman" w:hAnsi="Times New Roman"/>
                <w:sz w:val="24"/>
                <w:szCs w:val="24"/>
              </w:rPr>
              <w:t xml:space="preserve"> </w:t>
            </w:r>
            <w:r w:rsidR="000F1BC0">
              <w:rPr>
                <w:rFonts w:ascii="Times New Roman" w:eastAsia="Times New Roman" w:hAnsi="Times New Roman"/>
                <w:sz w:val="24"/>
                <w:szCs w:val="24"/>
              </w:rPr>
              <w:t>000</w:t>
            </w:r>
          </w:p>
        </w:tc>
        <w:tc>
          <w:tcPr>
            <w:tcW w:w="607" w:type="pct"/>
            <w:tcBorders>
              <w:top w:val="outset" w:sz="6" w:space="0" w:color="414142"/>
              <w:left w:val="outset" w:sz="6" w:space="0" w:color="414142"/>
              <w:bottom w:val="outset" w:sz="6" w:space="0" w:color="414142"/>
              <w:right w:val="outset" w:sz="6" w:space="0" w:color="414142"/>
            </w:tcBorders>
            <w:shd w:val="clear" w:color="auto" w:fill="auto"/>
          </w:tcPr>
          <w:p w14:paraId="07EF9CF2" w14:textId="1CA5752C" w:rsidR="00ED0F98" w:rsidRPr="00ED0F98" w:rsidRDefault="00DC2A34" w:rsidP="000E2F9C">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3 700</w:t>
            </w:r>
            <w:r w:rsidR="00D262AE">
              <w:rPr>
                <w:rFonts w:ascii="Times New Roman" w:eastAsia="Times New Roman" w:hAnsi="Times New Roman"/>
                <w:sz w:val="24"/>
                <w:szCs w:val="24"/>
              </w:rPr>
              <w:t xml:space="preserve"> </w:t>
            </w:r>
            <w:r w:rsidR="000F1BC0">
              <w:rPr>
                <w:rFonts w:ascii="Times New Roman" w:eastAsia="Times New Roman" w:hAnsi="Times New Roman"/>
                <w:sz w:val="24"/>
                <w:szCs w:val="24"/>
              </w:rPr>
              <w:t>000</w:t>
            </w:r>
          </w:p>
        </w:tc>
      </w:tr>
      <w:tr w:rsidR="00ED0F98" w:rsidRPr="00ED0F98" w14:paraId="61140AE7"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4627C1A3"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3. Finansiālā ietekme:</w:t>
            </w:r>
          </w:p>
        </w:tc>
        <w:tc>
          <w:tcPr>
            <w:tcW w:w="7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3C6B8B"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c>
          <w:tcPr>
            <w:tcW w:w="648" w:type="pct"/>
            <w:tcBorders>
              <w:top w:val="outset" w:sz="6" w:space="0" w:color="414142"/>
              <w:left w:val="outset" w:sz="6" w:space="0" w:color="414142"/>
              <w:bottom w:val="outset" w:sz="6" w:space="0" w:color="414142"/>
              <w:right w:val="outset" w:sz="6" w:space="0" w:color="414142"/>
            </w:tcBorders>
            <w:shd w:val="clear" w:color="auto" w:fill="FFFFFF"/>
          </w:tcPr>
          <w:p w14:paraId="6EF6B1D3"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c>
          <w:tcPr>
            <w:tcW w:w="647" w:type="pct"/>
            <w:tcBorders>
              <w:top w:val="outset" w:sz="6" w:space="0" w:color="414142"/>
              <w:left w:val="outset" w:sz="6" w:space="0" w:color="414142"/>
              <w:bottom w:val="outset" w:sz="6" w:space="0" w:color="414142"/>
              <w:right w:val="outset" w:sz="6" w:space="0" w:color="414142"/>
            </w:tcBorders>
            <w:shd w:val="clear" w:color="auto" w:fill="FFFFFF"/>
          </w:tcPr>
          <w:p w14:paraId="0910CF16"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c>
          <w:tcPr>
            <w:tcW w:w="647" w:type="pct"/>
            <w:tcBorders>
              <w:top w:val="outset" w:sz="6" w:space="0" w:color="414142"/>
              <w:left w:val="outset" w:sz="6" w:space="0" w:color="414142"/>
              <w:bottom w:val="outset" w:sz="6" w:space="0" w:color="414142"/>
              <w:right w:val="outset" w:sz="6" w:space="0" w:color="414142"/>
            </w:tcBorders>
            <w:shd w:val="clear" w:color="auto" w:fill="FFFFFF"/>
          </w:tcPr>
          <w:p w14:paraId="64E533F7"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tcPr>
          <w:p w14:paraId="480774AE"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0</w:t>
            </w:r>
          </w:p>
        </w:tc>
      </w:tr>
      <w:tr w:rsidR="00ED0F98" w:rsidRPr="00ED0F98" w14:paraId="125332C8" w14:textId="77777777" w:rsidTr="00BA4B20">
        <w:trPr>
          <w:trHeight w:val="1380"/>
        </w:trPr>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58F33BFF"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4. Finanšu līdzekļi papildu izdevumu finansēšanai (kompensējošu izdevumu samazinājumu norāda ar "+" zīmi)</w:t>
            </w:r>
          </w:p>
        </w:tc>
        <w:tc>
          <w:tcPr>
            <w:tcW w:w="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19E0D"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X</w:t>
            </w:r>
          </w:p>
        </w:tc>
        <w:tc>
          <w:tcPr>
            <w:tcW w:w="648" w:type="pct"/>
            <w:tcBorders>
              <w:top w:val="outset" w:sz="6" w:space="0" w:color="414142"/>
              <w:left w:val="outset" w:sz="6" w:space="0" w:color="414142"/>
              <w:right w:val="outset" w:sz="6" w:space="0" w:color="414142"/>
            </w:tcBorders>
            <w:shd w:val="clear" w:color="auto" w:fill="FFFFFF"/>
            <w:vAlign w:val="center"/>
            <w:hideMark/>
          </w:tcPr>
          <w:p w14:paraId="0429083B"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c>
          <w:tcPr>
            <w:tcW w:w="647" w:type="pct"/>
            <w:tcBorders>
              <w:top w:val="outset" w:sz="6" w:space="0" w:color="414142"/>
              <w:left w:val="outset" w:sz="6" w:space="0" w:color="414142"/>
              <w:right w:val="outset" w:sz="6" w:space="0" w:color="414142"/>
            </w:tcBorders>
            <w:shd w:val="clear" w:color="auto" w:fill="FFFFFF"/>
            <w:vAlign w:val="center"/>
            <w:hideMark/>
          </w:tcPr>
          <w:p w14:paraId="352D790E"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c>
          <w:tcPr>
            <w:tcW w:w="647" w:type="pct"/>
            <w:tcBorders>
              <w:top w:val="outset" w:sz="6" w:space="0" w:color="414142"/>
              <w:left w:val="outset" w:sz="6" w:space="0" w:color="414142"/>
              <w:right w:val="outset" w:sz="6" w:space="0" w:color="414142"/>
            </w:tcBorders>
            <w:shd w:val="clear" w:color="auto" w:fill="FFFFFF"/>
            <w:vAlign w:val="center"/>
            <w:hideMark/>
          </w:tcPr>
          <w:p w14:paraId="2C89DBB7"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c>
          <w:tcPr>
            <w:tcW w:w="607" w:type="pct"/>
            <w:tcBorders>
              <w:top w:val="outset" w:sz="6" w:space="0" w:color="414142"/>
              <w:left w:val="outset" w:sz="6" w:space="0" w:color="414142"/>
              <w:right w:val="outset" w:sz="6" w:space="0" w:color="414142"/>
            </w:tcBorders>
            <w:shd w:val="clear" w:color="auto" w:fill="FFFFFF"/>
            <w:vAlign w:val="center"/>
            <w:hideMark/>
          </w:tcPr>
          <w:p w14:paraId="3FBEB5DA"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r>
      <w:tr w:rsidR="00ED0F98" w:rsidRPr="00ED0F98" w14:paraId="2B716A1C" w14:textId="77777777" w:rsidTr="00BA4B20">
        <w:trPr>
          <w:trHeight w:val="669"/>
        </w:trPr>
        <w:tc>
          <w:tcPr>
            <w:tcW w:w="1661" w:type="pct"/>
            <w:tcBorders>
              <w:top w:val="outset" w:sz="6" w:space="0" w:color="414142"/>
              <w:left w:val="outset" w:sz="6" w:space="0" w:color="414142"/>
              <w:right w:val="outset" w:sz="6" w:space="0" w:color="414142"/>
            </w:tcBorders>
            <w:shd w:val="clear" w:color="auto" w:fill="FFFFFF"/>
            <w:hideMark/>
          </w:tcPr>
          <w:p w14:paraId="1CCFDA2E"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5. Precizēta finansiālā ietekme:</w:t>
            </w:r>
          </w:p>
        </w:tc>
        <w:tc>
          <w:tcPr>
            <w:tcW w:w="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1E10A" w14:textId="77777777" w:rsidR="00ED0F98" w:rsidRPr="00ED0F98" w:rsidRDefault="00ED0F98" w:rsidP="000E2F9C">
            <w:pPr>
              <w:spacing w:before="100" w:beforeAutospacing="1" w:after="100" w:afterAutospacing="1"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X</w:t>
            </w:r>
          </w:p>
        </w:tc>
        <w:tc>
          <w:tcPr>
            <w:tcW w:w="648" w:type="pct"/>
            <w:tcBorders>
              <w:top w:val="outset" w:sz="6" w:space="0" w:color="414142"/>
              <w:left w:val="outset" w:sz="6" w:space="0" w:color="414142"/>
              <w:right w:val="outset" w:sz="6" w:space="0" w:color="414142"/>
            </w:tcBorders>
            <w:shd w:val="clear" w:color="auto" w:fill="FFFFFF"/>
            <w:vAlign w:val="center"/>
          </w:tcPr>
          <w:p w14:paraId="16531DAB"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c>
          <w:tcPr>
            <w:tcW w:w="647" w:type="pct"/>
            <w:tcBorders>
              <w:top w:val="outset" w:sz="6" w:space="0" w:color="414142"/>
              <w:left w:val="outset" w:sz="6" w:space="0" w:color="414142"/>
              <w:right w:val="outset" w:sz="6" w:space="0" w:color="414142"/>
            </w:tcBorders>
            <w:shd w:val="clear" w:color="auto" w:fill="FFFFFF"/>
            <w:vAlign w:val="center"/>
          </w:tcPr>
          <w:p w14:paraId="0DA5E54B"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c>
          <w:tcPr>
            <w:tcW w:w="647" w:type="pct"/>
            <w:tcBorders>
              <w:top w:val="outset" w:sz="6" w:space="0" w:color="414142"/>
              <w:left w:val="outset" w:sz="6" w:space="0" w:color="414142"/>
              <w:right w:val="outset" w:sz="6" w:space="0" w:color="414142"/>
            </w:tcBorders>
            <w:shd w:val="clear" w:color="auto" w:fill="FFFFFF"/>
            <w:vAlign w:val="center"/>
          </w:tcPr>
          <w:p w14:paraId="305A1C41"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c>
          <w:tcPr>
            <w:tcW w:w="607" w:type="pct"/>
            <w:tcBorders>
              <w:top w:val="outset" w:sz="6" w:space="0" w:color="414142"/>
              <w:left w:val="outset" w:sz="6" w:space="0" w:color="414142"/>
              <w:right w:val="outset" w:sz="6" w:space="0" w:color="414142"/>
            </w:tcBorders>
            <w:shd w:val="clear" w:color="auto" w:fill="FFFFFF"/>
            <w:vAlign w:val="center"/>
          </w:tcPr>
          <w:p w14:paraId="0BFAB153" w14:textId="77777777" w:rsidR="00ED0F98" w:rsidRPr="00ED0F98" w:rsidRDefault="00ED0F98" w:rsidP="000E2F9C">
            <w:pPr>
              <w:spacing w:line="240" w:lineRule="auto"/>
              <w:jc w:val="center"/>
              <w:rPr>
                <w:rFonts w:ascii="Times New Roman" w:eastAsia="Times New Roman" w:hAnsi="Times New Roman"/>
                <w:sz w:val="24"/>
                <w:szCs w:val="24"/>
              </w:rPr>
            </w:pPr>
            <w:r w:rsidRPr="00ED0F98">
              <w:rPr>
                <w:rFonts w:ascii="Times New Roman" w:eastAsia="Times New Roman" w:hAnsi="Times New Roman"/>
                <w:sz w:val="24"/>
                <w:szCs w:val="24"/>
              </w:rPr>
              <w:t>Nav attiecināms</w:t>
            </w:r>
          </w:p>
        </w:tc>
      </w:tr>
      <w:tr w:rsidR="00ED0F98" w:rsidRPr="00ED0F98" w14:paraId="11018A9C"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39008D6A"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333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53DDBCB" w14:textId="77777777" w:rsidR="0092376D" w:rsidRDefault="0092376D" w:rsidP="000E2F9C">
            <w:pPr>
              <w:spacing w:after="0" w:line="240" w:lineRule="auto"/>
              <w:ind w:firstLine="450"/>
              <w:jc w:val="both"/>
              <w:rPr>
                <w:rFonts w:ascii="Times New Roman" w:eastAsia="Times New Roman" w:hAnsi="Times New Roman"/>
                <w:color w:val="000000"/>
                <w:sz w:val="24"/>
                <w:szCs w:val="24"/>
                <w:lang w:eastAsia="lv-LV"/>
              </w:rPr>
            </w:pPr>
            <w:r w:rsidRPr="00EB6C27">
              <w:rPr>
                <w:rFonts w:ascii="Times New Roman" w:eastAsia="Times New Roman" w:hAnsi="Times New Roman"/>
                <w:color w:val="000000"/>
                <w:sz w:val="24"/>
                <w:szCs w:val="24"/>
                <w:lang w:eastAsia="lv-LV"/>
              </w:rPr>
              <w:t xml:space="preserve">Pasākumam plānotais kopējais publiskais finansējums ir </w:t>
            </w:r>
            <w:r w:rsidR="00DB2128" w:rsidRPr="00EB6C27">
              <w:rPr>
                <w:rFonts w:ascii="Times New Roman" w:eastAsia="Times New Roman" w:hAnsi="Times New Roman"/>
                <w:color w:val="000000"/>
                <w:sz w:val="24"/>
                <w:szCs w:val="24"/>
                <w:lang w:eastAsia="lv-LV"/>
              </w:rPr>
              <w:t xml:space="preserve">ERAF finansējums  8 500 000 </w:t>
            </w:r>
            <w:r w:rsidRPr="00FC5195">
              <w:rPr>
                <w:rFonts w:ascii="Times New Roman" w:eastAsia="Times New Roman" w:hAnsi="Times New Roman"/>
                <w:i/>
                <w:color w:val="000000"/>
                <w:sz w:val="24"/>
                <w:szCs w:val="24"/>
                <w:lang w:eastAsia="lv-LV"/>
              </w:rPr>
              <w:t>euro</w:t>
            </w:r>
            <w:r w:rsidR="00DB2128" w:rsidRPr="00EB6C27">
              <w:rPr>
                <w:rFonts w:ascii="Times New Roman" w:eastAsia="Times New Roman" w:hAnsi="Times New Roman"/>
                <w:color w:val="000000"/>
                <w:sz w:val="24"/>
                <w:szCs w:val="24"/>
                <w:lang w:eastAsia="lv-LV"/>
              </w:rPr>
              <w:t xml:space="preserve"> apmērā. Nolīgumu par </w:t>
            </w:r>
            <w:r w:rsidR="008351A3">
              <w:rPr>
                <w:rFonts w:ascii="Times New Roman" w:eastAsia="Times New Roman" w:hAnsi="Times New Roman"/>
                <w:color w:val="000000"/>
                <w:sz w:val="24"/>
                <w:szCs w:val="24"/>
                <w:lang w:eastAsia="lv-LV"/>
              </w:rPr>
              <w:t xml:space="preserve">sabiedrības </w:t>
            </w:r>
            <w:r w:rsidRPr="00EB6C27">
              <w:rPr>
                <w:rFonts w:ascii="Times New Roman" w:eastAsia="Times New Roman" w:hAnsi="Times New Roman"/>
                <w:color w:val="000000"/>
                <w:sz w:val="24"/>
                <w:szCs w:val="24"/>
                <w:lang w:eastAsia="lv-LV"/>
              </w:rPr>
              <w:t>Altum finanšu instrumenta</w:t>
            </w:r>
            <w:r w:rsidR="00DB2128" w:rsidRPr="00EB6C27">
              <w:rPr>
                <w:rFonts w:ascii="Times New Roman" w:eastAsia="Times New Roman" w:hAnsi="Times New Roman"/>
                <w:color w:val="000000"/>
                <w:sz w:val="24"/>
                <w:szCs w:val="24"/>
                <w:lang w:eastAsia="lv-LV"/>
              </w:rPr>
              <w:t xml:space="preserve"> ieviešanu slēdz</w:t>
            </w:r>
            <w:r w:rsidRPr="00EB6C27">
              <w:rPr>
                <w:rFonts w:ascii="Times New Roman" w:eastAsia="Times New Roman" w:hAnsi="Times New Roman"/>
                <w:color w:val="000000"/>
                <w:sz w:val="24"/>
                <w:szCs w:val="24"/>
                <w:lang w:eastAsia="lv-LV"/>
              </w:rPr>
              <w:t xml:space="preserve"> ne vairāk kā </w:t>
            </w:r>
            <w:r w:rsidR="00DB2128" w:rsidRPr="00EB6C27">
              <w:rPr>
                <w:rFonts w:ascii="Times New Roman" w:eastAsia="Times New Roman" w:hAnsi="Times New Roman"/>
                <w:color w:val="000000"/>
                <w:sz w:val="24"/>
                <w:szCs w:val="24"/>
                <w:lang w:eastAsia="lv-LV"/>
              </w:rPr>
              <w:t xml:space="preserve">7 981 500 </w:t>
            </w:r>
            <w:r w:rsidRPr="00FC5195">
              <w:rPr>
                <w:rFonts w:ascii="Times New Roman" w:eastAsia="Times New Roman" w:hAnsi="Times New Roman"/>
                <w:i/>
                <w:color w:val="000000"/>
                <w:sz w:val="24"/>
                <w:szCs w:val="24"/>
                <w:lang w:eastAsia="lv-LV"/>
              </w:rPr>
              <w:t>euro</w:t>
            </w:r>
            <w:r w:rsidRPr="00EB6C27">
              <w:rPr>
                <w:rFonts w:ascii="Times New Roman" w:eastAsia="Times New Roman" w:hAnsi="Times New Roman"/>
                <w:color w:val="000000"/>
                <w:sz w:val="24"/>
                <w:szCs w:val="24"/>
                <w:lang w:eastAsia="lv-LV"/>
              </w:rPr>
              <w:t xml:space="preserve"> apmērā</w:t>
            </w:r>
            <w:r w:rsidR="00DB2128" w:rsidRPr="00EB6C27">
              <w:rPr>
                <w:rFonts w:ascii="Times New Roman" w:eastAsia="Times New Roman" w:hAnsi="Times New Roman"/>
                <w:color w:val="000000"/>
                <w:sz w:val="24"/>
                <w:szCs w:val="24"/>
                <w:lang w:eastAsia="lv-LV"/>
              </w:rPr>
              <w:t xml:space="preserve"> no </w:t>
            </w:r>
            <w:r w:rsidR="00A85162" w:rsidRPr="00EB6C27">
              <w:rPr>
                <w:rFonts w:ascii="Times New Roman" w:eastAsia="Times New Roman" w:hAnsi="Times New Roman"/>
                <w:color w:val="000000"/>
                <w:sz w:val="24"/>
                <w:szCs w:val="24"/>
                <w:lang w:eastAsia="lv-LV"/>
              </w:rPr>
              <w:t>ERAF finansējuma</w:t>
            </w:r>
            <w:r w:rsidRPr="00EB6C27">
              <w:rPr>
                <w:rFonts w:ascii="Times New Roman" w:eastAsia="Times New Roman" w:hAnsi="Times New Roman"/>
                <w:color w:val="000000"/>
                <w:sz w:val="24"/>
                <w:szCs w:val="24"/>
                <w:lang w:eastAsia="lv-LV"/>
              </w:rPr>
              <w:t xml:space="preserve">. </w:t>
            </w:r>
            <w:r w:rsidR="00EB6C27" w:rsidRPr="00EB6C27">
              <w:rPr>
                <w:rFonts w:ascii="Times New Roman" w:eastAsia="Times New Roman" w:hAnsi="Times New Roman"/>
                <w:color w:val="000000"/>
                <w:sz w:val="24"/>
                <w:szCs w:val="24"/>
                <w:lang w:eastAsia="lv-LV"/>
              </w:rPr>
              <w:t>ERAF</w:t>
            </w:r>
            <w:r w:rsidR="00DB2128" w:rsidRPr="00EB6C27">
              <w:rPr>
                <w:rFonts w:ascii="Times New Roman" w:eastAsia="Times New Roman" w:hAnsi="Times New Roman"/>
                <w:color w:val="000000"/>
                <w:sz w:val="24"/>
                <w:szCs w:val="24"/>
                <w:lang w:eastAsia="lv-LV"/>
              </w:rPr>
              <w:t xml:space="preserve"> </w:t>
            </w:r>
            <w:r w:rsidRPr="00EB6C27">
              <w:rPr>
                <w:rFonts w:ascii="Times New Roman" w:eastAsia="Times New Roman" w:hAnsi="Times New Roman"/>
                <w:color w:val="000000"/>
                <w:sz w:val="24"/>
                <w:szCs w:val="24"/>
                <w:lang w:eastAsia="lv-LV"/>
              </w:rPr>
              <w:t xml:space="preserve">snieguma rezerve plānota </w:t>
            </w:r>
            <w:r w:rsidR="00DB2128" w:rsidRPr="00EB6C27">
              <w:rPr>
                <w:rFonts w:ascii="Times New Roman" w:eastAsia="Times New Roman" w:hAnsi="Times New Roman"/>
                <w:color w:val="000000"/>
                <w:sz w:val="24"/>
                <w:szCs w:val="24"/>
                <w:lang w:eastAsia="lv-LV"/>
              </w:rPr>
              <w:t xml:space="preserve">518 500 </w:t>
            </w:r>
            <w:r w:rsidR="00DB2128" w:rsidRPr="00FC5195">
              <w:rPr>
                <w:rFonts w:ascii="Times New Roman" w:eastAsia="Times New Roman" w:hAnsi="Times New Roman"/>
                <w:i/>
                <w:color w:val="000000"/>
                <w:sz w:val="24"/>
                <w:szCs w:val="24"/>
                <w:lang w:eastAsia="lv-LV"/>
              </w:rPr>
              <w:t>euro</w:t>
            </w:r>
            <w:r w:rsidRPr="00EB6C27">
              <w:rPr>
                <w:rFonts w:ascii="Times New Roman" w:eastAsia="Times New Roman" w:hAnsi="Times New Roman"/>
                <w:color w:val="000000"/>
                <w:sz w:val="24"/>
                <w:szCs w:val="24"/>
                <w:lang w:eastAsia="lv-LV"/>
              </w:rPr>
              <w:t xml:space="preserve"> jeb 6,1% apmērā.</w:t>
            </w:r>
          </w:p>
          <w:p w14:paraId="1125F51B" w14:textId="77777777" w:rsidR="00EB6C27" w:rsidRPr="00EB6C27" w:rsidRDefault="00EB6C27" w:rsidP="000E2F9C">
            <w:pPr>
              <w:spacing w:after="0" w:line="240" w:lineRule="auto"/>
              <w:ind w:firstLine="450"/>
              <w:jc w:val="both"/>
              <w:rPr>
                <w:rFonts w:ascii="Times New Roman" w:eastAsia="Times New Roman" w:hAnsi="Times New Roman"/>
                <w:color w:val="000000"/>
                <w:sz w:val="24"/>
                <w:szCs w:val="24"/>
                <w:lang w:eastAsia="lv-LV"/>
              </w:rPr>
            </w:pPr>
            <w:r w:rsidRPr="00EB6C27">
              <w:rPr>
                <w:rFonts w:ascii="Times New Roman" w:eastAsia="Times New Roman" w:hAnsi="Times New Roman"/>
                <w:color w:val="000000"/>
                <w:sz w:val="24"/>
                <w:szCs w:val="24"/>
                <w:lang w:eastAsia="lv-LV"/>
              </w:rPr>
              <w:t>Lēmums, vai rezervi izmantot projekta ietvaros, tiks pieņemts pēc 4.2.1.1. pasākuma ietvaros sasniegto rezultātu uz 2018.gada 31.decembri analīzes.</w:t>
            </w:r>
          </w:p>
          <w:p w14:paraId="37C4B932" w14:textId="78210F5B" w:rsidR="00ED0F98" w:rsidRPr="008F34D9" w:rsidRDefault="00E63732" w:rsidP="009955FC">
            <w:pPr>
              <w:spacing w:after="0" w:line="240" w:lineRule="auto"/>
              <w:ind w:firstLine="450"/>
              <w:jc w:val="both"/>
              <w:rPr>
                <w:rFonts w:ascii="Times New Roman" w:eastAsia="Times New Roman" w:hAnsi="Times New Roman"/>
                <w:color w:val="000000"/>
                <w:sz w:val="24"/>
                <w:szCs w:val="24"/>
                <w:lang w:eastAsia="lv-LV"/>
              </w:rPr>
            </w:pPr>
            <w:r w:rsidRPr="00EB6C27">
              <w:rPr>
                <w:rFonts w:ascii="Times New Roman" w:eastAsia="Times New Roman" w:hAnsi="Times New Roman"/>
                <w:color w:val="000000"/>
                <w:sz w:val="24"/>
                <w:szCs w:val="24"/>
                <w:lang w:eastAsia="lv-LV"/>
              </w:rPr>
              <w:t>Atbalsta pasākuma</w:t>
            </w:r>
            <w:r w:rsidR="00ED0F98" w:rsidRPr="00EB6C27">
              <w:rPr>
                <w:rFonts w:ascii="Times New Roman" w:eastAsia="Times New Roman" w:hAnsi="Times New Roman"/>
                <w:color w:val="000000"/>
                <w:sz w:val="24"/>
                <w:szCs w:val="24"/>
                <w:lang w:eastAsia="lv-LV"/>
              </w:rPr>
              <w:t xml:space="preserve"> īstenošanu ir plānots uzsākt ar 2017. gad</w:t>
            </w:r>
            <w:r w:rsidRPr="00EB6C27">
              <w:rPr>
                <w:rFonts w:ascii="Times New Roman" w:eastAsia="Times New Roman" w:hAnsi="Times New Roman"/>
                <w:color w:val="000000"/>
                <w:sz w:val="24"/>
                <w:szCs w:val="24"/>
                <w:lang w:eastAsia="lv-LV"/>
              </w:rPr>
              <w:t>a rudeni</w:t>
            </w:r>
            <w:r w:rsidR="00ED0F98" w:rsidRPr="00EB6C27">
              <w:rPr>
                <w:rFonts w:ascii="Times New Roman" w:eastAsia="Times New Roman" w:hAnsi="Times New Roman"/>
                <w:color w:val="000000"/>
                <w:sz w:val="24"/>
                <w:szCs w:val="24"/>
                <w:lang w:eastAsia="lv-LV"/>
              </w:rPr>
              <w:t xml:space="preserve">, tādējādi plānots, ka </w:t>
            </w:r>
            <w:r w:rsidR="00093F9B">
              <w:rPr>
                <w:rFonts w:ascii="Times New Roman" w:eastAsia="Times New Roman" w:hAnsi="Times New Roman"/>
                <w:color w:val="000000"/>
                <w:sz w:val="24"/>
                <w:szCs w:val="24"/>
                <w:lang w:eastAsia="lv-LV"/>
              </w:rPr>
              <w:t xml:space="preserve">šajā gadā </w:t>
            </w:r>
            <w:r w:rsidR="00ED0F98" w:rsidRPr="00EB6C27">
              <w:rPr>
                <w:rFonts w:ascii="Times New Roman" w:eastAsia="Times New Roman" w:hAnsi="Times New Roman"/>
                <w:color w:val="000000"/>
                <w:sz w:val="24"/>
                <w:szCs w:val="24"/>
                <w:lang w:eastAsia="lv-LV"/>
              </w:rPr>
              <w:t xml:space="preserve">izdevumu pozīcija veidosies  </w:t>
            </w:r>
            <w:r w:rsidR="006A52F6">
              <w:rPr>
                <w:rFonts w:ascii="Times New Roman" w:eastAsia="Times New Roman" w:hAnsi="Times New Roman"/>
                <w:color w:val="000000"/>
                <w:sz w:val="24"/>
                <w:szCs w:val="24"/>
                <w:lang w:eastAsia="lv-LV"/>
              </w:rPr>
              <w:t>1</w:t>
            </w:r>
            <w:r w:rsidR="006A52F6" w:rsidRPr="00EB6C27">
              <w:rPr>
                <w:rFonts w:ascii="Times New Roman" w:eastAsia="Times New Roman" w:hAnsi="Times New Roman"/>
                <w:color w:val="000000"/>
                <w:sz w:val="24"/>
                <w:szCs w:val="24"/>
                <w:lang w:eastAsia="lv-LV"/>
              </w:rPr>
              <w:t xml:space="preserve">00 </w:t>
            </w:r>
            <w:r w:rsidR="000D3BCD" w:rsidRPr="00EB6C27">
              <w:rPr>
                <w:rFonts w:ascii="Times New Roman" w:eastAsia="Times New Roman" w:hAnsi="Times New Roman"/>
                <w:color w:val="000000"/>
                <w:sz w:val="24"/>
                <w:szCs w:val="24"/>
                <w:lang w:eastAsia="lv-LV"/>
              </w:rPr>
              <w:t>000</w:t>
            </w:r>
            <w:r w:rsidR="00ED0F98" w:rsidRPr="00EB6C27">
              <w:rPr>
                <w:rFonts w:ascii="Times New Roman" w:eastAsia="Times New Roman" w:hAnsi="Times New Roman"/>
                <w:color w:val="000000"/>
                <w:sz w:val="24"/>
                <w:szCs w:val="24"/>
                <w:lang w:eastAsia="lv-LV"/>
              </w:rPr>
              <w:t xml:space="preserve"> euro apmērā, kad tiks pieprasīti pirmie avansa maksājumi.</w:t>
            </w:r>
            <w:r w:rsidR="006A52F6">
              <w:rPr>
                <w:rFonts w:ascii="Times New Roman" w:eastAsia="Times New Roman" w:hAnsi="Times New Roman"/>
                <w:color w:val="000000"/>
                <w:sz w:val="24"/>
                <w:szCs w:val="24"/>
                <w:lang w:eastAsia="lv-LV"/>
              </w:rPr>
              <w:t xml:space="preserve"> 2018.gadā, kad programma vēl būs sākuma fāzē, izdevumu pozīcija būs 1 000 000 euro apmērā, savukārt</w:t>
            </w:r>
            <w:r w:rsidR="00ED0F98" w:rsidRPr="00EB6C27">
              <w:rPr>
                <w:rFonts w:ascii="Times New Roman" w:eastAsia="Times New Roman" w:hAnsi="Times New Roman"/>
                <w:color w:val="000000"/>
                <w:sz w:val="24"/>
                <w:szCs w:val="24"/>
                <w:lang w:eastAsia="lv-LV"/>
              </w:rPr>
              <w:t xml:space="preserve"> 201</w:t>
            </w:r>
            <w:r w:rsidR="006A52F6">
              <w:rPr>
                <w:rFonts w:ascii="Times New Roman" w:eastAsia="Times New Roman" w:hAnsi="Times New Roman"/>
                <w:color w:val="000000"/>
                <w:sz w:val="24"/>
                <w:szCs w:val="24"/>
                <w:lang w:eastAsia="lv-LV"/>
              </w:rPr>
              <w:t>9</w:t>
            </w:r>
            <w:r w:rsidR="00ED0F98" w:rsidRPr="00EB6C27">
              <w:rPr>
                <w:rFonts w:ascii="Times New Roman" w:eastAsia="Times New Roman" w:hAnsi="Times New Roman"/>
                <w:color w:val="000000"/>
                <w:sz w:val="24"/>
                <w:szCs w:val="24"/>
                <w:lang w:eastAsia="lv-LV"/>
              </w:rPr>
              <w:t>.</w:t>
            </w:r>
            <w:r w:rsidR="00686244">
              <w:rPr>
                <w:rFonts w:ascii="Times New Roman" w:eastAsia="Times New Roman" w:hAnsi="Times New Roman"/>
                <w:color w:val="000000"/>
                <w:sz w:val="24"/>
                <w:szCs w:val="24"/>
                <w:lang w:eastAsia="lv-LV"/>
              </w:rPr>
              <w:t xml:space="preserve"> – 202</w:t>
            </w:r>
            <w:r w:rsidR="00DC2A34">
              <w:rPr>
                <w:rFonts w:ascii="Times New Roman" w:eastAsia="Times New Roman" w:hAnsi="Times New Roman"/>
                <w:color w:val="000000"/>
                <w:sz w:val="24"/>
                <w:szCs w:val="24"/>
                <w:lang w:eastAsia="lv-LV"/>
              </w:rPr>
              <w:t>0</w:t>
            </w:r>
            <w:r w:rsidR="00686244">
              <w:rPr>
                <w:rFonts w:ascii="Times New Roman" w:eastAsia="Times New Roman" w:hAnsi="Times New Roman"/>
                <w:color w:val="000000"/>
                <w:sz w:val="24"/>
                <w:szCs w:val="24"/>
                <w:lang w:eastAsia="lv-LV"/>
              </w:rPr>
              <w:t>.</w:t>
            </w:r>
            <w:r w:rsidR="00ED0F98" w:rsidRPr="00EB6C27">
              <w:rPr>
                <w:rFonts w:ascii="Times New Roman" w:eastAsia="Times New Roman" w:hAnsi="Times New Roman"/>
                <w:color w:val="000000"/>
                <w:sz w:val="24"/>
                <w:szCs w:val="24"/>
                <w:lang w:eastAsia="lv-LV"/>
              </w:rPr>
              <w:t xml:space="preserve"> gadā izdevumi ir plānoti </w:t>
            </w:r>
            <w:r w:rsidR="00875408">
              <w:rPr>
                <w:rFonts w:ascii="Times New Roman" w:eastAsia="Times New Roman" w:hAnsi="Times New Roman"/>
                <w:color w:val="000000"/>
                <w:sz w:val="24"/>
                <w:szCs w:val="24"/>
                <w:lang w:eastAsia="lv-LV"/>
              </w:rPr>
              <w:t>3 700</w:t>
            </w:r>
            <w:r w:rsidR="006A52F6">
              <w:rPr>
                <w:rFonts w:ascii="Times New Roman" w:eastAsia="Times New Roman" w:hAnsi="Times New Roman"/>
                <w:color w:val="000000"/>
                <w:sz w:val="24"/>
                <w:szCs w:val="24"/>
                <w:lang w:eastAsia="lv-LV"/>
              </w:rPr>
              <w:t> </w:t>
            </w:r>
            <w:r w:rsidR="00686244">
              <w:rPr>
                <w:rFonts w:ascii="Times New Roman" w:eastAsia="Times New Roman" w:hAnsi="Times New Roman"/>
                <w:color w:val="000000"/>
                <w:sz w:val="24"/>
                <w:szCs w:val="24"/>
                <w:lang w:eastAsia="lv-LV"/>
              </w:rPr>
              <w:t>000</w:t>
            </w:r>
            <w:r w:rsidR="00ED0F98" w:rsidRPr="00EB6C27">
              <w:rPr>
                <w:rFonts w:ascii="Times New Roman" w:eastAsia="Times New Roman" w:hAnsi="Times New Roman"/>
                <w:color w:val="000000"/>
                <w:sz w:val="24"/>
                <w:szCs w:val="24"/>
                <w:lang w:eastAsia="lv-LV"/>
              </w:rPr>
              <w:t xml:space="preserve"> euro</w:t>
            </w:r>
            <w:r w:rsidR="00D262AE">
              <w:rPr>
                <w:rFonts w:ascii="Times New Roman" w:eastAsia="Times New Roman" w:hAnsi="Times New Roman"/>
                <w:color w:val="000000"/>
                <w:sz w:val="24"/>
                <w:szCs w:val="24"/>
                <w:lang w:eastAsia="lv-LV"/>
              </w:rPr>
              <w:t xml:space="preserve"> gadā</w:t>
            </w:r>
            <w:r w:rsidR="00ED0F98" w:rsidRPr="00EB6C27">
              <w:rPr>
                <w:rFonts w:ascii="Times New Roman" w:eastAsia="Times New Roman" w:hAnsi="Times New Roman"/>
                <w:color w:val="000000"/>
                <w:sz w:val="24"/>
                <w:szCs w:val="24"/>
                <w:lang w:eastAsia="lv-LV"/>
              </w:rPr>
              <w:t>.</w:t>
            </w:r>
          </w:p>
        </w:tc>
      </w:tr>
      <w:tr w:rsidR="00ED0F98" w:rsidRPr="00ED0F98" w14:paraId="3BA6BE22"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032F352D"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6.1. detalizēts ieņēmumu aprēķins</w:t>
            </w:r>
          </w:p>
        </w:tc>
        <w:tc>
          <w:tcPr>
            <w:tcW w:w="333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7C328" w14:textId="77777777" w:rsidR="00ED0F98" w:rsidRPr="00ED0F98" w:rsidRDefault="00ED0F98" w:rsidP="000E2F9C">
            <w:pPr>
              <w:spacing w:line="240" w:lineRule="auto"/>
              <w:rPr>
                <w:rFonts w:ascii="Times New Roman" w:eastAsia="Times New Roman" w:hAnsi="Times New Roman"/>
                <w:sz w:val="24"/>
                <w:szCs w:val="24"/>
              </w:rPr>
            </w:pPr>
          </w:p>
        </w:tc>
      </w:tr>
      <w:tr w:rsidR="00ED0F98" w:rsidRPr="00ED0F98" w14:paraId="00E894D7" w14:textId="77777777" w:rsidTr="00BA4B20">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06D8FEB7"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6.2. detalizēts izdevumu aprēķins</w:t>
            </w:r>
          </w:p>
        </w:tc>
        <w:tc>
          <w:tcPr>
            <w:tcW w:w="333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05639" w14:textId="77777777" w:rsidR="00ED0F98" w:rsidRPr="00ED0F98" w:rsidRDefault="00ED0F98" w:rsidP="000E2F9C">
            <w:pPr>
              <w:spacing w:line="240" w:lineRule="auto"/>
              <w:rPr>
                <w:rFonts w:ascii="Times New Roman" w:eastAsia="Times New Roman" w:hAnsi="Times New Roman"/>
                <w:sz w:val="24"/>
                <w:szCs w:val="24"/>
              </w:rPr>
            </w:pPr>
          </w:p>
        </w:tc>
      </w:tr>
      <w:tr w:rsidR="00ED0F98" w:rsidRPr="00ED0F98" w14:paraId="478C7EC4" w14:textId="77777777" w:rsidTr="00BA64FE">
        <w:trPr>
          <w:trHeight w:val="379"/>
        </w:trPr>
        <w:tc>
          <w:tcPr>
            <w:tcW w:w="1661" w:type="pct"/>
            <w:tcBorders>
              <w:top w:val="outset" w:sz="6" w:space="0" w:color="414142"/>
              <w:left w:val="outset" w:sz="6" w:space="0" w:color="414142"/>
              <w:bottom w:val="outset" w:sz="6" w:space="0" w:color="414142"/>
              <w:right w:val="outset" w:sz="6" w:space="0" w:color="414142"/>
            </w:tcBorders>
            <w:shd w:val="clear" w:color="auto" w:fill="FFFFFF"/>
            <w:hideMark/>
          </w:tcPr>
          <w:p w14:paraId="75A29E32" w14:textId="77777777" w:rsidR="00ED0F98" w:rsidRPr="00ED0F98" w:rsidRDefault="00ED0F98" w:rsidP="000E2F9C">
            <w:pPr>
              <w:spacing w:line="240" w:lineRule="auto"/>
              <w:rPr>
                <w:rFonts w:ascii="Times New Roman" w:eastAsia="Times New Roman" w:hAnsi="Times New Roman"/>
                <w:sz w:val="24"/>
                <w:szCs w:val="24"/>
              </w:rPr>
            </w:pPr>
            <w:r w:rsidRPr="00ED0F98">
              <w:rPr>
                <w:rFonts w:ascii="Times New Roman" w:eastAsia="Times New Roman" w:hAnsi="Times New Roman"/>
                <w:sz w:val="24"/>
                <w:szCs w:val="24"/>
              </w:rPr>
              <w:t>7. Cita informācija</w:t>
            </w:r>
          </w:p>
        </w:tc>
        <w:tc>
          <w:tcPr>
            <w:tcW w:w="3339" w:type="pct"/>
            <w:gridSpan w:val="5"/>
            <w:tcBorders>
              <w:top w:val="outset" w:sz="6" w:space="0" w:color="414142"/>
              <w:left w:val="outset" w:sz="6" w:space="0" w:color="414142"/>
              <w:bottom w:val="outset" w:sz="6" w:space="0" w:color="414142"/>
              <w:right w:val="outset" w:sz="6" w:space="0" w:color="414142"/>
            </w:tcBorders>
            <w:shd w:val="clear" w:color="auto" w:fill="FFFFFF"/>
          </w:tcPr>
          <w:p w14:paraId="7A9BD6CD" w14:textId="77777777" w:rsidR="00ED0F98" w:rsidRPr="00ED0F98" w:rsidRDefault="00BA64FE" w:rsidP="000E2F9C">
            <w:pPr>
              <w:spacing w:after="0" w:line="240" w:lineRule="auto"/>
              <w:ind w:firstLine="450"/>
              <w:jc w:val="both"/>
              <w:rPr>
                <w:rFonts w:ascii="Times New Roman" w:eastAsia="Times New Roman" w:hAnsi="Times New Roman"/>
                <w:sz w:val="24"/>
                <w:szCs w:val="24"/>
              </w:rPr>
            </w:pPr>
            <w:r w:rsidRPr="00BA64FE">
              <w:rPr>
                <w:rFonts w:ascii="Times New Roman" w:eastAsia="Times New Roman" w:hAnsi="Times New Roman"/>
                <w:color w:val="000000"/>
                <w:sz w:val="24"/>
                <w:szCs w:val="24"/>
                <w:lang w:eastAsia="lv-LV"/>
              </w:rPr>
              <w:t xml:space="preserve">Pirms finanšu instrumenta apstiprināšanas, </w:t>
            </w:r>
            <w:r w:rsidR="008351A3">
              <w:rPr>
                <w:rFonts w:ascii="Times New Roman" w:eastAsia="Times New Roman" w:hAnsi="Times New Roman"/>
                <w:color w:val="000000"/>
                <w:sz w:val="24"/>
                <w:szCs w:val="24"/>
                <w:lang w:eastAsia="lv-LV"/>
              </w:rPr>
              <w:t xml:space="preserve">sabiedrība </w:t>
            </w:r>
            <w:r w:rsidRPr="00BA64FE">
              <w:rPr>
                <w:rFonts w:ascii="Times New Roman" w:eastAsia="Times New Roman" w:hAnsi="Times New Roman"/>
                <w:color w:val="000000"/>
                <w:sz w:val="24"/>
                <w:szCs w:val="24"/>
                <w:lang w:eastAsia="lv-LV"/>
              </w:rPr>
              <w:t>Altum var uzsākt atbalstāmās darbības un, tās īstenojot, radušās izmaksas var uzskatīt par attiecināmām, ja tās atbilst noteikumu projektā  minētajām attiecināmo izmaksu pozīcijām.</w:t>
            </w:r>
          </w:p>
        </w:tc>
      </w:tr>
    </w:tbl>
    <w:p w14:paraId="73E80EA0" w14:textId="02BD3FF8" w:rsidR="00BA4B20" w:rsidRPr="000B5889" w:rsidRDefault="00BA4B20" w:rsidP="000E2F9C">
      <w:pPr>
        <w:spacing w:before="240" w:after="240" w:line="240" w:lineRule="auto"/>
        <w:ind w:firstLine="720"/>
        <w:jc w:val="both"/>
        <w:rPr>
          <w:rFonts w:ascii="Times New Roman" w:hAnsi="Times New Roman"/>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836"/>
        <w:gridCol w:w="6520"/>
      </w:tblGrid>
      <w:tr w:rsidR="00BA4B20" w:rsidRPr="000B5889" w14:paraId="37B1F4EB" w14:textId="77777777" w:rsidTr="000B5889">
        <w:trPr>
          <w:trHeight w:val="421"/>
        </w:trPr>
        <w:tc>
          <w:tcPr>
            <w:tcW w:w="9781" w:type="dxa"/>
            <w:gridSpan w:val="3"/>
            <w:vAlign w:val="center"/>
          </w:tcPr>
          <w:p w14:paraId="2885FFC5" w14:textId="77777777" w:rsidR="00BA4B20" w:rsidRPr="000B5889" w:rsidRDefault="00BA4B20" w:rsidP="000E2F9C">
            <w:pPr>
              <w:pStyle w:val="naisnod"/>
              <w:spacing w:before="0" w:beforeAutospacing="0" w:after="0" w:afterAutospacing="0"/>
              <w:ind w:left="57" w:right="57"/>
              <w:jc w:val="center"/>
            </w:pPr>
            <w:r w:rsidRPr="000B5889">
              <w:rPr>
                <w:b/>
              </w:rPr>
              <w:t>V Tiesību akta projekta atbilstība Latvijas Republikas starptautiskajām saistībām</w:t>
            </w:r>
          </w:p>
        </w:tc>
      </w:tr>
      <w:tr w:rsidR="00BA4B20" w:rsidRPr="000B5889" w14:paraId="539AA899" w14:textId="77777777" w:rsidTr="000B5889">
        <w:trPr>
          <w:trHeight w:val="553"/>
        </w:trPr>
        <w:tc>
          <w:tcPr>
            <w:tcW w:w="425" w:type="dxa"/>
          </w:tcPr>
          <w:p w14:paraId="410DB8BB"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1.</w:t>
            </w:r>
          </w:p>
        </w:tc>
        <w:tc>
          <w:tcPr>
            <w:tcW w:w="2836" w:type="dxa"/>
          </w:tcPr>
          <w:p w14:paraId="4674C436"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Saistības pret Eiropas Savienību</w:t>
            </w:r>
          </w:p>
        </w:tc>
        <w:tc>
          <w:tcPr>
            <w:tcW w:w="6520" w:type="dxa"/>
          </w:tcPr>
          <w:p w14:paraId="08982323" w14:textId="1F979159" w:rsidR="00BA4B20" w:rsidRPr="00FC5195" w:rsidRDefault="00BA4B20" w:rsidP="00FC5195">
            <w:pPr>
              <w:spacing w:after="0" w:line="240" w:lineRule="auto"/>
              <w:ind w:firstLine="450"/>
              <w:jc w:val="both"/>
              <w:rPr>
                <w:rFonts w:ascii="Times New Roman" w:eastAsia="Times New Roman" w:hAnsi="Times New Roman"/>
                <w:color w:val="000000"/>
                <w:sz w:val="24"/>
                <w:szCs w:val="24"/>
                <w:lang w:eastAsia="lv-LV"/>
              </w:rPr>
            </w:pPr>
            <w:r w:rsidRPr="00FC5195">
              <w:rPr>
                <w:rFonts w:ascii="Times New Roman" w:eastAsia="Times New Roman" w:hAnsi="Times New Roman"/>
                <w:color w:val="000000"/>
                <w:sz w:val="24"/>
                <w:szCs w:val="24"/>
                <w:lang w:eastAsia="lv-LV"/>
              </w:rPr>
              <w:t xml:space="preserve">Ar noteikumu projektu tiks ieviestas </w:t>
            </w:r>
            <w:r w:rsidR="00C336C9" w:rsidRPr="00FC5195">
              <w:rPr>
                <w:rFonts w:ascii="Times New Roman" w:eastAsia="Times New Roman" w:hAnsi="Times New Roman"/>
                <w:color w:val="000000"/>
                <w:sz w:val="24"/>
                <w:szCs w:val="24"/>
                <w:lang w:eastAsia="lv-LV"/>
              </w:rPr>
              <w:t xml:space="preserve">šādas Eiropas Savienības tiesību aktu </w:t>
            </w:r>
            <w:r w:rsidRPr="00FC5195">
              <w:rPr>
                <w:rFonts w:ascii="Times New Roman" w:eastAsia="Times New Roman" w:hAnsi="Times New Roman"/>
                <w:color w:val="000000"/>
                <w:sz w:val="24"/>
                <w:szCs w:val="24"/>
                <w:lang w:eastAsia="lv-LV"/>
              </w:rPr>
              <w:t>prasības:</w:t>
            </w:r>
          </w:p>
          <w:p w14:paraId="4F88AF2F" w14:textId="5B259509" w:rsidR="00BA4B20" w:rsidRPr="00FC5195" w:rsidRDefault="00BA4B20" w:rsidP="00FC5195">
            <w:pPr>
              <w:numPr>
                <w:ilvl w:val="0"/>
                <w:numId w:val="10"/>
              </w:numPr>
              <w:shd w:val="clear" w:color="auto" w:fill="FFFFFF"/>
              <w:spacing w:after="0" w:line="240" w:lineRule="auto"/>
              <w:ind w:right="113" w:firstLine="17"/>
              <w:jc w:val="both"/>
              <w:rPr>
                <w:rFonts w:ascii="Times New Roman" w:eastAsia="Times New Roman" w:hAnsi="Times New Roman"/>
                <w:color w:val="000000"/>
                <w:sz w:val="24"/>
                <w:szCs w:val="24"/>
                <w:lang w:eastAsia="lv-LV"/>
              </w:rPr>
            </w:pPr>
            <w:r w:rsidRPr="00FC5195">
              <w:rPr>
                <w:rFonts w:ascii="Times New Roman" w:eastAsia="Times New Roman" w:hAnsi="Times New Roman"/>
                <w:color w:val="000000"/>
                <w:sz w:val="24"/>
                <w:szCs w:val="24"/>
                <w:lang w:eastAsia="lv-LV"/>
              </w:rPr>
              <w:t>Komisijas regula Nr. 651/2014;</w:t>
            </w:r>
          </w:p>
          <w:p w14:paraId="49B58420" w14:textId="766156D1" w:rsidR="002F61F3" w:rsidRPr="00FC5195" w:rsidRDefault="005B5DFD" w:rsidP="00FC5195">
            <w:pPr>
              <w:numPr>
                <w:ilvl w:val="0"/>
                <w:numId w:val="10"/>
              </w:numPr>
              <w:shd w:val="clear" w:color="auto" w:fill="FFFFFF"/>
              <w:spacing w:after="0" w:line="240" w:lineRule="auto"/>
              <w:ind w:right="113" w:firstLine="17"/>
              <w:jc w:val="both"/>
              <w:rPr>
                <w:rFonts w:ascii="Times New Roman" w:eastAsia="Times New Roman" w:hAnsi="Times New Roman"/>
                <w:color w:val="000000"/>
                <w:sz w:val="24"/>
                <w:szCs w:val="24"/>
                <w:lang w:eastAsia="lv-LV"/>
              </w:rPr>
            </w:pPr>
            <w:r w:rsidRPr="00FC5195">
              <w:rPr>
                <w:rFonts w:ascii="Times New Roman" w:eastAsia="Times New Roman" w:hAnsi="Times New Roman"/>
                <w:color w:val="000000"/>
                <w:sz w:val="24"/>
                <w:szCs w:val="24"/>
                <w:lang w:eastAsia="lv-LV"/>
              </w:rPr>
              <w:t xml:space="preserve">Eiropas Parlamenta un Padomes </w:t>
            </w:r>
            <w:r w:rsidR="00BA4B20" w:rsidRPr="00FC5195">
              <w:rPr>
                <w:rFonts w:ascii="Times New Roman" w:eastAsia="Times New Roman" w:hAnsi="Times New Roman"/>
                <w:color w:val="000000"/>
                <w:sz w:val="24"/>
                <w:szCs w:val="24"/>
                <w:lang w:eastAsia="lv-LV"/>
              </w:rPr>
              <w:t>regula Nr.1303/2013.</w:t>
            </w:r>
          </w:p>
        </w:tc>
      </w:tr>
      <w:tr w:rsidR="00BA4B20" w:rsidRPr="000B5889" w14:paraId="62974A55" w14:textId="77777777" w:rsidTr="000B5889">
        <w:trPr>
          <w:trHeight w:val="339"/>
        </w:trPr>
        <w:tc>
          <w:tcPr>
            <w:tcW w:w="425" w:type="dxa"/>
          </w:tcPr>
          <w:p w14:paraId="6F42E1C7"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2.</w:t>
            </w:r>
          </w:p>
        </w:tc>
        <w:tc>
          <w:tcPr>
            <w:tcW w:w="2836" w:type="dxa"/>
          </w:tcPr>
          <w:p w14:paraId="73DC7438"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Citas starptautiskās saistības</w:t>
            </w:r>
          </w:p>
        </w:tc>
        <w:tc>
          <w:tcPr>
            <w:tcW w:w="6520" w:type="dxa"/>
          </w:tcPr>
          <w:p w14:paraId="6B637BF5" w14:textId="0F4C8A96" w:rsidR="00BA4B20" w:rsidRPr="000B5889" w:rsidRDefault="00C336C9" w:rsidP="000E2F9C">
            <w:pPr>
              <w:shd w:val="clear" w:color="auto" w:fill="FFFFFF"/>
              <w:spacing w:line="240" w:lineRule="auto"/>
              <w:ind w:right="113"/>
              <w:jc w:val="both"/>
              <w:rPr>
                <w:rFonts w:ascii="Times New Roman" w:hAnsi="Times New Roman"/>
                <w:kern w:val="24"/>
                <w:sz w:val="24"/>
                <w:szCs w:val="24"/>
              </w:rPr>
            </w:pPr>
            <w:r>
              <w:rPr>
                <w:rFonts w:ascii="Times New Roman" w:hAnsi="Times New Roman"/>
                <w:iCs/>
                <w:sz w:val="24"/>
                <w:szCs w:val="24"/>
              </w:rPr>
              <w:t>P</w:t>
            </w:r>
            <w:r w:rsidR="00BA4B20" w:rsidRPr="000B5889">
              <w:rPr>
                <w:rFonts w:ascii="Times New Roman" w:hAnsi="Times New Roman"/>
                <w:iCs/>
                <w:sz w:val="24"/>
                <w:szCs w:val="24"/>
              </w:rPr>
              <w:t>rojekts šo jomu neskar.</w:t>
            </w:r>
          </w:p>
        </w:tc>
      </w:tr>
      <w:tr w:rsidR="00BA4B20" w:rsidRPr="000B5889" w14:paraId="42C16DE7" w14:textId="77777777" w:rsidTr="000B5889">
        <w:trPr>
          <w:trHeight w:val="476"/>
        </w:trPr>
        <w:tc>
          <w:tcPr>
            <w:tcW w:w="425" w:type="dxa"/>
          </w:tcPr>
          <w:p w14:paraId="610B811C"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3.</w:t>
            </w:r>
          </w:p>
        </w:tc>
        <w:tc>
          <w:tcPr>
            <w:tcW w:w="2836" w:type="dxa"/>
          </w:tcPr>
          <w:p w14:paraId="1164EE09"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Cita informācija</w:t>
            </w:r>
          </w:p>
        </w:tc>
        <w:tc>
          <w:tcPr>
            <w:tcW w:w="6520" w:type="dxa"/>
          </w:tcPr>
          <w:p w14:paraId="680C8118" w14:textId="066D5D4F" w:rsidR="00BA4B20" w:rsidRPr="000B5889" w:rsidRDefault="00BA4B20" w:rsidP="000E2F9C">
            <w:pPr>
              <w:shd w:val="clear" w:color="auto" w:fill="FFFFFF"/>
              <w:spacing w:line="240" w:lineRule="auto"/>
              <w:ind w:left="57" w:right="113"/>
              <w:jc w:val="both"/>
              <w:rPr>
                <w:rFonts w:ascii="Times New Roman" w:hAnsi="Times New Roman"/>
                <w:sz w:val="24"/>
                <w:szCs w:val="24"/>
              </w:rPr>
            </w:pPr>
            <w:r w:rsidRPr="000B5889">
              <w:rPr>
                <w:rFonts w:ascii="Times New Roman" w:hAnsi="Times New Roman"/>
                <w:sz w:val="24"/>
                <w:szCs w:val="24"/>
              </w:rPr>
              <w:t>Nav</w:t>
            </w:r>
          </w:p>
        </w:tc>
      </w:tr>
    </w:tbl>
    <w:p w14:paraId="11A21E3F" w14:textId="77777777" w:rsidR="00BA4B20" w:rsidRPr="000B5889" w:rsidRDefault="00BA4B20" w:rsidP="000E2F9C">
      <w:pPr>
        <w:spacing w:line="240" w:lineRule="auto"/>
        <w:jc w:val="center"/>
        <w:rPr>
          <w:rFonts w:ascii="Times New Roman" w:hAnsi="Times New Roman"/>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650"/>
        <w:gridCol w:w="2311"/>
      </w:tblGrid>
      <w:tr w:rsidR="00BA4B20" w:rsidRPr="000B5889" w14:paraId="28B36384" w14:textId="77777777" w:rsidTr="000B5889">
        <w:tc>
          <w:tcPr>
            <w:tcW w:w="9781" w:type="dxa"/>
            <w:gridSpan w:val="4"/>
            <w:tcBorders>
              <w:top w:val="single" w:sz="4" w:space="0" w:color="auto"/>
              <w:left w:val="single" w:sz="4" w:space="0" w:color="auto"/>
              <w:bottom w:val="single" w:sz="4" w:space="0" w:color="auto"/>
              <w:right w:val="single" w:sz="4" w:space="0" w:color="auto"/>
            </w:tcBorders>
            <w:hideMark/>
          </w:tcPr>
          <w:p w14:paraId="136F1CDF" w14:textId="77777777" w:rsidR="00BA4B20" w:rsidRPr="000B5889" w:rsidRDefault="00BA4B20" w:rsidP="000E2F9C">
            <w:pPr>
              <w:pStyle w:val="naisnod"/>
              <w:spacing w:before="0" w:beforeAutospacing="0" w:after="0" w:afterAutospacing="0"/>
              <w:jc w:val="center"/>
              <w:rPr>
                <w:lang w:eastAsia="en-US"/>
              </w:rPr>
            </w:pPr>
            <w:r w:rsidRPr="008342E3">
              <w:rPr>
                <w:b/>
                <w:lang w:eastAsia="en-US"/>
              </w:rPr>
              <w:t>1.tabula. Tiesību akta projekta atbilstība ES tiesību aktiem</w:t>
            </w:r>
          </w:p>
        </w:tc>
      </w:tr>
      <w:tr w:rsidR="00BA4B20" w:rsidRPr="000B5889" w14:paraId="35DE920B" w14:textId="77777777" w:rsidTr="000B5889">
        <w:tc>
          <w:tcPr>
            <w:tcW w:w="2410" w:type="dxa"/>
            <w:tcBorders>
              <w:top w:val="single" w:sz="4" w:space="0" w:color="auto"/>
              <w:left w:val="single" w:sz="4" w:space="0" w:color="auto"/>
              <w:bottom w:val="single" w:sz="4" w:space="0" w:color="auto"/>
              <w:right w:val="single" w:sz="4" w:space="0" w:color="auto"/>
            </w:tcBorders>
            <w:hideMark/>
          </w:tcPr>
          <w:p w14:paraId="04FD83E4" w14:textId="77777777" w:rsidR="00BA4B20" w:rsidRPr="000B5889" w:rsidRDefault="00BA4B20" w:rsidP="000E2F9C">
            <w:pPr>
              <w:shd w:val="clear" w:color="auto" w:fill="FFFFFF"/>
              <w:spacing w:after="120" w:line="240" w:lineRule="auto"/>
              <w:ind w:right="113"/>
              <w:jc w:val="both"/>
              <w:rPr>
                <w:rFonts w:ascii="Times New Roman" w:hAnsi="Times New Roman"/>
                <w:sz w:val="24"/>
                <w:szCs w:val="24"/>
              </w:rPr>
            </w:pPr>
            <w:r w:rsidRPr="00881C3B">
              <w:rPr>
                <w:rFonts w:ascii="Times New Roman" w:hAnsi="Times New Roman"/>
                <w:bCs/>
                <w:sz w:val="24"/>
                <w:szCs w:val="24"/>
              </w:rPr>
              <w:t>Attiecīgā ES tiesību akta datums, numurs un nosaukums</w:t>
            </w:r>
          </w:p>
        </w:tc>
        <w:tc>
          <w:tcPr>
            <w:tcW w:w="7371" w:type="dxa"/>
            <w:gridSpan w:val="3"/>
            <w:tcBorders>
              <w:top w:val="single" w:sz="4" w:space="0" w:color="auto"/>
              <w:left w:val="single" w:sz="4" w:space="0" w:color="auto"/>
              <w:bottom w:val="single" w:sz="4" w:space="0" w:color="auto"/>
              <w:right w:val="single" w:sz="4" w:space="0" w:color="auto"/>
            </w:tcBorders>
            <w:hideMark/>
          </w:tcPr>
          <w:p w14:paraId="0CB97981" w14:textId="77777777" w:rsidR="00BA4B20" w:rsidRPr="000B5889" w:rsidRDefault="00BA4B20" w:rsidP="000E2F9C">
            <w:pPr>
              <w:pStyle w:val="naiskr"/>
              <w:spacing w:before="0" w:beforeAutospacing="0" w:after="0" w:afterAutospacing="0"/>
              <w:jc w:val="both"/>
            </w:pPr>
            <w:r w:rsidRPr="000B5889">
              <w:t xml:space="preserve">Ar normatīvo aktu tiek ieviestas šāda Eiropas Savienības tiesību akta prasības: </w:t>
            </w:r>
          </w:p>
          <w:p w14:paraId="4276FBC4" w14:textId="77777777" w:rsidR="00BA4B20" w:rsidRDefault="00BA4B20" w:rsidP="000E2F9C">
            <w:pPr>
              <w:pStyle w:val="naiskr"/>
              <w:numPr>
                <w:ilvl w:val="0"/>
                <w:numId w:val="12"/>
              </w:numPr>
              <w:spacing w:before="0" w:beforeAutospacing="0" w:after="0" w:afterAutospacing="0"/>
              <w:ind w:left="377"/>
              <w:jc w:val="both"/>
              <w:rPr>
                <w:lang w:eastAsia="en-US"/>
              </w:rPr>
            </w:pPr>
            <w:r w:rsidRPr="000B5889">
              <w:rPr>
                <w:lang w:eastAsia="en-US"/>
              </w:rPr>
              <w:t>Komisijas regula Nr.</w:t>
            </w:r>
            <w:r w:rsidRPr="000B5889">
              <w:rPr>
                <w:bCs/>
              </w:rPr>
              <w:t>651/2014</w:t>
            </w:r>
            <w:r w:rsidRPr="000B5889">
              <w:rPr>
                <w:lang w:eastAsia="en-US"/>
              </w:rPr>
              <w:t>;</w:t>
            </w:r>
          </w:p>
          <w:p w14:paraId="69A566FE" w14:textId="77777777" w:rsidR="009437C6" w:rsidRPr="000B5889" w:rsidRDefault="009437C6" w:rsidP="000E2F9C">
            <w:pPr>
              <w:pStyle w:val="naiskr"/>
              <w:numPr>
                <w:ilvl w:val="0"/>
                <w:numId w:val="12"/>
              </w:numPr>
              <w:spacing w:before="0" w:beforeAutospacing="0" w:after="0" w:afterAutospacing="0"/>
              <w:ind w:left="377"/>
              <w:jc w:val="both"/>
              <w:rPr>
                <w:lang w:eastAsia="en-US"/>
              </w:rPr>
            </w:pPr>
            <w:r w:rsidRPr="000B5889">
              <w:rPr>
                <w:lang w:eastAsia="en-US"/>
              </w:rPr>
              <w:t>Eiropas Parlamenta un Padomes regula Nr.130</w:t>
            </w:r>
            <w:r>
              <w:rPr>
                <w:lang w:eastAsia="en-US"/>
              </w:rPr>
              <w:t>1</w:t>
            </w:r>
            <w:r w:rsidRPr="000B5889">
              <w:rPr>
                <w:lang w:eastAsia="en-US"/>
              </w:rPr>
              <w:t>/2013</w:t>
            </w:r>
            <w:r>
              <w:rPr>
                <w:lang w:eastAsia="en-US"/>
              </w:rPr>
              <w:t>;</w:t>
            </w:r>
          </w:p>
          <w:p w14:paraId="096D017B" w14:textId="44B00F21" w:rsidR="00BA4B20" w:rsidRPr="000B5889" w:rsidRDefault="005B5DFD" w:rsidP="000E2F9C">
            <w:pPr>
              <w:pStyle w:val="naiskr"/>
              <w:numPr>
                <w:ilvl w:val="0"/>
                <w:numId w:val="12"/>
              </w:numPr>
              <w:spacing w:before="0" w:beforeAutospacing="0" w:after="0" w:afterAutospacing="0"/>
              <w:ind w:left="377"/>
              <w:jc w:val="both"/>
              <w:rPr>
                <w:lang w:eastAsia="en-US"/>
              </w:rPr>
            </w:pPr>
            <w:r w:rsidRPr="000F7E0A">
              <w:lastRenderedPageBreak/>
              <w:t xml:space="preserve">Eiropas Parlamenta un Padomes </w:t>
            </w:r>
            <w:r w:rsidR="00BA4B20" w:rsidRPr="000B5889">
              <w:rPr>
                <w:lang w:eastAsia="en-US"/>
              </w:rPr>
              <w:t>regula Nr.1303/2013.</w:t>
            </w:r>
          </w:p>
        </w:tc>
      </w:tr>
      <w:tr w:rsidR="00BA4B20" w:rsidRPr="000B5889" w14:paraId="3D41A663" w14:textId="77777777" w:rsidTr="000B5889">
        <w:tc>
          <w:tcPr>
            <w:tcW w:w="2410" w:type="dxa"/>
            <w:tcBorders>
              <w:top w:val="single" w:sz="4" w:space="0" w:color="auto"/>
              <w:left w:val="single" w:sz="4" w:space="0" w:color="auto"/>
              <w:bottom w:val="single" w:sz="4" w:space="0" w:color="auto"/>
              <w:right w:val="single" w:sz="4" w:space="0" w:color="auto"/>
            </w:tcBorders>
            <w:hideMark/>
          </w:tcPr>
          <w:p w14:paraId="369578FA" w14:textId="77777777" w:rsidR="00BA4B20" w:rsidRPr="000B5889" w:rsidRDefault="00BA4B20" w:rsidP="000E2F9C">
            <w:pPr>
              <w:spacing w:line="240" w:lineRule="auto"/>
              <w:jc w:val="center"/>
              <w:rPr>
                <w:rFonts w:ascii="Times New Roman" w:hAnsi="Times New Roman"/>
                <w:sz w:val="24"/>
                <w:szCs w:val="24"/>
              </w:rPr>
            </w:pPr>
            <w:r w:rsidRPr="000B5889">
              <w:rPr>
                <w:rFonts w:ascii="Times New Roman" w:hAnsi="Times New Roman"/>
                <w:sz w:val="24"/>
                <w:szCs w:val="24"/>
              </w:rPr>
              <w:lastRenderedPageBreak/>
              <w:t>A</w:t>
            </w:r>
          </w:p>
        </w:tc>
        <w:tc>
          <w:tcPr>
            <w:tcW w:w="2410" w:type="dxa"/>
            <w:tcBorders>
              <w:top w:val="single" w:sz="4" w:space="0" w:color="auto"/>
              <w:left w:val="single" w:sz="4" w:space="0" w:color="auto"/>
              <w:bottom w:val="single" w:sz="4" w:space="0" w:color="auto"/>
              <w:right w:val="single" w:sz="4" w:space="0" w:color="auto"/>
            </w:tcBorders>
            <w:hideMark/>
          </w:tcPr>
          <w:p w14:paraId="1F4EE584" w14:textId="77777777" w:rsidR="00BA4B20" w:rsidRPr="000B5889" w:rsidRDefault="00BA4B20" w:rsidP="000E2F9C">
            <w:pPr>
              <w:spacing w:line="240" w:lineRule="auto"/>
              <w:jc w:val="center"/>
              <w:rPr>
                <w:rFonts w:ascii="Times New Roman" w:hAnsi="Times New Roman"/>
                <w:sz w:val="24"/>
                <w:szCs w:val="24"/>
              </w:rPr>
            </w:pPr>
            <w:r w:rsidRPr="000B5889">
              <w:rPr>
                <w:rFonts w:ascii="Times New Roman" w:hAnsi="Times New Roman"/>
                <w:sz w:val="24"/>
                <w:szCs w:val="24"/>
              </w:rPr>
              <w:t>B</w:t>
            </w:r>
          </w:p>
        </w:tc>
        <w:tc>
          <w:tcPr>
            <w:tcW w:w="2650" w:type="dxa"/>
            <w:tcBorders>
              <w:top w:val="single" w:sz="4" w:space="0" w:color="auto"/>
              <w:left w:val="single" w:sz="4" w:space="0" w:color="auto"/>
              <w:bottom w:val="single" w:sz="4" w:space="0" w:color="auto"/>
              <w:right w:val="single" w:sz="4" w:space="0" w:color="auto"/>
            </w:tcBorders>
            <w:hideMark/>
          </w:tcPr>
          <w:p w14:paraId="30C7B280" w14:textId="77777777" w:rsidR="00BA4B20" w:rsidRPr="000B5889" w:rsidRDefault="00BA4B20" w:rsidP="000E2F9C">
            <w:pPr>
              <w:spacing w:line="240" w:lineRule="auto"/>
              <w:jc w:val="center"/>
              <w:rPr>
                <w:rFonts w:ascii="Times New Roman" w:hAnsi="Times New Roman"/>
                <w:sz w:val="24"/>
                <w:szCs w:val="24"/>
              </w:rPr>
            </w:pPr>
            <w:r w:rsidRPr="000B5889">
              <w:rPr>
                <w:rFonts w:ascii="Times New Roman" w:hAnsi="Times New Roman"/>
                <w:sz w:val="24"/>
                <w:szCs w:val="24"/>
              </w:rPr>
              <w:t>C</w:t>
            </w:r>
          </w:p>
        </w:tc>
        <w:tc>
          <w:tcPr>
            <w:tcW w:w="2311" w:type="dxa"/>
            <w:tcBorders>
              <w:top w:val="single" w:sz="4" w:space="0" w:color="auto"/>
              <w:left w:val="single" w:sz="4" w:space="0" w:color="auto"/>
              <w:bottom w:val="single" w:sz="4" w:space="0" w:color="auto"/>
              <w:right w:val="single" w:sz="4" w:space="0" w:color="auto"/>
            </w:tcBorders>
            <w:hideMark/>
          </w:tcPr>
          <w:p w14:paraId="78179F27" w14:textId="77777777" w:rsidR="00BA4B20" w:rsidRPr="000B5889" w:rsidRDefault="00BA4B20" w:rsidP="000E2F9C">
            <w:pPr>
              <w:spacing w:line="240" w:lineRule="auto"/>
              <w:jc w:val="center"/>
              <w:rPr>
                <w:rFonts w:ascii="Times New Roman" w:hAnsi="Times New Roman"/>
                <w:sz w:val="24"/>
                <w:szCs w:val="24"/>
              </w:rPr>
            </w:pPr>
            <w:r w:rsidRPr="000B5889">
              <w:rPr>
                <w:rFonts w:ascii="Times New Roman" w:hAnsi="Times New Roman"/>
                <w:sz w:val="24"/>
                <w:szCs w:val="24"/>
              </w:rPr>
              <w:t>D</w:t>
            </w:r>
          </w:p>
        </w:tc>
      </w:tr>
      <w:tr w:rsidR="00BA4B20" w:rsidRPr="000B5889" w14:paraId="77131272" w14:textId="77777777" w:rsidTr="000B5889">
        <w:tc>
          <w:tcPr>
            <w:tcW w:w="2410" w:type="dxa"/>
            <w:tcBorders>
              <w:top w:val="single" w:sz="4" w:space="0" w:color="auto"/>
              <w:left w:val="single" w:sz="4" w:space="0" w:color="auto"/>
              <w:bottom w:val="single" w:sz="4" w:space="0" w:color="auto"/>
              <w:right w:val="single" w:sz="4" w:space="0" w:color="auto"/>
            </w:tcBorders>
            <w:hideMark/>
          </w:tcPr>
          <w:p w14:paraId="1A98EA53" w14:textId="77777777" w:rsidR="00BA4B20" w:rsidRPr="000B5889" w:rsidRDefault="00BA4B20" w:rsidP="000E2F9C">
            <w:pPr>
              <w:shd w:val="clear" w:color="auto" w:fill="FFFFFF"/>
              <w:spacing w:after="120" w:line="240" w:lineRule="auto"/>
              <w:ind w:right="113"/>
              <w:jc w:val="both"/>
              <w:rPr>
                <w:rFonts w:ascii="Times New Roman" w:hAnsi="Times New Roman"/>
                <w:sz w:val="24"/>
                <w:szCs w:val="24"/>
              </w:rPr>
            </w:pPr>
            <w:r w:rsidRPr="009A626A">
              <w:rPr>
                <w:rFonts w:ascii="Times New Roman" w:hAnsi="Times New Roman"/>
                <w:bCs/>
                <w:sz w:val="24"/>
                <w:szCs w:val="24"/>
              </w:rPr>
              <w:t xml:space="preserve">Attiecīgā ES tiesību akta panta numurs (uzskaitot katru tiesību akta </w:t>
            </w:r>
            <w:r w:rsidRPr="009A626A">
              <w:rPr>
                <w:rFonts w:ascii="Times New Roman" w:hAnsi="Times New Roman"/>
                <w:bCs/>
                <w:sz w:val="24"/>
                <w:szCs w:val="24"/>
              </w:rPr>
              <w:br/>
              <w:t>vienību – pantu, daļu, punktu, apakšpunktu)</w:t>
            </w:r>
          </w:p>
        </w:tc>
        <w:tc>
          <w:tcPr>
            <w:tcW w:w="2410" w:type="dxa"/>
            <w:tcBorders>
              <w:top w:val="single" w:sz="4" w:space="0" w:color="auto"/>
              <w:left w:val="single" w:sz="4" w:space="0" w:color="auto"/>
              <w:bottom w:val="single" w:sz="4" w:space="0" w:color="auto"/>
              <w:right w:val="single" w:sz="4" w:space="0" w:color="auto"/>
            </w:tcBorders>
            <w:hideMark/>
          </w:tcPr>
          <w:p w14:paraId="77623B21"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Projekta vienība, kas pārņem vai ievieš katru šīs tabulas A ailē minēto ES tiesību akta vienību, vai tiesību akts, kur attiecīgā ES tiesību akta vienība pārņemta vai ieviesta</w:t>
            </w:r>
          </w:p>
        </w:tc>
        <w:tc>
          <w:tcPr>
            <w:tcW w:w="2650" w:type="dxa"/>
            <w:tcBorders>
              <w:top w:val="single" w:sz="4" w:space="0" w:color="auto"/>
              <w:left w:val="single" w:sz="4" w:space="0" w:color="auto"/>
              <w:bottom w:val="single" w:sz="4" w:space="0" w:color="auto"/>
              <w:right w:val="single" w:sz="4" w:space="0" w:color="auto"/>
            </w:tcBorders>
            <w:hideMark/>
          </w:tcPr>
          <w:p w14:paraId="0E835E0C"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Informācija par to, vai šīs tabulas A ailē minētās ES tiesību akta vienības tiek pārņemtas vai ieviestas pilnībā vai daļēji.</w:t>
            </w:r>
          </w:p>
          <w:p w14:paraId="60BBABFA"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1AC189D0"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Norāda institūciju, kas ir atbildīga par šo saistību izpildi pilnībā</w:t>
            </w:r>
          </w:p>
        </w:tc>
        <w:tc>
          <w:tcPr>
            <w:tcW w:w="2311" w:type="dxa"/>
            <w:tcBorders>
              <w:top w:val="single" w:sz="4" w:space="0" w:color="auto"/>
              <w:left w:val="single" w:sz="4" w:space="0" w:color="auto"/>
              <w:bottom w:val="single" w:sz="4" w:space="0" w:color="auto"/>
              <w:right w:val="single" w:sz="4" w:space="0" w:color="auto"/>
            </w:tcBorders>
            <w:hideMark/>
          </w:tcPr>
          <w:p w14:paraId="0DD0AAEF"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Informācija par to, vai šīs tabulas B ailē minētās projekta vienības paredz stingrākas prasības nekā šīs tabulas A ailē minētās ES tiesību akta vienības.</w:t>
            </w:r>
          </w:p>
          <w:p w14:paraId="193A5969"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Ja projekts satur stingrākas prasības nekā attiecīgais ES tiesību akts, – norāda pamatojumu un samērīgumu.</w:t>
            </w:r>
          </w:p>
          <w:p w14:paraId="6E84C8AA" w14:textId="77777777" w:rsidR="00BA4B20" w:rsidRPr="009A626A" w:rsidRDefault="00BA4B20" w:rsidP="000E2F9C">
            <w:pPr>
              <w:shd w:val="clear" w:color="auto" w:fill="FFFFFF"/>
              <w:spacing w:after="120" w:line="240" w:lineRule="auto"/>
              <w:ind w:right="113"/>
              <w:jc w:val="both"/>
              <w:rPr>
                <w:rFonts w:ascii="Times New Roman" w:hAnsi="Times New Roman"/>
                <w:bCs/>
                <w:sz w:val="24"/>
                <w:szCs w:val="24"/>
              </w:rPr>
            </w:pPr>
            <w:r w:rsidRPr="009A626A">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BA4B20" w:rsidRPr="000B5889" w14:paraId="2AD90422" w14:textId="77777777" w:rsidTr="000B5889">
        <w:tc>
          <w:tcPr>
            <w:tcW w:w="2410" w:type="dxa"/>
            <w:tcBorders>
              <w:top w:val="single" w:sz="4" w:space="0" w:color="auto"/>
              <w:left w:val="single" w:sz="4" w:space="0" w:color="auto"/>
              <w:bottom w:val="single" w:sz="4" w:space="0" w:color="auto"/>
              <w:right w:val="single" w:sz="4" w:space="0" w:color="auto"/>
            </w:tcBorders>
          </w:tcPr>
          <w:p w14:paraId="31B7A6D0" w14:textId="43B58326" w:rsidR="00BA4B20" w:rsidRPr="00146480" w:rsidRDefault="00146480" w:rsidP="000E2F9C">
            <w:pPr>
              <w:shd w:val="clear" w:color="auto" w:fill="FFFFFF"/>
              <w:spacing w:after="120" w:line="240" w:lineRule="auto"/>
              <w:ind w:right="113"/>
              <w:jc w:val="both"/>
              <w:rPr>
                <w:rFonts w:ascii="Times New Roman" w:hAnsi="Times New Roman"/>
                <w:bCs/>
                <w:sz w:val="24"/>
                <w:szCs w:val="24"/>
              </w:rPr>
            </w:pPr>
            <w:r w:rsidRPr="00146480">
              <w:rPr>
                <w:rFonts w:ascii="Times New Roman" w:hAnsi="Times New Roman"/>
                <w:bCs/>
                <w:sz w:val="24"/>
                <w:szCs w:val="24"/>
              </w:rPr>
              <w:t xml:space="preserve">Eiropas Parlamenta un Padomes regulas Nr.1303/2013 </w:t>
            </w:r>
            <w:r w:rsidRPr="00146480">
              <w:rPr>
                <w:rFonts w:ascii="Times New Roman" w:hAnsi="Times New Roman"/>
                <w:sz w:val="24"/>
                <w:szCs w:val="24"/>
              </w:rPr>
              <w:t>38. panta 4. punkta "b ii" apakšpunkts</w:t>
            </w:r>
          </w:p>
        </w:tc>
        <w:tc>
          <w:tcPr>
            <w:tcW w:w="2410" w:type="dxa"/>
            <w:tcBorders>
              <w:top w:val="single" w:sz="4" w:space="0" w:color="auto"/>
              <w:left w:val="single" w:sz="4" w:space="0" w:color="auto"/>
              <w:bottom w:val="single" w:sz="4" w:space="0" w:color="auto"/>
              <w:right w:val="single" w:sz="4" w:space="0" w:color="auto"/>
            </w:tcBorders>
          </w:tcPr>
          <w:p w14:paraId="6D8735BA" w14:textId="77777777" w:rsidR="00BA4B20" w:rsidRPr="00146480" w:rsidRDefault="00BA4B20" w:rsidP="000E2F9C">
            <w:pPr>
              <w:spacing w:line="240" w:lineRule="auto"/>
              <w:jc w:val="center"/>
              <w:rPr>
                <w:rFonts w:ascii="Times New Roman" w:hAnsi="Times New Roman"/>
                <w:iCs/>
                <w:sz w:val="24"/>
                <w:szCs w:val="24"/>
              </w:rPr>
            </w:pPr>
            <w:r w:rsidRPr="00146480">
              <w:rPr>
                <w:rFonts w:ascii="Times New Roman" w:hAnsi="Times New Roman"/>
                <w:iCs/>
                <w:sz w:val="24"/>
                <w:szCs w:val="24"/>
              </w:rPr>
              <w:t xml:space="preserve">Noteikumu projekta </w:t>
            </w:r>
            <w:r w:rsidR="00146480" w:rsidRPr="00146480">
              <w:rPr>
                <w:rFonts w:ascii="Times New Roman" w:hAnsi="Times New Roman"/>
                <w:iCs/>
                <w:sz w:val="24"/>
                <w:szCs w:val="24"/>
              </w:rPr>
              <w:t>14</w:t>
            </w:r>
            <w:r w:rsidRPr="00146480">
              <w:rPr>
                <w:rFonts w:ascii="Times New Roman" w:hAnsi="Times New Roman"/>
                <w:iCs/>
                <w:sz w:val="24"/>
                <w:szCs w:val="24"/>
              </w:rPr>
              <w:t>.</w:t>
            </w:r>
            <w:r w:rsidR="00146480" w:rsidRPr="00146480">
              <w:rPr>
                <w:rFonts w:ascii="Times New Roman" w:hAnsi="Times New Roman"/>
                <w:iCs/>
                <w:sz w:val="24"/>
                <w:szCs w:val="24"/>
              </w:rPr>
              <w:t> </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77251B4D" w14:textId="77777777" w:rsidR="00BA4B20" w:rsidRPr="000B5889" w:rsidRDefault="00BA4B20" w:rsidP="000E2F9C">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65954731" w14:textId="77777777" w:rsidR="00BA4B20" w:rsidRPr="000B5889" w:rsidRDefault="00BA4B20" w:rsidP="000E2F9C">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CA4977" w:rsidRPr="000B5889" w14:paraId="05306B7B" w14:textId="77777777" w:rsidTr="000B5889">
        <w:tc>
          <w:tcPr>
            <w:tcW w:w="2410" w:type="dxa"/>
            <w:tcBorders>
              <w:top w:val="single" w:sz="4" w:space="0" w:color="auto"/>
              <w:left w:val="single" w:sz="4" w:space="0" w:color="auto"/>
              <w:bottom w:val="single" w:sz="4" w:space="0" w:color="auto"/>
              <w:right w:val="single" w:sz="4" w:space="0" w:color="auto"/>
            </w:tcBorders>
          </w:tcPr>
          <w:p w14:paraId="62806451" w14:textId="77777777" w:rsidR="00CA4977" w:rsidRPr="00146480" w:rsidRDefault="00CA4977" w:rsidP="00CA4977">
            <w:pPr>
              <w:shd w:val="clear" w:color="auto" w:fill="FFFFFF"/>
              <w:spacing w:after="120" w:line="240" w:lineRule="auto"/>
              <w:ind w:right="113"/>
              <w:jc w:val="both"/>
              <w:rPr>
                <w:rFonts w:ascii="Times New Roman" w:hAnsi="Times New Roman"/>
                <w:bCs/>
                <w:sz w:val="24"/>
                <w:szCs w:val="24"/>
              </w:rPr>
            </w:pPr>
            <w:r w:rsidRPr="00CA4977">
              <w:rPr>
                <w:rFonts w:ascii="Times New Roman" w:hAnsi="Times New Roman"/>
                <w:bCs/>
                <w:sz w:val="24"/>
                <w:szCs w:val="24"/>
              </w:rPr>
              <w:t>Komisijas Regulas Nr. Nr.480/2014 7.pants</w:t>
            </w:r>
          </w:p>
        </w:tc>
        <w:tc>
          <w:tcPr>
            <w:tcW w:w="2410" w:type="dxa"/>
            <w:tcBorders>
              <w:top w:val="single" w:sz="4" w:space="0" w:color="auto"/>
              <w:left w:val="single" w:sz="4" w:space="0" w:color="auto"/>
              <w:bottom w:val="single" w:sz="4" w:space="0" w:color="auto"/>
              <w:right w:val="single" w:sz="4" w:space="0" w:color="auto"/>
            </w:tcBorders>
          </w:tcPr>
          <w:p w14:paraId="72955AB4" w14:textId="4B075C6C" w:rsidR="00CA4977" w:rsidRPr="00146480" w:rsidRDefault="00CA4977" w:rsidP="00CA4977">
            <w:pPr>
              <w:spacing w:line="240" w:lineRule="auto"/>
              <w:jc w:val="center"/>
              <w:rPr>
                <w:rFonts w:ascii="Times New Roman" w:hAnsi="Times New Roman"/>
                <w:iCs/>
                <w:sz w:val="24"/>
                <w:szCs w:val="24"/>
              </w:rPr>
            </w:pPr>
            <w:r w:rsidRPr="00146480">
              <w:rPr>
                <w:rFonts w:ascii="Times New Roman" w:hAnsi="Times New Roman"/>
                <w:iCs/>
                <w:sz w:val="24"/>
                <w:szCs w:val="24"/>
              </w:rPr>
              <w:t>Noteikumu projekta 1</w:t>
            </w:r>
            <w:r w:rsidR="00EF4E4B">
              <w:rPr>
                <w:rFonts w:ascii="Times New Roman" w:hAnsi="Times New Roman"/>
                <w:iCs/>
                <w:sz w:val="24"/>
                <w:szCs w:val="24"/>
              </w:rPr>
              <w:t>5</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66C59F14" w14:textId="77777777" w:rsidR="00CA4977" w:rsidRPr="000B5889" w:rsidRDefault="00CA4977" w:rsidP="00CA4977">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4674AD7D" w14:textId="77777777" w:rsidR="00CA4977" w:rsidRPr="000B5889" w:rsidRDefault="00CA4977" w:rsidP="00CA4977">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41673E" w:rsidRPr="000B5889" w14:paraId="74E15AB7" w14:textId="77777777" w:rsidTr="000B5889">
        <w:tc>
          <w:tcPr>
            <w:tcW w:w="2410" w:type="dxa"/>
            <w:tcBorders>
              <w:top w:val="single" w:sz="4" w:space="0" w:color="auto"/>
              <w:left w:val="single" w:sz="4" w:space="0" w:color="auto"/>
              <w:bottom w:val="single" w:sz="4" w:space="0" w:color="auto"/>
              <w:right w:val="single" w:sz="4" w:space="0" w:color="auto"/>
            </w:tcBorders>
          </w:tcPr>
          <w:p w14:paraId="2D9803B5" w14:textId="3BF1497A" w:rsidR="0041673E" w:rsidRPr="00C6484B" w:rsidRDefault="0041673E" w:rsidP="0041673E">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Pr>
                <w:rFonts w:ascii="Times New Roman" w:hAnsi="Times New Roman"/>
                <w:sz w:val="24"/>
                <w:szCs w:val="24"/>
              </w:rPr>
              <w:t>37. panta 2. un 3. punkts</w:t>
            </w:r>
          </w:p>
        </w:tc>
        <w:tc>
          <w:tcPr>
            <w:tcW w:w="2410" w:type="dxa"/>
            <w:tcBorders>
              <w:top w:val="single" w:sz="4" w:space="0" w:color="auto"/>
              <w:left w:val="single" w:sz="4" w:space="0" w:color="auto"/>
              <w:bottom w:val="single" w:sz="4" w:space="0" w:color="auto"/>
              <w:right w:val="single" w:sz="4" w:space="0" w:color="auto"/>
            </w:tcBorders>
          </w:tcPr>
          <w:p w14:paraId="3BD30F2B" w14:textId="2790DDD2" w:rsidR="0041673E" w:rsidRPr="00C6484B" w:rsidRDefault="0041673E" w:rsidP="0041673E">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Noteikumu projekta 1</w:t>
            </w:r>
            <w:r w:rsidR="00E81B11">
              <w:rPr>
                <w:rFonts w:ascii="Times New Roman" w:hAnsi="Times New Roman"/>
                <w:iCs/>
                <w:sz w:val="24"/>
                <w:szCs w:val="24"/>
              </w:rPr>
              <w:t>7</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2AF9CB59" w14:textId="77777777" w:rsidR="0041673E" w:rsidRPr="000B5889" w:rsidRDefault="0041673E" w:rsidP="0041673E">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4BFAF04B" w14:textId="77777777" w:rsidR="0041673E" w:rsidRPr="000B5889" w:rsidRDefault="0041673E" w:rsidP="0041673E">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66620E" w:rsidRPr="000B5889" w14:paraId="01BB65DD" w14:textId="77777777" w:rsidTr="00A30B66">
        <w:tc>
          <w:tcPr>
            <w:tcW w:w="2410" w:type="dxa"/>
            <w:tcBorders>
              <w:top w:val="single" w:sz="4" w:space="0" w:color="auto"/>
              <w:left w:val="single" w:sz="4" w:space="0" w:color="auto"/>
              <w:bottom w:val="single" w:sz="4" w:space="0" w:color="auto"/>
              <w:right w:val="single" w:sz="4" w:space="0" w:color="auto"/>
            </w:tcBorders>
          </w:tcPr>
          <w:p w14:paraId="046206C9" w14:textId="77777777" w:rsidR="0066620E" w:rsidRPr="00C6484B" w:rsidRDefault="0066620E"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sidR="00A503C7">
              <w:rPr>
                <w:rFonts w:ascii="Times New Roman" w:hAnsi="Times New Roman"/>
                <w:sz w:val="24"/>
                <w:szCs w:val="24"/>
              </w:rPr>
              <w:t xml:space="preserve">IV pielikuma 1. </w:t>
            </w:r>
            <w:r>
              <w:rPr>
                <w:rFonts w:ascii="Times New Roman" w:hAnsi="Times New Roman"/>
                <w:sz w:val="24"/>
                <w:szCs w:val="24"/>
              </w:rPr>
              <w:t>punkts</w:t>
            </w:r>
          </w:p>
        </w:tc>
        <w:tc>
          <w:tcPr>
            <w:tcW w:w="2410" w:type="dxa"/>
            <w:tcBorders>
              <w:top w:val="single" w:sz="4" w:space="0" w:color="auto"/>
              <w:left w:val="single" w:sz="4" w:space="0" w:color="auto"/>
              <w:bottom w:val="single" w:sz="4" w:space="0" w:color="auto"/>
              <w:right w:val="single" w:sz="4" w:space="0" w:color="auto"/>
            </w:tcBorders>
          </w:tcPr>
          <w:p w14:paraId="3FAAFA80" w14:textId="393F8434" w:rsidR="0066620E" w:rsidRPr="00C6484B" w:rsidRDefault="0066620E"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Noteikumu projekta 1</w:t>
            </w:r>
            <w:r w:rsidR="00E81B11">
              <w:rPr>
                <w:rFonts w:ascii="Times New Roman" w:hAnsi="Times New Roman"/>
                <w:iCs/>
                <w:sz w:val="24"/>
                <w:szCs w:val="24"/>
              </w:rPr>
              <w:t>8</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1D58E428" w14:textId="77777777" w:rsidR="0066620E" w:rsidRPr="000B5889" w:rsidRDefault="0066620E"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6359C55" w14:textId="77777777" w:rsidR="0066620E" w:rsidRPr="000B5889" w:rsidRDefault="0066620E"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BF2F65" w:rsidRPr="000B5889" w14:paraId="61C787B7" w14:textId="77777777" w:rsidTr="00A30B66">
        <w:tc>
          <w:tcPr>
            <w:tcW w:w="2410" w:type="dxa"/>
            <w:tcBorders>
              <w:top w:val="single" w:sz="4" w:space="0" w:color="auto"/>
              <w:left w:val="single" w:sz="4" w:space="0" w:color="auto"/>
              <w:bottom w:val="single" w:sz="4" w:space="0" w:color="auto"/>
              <w:right w:val="single" w:sz="4" w:space="0" w:color="auto"/>
            </w:tcBorders>
          </w:tcPr>
          <w:p w14:paraId="0D3F81DD" w14:textId="4B388570" w:rsidR="00BF2F65" w:rsidRPr="00C6484B" w:rsidRDefault="00BF2F65"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lastRenderedPageBreak/>
              <w:t xml:space="preserve">Eiropas Parlamenta un Padomes regulas Nr.1303/2013 </w:t>
            </w:r>
            <w:r>
              <w:rPr>
                <w:rFonts w:ascii="Times New Roman" w:hAnsi="Times New Roman"/>
                <w:sz w:val="24"/>
                <w:szCs w:val="24"/>
              </w:rPr>
              <w:t>IV pielikums</w:t>
            </w:r>
          </w:p>
        </w:tc>
        <w:tc>
          <w:tcPr>
            <w:tcW w:w="2410" w:type="dxa"/>
            <w:tcBorders>
              <w:top w:val="single" w:sz="4" w:space="0" w:color="auto"/>
              <w:left w:val="single" w:sz="4" w:space="0" w:color="auto"/>
              <w:bottom w:val="single" w:sz="4" w:space="0" w:color="auto"/>
              <w:right w:val="single" w:sz="4" w:space="0" w:color="auto"/>
            </w:tcBorders>
          </w:tcPr>
          <w:p w14:paraId="5865C611" w14:textId="4254361D" w:rsidR="00BF2F65" w:rsidRPr="00C6484B" w:rsidRDefault="00BF2F65"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 xml:space="preserve">Noteikumu projekta </w:t>
            </w:r>
            <w:r w:rsidR="003A33C8">
              <w:rPr>
                <w:rFonts w:ascii="Times New Roman" w:hAnsi="Times New Roman"/>
                <w:iCs/>
                <w:sz w:val="24"/>
                <w:szCs w:val="24"/>
              </w:rPr>
              <w:t>2</w:t>
            </w:r>
            <w:r w:rsidR="00E81B11">
              <w:rPr>
                <w:rFonts w:ascii="Times New Roman" w:hAnsi="Times New Roman"/>
                <w:iCs/>
                <w:sz w:val="24"/>
                <w:szCs w:val="24"/>
              </w:rPr>
              <w:t>3</w:t>
            </w:r>
            <w:r w:rsidRPr="00146480">
              <w:rPr>
                <w:rFonts w:ascii="Times New Roman" w:hAnsi="Times New Roman"/>
                <w:iCs/>
                <w:sz w:val="24"/>
                <w:szCs w:val="24"/>
              </w:rPr>
              <w:t>. punkts</w:t>
            </w:r>
            <w:r w:rsidR="009412CE">
              <w:rPr>
                <w:rFonts w:ascii="Times New Roman" w:hAnsi="Times New Roman"/>
                <w:iCs/>
                <w:sz w:val="24"/>
                <w:szCs w:val="24"/>
              </w:rPr>
              <w:t>, 3</w:t>
            </w:r>
            <w:r w:rsidR="00E81B11">
              <w:rPr>
                <w:rFonts w:ascii="Times New Roman" w:hAnsi="Times New Roman"/>
                <w:iCs/>
                <w:sz w:val="24"/>
                <w:szCs w:val="24"/>
              </w:rPr>
              <w:t>6</w:t>
            </w:r>
            <w:r w:rsidR="009412CE">
              <w:rPr>
                <w:rFonts w:ascii="Times New Roman" w:hAnsi="Times New Roman"/>
                <w:iCs/>
                <w:sz w:val="24"/>
                <w:szCs w:val="24"/>
              </w:rPr>
              <w:t>.1. apakšpunkts</w:t>
            </w:r>
          </w:p>
        </w:tc>
        <w:tc>
          <w:tcPr>
            <w:tcW w:w="2650" w:type="dxa"/>
            <w:tcBorders>
              <w:top w:val="single" w:sz="4" w:space="0" w:color="auto"/>
              <w:left w:val="single" w:sz="4" w:space="0" w:color="auto"/>
              <w:bottom w:val="single" w:sz="4" w:space="0" w:color="auto"/>
              <w:right w:val="single" w:sz="4" w:space="0" w:color="auto"/>
            </w:tcBorders>
          </w:tcPr>
          <w:p w14:paraId="536C4F49" w14:textId="77777777" w:rsidR="00BF2F65" w:rsidRPr="000B5889" w:rsidRDefault="00BF2F65"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D2A7B42" w14:textId="77777777" w:rsidR="00BF2F65" w:rsidRPr="000B5889" w:rsidRDefault="00BF2F65"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EB1991" w:rsidRPr="000B5889" w14:paraId="729CB0A4" w14:textId="77777777" w:rsidTr="00A30B66">
        <w:tc>
          <w:tcPr>
            <w:tcW w:w="2410" w:type="dxa"/>
            <w:tcBorders>
              <w:top w:val="single" w:sz="4" w:space="0" w:color="auto"/>
              <w:left w:val="single" w:sz="4" w:space="0" w:color="auto"/>
              <w:bottom w:val="single" w:sz="4" w:space="0" w:color="auto"/>
              <w:right w:val="single" w:sz="4" w:space="0" w:color="auto"/>
            </w:tcBorders>
          </w:tcPr>
          <w:p w14:paraId="3EAE5152" w14:textId="6387D071" w:rsidR="00EB1991" w:rsidRPr="00C6484B" w:rsidRDefault="00EB1991"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Pr>
                <w:rFonts w:ascii="Times New Roman" w:hAnsi="Times New Roman"/>
                <w:sz w:val="24"/>
                <w:szCs w:val="24"/>
              </w:rPr>
              <w:t>38. panta 6. punkts</w:t>
            </w:r>
          </w:p>
        </w:tc>
        <w:tc>
          <w:tcPr>
            <w:tcW w:w="2410" w:type="dxa"/>
            <w:tcBorders>
              <w:top w:val="single" w:sz="4" w:space="0" w:color="auto"/>
              <w:left w:val="single" w:sz="4" w:space="0" w:color="auto"/>
              <w:bottom w:val="single" w:sz="4" w:space="0" w:color="auto"/>
              <w:right w:val="single" w:sz="4" w:space="0" w:color="auto"/>
            </w:tcBorders>
          </w:tcPr>
          <w:p w14:paraId="40728876" w14:textId="66D99EBE" w:rsidR="00EB1991" w:rsidRPr="00C6484B" w:rsidRDefault="00EB1991"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 xml:space="preserve">Noteikumu projekta </w:t>
            </w:r>
            <w:r>
              <w:rPr>
                <w:rFonts w:ascii="Times New Roman" w:hAnsi="Times New Roman"/>
                <w:iCs/>
                <w:sz w:val="24"/>
                <w:szCs w:val="24"/>
              </w:rPr>
              <w:t>2</w:t>
            </w:r>
            <w:r w:rsidR="00E81B11">
              <w:rPr>
                <w:rFonts w:ascii="Times New Roman" w:hAnsi="Times New Roman"/>
                <w:iCs/>
                <w:sz w:val="24"/>
                <w:szCs w:val="24"/>
              </w:rPr>
              <w:t>4</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04E9F043" w14:textId="77777777" w:rsidR="00EB1991" w:rsidRPr="000B5889" w:rsidRDefault="00EB1991"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1DB2E234" w14:textId="77777777" w:rsidR="00EB1991" w:rsidRPr="000B5889" w:rsidRDefault="00EB1991"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CE0870" w:rsidRPr="000B5889" w14:paraId="104AB750" w14:textId="77777777" w:rsidTr="00A30B66">
        <w:tc>
          <w:tcPr>
            <w:tcW w:w="2410" w:type="dxa"/>
            <w:tcBorders>
              <w:top w:val="single" w:sz="4" w:space="0" w:color="auto"/>
              <w:left w:val="single" w:sz="4" w:space="0" w:color="auto"/>
              <w:bottom w:val="single" w:sz="4" w:space="0" w:color="auto"/>
              <w:right w:val="single" w:sz="4" w:space="0" w:color="auto"/>
            </w:tcBorders>
          </w:tcPr>
          <w:p w14:paraId="003175EC" w14:textId="77777777" w:rsidR="00CE0870" w:rsidRPr="00146480" w:rsidRDefault="00CE0870" w:rsidP="00A30B66">
            <w:pPr>
              <w:shd w:val="clear" w:color="auto" w:fill="FFFFFF"/>
              <w:spacing w:after="120" w:line="240" w:lineRule="auto"/>
              <w:ind w:right="113"/>
              <w:jc w:val="both"/>
              <w:rPr>
                <w:rFonts w:ascii="Times New Roman" w:hAnsi="Times New Roman"/>
                <w:bCs/>
                <w:sz w:val="24"/>
                <w:szCs w:val="24"/>
              </w:rPr>
            </w:pPr>
            <w:r w:rsidRPr="00CA4977">
              <w:rPr>
                <w:rFonts w:ascii="Times New Roman" w:hAnsi="Times New Roman"/>
                <w:bCs/>
                <w:sz w:val="24"/>
                <w:szCs w:val="24"/>
              </w:rPr>
              <w:t xml:space="preserve">Komisijas Regulas Nr. Nr.480/2014 </w:t>
            </w:r>
            <w:r>
              <w:rPr>
                <w:rFonts w:ascii="Times New Roman" w:eastAsia="Times New Roman" w:hAnsi="Times New Roman"/>
                <w:sz w:val="24"/>
                <w:szCs w:val="24"/>
                <w:lang w:eastAsia="lv-LV"/>
              </w:rPr>
              <w:t>13. panta 2. un 3. punkts</w:t>
            </w:r>
          </w:p>
        </w:tc>
        <w:tc>
          <w:tcPr>
            <w:tcW w:w="2410" w:type="dxa"/>
            <w:tcBorders>
              <w:top w:val="single" w:sz="4" w:space="0" w:color="auto"/>
              <w:left w:val="single" w:sz="4" w:space="0" w:color="auto"/>
              <w:bottom w:val="single" w:sz="4" w:space="0" w:color="auto"/>
              <w:right w:val="single" w:sz="4" w:space="0" w:color="auto"/>
            </w:tcBorders>
          </w:tcPr>
          <w:p w14:paraId="04859968" w14:textId="6E36076A" w:rsidR="00CE0870" w:rsidRPr="00146480" w:rsidRDefault="00CE0870" w:rsidP="00A30B66">
            <w:pPr>
              <w:spacing w:line="240" w:lineRule="auto"/>
              <w:jc w:val="center"/>
              <w:rPr>
                <w:rFonts w:ascii="Times New Roman" w:hAnsi="Times New Roman"/>
                <w:iCs/>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2</w:t>
            </w:r>
            <w:r w:rsidR="00E81B11">
              <w:rPr>
                <w:rFonts w:ascii="Times New Roman" w:hAnsi="Times New Roman"/>
                <w:iCs/>
                <w:sz w:val="24"/>
                <w:szCs w:val="24"/>
              </w:rPr>
              <w:t>6</w:t>
            </w:r>
            <w:r>
              <w:rPr>
                <w:rFonts w:ascii="Times New Roman" w:hAnsi="Times New Roman"/>
                <w:iCs/>
                <w:sz w:val="24"/>
                <w:szCs w:val="24"/>
              </w:rPr>
              <w:t>.2</w:t>
            </w:r>
            <w:r w:rsidRPr="00146480">
              <w:rPr>
                <w:rFonts w:ascii="Times New Roman" w:hAnsi="Times New Roman"/>
                <w:iCs/>
                <w:sz w:val="24"/>
                <w:szCs w:val="24"/>
              </w:rPr>
              <w:t>. </w:t>
            </w:r>
            <w:r>
              <w:rPr>
                <w:rFonts w:ascii="Times New Roman" w:hAnsi="Times New Roman"/>
                <w:iCs/>
                <w:sz w:val="24"/>
                <w:szCs w:val="24"/>
              </w:rPr>
              <w:t>apakš</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145AE6E1" w14:textId="77777777" w:rsidR="00CE0870" w:rsidRPr="000B5889" w:rsidRDefault="00CE0870"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E57FB25" w14:textId="77777777" w:rsidR="00CE0870" w:rsidRPr="000B5889" w:rsidRDefault="00CE0870"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A231DA" w:rsidRPr="000B5889" w14:paraId="08EC8DA1" w14:textId="77777777" w:rsidTr="00A30B66">
        <w:tc>
          <w:tcPr>
            <w:tcW w:w="2410" w:type="dxa"/>
            <w:tcBorders>
              <w:top w:val="single" w:sz="4" w:space="0" w:color="auto"/>
              <w:left w:val="single" w:sz="4" w:space="0" w:color="auto"/>
              <w:bottom w:val="single" w:sz="4" w:space="0" w:color="auto"/>
              <w:right w:val="single" w:sz="4" w:space="0" w:color="auto"/>
            </w:tcBorders>
          </w:tcPr>
          <w:p w14:paraId="1D67337C" w14:textId="261A60D3" w:rsidR="00A231DA" w:rsidRPr="00C6484B" w:rsidRDefault="00A231DA"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Pr>
                <w:rFonts w:ascii="Times New Roman" w:eastAsia="Times New Roman" w:hAnsi="Times New Roman"/>
                <w:sz w:val="24"/>
                <w:szCs w:val="24"/>
                <w:lang w:eastAsia="lv-LV"/>
              </w:rPr>
              <w:t>44. un 45.</w:t>
            </w:r>
            <w:r>
              <w:rPr>
                <w:rFonts w:ascii="Times New Roman" w:hAnsi="Times New Roman"/>
                <w:sz w:val="24"/>
                <w:szCs w:val="24"/>
              </w:rPr>
              <w:t xml:space="preserve"> pants</w:t>
            </w:r>
          </w:p>
        </w:tc>
        <w:tc>
          <w:tcPr>
            <w:tcW w:w="2410" w:type="dxa"/>
            <w:tcBorders>
              <w:top w:val="single" w:sz="4" w:space="0" w:color="auto"/>
              <w:left w:val="single" w:sz="4" w:space="0" w:color="auto"/>
              <w:bottom w:val="single" w:sz="4" w:space="0" w:color="auto"/>
              <w:right w:val="single" w:sz="4" w:space="0" w:color="auto"/>
            </w:tcBorders>
          </w:tcPr>
          <w:p w14:paraId="1B2ED119" w14:textId="40132B38" w:rsidR="00A231DA" w:rsidRPr="00C6484B" w:rsidRDefault="00A231DA"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 xml:space="preserve">Noteikumu projekta </w:t>
            </w:r>
            <w:r>
              <w:rPr>
                <w:rFonts w:ascii="Times New Roman" w:hAnsi="Times New Roman"/>
                <w:iCs/>
                <w:sz w:val="24"/>
                <w:szCs w:val="24"/>
              </w:rPr>
              <w:t>2</w:t>
            </w:r>
            <w:r w:rsidR="00E81B11">
              <w:rPr>
                <w:rFonts w:ascii="Times New Roman" w:hAnsi="Times New Roman"/>
                <w:iCs/>
                <w:sz w:val="24"/>
                <w:szCs w:val="24"/>
              </w:rPr>
              <w:t>9</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6E1876A2" w14:textId="77777777" w:rsidR="00A231DA" w:rsidRPr="000B5889" w:rsidRDefault="00A231D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3B8C1ACA" w14:textId="77777777" w:rsidR="00A231DA" w:rsidRPr="000B5889" w:rsidRDefault="00A231D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F84B0A" w:rsidRPr="000B5889" w14:paraId="63DC2127" w14:textId="77777777" w:rsidTr="00A30B66">
        <w:tc>
          <w:tcPr>
            <w:tcW w:w="2410" w:type="dxa"/>
            <w:tcBorders>
              <w:top w:val="single" w:sz="4" w:space="0" w:color="auto"/>
              <w:left w:val="single" w:sz="4" w:space="0" w:color="auto"/>
              <w:bottom w:val="single" w:sz="4" w:space="0" w:color="auto"/>
              <w:right w:val="single" w:sz="4" w:space="0" w:color="auto"/>
            </w:tcBorders>
          </w:tcPr>
          <w:p w14:paraId="76020F95" w14:textId="19B67A9D" w:rsidR="00F84B0A" w:rsidRPr="00C6484B" w:rsidRDefault="00F84B0A"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Pr>
                <w:rFonts w:ascii="Times New Roman" w:eastAsia="Times New Roman" w:hAnsi="Times New Roman"/>
                <w:sz w:val="24"/>
                <w:szCs w:val="24"/>
                <w:lang w:eastAsia="lv-LV"/>
              </w:rPr>
              <w:t xml:space="preserve">70. panta 2. </w:t>
            </w:r>
            <w:r>
              <w:rPr>
                <w:rFonts w:ascii="Times New Roman" w:hAnsi="Times New Roman"/>
                <w:sz w:val="24"/>
                <w:szCs w:val="24"/>
              </w:rPr>
              <w:t>punkts</w:t>
            </w:r>
          </w:p>
        </w:tc>
        <w:tc>
          <w:tcPr>
            <w:tcW w:w="2410" w:type="dxa"/>
            <w:tcBorders>
              <w:top w:val="single" w:sz="4" w:space="0" w:color="auto"/>
              <w:left w:val="single" w:sz="4" w:space="0" w:color="auto"/>
              <w:bottom w:val="single" w:sz="4" w:space="0" w:color="auto"/>
              <w:right w:val="single" w:sz="4" w:space="0" w:color="auto"/>
            </w:tcBorders>
          </w:tcPr>
          <w:p w14:paraId="481CCCE0" w14:textId="07A3A538" w:rsidR="00F84B0A" w:rsidRPr="00C6484B" w:rsidRDefault="00F84B0A"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 xml:space="preserve">Noteikumu projekta </w:t>
            </w:r>
            <w:r w:rsidR="00E81B11">
              <w:rPr>
                <w:rFonts w:ascii="Times New Roman" w:hAnsi="Times New Roman"/>
                <w:iCs/>
                <w:sz w:val="24"/>
                <w:szCs w:val="24"/>
              </w:rPr>
              <w:t>31</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13EC900F" w14:textId="77777777" w:rsidR="00F84B0A" w:rsidRPr="000B5889" w:rsidRDefault="00F84B0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55F4B64" w14:textId="77777777" w:rsidR="00F84B0A" w:rsidRPr="000B5889" w:rsidRDefault="00F84B0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D766B2" w:rsidRPr="000B5889" w14:paraId="046BCA37" w14:textId="77777777" w:rsidTr="00A30B66">
        <w:tc>
          <w:tcPr>
            <w:tcW w:w="2410" w:type="dxa"/>
            <w:tcBorders>
              <w:top w:val="single" w:sz="4" w:space="0" w:color="auto"/>
              <w:left w:val="single" w:sz="4" w:space="0" w:color="auto"/>
              <w:bottom w:val="single" w:sz="4" w:space="0" w:color="auto"/>
              <w:right w:val="single" w:sz="4" w:space="0" w:color="auto"/>
            </w:tcBorders>
          </w:tcPr>
          <w:p w14:paraId="0EF0CFAE" w14:textId="01B8674F" w:rsidR="00D766B2" w:rsidRPr="00C6484B" w:rsidRDefault="00D766B2"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Pr>
                <w:rFonts w:ascii="Times New Roman" w:eastAsia="Times New Roman" w:hAnsi="Times New Roman"/>
                <w:sz w:val="24"/>
                <w:szCs w:val="24"/>
                <w:lang w:eastAsia="lv-LV"/>
              </w:rPr>
              <w:t>46.</w:t>
            </w:r>
            <w:r>
              <w:rPr>
                <w:rFonts w:ascii="Times New Roman" w:hAnsi="Times New Roman"/>
                <w:sz w:val="24"/>
                <w:szCs w:val="24"/>
              </w:rPr>
              <w:t xml:space="preserve"> pants</w:t>
            </w:r>
          </w:p>
        </w:tc>
        <w:tc>
          <w:tcPr>
            <w:tcW w:w="2410" w:type="dxa"/>
            <w:tcBorders>
              <w:top w:val="single" w:sz="4" w:space="0" w:color="auto"/>
              <w:left w:val="single" w:sz="4" w:space="0" w:color="auto"/>
              <w:bottom w:val="single" w:sz="4" w:space="0" w:color="auto"/>
              <w:right w:val="single" w:sz="4" w:space="0" w:color="auto"/>
            </w:tcBorders>
          </w:tcPr>
          <w:p w14:paraId="475BF903" w14:textId="14F9B79D" w:rsidR="00D766B2" w:rsidRPr="00C6484B" w:rsidRDefault="00D766B2"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 xml:space="preserve">Noteikumu projekta </w:t>
            </w:r>
            <w:r>
              <w:rPr>
                <w:rFonts w:ascii="Times New Roman" w:hAnsi="Times New Roman"/>
                <w:iCs/>
                <w:sz w:val="24"/>
                <w:szCs w:val="24"/>
              </w:rPr>
              <w:t>3</w:t>
            </w:r>
            <w:r w:rsidR="00E81B11">
              <w:rPr>
                <w:rFonts w:ascii="Times New Roman" w:hAnsi="Times New Roman"/>
                <w:iCs/>
                <w:sz w:val="24"/>
                <w:szCs w:val="24"/>
              </w:rPr>
              <w:t>2</w:t>
            </w:r>
            <w:r>
              <w:rPr>
                <w:rFonts w:ascii="Times New Roman" w:hAnsi="Times New Roman"/>
                <w:iCs/>
                <w:sz w:val="24"/>
                <w:szCs w:val="24"/>
              </w:rPr>
              <w:t>.2</w:t>
            </w:r>
            <w:r w:rsidRPr="00146480">
              <w:rPr>
                <w:rFonts w:ascii="Times New Roman" w:hAnsi="Times New Roman"/>
                <w:iCs/>
                <w:sz w:val="24"/>
                <w:szCs w:val="24"/>
              </w:rPr>
              <w:t>. </w:t>
            </w:r>
            <w:r>
              <w:rPr>
                <w:rFonts w:ascii="Times New Roman" w:hAnsi="Times New Roman"/>
                <w:iCs/>
                <w:sz w:val="24"/>
                <w:szCs w:val="24"/>
              </w:rPr>
              <w:t>apakš</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2E6CC7C6" w14:textId="77777777" w:rsidR="00D766B2" w:rsidRPr="000B5889" w:rsidRDefault="00D766B2"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1E38CF0C" w14:textId="77777777" w:rsidR="00D766B2" w:rsidRPr="000B5889" w:rsidRDefault="00D766B2"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B470CC" w:rsidRPr="000B5889" w14:paraId="2C7B37EF" w14:textId="77777777" w:rsidTr="00A30B66">
        <w:tc>
          <w:tcPr>
            <w:tcW w:w="2410" w:type="dxa"/>
            <w:tcBorders>
              <w:top w:val="single" w:sz="4" w:space="0" w:color="auto"/>
              <w:left w:val="single" w:sz="4" w:space="0" w:color="auto"/>
              <w:bottom w:val="single" w:sz="4" w:space="0" w:color="auto"/>
              <w:right w:val="single" w:sz="4" w:space="0" w:color="auto"/>
            </w:tcBorders>
          </w:tcPr>
          <w:p w14:paraId="36396511" w14:textId="2941DF0A" w:rsidR="00B470CC" w:rsidRPr="00C6484B" w:rsidRDefault="00B470CC"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 xml:space="preserve">Eiropas Parlamenta un Padomes regulas Nr.1303/2013 </w:t>
            </w:r>
            <w:r>
              <w:rPr>
                <w:rFonts w:ascii="Times New Roman" w:eastAsia="Times New Roman" w:hAnsi="Times New Roman"/>
                <w:sz w:val="24"/>
                <w:szCs w:val="24"/>
                <w:lang w:eastAsia="lv-LV"/>
              </w:rPr>
              <w:t xml:space="preserve">41. panta 1. </w:t>
            </w:r>
            <w:r>
              <w:rPr>
                <w:rFonts w:ascii="Times New Roman" w:hAnsi="Times New Roman"/>
                <w:sz w:val="24"/>
                <w:szCs w:val="24"/>
              </w:rPr>
              <w:t>punkts</w:t>
            </w:r>
          </w:p>
        </w:tc>
        <w:tc>
          <w:tcPr>
            <w:tcW w:w="2410" w:type="dxa"/>
            <w:tcBorders>
              <w:top w:val="single" w:sz="4" w:space="0" w:color="auto"/>
              <w:left w:val="single" w:sz="4" w:space="0" w:color="auto"/>
              <w:bottom w:val="single" w:sz="4" w:space="0" w:color="auto"/>
              <w:right w:val="single" w:sz="4" w:space="0" w:color="auto"/>
            </w:tcBorders>
          </w:tcPr>
          <w:p w14:paraId="52E702C9" w14:textId="5F752BC8" w:rsidR="00B470CC" w:rsidRPr="00C6484B" w:rsidRDefault="00B470CC"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t xml:space="preserve">Noteikumu projekta </w:t>
            </w:r>
            <w:r>
              <w:rPr>
                <w:rFonts w:ascii="Times New Roman" w:hAnsi="Times New Roman"/>
                <w:iCs/>
                <w:sz w:val="24"/>
                <w:szCs w:val="24"/>
              </w:rPr>
              <w:t>3</w:t>
            </w:r>
            <w:r w:rsidR="00152C2C">
              <w:rPr>
                <w:rFonts w:ascii="Times New Roman" w:hAnsi="Times New Roman"/>
                <w:iCs/>
                <w:sz w:val="24"/>
                <w:szCs w:val="24"/>
              </w:rPr>
              <w:t>4</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0362A90C" w14:textId="77777777" w:rsidR="00B470CC" w:rsidRPr="000B5889" w:rsidRDefault="00B470CC"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AFBE488" w14:textId="77777777" w:rsidR="00B470CC" w:rsidRPr="000B5889" w:rsidRDefault="00B470CC"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F90DAE" w:rsidRPr="000B5889" w14:paraId="6476EF43" w14:textId="77777777" w:rsidTr="00A30B66">
        <w:tc>
          <w:tcPr>
            <w:tcW w:w="2410" w:type="dxa"/>
            <w:tcBorders>
              <w:top w:val="single" w:sz="4" w:space="0" w:color="auto"/>
              <w:left w:val="single" w:sz="4" w:space="0" w:color="auto"/>
              <w:bottom w:val="single" w:sz="4" w:space="0" w:color="auto"/>
              <w:right w:val="single" w:sz="4" w:space="0" w:color="auto"/>
            </w:tcBorders>
          </w:tcPr>
          <w:p w14:paraId="0E1D8F7D" w14:textId="77777777" w:rsidR="00F90DAE" w:rsidRPr="00146480" w:rsidRDefault="00F90DAE" w:rsidP="00A30B66">
            <w:pPr>
              <w:shd w:val="clear" w:color="auto" w:fill="FFFFFF"/>
              <w:spacing w:after="120" w:line="240" w:lineRule="auto"/>
              <w:ind w:right="113"/>
              <w:jc w:val="both"/>
              <w:rPr>
                <w:rFonts w:ascii="Times New Roman" w:hAnsi="Times New Roman"/>
                <w:bCs/>
                <w:sz w:val="24"/>
                <w:szCs w:val="24"/>
              </w:rPr>
            </w:pPr>
            <w:r w:rsidRPr="00CA4977">
              <w:rPr>
                <w:rFonts w:ascii="Times New Roman" w:hAnsi="Times New Roman"/>
                <w:bCs/>
                <w:sz w:val="24"/>
                <w:szCs w:val="24"/>
              </w:rPr>
              <w:t xml:space="preserve">Komisijas Regulas Nr. Nr.480/2014 </w:t>
            </w:r>
            <w:r>
              <w:rPr>
                <w:rFonts w:ascii="Times New Roman" w:eastAsia="Times New Roman" w:hAnsi="Times New Roman"/>
                <w:sz w:val="24"/>
                <w:szCs w:val="24"/>
                <w:lang w:eastAsia="lv-LV"/>
              </w:rPr>
              <w:t>9. panta 1. punkts</w:t>
            </w:r>
          </w:p>
        </w:tc>
        <w:tc>
          <w:tcPr>
            <w:tcW w:w="2410" w:type="dxa"/>
            <w:tcBorders>
              <w:top w:val="single" w:sz="4" w:space="0" w:color="auto"/>
              <w:left w:val="single" w:sz="4" w:space="0" w:color="auto"/>
              <w:bottom w:val="single" w:sz="4" w:space="0" w:color="auto"/>
              <w:right w:val="single" w:sz="4" w:space="0" w:color="auto"/>
            </w:tcBorders>
          </w:tcPr>
          <w:p w14:paraId="1F1662B6" w14:textId="587A62A0" w:rsidR="00F90DAE" w:rsidRPr="00146480" w:rsidRDefault="00F90DAE" w:rsidP="00A30B66">
            <w:pPr>
              <w:spacing w:line="240" w:lineRule="auto"/>
              <w:jc w:val="center"/>
              <w:rPr>
                <w:rFonts w:ascii="Times New Roman" w:hAnsi="Times New Roman"/>
                <w:iCs/>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3</w:t>
            </w:r>
            <w:r w:rsidR="00152C2C">
              <w:rPr>
                <w:rFonts w:ascii="Times New Roman" w:hAnsi="Times New Roman"/>
                <w:iCs/>
                <w:sz w:val="24"/>
                <w:szCs w:val="24"/>
              </w:rPr>
              <w:t>6</w:t>
            </w:r>
            <w:r>
              <w:rPr>
                <w:rFonts w:ascii="Times New Roman" w:hAnsi="Times New Roman"/>
                <w:iCs/>
                <w:sz w:val="24"/>
                <w:szCs w:val="24"/>
              </w:rPr>
              <w:t>.2</w:t>
            </w:r>
            <w:r w:rsidRPr="00146480">
              <w:rPr>
                <w:rFonts w:ascii="Times New Roman" w:hAnsi="Times New Roman"/>
                <w:iCs/>
                <w:sz w:val="24"/>
                <w:szCs w:val="24"/>
              </w:rPr>
              <w:t>. </w:t>
            </w:r>
            <w:r>
              <w:rPr>
                <w:rFonts w:ascii="Times New Roman" w:hAnsi="Times New Roman"/>
                <w:iCs/>
                <w:sz w:val="24"/>
                <w:szCs w:val="24"/>
              </w:rPr>
              <w:t>apakš</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38D5B1B7" w14:textId="77777777" w:rsidR="00F90DAE" w:rsidRPr="000B5889" w:rsidRDefault="00F90DAE"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90F8BE6" w14:textId="77777777" w:rsidR="00F90DAE" w:rsidRPr="000B5889" w:rsidRDefault="00F90DAE"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105787" w:rsidRPr="000B5889" w14:paraId="753F9354" w14:textId="77777777" w:rsidTr="00A30B66">
        <w:tc>
          <w:tcPr>
            <w:tcW w:w="2410" w:type="dxa"/>
            <w:tcBorders>
              <w:top w:val="single" w:sz="4" w:space="0" w:color="auto"/>
              <w:left w:val="single" w:sz="4" w:space="0" w:color="auto"/>
              <w:bottom w:val="single" w:sz="4" w:space="0" w:color="auto"/>
              <w:right w:val="single" w:sz="4" w:space="0" w:color="auto"/>
            </w:tcBorders>
          </w:tcPr>
          <w:p w14:paraId="41C5CF28" w14:textId="77777777" w:rsidR="00105787" w:rsidRPr="00146480" w:rsidRDefault="00105787" w:rsidP="00A30B66">
            <w:pPr>
              <w:shd w:val="clear" w:color="auto" w:fill="FFFFFF"/>
              <w:spacing w:after="120" w:line="240" w:lineRule="auto"/>
              <w:ind w:right="113"/>
              <w:jc w:val="both"/>
              <w:rPr>
                <w:rFonts w:ascii="Times New Roman" w:hAnsi="Times New Roman"/>
                <w:bCs/>
                <w:sz w:val="24"/>
                <w:szCs w:val="24"/>
              </w:rPr>
            </w:pPr>
            <w:r w:rsidRPr="00CA4977">
              <w:rPr>
                <w:rFonts w:ascii="Times New Roman" w:hAnsi="Times New Roman"/>
                <w:bCs/>
                <w:sz w:val="24"/>
                <w:szCs w:val="24"/>
              </w:rPr>
              <w:t xml:space="preserve">Komisijas Regulas Nr. Nr.480/2014 </w:t>
            </w:r>
            <w:r>
              <w:rPr>
                <w:rFonts w:ascii="Times New Roman" w:eastAsia="Times New Roman" w:hAnsi="Times New Roman"/>
                <w:sz w:val="24"/>
                <w:szCs w:val="24"/>
                <w:lang w:eastAsia="lv-LV"/>
              </w:rPr>
              <w:t>12. panta 2. punkts</w:t>
            </w:r>
          </w:p>
        </w:tc>
        <w:tc>
          <w:tcPr>
            <w:tcW w:w="2410" w:type="dxa"/>
            <w:tcBorders>
              <w:top w:val="single" w:sz="4" w:space="0" w:color="auto"/>
              <w:left w:val="single" w:sz="4" w:space="0" w:color="auto"/>
              <w:bottom w:val="single" w:sz="4" w:space="0" w:color="auto"/>
              <w:right w:val="single" w:sz="4" w:space="0" w:color="auto"/>
            </w:tcBorders>
          </w:tcPr>
          <w:p w14:paraId="5CA907FF" w14:textId="25C815F5" w:rsidR="00105787" w:rsidRPr="00146480" w:rsidRDefault="00105787" w:rsidP="00A30B66">
            <w:pPr>
              <w:spacing w:line="240" w:lineRule="auto"/>
              <w:jc w:val="center"/>
              <w:rPr>
                <w:rFonts w:ascii="Times New Roman" w:hAnsi="Times New Roman"/>
                <w:iCs/>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3</w:t>
            </w:r>
            <w:r w:rsidR="00152C2C">
              <w:rPr>
                <w:rFonts w:ascii="Times New Roman" w:hAnsi="Times New Roman"/>
                <w:iCs/>
                <w:sz w:val="24"/>
                <w:szCs w:val="24"/>
              </w:rPr>
              <w:t>6</w:t>
            </w:r>
            <w:r>
              <w:rPr>
                <w:rFonts w:ascii="Times New Roman" w:hAnsi="Times New Roman"/>
                <w:iCs/>
                <w:sz w:val="24"/>
                <w:szCs w:val="24"/>
              </w:rPr>
              <w:t>.4</w:t>
            </w:r>
            <w:r w:rsidRPr="00146480">
              <w:rPr>
                <w:rFonts w:ascii="Times New Roman" w:hAnsi="Times New Roman"/>
                <w:iCs/>
                <w:sz w:val="24"/>
                <w:szCs w:val="24"/>
              </w:rPr>
              <w:t>. </w:t>
            </w:r>
            <w:r>
              <w:rPr>
                <w:rFonts w:ascii="Times New Roman" w:hAnsi="Times New Roman"/>
                <w:iCs/>
                <w:sz w:val="24"/>
                <w:szCs w:val="24"/>
              </w:rPr>
              <w:t>apakš</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5BA4B300" w14:textId="77777777" w:rsidR="00105787" w:rsidRPr="000B5889" w:rsidRDefault="00105787"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58740062" w14:textId="77777777" w:rsidR="00105787" w:rsidRPr="000B5889" w:rsidRDefault="00105787"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105787" w:rsidRPr="000B5889" w14:paraId="093E4EAD" w14:textId="77777777" w:rsidTr="000B5889">
        <w:tc>
          <w:tcPr>
            <w:tcW w:w="2410" w:type="dxa"/>
            <w:tcBorders>
              <w:top w:val="single" w:sz="4" w:space="0" w:color="auto"/>
              <w:left w:val="single" w:sz="4" w:space="0" w:color="auto"/>
              <w:bottom w:val="single" w:sz="4" w:space="0" w:color="auto"/>
              <w:right w:val="single" w:sz="4" w:space="0" w:color="auto"/>
            </w:tcBorders>
          </w:tcPr>
          <w:p w14:paraId="2303F4A7" w14:textId="77777777" w:rsidR="00105787" w:rsidRPr="00881C3B" w:rsidRDefault="00105787" w:rsidP="00105787">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Komisijas regulas Nr. 651/2014 13. un 14. pant</w:t>
            </w:r>
            <w:r>
              <w:rPr>
                <w:rFonts w:ascii="Times New Roman" w:hAnsi="Times New Roman"/>
                <w:bCs/>
                <w:sz w:val="24"/>
                <w:szCs w:val="24"/>
              </w:rPr>
              <w:t>s</w:t>
            </w:r>
          </w:p>
        </w:tc>
        <w:tc>
          <w:tcPr>
            <w:tcW w:w="2410" w:type="dxa"/>
            <w:tcBorders>
              <w:top w:val="single" w:sz="4" w:space="0" w:color="auto"/>
              <w:left w:val="single" w:sz="4" w:space="0" w:color="auto"/>
              <w:bottom w:val="single" w:sz="4" w:space="0" w:color="auto"/>
              <w:right w:val="single" w:sz="4" w:space="0" w:color="auto"/>
            </w:tcBorders>
          </w:tcPr>
          <w:p w14:paraId="69CD7D50" w14:textId="50F475FF" w:rsidR="00105787" w:rsidRPr="000B5889" w:rsidRDefault="00105787" w:rsidP="00105787">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3</w:t>
            </w:r>
            <w:r w:rsidR="00152C2C">
              <w:rPr>
                <w:rFonts w:ascii="Times New Roman" w:hAnsi="Times New Roman"/>
                <w:iCs/>
                <w:sz w:val="24"/>
                <w:szCs w:val="24"/>
              </w:rPr>
              <w:t>7</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0B4D4D51" w14:textId="77777777" w:rsidR="00105787" w:rsidRPr="000B5889" w:rsidRDefault="00105787" w:rsidP="00105787">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2F9BDB71" w14:textId="77777777" w:rsidR="00105787" w:rsidRPr="000B5889" w:rsidRDefault="00105787" w:rsidP="00105787">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283B7F" w:rsidRPr="000B5889" w14:paraId="0C749D98" w14:textId="77777777" w:rsidTr="00A30B66">
        <w:tc>
          <w:tcPr>
            <w:tcW w:w="2410" w:type="dxa"/>
            <w:tcBorders>
              <w:top w:val="single" w:sz="4" w:space="0" w:color="auto"/>
              <w:left w:val="single" w:sz="4" w:space="0" w:color="auto"/>
              <w:bottom w:val="single" w:sz="4" w:space="0" w:color="auto"/>
              <w:right w:val="single" w:sz="4" w:space="0" w:color="auto"/>
            </w:tcBorders>
          </w:tcPr>
          <w:p w14:paraId="365D0768" w14:textId="77777777" w:rsidR="00283B7F" w:rsidRPr="00881C3B" w:rsidRDefault="00283B7F"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sidR="00470C88">
              <w:rPr>
                <w:rFonts w:ascii="Times New Roman" w:hAnsi="Times New Roman"/>
                <w:bCs/>
                <w:sz w:val="24"/>
                <w:szCs w:val="24"/>
              </w:rPr>
              <w:t>1</w:t>
            </w:r>
            <w:r w:rsidRPr="00105787">
              <w:rPr>
                <w:rFonts w:ascii="Times New Roman" w:hAnsi="Times New Roman"/>
                <w:bCs/>
                <w:sz w:val="24"/>
                <w:szCs w:val="24"/>
              </w:rPr>
              <w:t>. pant</w:t>
            </w:r>
            <w:r w:rsidR="00470C88">
              <w:rPr>
                <w:rFonts w:ascii="Times New Roman" w:hAnsi="Times New Roman"/>
                <w:bCs/>
                <w:sz w:val="24"/>
                <w:szCs w:val="24"/>
              </w:rPr>
              <w:t>a 2.</w:t>
            </w:r>
            <w:r w:rsidR="00DB3F49">
              <w:rPr>
                <w:rFonts w:ascii="Times New Roman" w:hAnsi="Times New Roman"/>
                <w:bCs/>
                <w:sz w:val="24"/>
                <w:szCs w:val="24"/>
              </w:rPr>
              <w:t xml:space="preserve"> un 3.</w:t>
            </w:r>
            <w:r w:rsidR="00470C88">
              <w:rPr>
                <w:rFonts w:ascii="Times New Roman" w:hAnsi="Times New Roman"/>
                <w:bCs/>
                <w:sz w:val="24"/>
                <w:szCs w:val="24"/>
              </w:rPr>
              <w:t xml:space="preserve"> punkts</w:t>
            </w:r>
          </w:p>
        </w:tc>
        <w:tc>
          <w:tcPr>
            <w:tcW w:w="2410" w:type="dxa"/>
            <w:tcBorders>
              <w:top w:val="single" w:sz="4" w:space="0" w:color="auto"/>
              <w:left w:val="single" w:sz="4" w:space="0" w:color="auto"/>
              <w:bottom w:val="single" w:sz="4" w:space="0" w:color="auto"/>
              <w:right w:val="single" w:sz="4" w:space="0" w:color="auto"/>
            </w:tcBorders>
          </w:tcPr>
          <w:p w14:paraId="29F20257" w14:textId="7C5B8DCD" w:rsidR="00283B7F" w:rsidRPr="000B5889" w:rsidRDefault="00283B7F"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470C88">
              <w:rPr>
                <w:rFonts w:ascii="Times New Roman" w:hAnsi="Times New Roman"/>
                <w:iCs/>
                <w:sz w:val="24"/>
                <w:szCs w:val="24"/>
              </w:rPr>
              <w:t>3</w:t>
            </w:r>
            <w:r w:rsidR="00152C2C">
              <w:rPr>
                <w:rFonts w:ascii="Times New Roman" w:hAnsi="Times New Roman"/>
                <w:iCs/>
                <w:sz w:val="24"/>
                <w:szCs w:val="24"/>
              </w:rPr>
              <w:t>8</w:t>
            </w:r>
            <w:r w:rsidR="00470C88">
              <w:rPr>
                <w:rFonts w:ascii="Times New Roman" w:hAnsi="Times New Roman"/>
                <w:iCs/>
                <w:sz w:val="24"/>
                <w:szCs w:val="24"/>
              </w:rPr>
              <w:t>.1</w:t>
            </w:r>
            <w:r w:rsidR="00470C88" w:rsidRPr="00146480">
              <w:rPr>
                <w:rFonts w:ascii="Times New Roman" w:hAnsi="Times New Roman"/>
                <w:iCs/>
                <w:sz w:val="24"/>
                <w:szCs w:val="24"/>
              </w:rPr>
              <w:t>.</w:t>
            </w:r>
            <w:r w:rsidR="00DB3F49">
              <w:rPr>
                <w:rFonts w:ascii="Times New Roman" w:hAnsi="Times New Roman"/>
                <w:iCs/>
                <w:sz w:val="24"/>
                <w:szCs w:val="24"/>
              </w:rPr>
              <w:t xml:space="preserve"> un 3</w:t>
            </w:r>
            <w:r w:rsidR="00152C2C">
              <w:rPr>
                <w:rFonts w:ascii="Times New Roman" w:hAnsi="Times New Roman"/>
                <w:iCs/>
                <w:sz w:val="24"/>
                <w:szCs w:val="24"/>
              </w:rPr>
              <w:t>8</w:t>
            </w:r>
            <w:r w:rsidR="00DB3F49">
              <w:rPr>
                <w:rFonts w:ascii="Times New Roman" w:hAnsi="Times New Roman"/>
                <w:iCs/>
                <w:sz w:val="24"/>
                <w:szCs w:val="24"/>
              </w:rPr>
              <w:t>.2.</w:t>
            </w:r>
            <w:r w:rsidR="00470C88" w:rsidRPr="00146480">
              <w:rPr>
                <w:rFonts w:ascii="Times New Roman" w:hAnsi="Times New Roman"/>
                <w:iCs/>
                <w:sz w:val="24"/>
                <w:szCs w:val="24"/>
              </w:rPr>
              <w:t> </w:t>
            </w:r>
            <w:r w:rsidR="00470C88">
              <w:rPr>
                <w:rFonts w:ascii="Times New Roman" w:hAnsi="Times New Roman"/>
                <w:iCs/>
                <w:sz w:val="24"/>
                <w:szCs w:val="24"/>
              </w:rPr>
              <w:t>apakš</w:t>
            </w:r>
            <w:r w:rsidR="00470C88"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44508A1D" w14:textId="77777777" w:rsidR="00283B7F" w:rsidRPr="000B5889" w:rsidRDefault="00283B7F"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60CF5173" w14:textId="77777777" w:rsidR="00283B7F" w:rsidRPr="000B5889" w:rsidRDefault="00283B7F"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283B7F" w:rsidRPr="000B5889" w14:paraId="189D697D" w14:textId="77777777" w:rsidTr="00A30B66">
        <w:tc>
          <w:tcPr>
            <w:tcW w:w="2410" w:type="dxa"/>
            <w:tcBorders>
              <w:top w:val="single" w:sz="4" w:space="0" w:color="auto"/>
              <w:left w:val="single" w:sz="4" w:space="0" w:color="auto"/>
              <w:bottom w:val="single" w:sz="4" w:space="0" w:color="auto"/>
              <w:right w:val="single" w:sz="4" w:space="0" w:color="auto"/>
            </w:tcBorders>
          </w:tcPr>
          <w:p w14:paraId="70CE8A83" w14:textId="77777777" w:rsidR="00283B7F" w:rsidRPr="00881C3B" w:rsidRDefault="00283B7F"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13. </w:t>
            </w:r>
            <w:r w:rsidR="00667A2C">
              <w:rPr>
                <w:rFonts w:ascii="Times New Roman" w:hAnsi="Times New Roman"/>
                <w:bCs/>
                <w:sz w:val="24"/>
                <w:szCs w:val="24"/>
              </w:rPr>
              <w:t xml:space="preserve">panta </w:t>
            </w:r>
            <w:r w:rsidR="00667A2C">
              <w:rPr>
                <w:rFonts w:ascii="Times New Roman" w:eastAsia="Times New Roman" w:hAnsi="Times New Roman"/>
                <w:sz w:val="24"/>
                <w:szCs w:val="24"/>
                <w:lang w:eastAsia="lv-LV"/>
              </w:rPr>
              <w:t>"a" un “e” punkts</w:t>
            </w:r>
          </w:p>
        </w:tc>
        <w:tc>
          <w:tcPr>
            <w:tcW w:w="2410" w:type="dxa"/>
            <w:tcBorders>
              <w:top w:val="single" w:sz="4" w:space="0" w:color="auto"/>
              <w:left w:val="single" w:sz="4" w:space="0" w:color="auto"/>
              <w:bottom w:val="single" w:sz="4" w:space="0" w:color="auto"/>
              <w:right w:val="single" w:sz="4" w:space="0" w:color="auto"/>
            </w:tcBorders>
          </w:tcPr>
          <w:p w14:paraId="3EA4A991" w14:textId="5F75D8E7" w:rsidR="00283B7F" w:rsidRPr="000B5889" w:rsidRDefault="00283B7F"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667A2C">
              <w:rPr>
                <w:rFonts w:ascii="Times New Roman" w:hAnsi="Times New Roman"/>
                <w:iCs/>
                <w:sz w:val="24"/>
                <w:szCs w:val="24"/>
              </w:rPr>
              <w:t>3</w:t>
            </w:r>
            <w:r w:rsidR="00152C2C">
              <w:rPr>
                <w:rFonts w:ascii="Times New Roman" w:hAnsi="Times New Roman"/>
                <w:iCs/>
                <w:sz w:val="24"/>
                <w:szCs w:val="24"/>
              </w:rPr>
              <w:t>8</w:t>
            </w:r>
            <w:r w:rsidR="00667A2C">
              <w:rPr>
                <w:rFonts w:ascii="Times New Roman" w:hAnsi="Times New Roman"/>
                <w:iCs/>
                <w:sz w:val="24"/>
                <w:szCs w:val="24"/>
              </w:rPr>
              <w:t>.3.</w:t>
            </w:r>
            <w:r w:rsidR="00667A2C" w:rsidRPr="00146480">
              <w:rPr>
                <w:rFonts w:ascii="Times New Roman" w:hAnsi="Times New Roman"/>
                <w:iCs/>
                <w:sz w:val="24"/>
                <w:szCs w:val="24"/>
              </w:rPr>
              <w:t> </w:t>
            </w:r>
            <w:r w:rsidR="00667A2C">
              <w:rPr>
                <w:rFonts w:ascii="Times New Roman" w:hAnsi="Times New Roman"/>
                <w:iCs/>
                <w:sz w:val="24"/>
                <w:szCs w:val="24"/>
              </w:rPr>
              <w:t>apakš</w:t>
            </w:r>
            <w:r w:rsidR="00667A2C"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4E0A01C2" w14:textId="77777777" w:rsidR="00283B7F" w:rsidRPr="000B5889" w:rsidRDefault="00283B7F"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0F24065" w14:textId="77777777" w:rsidR="00283B7F" w:rsidRPr="000B5889" w:rsidRDefault="00283B7F"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811CB5" w:rsidRPr="000B5889" w14:paraId="021E8626" w14:textId="77777777" w:rsidTr="00A30B66">
        <w:tc>
          <w:tcPr>
            <w:tcW w:w="2410" w:type="dxa"/>
            <w:tcBorders>
              <w:top w:val="single" w:sz="4" w:space="0" w:color="auto"/>
              <w:left w:val="single" w:sz="4" w:space="0" w:color="auto"/>
              <w:bottom w:val="single" w:sz="4" w:space="0" w:color="auto"/>
              <w:right w:val="single" w:sz="4" w:space="0" w:color="auto"/>
            </w:tcBorders>
          </w:tcPr>
          <w:p w14:paraId="69E4B18E" w14:textId="77777777" w:rsidR="00811CB5" w:rsidRPr="00C6484B" w:rsidRDefault="00811CB5" w:rsidP="00A30B66">
            <w:pPr>
              <w:shd w:val="clear" w:color="auto" w:fill="FFFFFF"/>
              <w:spacing w:after="120" w:line="240" w:lineRule="auto"/>
              <w:ind w:right="113"/>
              <w:jc w:val="both"/>
              <w:rPr>
                <w:rFonts w:ascii="Times New Roman" w:hAnsi="Times New Roman"/>
                <w:bCs/>
                <w:sz w:val="24"/>
                <w:szCs w:val="24"/>
                <w:highlight w:val="yellow"/>
              </w:rPr>
            </w:pPr>
            <w:r w:rsidRPr="00146480">
              <w:rPr>
                <w:rFonts w:ascii="Times New Roman" w:hAnsi="Times New Roman"/>
                <w:bCs/>
                <w:sz w:val="24"/>
                <w:szCs w:val="24"/>
              </w:rPr>
              <w:t>Eiropas Parla</w:t>
            </w:r>
            <w:r w:rsidR="00E21122">
              <w:rPr>
                <w:rFonts w:ascii="Times New Roman" w:hAnsi="Times New Roman"/>
                <w:bCs/>
                <w:sz w:val="24"/>
                <w:szCs w:val="24"/>
              </w:rPr>
              <w:t xml:space="preserve">menta un Padomes regulas </w:t>
            </w:r>
            <w:r w:rsidR="00E21122">
              <w:rPr>
                <w:rFonts w:ascii="Times New Roman" w:hAnsi="Times New Roman"/>
                <w:bCs/>
                <w:sz w:val="24"/>
                <w:szCs w:val="24"/>
              </w:rPr>
              <w:lastRenderedPageBreak/>
              <w:t>Nr.1301</w:t>
            </w:r>
            <w:r w:rsidRPr="00146480">
              <w:rPr>
                <w:rFonts w:ascii="Times New Roman" w:hAnsi="Times New Roman"/>
                <w:bCs/>
                <w:sz w:val="24"/>
                <w:szCs w:val="24"/>
              </w:rPr>
              <w:t xml:space="preserve">/2013 </w:t>
            </w:r>
            <w:r w:rsidR="00E21122">
              <w:rPr>
                <w:rFonts w:ascii="Times New Roman" w:hAnsi="Times New Roman"/>
                <w:bCs/>
                <w:sz w:val="24"/>
                <w:szCs w:val="24"/>
              </w:rPr>
              <w:t>3</w:t>
            </w:r>
            <w:r>
              <w:rPr>
                <w:rFonts w:ascii="Times New Roman" w:eastAsia="Times New Roman" w:hAnsi="Times New Roman"/>
                <w:sz w:val="24"/>
                <w:szCs w:val="24"/>
                <w:lang w:eastAsia="lv-LV"/>
              </w:rPr>
              <w:t xml:space="preserve">. panta </w:t>
            </w:r>
            <w:r w:rsidR="00E21122">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Pr>
                <w:rFonts w:ascii="Times New Roman" w:hAnsi="Times New Roman"/>
                <w:sz w:val="24"/>
                <w:szCs w:val="24"/>
              </w:rPr>
              <w:t>punkts</w:t>
            </w:r>
          </w:p>
        </w:tc>
        <w:tc>
          <w:tcPr>
            <w:tcW w:w="2410" w:type="dxa"/>
            <w:tcBorders>
              <w:top w:val="single" w:sz="4" w:space="0" w:color="auto"/>
              <w:left w:val="single" w:sz="4" w:space="0" w:color="auto"/>
              <w:bottom w:val="single" w:sz="4" w:space="0" w:color="auto"/>
              <w:right w:val="single" w:sz="4" w:space="0" w:color="auto"/>
            </w:tcBorders>
          </w:tcPr>
          <w:p w14:paraId="057C89ED" w14:textId="696566EC" w:rsidR="00811CB5" w:rsidRPr="00C6484B" w:rsidRDefault="00811CB5" w:rsidP="00A30B66">
            <w:pPr>
              <w:spacing w:line="240" w:lineRule="auto"/>
              <w:jc w:val="center"/>
              <w:rPr>
                <w:rFonts w:ascii="Times New Roman" w:hAnsi="Times New Roman"/>
                <w:iCs/>
                <w:sz w:val="24"/>
                <w:szCs w:val="24"/>
                <w:highlight w:val="yellow"/>
              </w:rPr>
            </w:pPr>
            <w:r w:rsidRPr="00146480">
              <w:rPr>
                <w:rFonts w:ascii="Times New Roman" w:hAnsi="Times New Roman"/>
                <w:iCs/>
                <w:sz w:val="24"/>
                <w:szCs w:val="24"/>
              </w:rPr>
              <w:lastRenderedPageBreak/>
              <w:t xml:space="preserve">Noteikumu projekta </w:t>
            </w:r>
            <w:r w:rsidR="00E21122">
              <w:rPr>
                <w:rFonts w:ascii="Times New Roman" w:hAnsi="Times New Roman"/>
                <w:iCs/>
                <w:sz w:val="24"/>
                <w:szCs w:val="24"/>
              </w:rPr>
              <w:t>3</w:t>
            </w:r>
            <w:r w:rsidR="00152C2C">
              <w:rPr>
                <w:rFonts w:ascii="Times New Roman" w:hAnsi="Times New Roman"/>
                <w:iCs/>
                <w:sz w:val="24"/>
                <w:szCs w:val="24"/>
              </w:rPr>
              <w:t>8</w:t>
            </w:r>
            <w:r w:rsidR="00E21122">
              <w:rPr>
                <w:rFonts w:ascii="Times New Roman" w:hAnsi="Times New Roman"/>
                <w:iCs/>
                <w:sz w:val="24"/>
                <w:szCs w:val="24"/>
              </w:rPr>
              <w:t>.4.</w:t>
            </w:r>
            <w:r w:rsidR="00E21122" w:rsidRPr="00146480">
              <w:rPr>
                <w:rFonts w:ascii="Times New Roman" w:hAnsi="Times New Roman"/>
                <w:iCs/>
                <w:sz w:val="24"/>
                <w:szCs w:val="24"/>
              </w:rPr>
              <w:t> </w:t>
            </w:r>
            <w:r w:rsidR="00E21122">
              <w:rPr>
                <w:rFonts w:ascii="Times New Roman" w:hAnsi="Times New Roman"/>
                <w:iCs/>
                <w:sz w:val="24"/>
                <w:szCs w:val="24"/>
              </w:rPr>
              <w:t>apakš</w:t>
            </w:r>
            <w:r w:rsidR="00E21122"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15C40DCF" w14:textId="77777777" w:rsidR="00811CB5" w:rsidRPr="000B5889" w:rsidRDefault="00811CB5"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1D528755" w14:textId="77777777" w:rsidR="00811CB5" w:rsidRPr="000B5889" w:rsidRDefault="00811CB5"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965CE6" w:rsidRPr="000B5889" w14:paraId="20FB9B5D" w14:textId="77777777" w:rsidTr="00A30B66">
        <w:tc>
          <w:tcPr>
            <w:tcW w:w="2410" w:type="dxa"/>
            <w:tcBorders>
              <w:top w:val="single" w:sz="4" w:space="0" w:color="auto"/>
              <w:left w:val="single" w:sz="4" w:space="0" w:color="auto"/>
              <w:bottom w:val="single" w:sz="4" w:space="0" w:color="auto"/>
              <w:right w:val="single" w:sz="4" w:space="0" w:color="auto"/>
            </w:tcBorders>
          </w:tcPr>
          <w:p w14:paraId="680D111B" w14:textId="77777777" w:rsidR="00965CE6" w:rsidRPr="00881C3B" w:rsidRDefault="00965CE6"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1</w:t>
            </w:r>
            <w:r w:rsidRPr="00105787">
              <w:rPr>
                <w:rFonts w:ascii="Times New Roman" w:hAnsi="Times New Roman"/>
                <w:bCs/>
                <w:sz w:val="24"/>
                <w:szCs w:val="24"/>
              </w:rPr>
              <w:t xml:space="preserve">. </w:t>
            </w:r>
            <w:r>
              <w:rPr>
                <w:rFonts w:ascii="Times New Roman" w:hAnsi="Times New Roman"/>
                <w:bCs/>
                <w:sz w:val="24"/>
                <w:szCs w:val="24"/>
              </w:rPr>
              <w:t xml:space="preserve">panta </w:t>
            </w:r>
            <w:r>
              <w:rPr>
                <w:rFonts w:ascii="Times New Roman" w:eastAsia="Times New Roman" w:hAnsi="Times New Roman"/>
                <w:sz w:val="24"/>
                <w:szCs w:val="24"/>
                <w:lang w:eastAsia="lv-LV"/>
              </w:rPr>
              <w:t>3. punkts</w:t>
            </w:r>
          </w:p>
        </w:tc>
        <w:tc>
          <w:tcPr>
            <w:tcW w:w="2410" w:type="dxa"/>
            <w:tcBorders>
              <w:top w:val="single" w:sz="4" w:space="0" w:color="auto"/>
              <w:left w:val="single" w:sz="4" w:space="0" w:color="auto"/>
              <w:bottom w:val="single" w:sz="4" w:space="0" w:color="auto"/>
              <w:right w:val="single" w:sz="4" w:space="0" w:color="auto"/>
            </w:tcBorders>
          </w:tcPr>
          <w:p w14:paraId="58562694" w14:textId="132E9FFF" w:rsidR="00965CE6" w:rsidRPr="000B5889" w:rsidRDefault="00965CE6"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3</w:t>
            </w:r>
            <w:r w:rsidR="00152C2C">
              <w:rPr>
                <w:rFonts w:ascii="Times New Roman" w:hAnsi="Times New Roman"/>
                <w:iCs/>
                <w:sz w:val="24"/>
                <w:szCs w:val="24"/>
              </w:rPr>
              <w:t>9</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7C12F093" w14:textId="77777777" w:rsidR="00965CE6" w:rsidRPr="000B5889" w:rsidRDefault="00965CE6"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DA43E6B" w14:textId="77777777" w:rsidR="00965CE6" w:rsidRPr="000B5889" w:rsidRDefault="00965CE6"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993E79" w:rsidRPr="000B5889" w14:paraId="79EBE566" w14:textId="77777777" w:rsidTr="00A30B66">
        <w:tc>
          <w:tcPr>
            <w:tcW w:w="2410" w:type="dxa"/>
            <w:tcBorders>
              <w:top w:val="single" w:sz="4" w:space="0" w:color="auto"/>
              <w:left w:val="single" w:sz="4" w:space="0" w:color="auto"/>
              <w:bottom w:val="single" w:sz="4" w:space="0" w:color="auto"/>
              <w:right w:val="single" w:sz="4" w:space="0" w:color="auto"/>
            </w:tcBorders>
          </w:tcPr>
          <w:p w14:paraId="6F840870" w14:textId="77777777" w:rsidR="00993E79" w:rsidRPr="00881C3B" w:rsidRDefault="00993E79"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sidRPr="00993E79">
              <w:rPr>
                <w:rFonts w:ascii="Times New Roman" w:hAnsi="Times New Roman"/>
                <w:bCs/>
                <w:sz w:val="24"/>
                <w:szCs w:val="24"/>
              </w:rPr>
              <w:t>1.</w:t>
            </w:r>
            <w:r>
              <w:rPr>
                <w:rFonts w:ascii="Times New Roman" w:hAnsi="Times New Roman"/>
                <w:bCs/>
                <w:sz w:val="24"/>
                <w:szCs w:val="24"/>
              </w:rPr>
              <w:t xml:space="preserve"> panta 4. punkta "a" apakšpunkts</w:t>
            </w:r>
          </w:p>
        </w:tc>
        <w:tc>
          <w:tcPr>
            <w:tcW w:w="2410" w:type="dxa"/>
            <w:tcBorders>
              <w:top w:val="single" w:sz="4" w:space="0" w:color="auto"/>
              <w:left w:val="single" w:sz="4" w:space="0" w:color="auto"/>
              <w:bottom w:val="single" w:sz="4" w:space="0" w:color="auto"/>
              <w:right w:val="single" w:sz="4" w:space="0" w:color="auto"/>
            </w:tcBorders>
          </w:tcPr>
          <w:p w14:paraId="37449FBB" w14:textId="23D14284" w:rsidR="00993E79" w:rsidRPr="000B5889" w:rsidRDefault="00993E79"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152C2C">
              <w:rPr>
                <w:rFonts w:ascii="Times New Roman" w:hAnsi="Times New Roman"/>
                <w:iCs/>
                <w:sz w:val="24"/>
                <w:szCs w:val="24"/>
              </w:rPr>
              <w:t>40</w:t>
            </w:r>
            <w:r>
              <w:rPr>
                <w:rFonts w:ascii="Times New Roman" w:hAnsi="Times New Roman"/>
                <w:iCs/>
                <w:sz w:val="24"/>
                <w:szCs w:val="24"/>
              </w:rPr>
              <w:t>.1.</w:t>
            </w:r>
            <w:r w:rsidRPr="00146480">
              <w:rPr>
                <w:rFonts w:ascii="Times New Roman" w:hAnsi="Times New Roman"/>
                <w:iCs/>
                <w:sz w:val="24"/>
                <w:szCs w:val="24"/>
              </w:rPr>
              <w:t> </w:t>
            </w:r>
            <w:r>
              <w:rPr>
                <w:rFonts w:ascii="Times New Roman" w:hAnsi="Times New Roman"/>
                <w:iCs/>
                <w:sz w:val="24"/>
                <w:szCs w:val="24"/>
              </w:rPr>
              <w:t>apakš</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5EB0AA44" w14:textId="77777777" w:rsidR="00993E79" w:rsidRPr="000B5889" w:rsidRDefault="00993E79"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3A80CAAB" w14:textId="77777777" w:rsidR="00993E79" w:rsidRPr="000B5889" w:rsidRDefault="00993E79"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4A1310" w:rsidRPr="000B5889" w14:paraId="0BC82E09" w14:textId="77777777" w:rsidTr="00A30B66">
        <w:tc>
          <w:tcPr>
            <w:tcW w:w="2410" w:type="dxa"/>
            <w:tcBorders>
              <w:top w:val="single" w:sz="4" w:space="0" w:color="auto"/>
              <w:left w:val="single" w:sz="4" w:space="0" w:color="auto"/>
              <w:bottom w:val="single" w:sz="4" w:space="0" w:color="auto"/>
              <w:right w:val="single" w:sz="4" w:space="0" w:color="auto"/>
            </w:tcBorders>
          </w:tcPr>
          <w:p w14:paraId="69CC6DBE" w14:textId="77777777" w:rsidR="004A1310" w:rsidRPr="00881C3B" w:rsidRDefault="004A1310"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2</w:t>
            </w:r>
            <w:r w:rsidRPr="00993E79">
              <w:rPr>
                <w:rFonts w:ascii="Times New Roman" w:hAnsi="Times New Roman"/>
                <w:bCs/>
                <w:sz w:val="24"/>
                <w:szCs w:val="24"/>
              </w:rPr>
              <w:t>.</w:t>
            </w:r>
            <w:r>
              <w:rPr>
                <w:rFonts w:ascii="Times New Roman" w:hAnsi="Times New Roman"/>
                <w:bCs/>
                <w:sz w:val="24"/>
                <w:szCs w:val="24"/>
              </w:rPr>
              <w:t xml:space="preserve"> panta 18</w:t>
            </w:r>
            <w:r w:rsidR="008D7E13">
              <w:rPr>
                <w:rFonts w:ascii="Times New Roman" w:hAnsi="Times New Roman"/>
                <w:bCs/>
                <w:sz w:val="24"/>
                <w:szCs w:val="24"/>
              </w:rPr>
              <w:t>.</w:t>
            </w:r>
            <w:r>
              <w:rPr>
                <w:rFonts w:ascii="Times New Roman" w:hAnsi="Times New Roman"/>
                <w:bCs/>
                <w:sz w:val="24"/>
                <w:szCs w:val="24"/>
              </w:rPr>
              <w:t xml:space="preserve"> punkts</w:t>
            </w:r>
          </w:p>
        </w:tc>
        <w:tc>
          <w:tcPr>
            <w:tcW w:w="2410" w:type="dxa"/>
            <w:tcBorders>
              <w:top w:val="single" w:sz="4" w:space="0" w:color="auto"/>
              <w:left w:val="single" w:sz="4" w:space="0" w:color="auto"/>
              <w:bottom w:val="single" w:sz="4" w:space="0" w:color="auto"/>
              <w:right w:val="single" w:sz="4" w:space="0" w:color="auto"/>
            </w:tcBorders>
          </w:tcPr>
          <w:p w14:paraId="629AFD3E" w14:textId="1B8F1B4C" w:rsidR="004A1310" w:rsidRPr="000B5889" w:rsidRDefault="004A1310"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152C2C">
              <w:rPr>
                <w:rFonts w:ascii="Times New Roman" w:hAnsi="Times New Roman"/>
                <w:iCs/>
                <w:sz w:val="24"/>
                <w:szCs w:val="24"/>
              </w:rPr>
              <w:t>40</w:t>
            </w:r>
            <w:r>
              <w:rPr>
                <w:rFonts w:ascii="Times New Roman" w:hAnsi="Times New Roman"/>
                <w:iCs/>
                <w:sz w:val="24"/>
                <w:szCs w:val="24"/>
              </w:rPr>
              <w:t>.</w:t>
            </w:r>
            <w:r w:rsidR="00695D46">
              <w:rPr>
                <w:rFonts w:ascii="Times New Roman" w:hAnsi="Times New Roman"/>
                <w:iCs/>
                <w:sz w:val="24"/>
                <w:szCs w:val="24"/>
              </w:rPr>
              <w:t>2</w:t>
            </w:r>
            <w:r>
              <w:rPr>
                <w:rFonts w:ascii="Times New Roman" w:hAnsi="Times New Roman"/>
                <w:iCs/>
                <w:sz w:val="24"/>
                <w:szCs w:val="24"/>
              </w:rPr>
              <w:t>.</w:t>
            </w:r>
            <w:r w:rsidRPr="00146480">
              <w:rPr>
                <w:rFonts w:ascii="Times New Roman" w:hAnsi="Times New Roman"/>
                <w:iCs/>
                <w:sz w:val="24"/>
                <w:szCs w:val="24"/>
              </w:rPr>
              <w:t> </w:t>
            </w:r>
            <w:r>
              <w:rPr>
                <w:rFonts w:ascii="Times New Roman" w:hAnsi="Times New Roman"/>
                <w:iCs/>
                <w:sz w:val="24"/>
                <w:szCs w:val="24"/>
              </w:rPr>
              <w:t>apakš</w:t>
            </w:r>
            <w:r w:rsidRPr="00146480">
              <w:rPr>
                <w:rFonts w:ascii="Times New Roman" w:hAnsi="Times New Roman"/>
                <w:iCs/>
                <w:sz w:val="24"/>
                <w:szCs w:val="24"/>
              </w:rPr>
              <w:t>punkts</w:t>
            </w:r>
          </w:p>
        </w:tc>
        <w:tc>
          <w:tcPr>
            <w:tcW w:w="2650" w:type="dxa"/>
            <w:tcBorders>
              <w:top w:val="single" w:sz="4" w:space="0" w:color="auto"/>
              <w:left w:val="single" w:sz="4" w:space="0" w:color="auto"/>
              <w:bottom w:val="single" w:sz="4" w:space="0" w:color="auto"/>
              <w:right w:val="single" w:sz="4" w:space="0" w:color="auto"/>
            </w:tcBorders>
          </w:tcPr>
          <w:p w14:paraId="6EF230F3" w14:textId="77777777" w:rsidR="004A1310" w:rsidRPr="000B5889" w:rsidRDefault="004A1310"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5C4CDD07" w14:textId="77777777" w:rsidR="004A1310" w:rsidRPr="000B5889" w:rsidRDefault="004A1310"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6F492F" w:rsidRPr="000B5889" w14:paraId="47E7166A" w14:textId="77777777" w:rsidTr="00A30B66">
        <w:tc>
          <w:tcPr>
            <w:tcW w:w="2410" w:type="dxa"/>
            <w:tcBorders>
              <w:top w:val="single" w:sz="4" w:space="0" w:color="auto"/>
              <w:left w:val="single" w:sz="4" w:space="0" w:color="auto"/>
              <w:bottom w:val="single" w:sz="4" w:space="0" w:color="auto"/>
              <w:right w:val="single" w:sz="4" w:space="0" w:color="auto"/>
            </w:tcBorders>
          </w:tcPr>
          <w:p w14:paraId="199AD69B" w14:textId="77777777" w:rsidR="006F492F" w:rsidRPr="00881C3B" w:rsidRDefault="006F492F"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2</w:t>
            </w:r>
            <w:r w:rsidRPr="00993E79">
              <w:rPr>
                <w:rFonts w:ascii="Times New Roman" w:hAnsi="Times New Roman"/>
                <w:bCs/>
                <w:sz w:val="24"/>
                <w:szCs w:val="24"/>
              </w:rPr>
              <w:t>.</w:t>
            </w:r>
            <w:r>
              <w:rPr>
                <w:rFonts w:ascii="Times New Roman" w:hAnsi="Times New Roman"/>
                <w:bCs/>
                <w:sz w:val="24"/>
                <w:szCs w:val="24"/>
              </w:rPr>
              <w:t xml:space="preserve"> panta </w:t>
            </w:r>
            <w:r w:rsidR="00345125">
              <w:rPr>
                <w:rFonts w:ascii="Times New Roman" w:hAnsi="Times New Roman"/>
                <w:bCs/>
                <w:sz w:val="24"/>
                <w:szCs w:val="24"/>
              </w:rPr>
              <w:t>29</w:t>
            </w:r>
            <w:r>
              <w:rPr>
                <w:rFonts w:ascii="Times New Roman" w:hAnsi="Times New Roman"/>
                <w:bCs/>
                <w:sz w:val="24"/>
                <w:szCs w:val="24"/>
              </w:rPr>
              <w:t>.</w:t>
            </w:r>
            <w:r w:rsidR="00345125">
              <w:rPr>
                <w:rFonts w:ascii="Times New Roman" w:hAnsi="Times New Roman"/>
                <w:bCs/>
                <w:sz w:val="24"/>
                <w:szCs w:val="24"/>
              </w:rPr>
              <w:t xml:space="preserve"> un 30.</w:t>
            </w:r>
            <w:r>
              <w:rPr>
                <w:rFonts w:ascii="Times New Roman" w:hAnsi="Times New Roman"/>
                <w:bCs/>
                <w:sz w:val="24"/>
                <w:szCs w:val="24"/>
              </w:rPr>
              <w:t xml:space="preserve"> punkts</w:t>
            </w:r>
          </w:p>
        </w:tc>
        <w:tc>
          <w:tcPr>
            <w:tcW w:w="2410" w:type="dxa"/>
            <w:tcBorders>
              <w:top w:val="single" w:sz="4" w:space="0" w:color="auto"/>
              <w:left w:val="single" w:sz="4" w:space="0" w:color="auto"/>
              <w:bottom w:val="single" w:sz="4" w:space="0" w:color="auto"/>
              <w:right w:val="single" w:sz="4" w:space="0" w:color="auto"/>
            </w:tcBorders>
          </w:tcPr>
          <w:p w14:paraId="6427A8C9" w14:textId="20535CA7" w:rsidR="006F492F" w:rsidRPr="000B5889" w:rsidRDefault="006F492F"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152C2C">
              <w:rPr>
                <w:rFonts w:ascii="Times New Roman" w:hAnsi="Times New Roman"/>
                <w:iCs/>
                <w:sz w:val="24"/>
                <w:szCs w:val="24"/>
              </w:rPr>
              <w:t>41</w:t>
            </w:r>
            <w:r w:rsidR="00DD27F3">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608314DD" w14:textId="77777777" w:rsidR="006F492F" w:rsidRPr="000B5889" w:rsidRDefault="006F492F"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1FC44711" w14:textId="77777777" w:rsidR="006F492F" w:rsidRPr="000B5889" w:rsidRDefault="006F492F"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DD27F3" w:rsidRPr="000B5889" w14:paraId="254C7DEC" w14:textId="77777777" w:rsidTr="00A30B66">
        <w:tc>
          <w:tcPr>
            <w:tcW w:w="2410" w:type="dxa"/>
            <w:tcBorders>
              <w:top w:val="single" w:sz="4" w:space="0" w:color="auto"/>
              <w:left w:val="single" w:sz="4" w:space="0" w:color="auto"/>
              <w:bottom w:val="single" w:sz="4" w:space="0" w:color="auto"/>
              <w:right w:val="single" w:sz="4" w:space="0" w:color="auto"/>
            </w:tcBorders>
          </w:tcPr>
          <w:p w14:paraId="0753C60A" w14:textId="77777777" w:rsidR="00DD27F3" w:rsidRPr="00881C3B" w:rsidRDefault="00DD27F3"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2</w:t>
            </w:r>
            <w:r w:rsidRPr="00993E79">
              <w:rPr>
                <w:rFonts w:ascii="Times New Roman" w:hAnsi="Times New Roman"/>
                <w:bCs/>
                <w:sz w:val="24"/>
                <w:szCs w:val="24"/>
              </w:rPr>
              <w:t>.</w:t>
            </w:r>
            <w:r>
              <w:rPr>
                <w:rFonts w:ascii="Times New Roman" w:hAnsi="Times New Roman"/>
                <w:bCs/>
                <w:sz w:val="24"/>
                <w:szCs w:val="24"/>
              </w:rPr>
              <w:t xml:space="preserve"> panta 49. un 51. punkts</w:t>
            </w:r>
          </w:p>
        </w:tc>
        <w:tc>
          <w:tcPr>
            <w:tcW w:w="2410" w:type="dxa"/>
            <w:tcBorders>
              <w:top w:val="single" w:sz="4" w:space="0" w:color="auto"/>
              <w:left w:val="single" w:sz="4" w:space="0" w:color="auto"/>
              <w:bottom w:val="single" w:sz="4" w:space="0" w:color="auto"/>
              <w:right w:val="single" w:sz="4" w:space="0" w:color="auto"/>
            </w:tcBorders>
          </w:tcPr>
          <w:p w14:paraId="33E125D5" w14:textId="2587D5C6" w:rsidR="00DD27F3" w:rsidRPr="000B5889" w:rsidRDefault="00DD27F3"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152C2C">
              <w:rPr>
                <w:rFonts w:ascii="Times New Roman" w:hAnsi="Times New Roman"/>
                <w:iCs/>
                <w:sz w:val="24"/>
                <w:szCs w:val="24"/>
              </w:rPr>
              <w:t>41</w:t>
            </w:r>
            <w:r>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5F7518B2" w14:textId="77777777" w:rsidR="00DD27F3" w:rsidRPr="000B5889" w:rsidRDefault="00DD27F3"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2A4146F9" w14:textId="77777777" w:rsidR="00DD27F3" w:rsidRPr="000B5889" w:rsidRDefault="00DD27F3"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DD27F3" w:rsidRPr="000B5889" w14:paraId="6B9B3CBE" w14:textId="77777777" w:rsidTr="00A30B66">
        <w:tc>
          <w:tcPr>
            <w:tcW w:w="2410" w:type="dxa"/>
            <w:tcBorders>
              <w:top w:val="single" w:sz="4" w:space="0" w:color="auto"/>
              <w:left w:val="single" w:sz="4" w:space="0" w:color="auto"/>
              <w:bottom w:val="single" w:sz="4" w:space="0" w:color="auto"/>
              <w:right w:val="single" w:sz="4" w:space="0" w:color="auto"/>
            </w:tcBorders>
          </w:tcPr>
          <w:p w14:paraId="02879ACF" w14:textId="77777777" w:rsidR="00DD27F3" w:rsidRPr="00881C3B" w:rsidRDefault="00DD27F3"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14</w:t>
            </w:r>
            <w:r w:rsidRPr="00993E79">
              <w:rPr>
                <w:rFonts w:ascii="Times New Roman" w:hAnsi="Times New Roman"/>
                <w:bCs/>
                <w:sz w:val="24"/>
                <w:szCs w:val="24"/>
              </w:rPr>
              <w:t>.</w:t>
            </w:r>
            <w:r>
              <w:rPr>
                <w:rFonts w:ascii="Times New Roman" w:hAnsi="Times New Roman"/>
                <w:bCs/>
                <w:sz w:val="24"/>
                <w:szCs w:val="24"/>
              </w:rPr>
              <w:t xml:space="preserve"> panta 5., 6. un 8. punkts</w:t>
            </w:r>
          </w:p>
        </w:tc>
        <w:tc>
          <w:tcPr>
            <w:tcW w:w="2410" w:type="dxa"/>
            <w:tcBorders>
              <w:top w:val="single" w:sz="4" w:space="0" w:color="auto"/>
              <w:left w:val="single" w:sz="4" w:space="0" w:color="auto"/>
              <w:bottom w:val="single" w:sz="4" w:space="0" w:color="auto"/>
              <w:right w:val="single" w:sz="4" w:space="0" w:color="auto"/>
            </w:tcBorders>
          </w:tcPr>
          <w:p w14:paraId="274AA309" w14:textId="1143536E" w:rsidR="00DD27F3" w:rsidRPr="000B5889" w:rsidRDefault="00DD27F3"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152C2C">
              <w:rPr>
                <w:rFonts w:ascii="Times New Roman" w:hAnsi="Times New Roman"/>
                <w:iCs/>
                <w:sz w:val="24"/>
                <w:szCs w:val="24"/>
              </w:rPr>
              <w:t>41</w:t>
            </w:r>
            <w:r>
              <w:rPr>
                <w:rFonts w:ascii="Times New Roman" w:hAnsi="Times New Roman"/>
                <w:iCs/>
                <w:sz w:val="24"/>
                <w:szCs w:val="24"/>
              </w:rPr>
              <w:t xml:space="preserve">.1. – </w:t>
            </w:r>
            <w:r w:rsidR="00152C2C">
              <w:rPr>
                <w:rFonts w:ascii="Times New Roman" w:hAnsi="Times New Roman"/>
                <w:iCs/>
                <w:sz w:val="24"/>
                <w:szCs w:val="24"/>
              </w:rPr>
              <w:t>41</w:t>
            </w:r>
            <w:r>
              <w:rPr>
                <w:rFonts w:ascii="Times New Roman" w:hAnsi="Times New Roman"/>
                <w:iCs/>
                <w:sz w:val="24"/>
                <w:szCs w:val="24"/>
              </w:rPr>
              <w:t>.3. apakšpunkts</w:t>
            </w:r>
          </w:p>
        </w:tc>
        <w:tc>
          <w:tcPr>
            <w:tcW w:w="2650" w:type="dxa"/>
            <w:tcBorders>
              <w:top w:val="single" w:sz="4" w:space="0" w:color="auto"/>
              <w:left w:val="single" w:sz="4" w:space="0" w:color="auto"/>
              <w:bottom w:val="single" w:sz="4" w:space="0" w:color="auto"/>
              <w:right w:val="single" w:sz="4" w:space="0" w:color="auto"/>
            </w:tcBorders>
          </w:tcPr>
          <w:p w14:paraId="755D4DB6" w14:textId="77777777" w:rsidR="00DD27F3" w:rsidRPr="000B5889" w:rsidRDefault="00DD27F3"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177B2DDD" w14:textId="77777777" w:rsidR="00DD27F3" w:rsidRPr="000B5889" w:rsidRDefault="00DD27F3"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DD27F3" w:rsidRPr="000B5889" w14:paraId="6970D939" w14:textId="77777777" w:rsidTr="00A30B66">
        <w:tc>
          <w:tcPr>
            <w:tcW w:w="2410" w:type="dxa"/>
            <w:tcBorders>
              <w:top w:val="single" w:sz="4" w:space="0" w:color="auto"/>
              <w:left w:val="single" w:sz="4" w:space="0" w:color="auto"/>
              <w:bottom w:val="single" w:sz="4" w:space="0" w:color="auto"/>
              <w:right w:val="single" w:sz="4" w:space="0" w:color="auto"/>
            </w:tcBorders>
          </w:tcPr>
          <w:p w14:paraId="3D762D79" w14:textId="77777777" w:rsidR="00DD27F3" w:rsidRPr="00881C3B" w:rsidRDefault="00DD27F3"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6</w:t>
            </w:r>
            <w:r w:rsidRPr="00993E79">
              <w:rPr>
                <w:rFonts w:ascii="Times New Roman" w:hAnsi="Times New Roman"/>
                <w:bCs/>
                <w:sz w:val="24"/>
                <w:szCs w:val="24"/>
              </w:rPr>
              <w:t>.</w:t>
            </w:r>
            <w:r>
              <w:rPr>
                <w:rFonts w:ascii="Times New Roman" w:hAnsi="Times New Roman"/>
                <w:bCs/>
                <w:sz w:val="24"/>
                <w:szCs w:val="24"/>
              </w:rPr>
              <w:t xml:space="preserve"> panta 2. punkts</w:t>
            </w:r>
          </w:p>
        </w:tc>
        <w:tc>
          <w:tcPr>
            <w:tcW w:w="2410" w:type="dxa"/>
            <w:tcBorders>
              <w:top w:val="single" w:sz="4" w:space="0" w:color="auto"/>
              <w:left w:val="single" w:sz="4" w:space="0" w:color="auto"/>
              <w:bottom w:val="single" w:sz="4" w:space="0" w:color="auto"/>
              <w:right w:val="single" w:sz="4" w:space="0" w:color="auto"/>
            </w:tcBorders>
          </w:tcPr>
          <w:p w14:paraId="79BB5CE3" w14:textId="32633630" w:rsidR="00DD27F3" w:rsidRPr="000B5889" w:rsidRDefault="00DD27F3"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sidR="00152C2C">
              <w:rPr>
                <w:rFonts w:ascii="Times New Roman" w:hAnsi="Times New Roman"/>
                <w:iCs/>
                <w:sz w:val="24"/>
                <w:szCs w:val="24"/>
              </w:rPr>
              <w:t>41</w:t>
            </w:r>
            <w:r>
              <w:rPr>
                <w:rFonts w:ascii="Times New Roman" w:hAnsi="Times New Roman"/>
                <w:iCs/>
                <w:sz w:val="24"/>
                <w:szCs w:val="24"/>
              </w:rPr>
              <w:t>.4. apakšpunkts</w:t>
            </w:r>
          </w:p>
        </w:tc>
        <w:tc>
          <w:tcPr>
            <w:tcW w:w="2650" w:type="dxa"/>
            <w:tcBorders>
              <w:top w:val="single" w:sz="4" w:space="0" w:color="auto"/>
              <w:left w:val="single" w:sz="4" w:space="0" w:color="auto"/>
              <w:bottom w:val="single" w:sz="4" w:space="0" w:color="auto"/>
              <w:right w:val="single" w:sz="4" w:space="0" w:color="auto"/>
            </w:tcBorders>
          </w:tcPr>
          <w:p w14:paraId="23E759D1" w14:textId="77777777" w:rsidR="00DD27F3" w:rsidRPr="000B5889" w:rsidRDefault="00DD27F3"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D6D6962" w14:textId="77777777" w:rsidR="00DD27F3" w:rsidRPr="000B5889" w:rsidRDefault="00DD27F3"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9C2B9C" w:rsidRPr="000B5889" w14:paraId="05EF59F0" w14:textId="77777777" w:rsidTr="00A30B66">
        <w:tc>
          <w:tcPr>
            <w:tcW w:w="2410" w:type="dxa"/>
            <w:tcBorders>
              <w:top w:val="single" w:sz="4" w:space="0" w:color="auto"/>
              <w:left w:val="single" w:sz="4" w:space="0" w:color="auto"/>
              <w:bottom w:val="single" w:sz="4" w:space="0" w:color="auto"/>
              <w:right w:val="single" w:sz="4" w:space="0" w:color="auto"/>
            </w:tcBorders>
          </w:tcPr>
          <w:p w14:paraId="294A4D07" w14:textId="77777777" w:rsidR="009C2B9C" w:rsidRPr="00881C3B" w:rsidRDefault="009C2B9C"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14</w:t>
            </w:r>
            <w:r w:rsidRPr="00993E79">
              <w:rPr>
                <w:rFonts w:ascii="Times New Roman" w:hAnsi="Times New Roman"/>
                <w:bCs/>
                <w:sz w:val="24"/>
                <w:szCs w:val="24"/>
              </w:rPr>
              <w:t>.</w:t>
            </w:r>
            <w:r>
              <w:rPr>
                <w:rFonts w:ascii="Times New Roman" w:hAnsi="Times New Roman"/>
                <w:bCs/>
                <w:sz w:val="24"/>
                <w:szCs w:val="24"/>
              </w:rPr>
              <w:t xml:space="preserve"> panta 7. punkts</w:t>
            </w:r>
          </w:p>
        </w:tc>
        <w:tc>
          <w:tcPr>
            <w:tcW w:w="2410" w:type="dxa"/>
            <w:tcBorders>
              <w:top w:val="single" w:sz="4" w:space="0" w:color="auto"/>
              <w:left w:val="single" w:sz="4" w:space="0" w:color="auto"/>
              <w:bottom w:val="single" w:sz="4" w:space="0" w:color="auto"/>
              <w:right w:val="single" w:sz="4" w:space="0" w:color="auto"/>
            </w:tcBorders>
          </w:tcPr>
          <w:p w14:paraId="2279DFE9" w14:textId="353FF681" w:rsidR="009C2B9C" w:rsidRPr="000B5889" w:rsidRDefault="009C2B9C"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4</w:t>
            </w:r>
            <w:r w:rsidR="00152C2C">
              <w:rPr>
                <w:rFonts w:ascii="Times New Roman" w:hAnsi="Times New Roman"/>
                <w:iCs/>
                <w:sz w:val="24"/>
                <w:szCs w:val="24"/>
              </w:rPr>
              <w:t>3</w:t>
            </w:r>
            <w:r>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388FA35E" w14:textId="77777777" w:rsidR="009C2B9C" w:rsidRPr="000B5889" w:rsidRDefault="009C2B9C"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97B300D" w14:textId="77777777" w:rsidR="009C2B9C" w:rsidRPr="000B5889" w:rsidRDefault="009C2B9C"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9267DA" w:rsidRPr="000B5889" w14:paraId="296AF0E2" w14:textId="77777777" w:rsidTr="00A30B66">
        <w:tc>
          <w:tcPr>
            <w:tcW w:w="2410" w:type="dxa"/>
            <w:tcBorders>
              <w:top w:val="single" w:sz="4" w:space="0" w:color="auto"/>
              <w:left w:val="single" w:sz="4" w:space="0" w:color="auto"/>
              <w:bottom w:val="single" w:sz="4" w:space="0" w:color="auto"/>
              <w:right w:val="single" w:sz="4" w:space="0" w:color="auto"/>
            </w:tcBorders>
          </w:tcPr>
          <w:p w14:paraId="4A59FF5D" w14:textId="77777777" w:rsidR="009267DA" w:rsidRPr="00881C3B" w:rsidRDefault="009267DA"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2</w:t>
            </w:r>
            <w:r w:rsidRPr="00105787">
              <w:rPr>
                <w:rFonts w:ascii="Times New Roman" w:hAnsi="Times New Roman"/>
                <w:bCs/>
                <w:sz w:val="24"/>
                <w:szCs w:val="24"/>
              </w:rPr>
              <w:t xml:space="preserve">. </w:t>
            </w:r>
            <w:r>
              <w:rPr>
                <w:rFonts w:ascii="Times New Roman" w:hAnsi="Times New Roman"/>
                <w:bCs/>
                <w:sz w:val="24"/>
                <w:szCs w:val="24"/>
              </w:rPr>
              <w:t xml:space="preserve">panta </w:t>
            </w:r>
            <w:r>
              <w:rPr>
                <w:rFonts w:ascii="Times New Roman" w:eastAsia="Times New Roman" w:hAnsi="Times New Roman"/>
                <w:sz w:val="24"/>
                <w:szCs w:val="24"/>
                <w:lang w:eastAsia="lv-LV"/>
              </w:rPr>
              <w:t>52. punkts</w:t>
            </w:r>
          </w:p>
        </w:tc>
        <w:tc>
          <w:tcPr>
            <w:tcW w:w="2410" w:type="dxa"/>
            <w:tcBorders>
              <w:top w:val="single" w:sz="4" w:space="0" w:color="auto"/>
              <w:left w:val="single" w:sz="4" w:space="0" w:color="auto"/>
              <w:bottom w:val="single" w:sz="4" w:space="0" w:color="auto"/>
              <w:right w:val="single" w:sz="4" w:space="0" w:color="auto"/>
            </w:tcBorders>
          </w:tcPr>
          <w:p w14:paraId="79A66EF2" w14:textId="070DEE69" w:rsidR="009267DA" w:rsidRPr="000B5889" w:rsidRDefault="009267DA"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5</w:t>
            </w:r>
            <w:r w:rsidR="00152C2C">
              <w:rPr>
                <w:rFonts w:ascii="Times New Roman" w:hAnsi="Times New Roman"/>
                <w:iCs/>
                <w:sz w:val="24"/>
                <w:szCs w:val="24"/>
              </w:rPr>
              <w:t>5</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00FB23CB" w14:textId="77777777" w:rsidR="009267DA" w:rsidRPr="000B5889" w:rsidRDefault="009267D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3D98C92F" w14:textId="77777777" w:rsidR="009267DA" w:rsidRPr="000B5889" w:rsidRDefault="009267D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9267DA" w:rsidRPr="000B5889" w14:paraId="63772022" w14:textId="77777777" w:rsidTr="00A30B66">
        <w:tc>
          <w:tcPr>
            <w:tcW w:w="2410" w:type="dxa"/>
            <w:tcBorders>
              <w:top w:val="single" w:sz="4" w:space="0" w:color="auto"/>
              <w:left w:val="single" w:sz="4" w:space="0" w:color="auto"/>
              <w:bottom w:val="single" w:sz="4" w:space="0" w:color="auto"/>
              <w:right w:val="single" w:sz="4" w:space="0" w:color="auto"/>
            </w:tcBorders>
          </w:tcPr>
          <w:p w14:paraId="06A7E71F" w14:textId="77777777" w:rsidR="009267DA" w:rsidRPr="00881C3B" w:rsidRDefault="009267DA"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1</w:t>
            </w:r>
            <w:r w:rsidRPr="00105787">
              <w:rPr>
                <w:rFonts w:ascii="Times New Roman" w:hAnsi="Times New Roman"/>
                <w:bCs/>
                <w:sz w:val="24"/>
                <w:szCs w:val="24"/>
              </w:rPr>
              <w:t xml:space="preserve">. </w:t>
            </w:r>
            <w:r>
              <w:rPr>
                <w:rFonts w:ascii="Times New Roman" w:hAnsi="Times New Roman"/>
                <w:bCs/>
                <w:sz w:val="24"/>
                <w:szCs w:val="24"/>
              </w:rPr>
              <w:t xml:space="preserve">panta </w:t>
            </w:r>
            <w:r>
              <w:rPr>
                <w:rFonts w:ascii="Times New Roman" w:eastAsia="Times New Roman" w:hAnsi="Times New Roman"/>
                <w:sz w:val="24"/>
                <w:szCs w:val="24"/>
                <w:lang w:eastAsia="lv-LV"/>
              </w:rPr>
              <w:t>5. punkts</w:t>
            </w:r>
          </w:p>
        </w:tc>
        <w:tc>
          <w:tcPr>
            <w:tcW w:w="2410" w:type="dxa"/>
            <w:tcBorders>
              <w:top w:val="single" w:sz="4" w:space="0" w:color="auto"/>
              <w:left w:val="single" w:sz="4" w:space="0" w:color="auto"/>
              <w:bottom w:val="single" w:sz="4" w:space="0" w:color="auto"/>
              <w:right w:val="single" w:sz="4" w:space="0" w:color="auto"/>
            </w:tcBorders>
          </w:tcPr>
          <w:p w14:paraId="725A3BA4" w14:textId="4711D0E8" w:rsidR="009267DA" w:rsidRPr="000B5889" w:rsidRDefault="009267DA"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5</w:t>
            </w:r>
            <w:r w:rsidR="00152C2C">
              <w:rPr>
                <w:rFonts w:ascii="Times New Roman" w:hAnsi="Times New Roman"/>
                <w:iCs/>
                <w:sz w:val="24"/>
                <w:szCs w:val="24"/>
              </w:rPr>
              <w:t>6</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0AAF094E" w14:textId="77777777" w:rsidR="009267DA" w:rsidRPr="000B5889" w:rsidRDefault="009267D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78049939" w14:textId="77777777" w:rsidR="009267DA" w:rsidRPr="000B5889" w:rsidRDefault="009267DA"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8F5FCD" w:rsidRPr="000B5889" w14:paraId="0A72E71B" w14:textId="77777777" w:rsidTr="00A30B66">
        <w:tc>
          <w:tcPr>
            <w:tcW w:w="2410" w:type="dxa"/>
            <w:tcBorders>
              <w:top w:val="single" w:sz="4" w:space="0" w:color="auto"/>
              <w:left w:val="single" w:sz="4" w:space="0" w:color="auto"/>
              <w:bottom w:val="single" w:sz="4" w:space="0" w:color="auto"/>
              <w:right w:val="single" w:sz="4" w:space="0" w:color="auto"/>
            </w:tcBorders>
          </w:tcPr>
          <w:p w14:paraId="6C189F13" w14:textId="77777777" w:rsidR="008F5FCD" w:rsidRPr="00881C3B" w:rsidRDefault="008F5FCD" w:rsidP="00A30B66">
            <w:pPr>
              <w:shd w:val="clear" w:color="auto" w:fill="FFFFFF"/>
              <w:spacing w:after="120" w:line="240" w:lineRule="auto"/>
              <w:ind w:right="113"/>
              <w:jc w:val="both"/>
              <w:rPr>
                <w:rFonts w:ascii="Times New Roman" w:hAnsi="Times New Roman"/>
                <w:bCs/>
                <w:sz w:val="24"/>
                <w:szCs w:val="24"/>
              </w:rPr>
            </w:pPr>
            <w:r w:rsidRPr="00105787">
              <w:rPr>
                <w:rFonts w:ascii="Times New Roman" w:hAnsi="Times New Roman"/>
                <w:bCs/>
                <w:sz w:val="24"/>
                <w:szCs w:val="24"/>
              </w:rPr>
              <w:t xml:space="preserve">Komisijas regulas Nr. 651/2014 </w:t>
            </w:r>
            <w:r>
              <w:rPr>
                <w:rFonts w:ascii="Times New Roman" w:hAnsi="Times New Roman"/>
                <w:bCs/>
                <w:sz w:val="24"/>
                <w:szCs w:val="24"/>
              </w:rPr>
              <w:t>9</w:t>
            </w:r>
            <w:r w:rsidRPr="00105787">
              <w:rPr>
                <w:rFonts w:ascii="Times New Roman" w:hAnsi="Times New Roman"/>
                <w:bCs/>
                <w:sz w:val="24"/>
                <w:szCs w:val="24"/>
              </w:rPr>
              <w:t xml:space="preserve">. </w:t>
            </w:r>
            <w:r>
              <w:rPr>
                <w:rFonts w:ascii="Times New Roman" w:hAnsi="Times New Roman"/>
                <w:bCs/>
                <w:sz w:val="24"/>
                <w:szCs w:val="24"/>
              </w:rPr>
              <w:t xml:space="preserve">panta </w:t>
            </w:r>
            <w:r>
              <w:rPr>
                <w:rFonts w:ascii="Times New Roman" w:eastAsia="Times New Roman" w:hAnsi="Times New Roman"/>
                <w:sz w:val="24"/>
                <w:szCs w:val="24"/>
                <w:lang w:eastAsia="lv-LV"/>
              </w:rPr>
              <w:t>1. un 4. punkts</w:t>
            </w:r>
          </w:p>
        </w:tc>
        <w:tc>
          <w:tcPr>
            <w:tcW w:w="2410" w:type="dxa"/>
            <w:tcBorders>
              <w:top w:val="single" w:sz="4" w:space="0" w:color="auto"/>
              <w:left w:val="single" w:sz="4" w:space="0" w:color="auto"/>
              <w:bottom w:val="single" w:sz="4" w:space="0" w:color="auto"/>
              <w:right w:val="single" w:sz="4" w:space="0" w:color="auto"/>
            </w:tcBorders>
          </w:tcPr>
          <w:p w14:paraId="079B9D3B" w14:textId="23FEC1F8" w:rsidR="008F5FCD" w:rsidRPr="000B5889" w:rsidRDefault="008F5FCD" w:rsidP="00A30B66">
            <w:pPr>
              <w:spacing w:line="240" w:lineRule="auto"/>
              <w:jc w:val="center"/>
              <w:rPr>
                <w:rFonts w:ascii="Times New Roman" w:hAnsi="Times New Roman"/>
                <w:sz w:val="24"/>
                <w:szCs w:val="24"/>
              </w:rPr>
            </w:pPr>
            <w:r w:rsidRPr="00146480">
              <w:rPr>
                <w:rFonts w:ascii="Times New Roman" w:hAnsi="Times New Roman"/>
                <w:iCs/>
                <w:sz w:val="24"/>
                <w:szCs w:val="24"/>
              </w:rPr>
              <w:t xml:space="preserve">Noteikumu projekta </w:t>
            </w:r>
            <w:r>
              <w:rPr>
                <w:rFonts w:ascii="Times New Roman" w:hAnsi="Times New Roman"/>
                <w:iCs/>
                <w:sz w:val="24"/>
                <w:szCs w:val="24"/>
              </w:rPr>
              <w:t>6</w:t>
            </w:r>
            <w:r w:rsidR="00152C2C">
              <w:rPr>
                <w:rFonts w:ascii="Times New Roman" w:hAnsi="Times New Roman"/>
                <w:iCs/>
                <w:sz w:val="24"/>
                <w:szCs w:val="24"/>
              </w:rPr>
              <w:t>4</w:t>
            </w:r>
            <w:r w:rsidRPr="00146480">
              <w:rPr>
                <w:rFonts w:ascii="Times New Roman" w:hAnsi="Times New Roman"/>
                <w:iCs/>
                <w:sz w:val="24"/>
                <w:szCs w:val="24"/>
              </w:rPr>
              <w:t>. punkts</w:t>
            </w:r>
          </w:p>
        </w:tc>
        <w:tc>
          <w:tcPr>
            <w:tcW w:w="2650" w:type="dxa"/>
            <w:tcBorders>
              <w:top w:val="single" w:sz="4" w:space="0" w:color="auto"/>
              <w:left w:val="single" w:sz="4" w:space="0" w:color="auto"/>
              <w:bottom w:val="single" w:sz="4" w:space="0" w:color="auto"/>
              <w:right w:val="single" w:sz="4" w:space="0" w:color="auto"/>
            </w:tcBorders>
          </w:tcPr>
          <w:p w14:paraId="77EBA7B0" w14:textId="77777777" w:rsidR="008F5FCD" w:rsidRPr="000B5889" w:rsidRDefault="008F5FCD"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Ieviesta pilnībā</w:t>
            </w:r>
          </w:p>
        </w:tc>
        <w:tc>
          <w:tcPr>
            <w:tcW w:w="2311" w:type="dxa"/>
            <w:tcBorders>
              <w:top w:val="single" w:sz="4" w:space="0" w:color="auto"/>
              <w:left w:val="single" w:sz="4" w:space="0" w:color="auto"/>
              <w:bottom w:val="single" w:sz="4" w:space="0" w:color="auto"/>
              <w:right w:val="single" w:sz="4" w:space="0" w:color="auto"/>
            </w:tcBorders>
          </w:tcPr>
          <w:p w14:paraId="268D012D" w14:textId="77777777" w:rsidR="008F5FCD" w:rsidRPr="000B5889" w:rsidRDefault="008F5FCD" w:rsidP="00A30B66">
            <w:pPr>
              <w:spacing w:line="240" w:lineRule="auto"/>
              <w:jc w:val="center"/>
              <w:rPr>
                <w:rFonts w:ascii="Times New Roman" w:hAnsi="Times New Roman"/>
                <w:i/>
                <w:iCs/>
                <w:sz w:val="24"/>
                <w:szCs w:val="24"/>
              </w:rPr>
            </w:pPr>
            <w:r w:rsidRPr="000B5889">
              <w:rPr>
                <w:rFonts w:ascii="Times New Roman" w:hAnsi="Times New Roman"/>
                <w:i/>
                <w:iCs/>
                <w:sz w:val="24"/>
                <w:szCs w:val="24"/>
              </w:rPr>
              <w:t>Neparedz stingrākas prasības</w:t>
            </w:r>
          </w:p>
        </w:tc>
      </w:tr>
      <w:tr w:rsidR="00105787" w:rsidRPr="000B5889" w14:paraId="48B98162" w14:textId="77777777" w:rsidTr="000B5889">
        <w:tc>
          <w:tcPr>
            <w:tcW w:w="4820" w:type="dxa"/>
            <w:gridSpan w:val="2"/>
            <w:tcBorders>
              <w:top w:val="single" w:sz="4" w:space="0" w:color="auto"/>
              <w:left w:val="single" w:sz="4" w:space="0" w:color="auto"/>
              <w:bottom w:val="single" w:sz="4" w:space="0" w:color="auto"/>
              <w:right w:val="single" w:sz="4" w:space="0" w:color="auto"/>
            </w:tcBorders>
            <w:hideMark/>
          </w:tcPr>
          <w:p w14:paraId="75189C6B" w14:textId="77777777" w:rsidR="00105787" w:rsidRPr="000B5889" w:rsidRDefault="00105787" w:rsidP="00105787">
            <w:pPr>
              <w:spacing w:line="240" w:lineRule="auto"/>
              <w:rPr>
                <w:rFonts w:ascii="Times New Roman" w:hAnsi="Times New Roman"/>
                <w:sz w:val="24"/>
                <w:szCs w:val="24"/>
              </w:rPr>
            </w:pPr>
            <w:r w:rsidRPr="000B5889">
              <w:rPr>
                <w:rFonts w:ascii="Times New Roman" w:hAnsi="Times New Roman"/>
                <w:sz w:val="24"/>
                <w:szCs w:val="24"/>
              </w:rPr>
              <w:t>Kā ir izmantota ES tiesību aktā paredzētā rīcības brīvība dalībvalstij pārņemt vai ieviest noteiktas ES tiesību akta normas?</w:t>
            </w:r>
          </w:p>
          <w:p w14:paraId="4C35BC1E" w14:textId="77777777" w:rsidR="00105787" w:rsidRPr="000B5889" w:rsidRDefault="00105787" w:rsidP="00105787">
            <w:pPr>
              <w:spacing w:line="240" w:lineRule="auto"/>
              <w:rPr>
                <w:rFonts w:ascii="Times New Roman" w:hAnsi="Times New Roman"/>
                <w:i/>
                <w:sz w:val="24"/>
                <w:szCs w:val="24"/>
              </w:rPr>
            </w:pPr>
            <w:r w:rsidRPr="000B5889">
              <w:rPr>
                <w:rFonts w:ascii="Times New Roman" w:hAnsi="Times New Roman"/>
                <w:sz w:val="24"/>
                <w:szCs w:val="24"/>
              </w:rPr>
              <w:t>Kādēļ?</w:t>
            </w:r>
          </w:p>
        </w:tc>
        <w:tc>
          <w:tcPr>
            <w:tcW w:w="4961" w:type="dxa"/>
            <w:gridSpan w:val="2"/>
            <w:tcBorders>
              <w:top w:val="single" w:sz="4" w:space="0" w:color="auto"/>
              <w:left w:val="single" w:sz="4" w:space="0" w:color="auto"/>
              <w:bottom w:val="single" w:sz="4" w:space="0" w:color="auto"/>
              <w:right w:val="single" w:sz="4" w:space="0" w:color="auto"/>
            </w:tcBorders>
            <w:hideMark/>
          </w:tcPr>
          <w:p w14:paraId="447E9F7E" w14:textId="77777777" w:rsidR="00105787" w:rsidRPr="000B5889" w:rsidRDefault="00105787" w:rsidP="00105787">
            <w:pPr>
              <w:spacing w:line="240" w:lineRule="auto"/>
              <w:rPr>
                <w:rFonts w:ascii="Times New Roman" w:hAnsi="Times New Roman"/>
                <w:sz w:val="24"/>
                <w:szCs w:val="24"/>
              </w:rPr>
            </w:pPr>
            <w:r w:rsidRPr="000B5889">
              <w:rPr>
                <w:rFonts w:ascii="Times New Roman" w:hAnsi="Times New Roman"/>
                <w:iCs/>
                <w:sz w:val="24"/>
                <w:szCs w:val="24"/>
              </w:rPr>
              <w:t>Noteikumu projekts šo jomu neskar.</w:t>
            </w:r>
          </w:p>
        </w:tc>
      </w:tr>
      <w:tr w:rsidR="00105787" w:rsidRPr="000B5889" w14:paraId="5E25F42B" w14:textId="77777777" w:rsidTr="000B5889">
        <w:tc>
          <w:tcPr>
            <w:tcW w:w="4820" w:type="dxa"/>
            <w:gridSpan w:val="2"/>
            <w:tcBorders>
              <w:top w:val="single" w:sz="4" w:space="0" w:color="auto"/>
              <w:left w:val="single" w:sz="4" w:space="0" w:color="auto"/>
              <w:bottom w:val="single" w:sz="4" w:space="0" w:color="auto"/>
              <w:right w:val="single" w:sz="4" w:space="0" w:color="auto"/>
            </w:tcBorders>
            <w:hideMark/>
          </w:tcPr>
          <w:p w14:paraId="0FA579ED" w14:textId="77777777" w:rsidR="00105787" w:rsidRPr="000B5889" w:rsidRDefault="00105787" w:rsidP="00105787">
            <w:pPr>
              <w:spacing w:line="240" w:lineRule="auto"/>
              <w:rPr>
                <w:rFonts w:ascii="Times New Roman" w:hAnsi="Times New Roman"/>
                <w:i/>
                <w:sz w:val="24"/>
                <w:szCs w:val="24"/>
              </w:rPr>
            </w:pPr>
            <w:r w:rsidRPr="000B5889">
              <w:rPr>
                <w:rFonts w:ascii="Times New Roman" w:hAnsi="Times New Roman"/>
                <w:sz w:val="24"/>
                <w:szCs w:val="24"/>
              </w:rPr>
              <w:t xml:space="preserve">Saistības sniegt paziņojumu ES institūcijām un </w:t>
            </w:r>
            <w:r w:rsidRPr="000B5889">
              <w:rPr>
                <w:rFonts w:ascii="Times New Roman" w:hAnsi="Times New Roman"/>
                <w:sz w:val="24"/>
                <w:szCs w:val="24"/>
              </w:rPr>
              <w:lastRenderedPageBreak/>
              <w:t>ES dalībvalstīm atbilstoši normatīvajiem aktiem, kas regulē informācijas sniegšanu par tehnisko noteikumu, valsts atbalsta piešķiršanas un finanšu noteikumu (attiecībā uz monetāro politiku) projektiem</w:t>
            </w:r>
          </w:p>
        </w:tc>
        <w:tc>
          <w:tcPr>
            <w:tcW w:w="4961" w:type="dxa"/>
            <w:gridSpan w:val="2"/>
            <w:tcBorders>
              <w:top w:val="single" w:sz="4" w:space="0" w:color="auto"/>
              <w:left w:val="single" w:sz="4" w:space="0" w:color="auto"/>
              <w:bottom w:val="single" w:sz="4" w:space="0" w:color="auto"/>
              <w:right w:val="single" w:sz="4" w:space="0" w:color="auto"/>
            </w:tcBorders>
            <w:hideMark/>
          </w:tcPr>
          <w:p w14:paraId="5A432D19" w14:textId="77777777" w:rsidR="00105787" w:rsidRPr="000B5889" w:rsidRDefault="00105787" w:rsidP="00105787">
            <w:pPr>
              <w:spacing w:line="240" w:lineRule="auto"/>
              <w:jc w:val="both"/>
              <w:rPr>
                <w:rFonts w:ascii="Times New Roman" w:hAnsi="Times New Roman"/>
                <w:sz w:val="24"/>
                <w:szCs w:val="24"/>
              </w:rPr>
            </w:pPr>
            <w:r w:rsidRPr="000B5889">
              <w:rPr>
                <w:rFonts w:ascii="Times New Roman" w:eastAsia="Times New Roman" w:hAnsi="Times New Roman"/>
                <w:sz w:val="24"/>
                <w:szCs w:val="24"/>
              </w:rPr>
              <w:lastRenderedPageBreak/>
              <w:t xml:space="preserve">Saskaņā ar Komisijas Regulas Nr.651/2014 </w:t>
            </w:r>
            <w:r w:rsidRPr="000B5889">
              <w:rPr>
                <w:rFonts w:ascii="Times New Roman" w:eastAsia="Times New Roman" w:hAnsi="Times New Roman"/>
                <w:sz w:val="24"/>
                <w:szCs w:val="24"/>
              </w:rPr>
              <w:lastRenderedPageBreak/>
              <w:t>11.pantu Eiropas Komisijai 20 darba dienu laikā pēc šī Ministru kabineta noteikumu projekta spēkā stāšanās ir jānosūta kopsavilkuma informācija par šo atbalsta pasākumu.</w:t>
            </w:r>
          </w:p>
        </w:tc>
      </w:tr>
      <w:tr w:rsidR="00105787" w:rsidRPr="000B5889" w14:paraId="2A60BB5E" w14:textId="77777777" w:rsidTr="000B5889">
        <w:tc>
          <w:tcPr>
            <w:tcW w:w="4820" w:type="dxa"/>
            <w:gridSpan w:val="2"/>
            <w:tcBorders>
              <w:top w:val="single" w:sz="4" w:space="0" w:color="auto"/>
              <w:left w:val="single" w:sz="4" w:space="0" w:color="auto"/>
              <w:bottom w:val="single" w:sz="4" w:space="0" w:color="auto"/>
              <w:right w:val="single" w:sz="4" w:space="0" w:color="auto"/>
            </w:tcBorders>
            <w:hideMark/>
          </w:tcPr>
          <w:p w14:paraId="7114F886" w14:textId="77777777" w:rsidR="00105787" w:rsidRPr="000B5889" w:rsidRDefault="00105787" w:rsidP="00105787">
            <w:pPr>
              <w:pStyle w:val="naiskr"/>
              <w:spacing w:before="0" w:beforeAutospacing="0" w:after="0" w:afterAutospacing="0"/>
              <w:rPr>
                <w:i/>
                <w:lang w:eastAsia="en-US"/>
              </w:rPr>
            </w:pPr>
            <w:r w:rsidRPr="000B5889">
              <w:rPr>
                <w:lang w:eastAsia="en-US"/>
              </w:rPr>
              <w:lastRenderedPageBreak/>
              <w:t>Cita informācija</w:t>
            </w:r>
          </w:p>
        </w:tc>
        <w:tc>
          <w:tcPr>
            <w:tcW w:w="4961" w:type="dxa"/>
            <w:gridSpan w:val="2"/>
            <w:tcBorders>
              <w:top w:val="single" w:sz="4" w:space="0" w:color="auto"/>
              <w:left w:val="single" w:sz="4" w:space="0" w:color="auto"/>
              <w:bottom w:val="single" w:sz="4" w:space="0" w:color="auto"/>
              <w:right w:val="single" w:sz="4" w:space="0" w:color="auto"/>
            </w:tcBorders>
            <w:hideMark/>
          </w:tcPr>
          <w:p w14:paraId="4C8F23E4" w14:textId="77777777" w:rsidR="00105787" w:rsidRPr="000B5889" w:rsidRDefault="00105787" w:rsidP="00105787">
            <w:pPr>
              <w:spacing w:line="240" w:lineRule="auto"/>
              <w:rPr>
                <w:rFonts w:ascii="Times New Roman" w:hAnsi="Times New Roman"/>
                <w:sz w:val="24"/>
                <w:szCs w:val="24"/>
              </w:rPr>
            </w:pPr>
            <w:r w:rsidRPr="000B5889">
              <w:rPr>
                <w:rFonts w:ascii="Times New Roman" w:hAnsi="Times New Roman"/>
                <w:sz w:val="24"/>
                <w:szCs w:val="24"/>
              </w:rPr>
              <w:t>Nav.</w:t>
            </w:r>
          </w:p>
        </w:tc>
      </w:tr>
    </w:tbl>
    <w:p w14:paraId="5C00E14F" w14:textId="77777777" w:rsidR="00BA4B20" w:rsidRPr="000B5889" w:rsidRDefault="00BA4B20" w:rsidP="000E2F9C">
      <w:pPr>
        <w:spacing w:line="240" w:lineRule="auto"/>
        <w:jc w:val="center"/>
        <w:rPr>
          <w:rFonts w:ascii="Times New Roman" w:hAnsi="Times New Roman"/>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564"/>
        <w:gridCol w:w="3119"/>
      </w:tblGrid>
      <w:tr w:rsidR="00BA4B20" w:rsidRPr="000B5889" w14:paraId="5D2BF4D3" w14:textId="77777777" w:rsidTr="00C523C7">
        <w:tc>
          <w:tcPr>
            <w:tcW w:w="9781" w:type="dxa"/>
            <w:gridSpan w:val="3"/>
            <w:tcBorders>
              <w:top w:val="single" w:sz="4" w:space="0" w:color="auto"/>
              <w:left w:val="single" w:sz="4" w:space="0" w:color="auto"/>
              <w:bottom w:val="single" w:sz="4" w:space="0" w:color="auto"/>
              <w:right w:val="single" w:sz="4" w:space="0" w:color="auto"/>
            </w:tcBorders>
            <w:hideMark/>
          </w:tcPr>
          <w:p w14:paraId="28D07D93" w14:textId="77777777" w:rsidR="00BA4B20" w:rsidRPr="000B5889" w:rsidRDefault="00BA4B20" w:rsidP="000E2F9C">
            <w:pPr>
              <w:pStyle w:val="naisnod"/>
              <w:spacing w:before="0" w:beforeAutospacing="0" w:after="0" w:afterAutospacing="0"/>
              <w:jc w:val="center"/>
              <w:rPr>
                <w:b/>
                <w:color w:val="000000"/>
                <w:lang w:eastAsia="en-US"/>
              </w:rPr>
            </w:pPr>
            <w:r w:rsidRPr="000B5889">
              <w:rPr>
                <w:b/>
                <w:color w:val="000000"/>
                <w:lang w:eastAsia="en-US"/>
              </w:rPr>
              <w:t>2.tabula. Ar tiesību akta projektu uzņemtās saistības, kas izriet no starptautiskajiem tiesību aktiem vai starptautiskas institūcijas vai organizācijas dokumentiem</w:t>
            </w:r>
          </w:p>
          <w:p w14:paraId="616E3D21" w14:textId="77777777" w:rsidR="00BA4B20" w:rsidRPr="000B5889" w:rsidRDefault="00BA4B20" w:rsidP="000E2F9C">
            <w:pPr>
              <w:spacing w:line="240" w:lineRule="auto"/>
              <w:jc w:val="center"/>
              <w:rPr>
                <w:rFonts w:ascii="Times New Roman" w:hAnsi="Times New Roman"/>
                <w:color w:val="000000"/>
                <w:sz w:val="24"/>
                <w:szCs w:val="24"/>
              </w:rPr>
            </w:pPr>
            <w:r w:rsidRPr="000B5889">
              <w:rPr>
                <w:rFonts w:ascii="Times New Roman" w:hAnsi="Times New Roman"/>
                <w:b/>
                <w:color w:val="000000"/>
                <w:sz w:val="24"/>
                <w:szCs w:val="24"/>
              </w:rPr>
              <w:t>Pasākumi šo saistību izpildei</w:t>
            </w:r>
          </w:p>
        </w:tc>
      </w:tr>
      <w:tr w:rsidR="00BA4B20" w:rsidRPr="000B5889" w14:paraId="3A0AA3D1" w14:textId="77777777" w:rsidTr="00C523C7">
        <w:tc>
          <w:tcPr>
            <w:tcW w:w="4098" w:type="dxa"/>
            <w:tcBorders>
              <w:top w:val="single" w:sz="4" w:space="0" w:color="auto"/>
              <w:left w:val="single" w:sz="4" w:space="0" w:color="auto"/>
              <w:bottom w:val="single" w:sz="4" w:space="0" w:color="auto"/>
              <w:right w:val="single" w:sz="4" w:space="0" w:color="auto"/>
            </w:tcBorders>
            <w:hideMark/>
          </w:tcPr>
          <w:p w14:paraId="7A5C3AAF"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Attiecīgā starptautiskā tiesību akta vai starptautiskas institūcijas vai organizācijas dokumenta (turpmāk – starptautiskais dokuments) datums, numurs un nosaukums</w:t>
            </w:r>
          </w:p>
        </w:tc>
        <w:tc>
          <w:tcPr>
            <w:tcW w:w="5683" w:type="dxa"/>
            <w:gridSpan w:val="2"/>
            <w:tcBorders>
              <w:top w:val="single" w:sz="4" w:space="0" w:color="auto"/>
              <w:left w:val="single" w:sz="4" w:space="0" w:color="auto"/>
              <w:bottom w:val="single" w:sz="4" w:space="0" w:color="auto"/>
              <w:right w:val="single" w:sz="4" w:space="0" w:color="auto"/>
            </w:tcBorders>
            <w:hideMark/>
          </w:tcPr>
          <w:p w14:paraId="3F444B54" w14:textId="31414F8A" w:rsidR="00BA4B20" w:rsidRPr="000B5889" w:rsidRDefault="008B6795" w:rsidP="000E2F9C">
            <w:pPr>
              <w:tabs>
                <w:tab w:val="left" w:pos="325"/>
              </w:tabs>
              <w:spacing w:line="240" w:lineRule="auto"/>
              <w:rPr>
                <w:rFonts w:ascii="Times New Roman" w:hAnsi="Times New Roman"/>
                <w:i/>
                <w:color w:val="000000"/>
                <w:sz w:val="24"/>
                <w:szCs w:val="24"/>
              </w:rPr>
            </w:pPr>
            <w:r>
              <w:rPr>
                <w:rFonts w:ascii="Times New Roman" w:hAnsi="Times New Roman"/>
                <w:iCs/>
                <w:color w:val="000000"/>
                <w:sz w:val="24"/>
                <w:szCs w:val="24"/>
              </w:rPr>
              <w:t>P</w:t>
            </w:r>
            <w:r w:rsidR="00BA4B20" w:rsidRPr="000B5889">
              <w:rPr>
                <w:rFonts w:ascii="Times New Roman" w:hAnsi="Times New Roman"/>
                <w:iCs/>
                <w:color w:val="000000"/>
                <w:sz w:val="24"/>
                <w:szCs w:val="24"/>
              </w:rPr>
              <w:t>rojekts šo jomu neskar.</w:t>
            </w:r>
          </w:p>
        </w:tc>
      </w:tr>
      <w:tr w:rsidR="00BA4B20" w:rsidRPr="000B5889" w14:paraId="73B9862A" w14:textId="77777777" w:rsidTr="00C523C7">
        <w:tc>
          <w:tcPr>
            <w:tcW w:w="4098" w:type="dxa"/>
            <w:tcBorders>
              <w:top w:val="single" w:sz="4" w:space="0" w:color="auto"/>
              <w:left w:val="single" w:sz="4" w:space="0" w:color="auto"/>
              <w:bottom w:val="single" w:sz="4" w:space="0" w:color="auto"/>
              <w:right w:val="single" w:sz="4" w:space="0" w:color="auto"/>
            </w:tcBorders>
            <w:hideMark/>
          </w:tcPr>
          <w:p w14:paraId="453B5BA6" w14:textId="77777777" w:rsidR="00BA4B20" w:rsidRPr="000B5889" w:rsidRDefault="00BA4B20" w:rsidP="000E2F9C">
            <w:pPr>
              <w:spacing w:line="240" w:lineRule="auto"/>
              <w:jc w:val="center"/>
              <w:rPr>
                <w:rFonts w:ascii="Times New Roman" w:hAnsi="Times New Roman"/>
                <w:color w:val="000000"/>
                <w:sz w:val="24"/>
                <w:szCs w:val="24"/>
              </w:rPr>
            </w:pPr>
            <w:r w:rsidRPr="000B5889">
              <w:rPr>
                <w:rFonts w:ascii="Times New Roman" w:hAnsi="Times New Roman"/>
                <w:color w:val="000000"/>
                <w:sz w:val="24"/>
                <w:szCs w:val="24"/>
              </w:rPr>
              <w:t>A</w:t>
            </w:r>
          </w:p>
        </w:tc>
        <w:tc>
          <w:tcPr>
            <w:tcW w:w="2564" w:type="dxa"/>
            <w:tcBorders>
              <w:top w:val="single" w:sz="4" w:space="0" w:color="auto"/>
              <w:left w:val="single" w:sz="4" w:space="0" w:color="auto"/>
              <w:bottom w:val="single" w:sz="4" w:space="0" w:color="auto"/>
              <w:right w:val="single" w:sz="4" w:space="0" w:color="auto"/>
            </w:tcBorders>
            <w:hideMark/>
          </w:tcPr>
          <w:p w14:paraId="1137B72A" w14:textId="77777777" w:rsidR="00BA4B20" w:rsidRPr="000B5889" w:rsidRDefault="00BA4B20" w:rsidP="000E2F9C">
            <w:pPr>
              <w:spacing w:line="240" w:lineRule="auto"/>
              <w:jc w:val="center"/>
              <w:rPr>
                <w:rFonts w:ascii="Times New Roman" w:hAnsi="Times New Roman"/>
                <w:color w:val="000000"/>
                <w:sz w:val="24"/>
                <w:szCs w:val="24"/>
              </w:rPr>
            </w:pPr>
            <w:r w:rsidRPr="000B5889">
              <w:rPr>
                <w:rFonts w:ascii="Times New Roman" w:hAnsi="Times New Roman"/>
                <w:color w:val="000000"/>
                <w:sz w:val="24"/>
                <w:szCs w:val="24"/>
              </w:rPr>
              <w:t>B</w:t>
            </w:r>
          </w:p>
        </w:tc>
        <w:tc>
          <w:tcPr>
            <w:tcW w:w="3119" w:type="dxa"/>
            <w:tcBorders>
              <w:top w:val="single" w:sz="4" w:space="0" w:color="auto"/>
              <w:left w:val="single" w:sz="4" w:space="0" w:color="auto"/>
              <w:bottom w:val="single" w:sz="4" w:space="0" w:color="auto"/>
              <w:right w:val="single" w:sz="4" w:space="0" w:color="auto"/>
            </w:tcBorders>
            <w:hideMark/>
          </w:tcPr>
          <w:p w14:paraId="217A8127" w14:textId="77777777" w:rsidR="00BA4B20" w:rsidRPr="000B5889" w:rsidRDefault="00BA4B20" w:rsidP="000E2F9C">
            <w:pPr>
              <w:spacing w:line="240" w:lineRule="auto"/>
              <w:jc w:val="center"/>
              <w:rPr>
                <w:rFonts w:ascii="Times New Roman" w:hAnsi="Times New Roman"/>
                <w:color w:val="000000"/>
                <w:sz w:val="24"/>
                <w:szCs w:val="24"/>
              </w:rPr>
            </w:pPr>
            <w:r w:rsidRPr="000B5889">
              <w:rPr>
                <w:rFonts w:ascii="Times New Roman" w:hAnsi="Times New Roman"/>
                <w:color w:val="000000"/>
                <w:sz w:val="24"/>
                <w:szCs w:val="24"/>
              </w:rPr>
              <w:t>C</w:t>
            </w:r>
          </w:p>
        </w:tc>
      </w:tr>
      <w:tr w:rsidR="00BA4B20" w:rsidRPr="000B5889" w14:paraId="588349F1" w14:textId="77777777" w:rsidTr="00C523C7">
        <w:tc>
          <w:tcPr>
            <w:tcW w:w="4098" w:type="dxa"/>
            <w:tcBorders>
              <w:top w:val="single" w:sz="4" w:space="0" w:color="auto"/>
              <w:left w:val="single" w:sz="4" w:space="0" w:color="auto"/>
              <w:bottom w:val="single" w:sz="4" w:space="0" w:color="auto"/>
              <w:right w:val="single" w:sz="4" w:space="0" w:color="auto"/>
            </w:tcBorders>
            <w:hideMark/>
          </w:tcPr>
          <w:p w14:paraId="2F5CE0A9"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Starptautiskās saistības (pēc būtības), kas izriet no norādītā starptautiskā dokumenta.</w:t>
            </w:r>
          </w:p>
          <w:p w14:paraId="19238059"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01FF9EB8"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19" w:type="dxa"/>
            <w:tcBorders>
              <w:top w:val="single" w:sz="4" w:space="0" w:color="auto"/>
              <w:left w:val="single" w:sz="4" w:space="0" w:color="auto"/>
              <w:bottom w:val="single" w:sz="4" w:space="0" w:color="auto"/>
              <w:right w:val="single" w:sz="4" w:space="0" w:color="auto"/>
            </w:tcBorders>
            <w:hideMark/>
          </w:tcPr>
          <w:p w14:paraId="467897CA"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Informācija par to, vai starptautiskās saistības, kas minētas šīs tabulas A ailē, tiek izpildītas pilnībā vai daļēji.</w:t>
            </w:r>
          </w:p>
          <w:p w14:paraId="1B63FAE7"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Ja attiecīgās starptautiskās saistības tiek izpildītas daļēji, sniedz attiecīgu skaidrojumu, kā arī precīzi norāda, kad un kādā veidā starptautiskās saistības tiks izpildītas pilnībā.</w:t>
            </w:r>
          </w:p>
          <w:p w14:paraId="659D2437"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Norāda institūciju, kas ir atbildīga par šo saistību izpildi pilnībā</w:t>
            </w:r>
          </w:p>
        </w:tc>
      </w:tr>
      <w:tr w:rsidR="00BA4B20" w:rsidRPr="000B5889" w14:paraId="25DEC57B" w14:textId="77777777" w:rsidTr="00C523C7">
        <w:tc>
          <w:tcPr>
            <w:tcW w:w="4098" w:type="dxa"/>
            <w:tcBorders>
              <w:top w:val="single" w:sz="4" w:space="0" w:color="auto"/>
              <w:left w:val="single" w:sz="4" w:space="0" w:color="auto"/>
              <w:bottom w:val="single" w:sz="4" w:space="0" w:color="auto"/>
              <w:right w:val="single" w:sz="4" w:space="0" w:color="auto"/>
            </w:tcBorders>
            <w:hideMark/>
          </w:tcPr>
          <w:p w14:paraId="3FB874F9"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iCs/>
                <w:color w:val="000000"/>
                <w:sz w:val="24"/>
                <w:szCs w:val="24"/>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226C46CE"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iCs/>
                <w:color w:val="000000"/>
                <w:sz w:val="24"/>
                <w:szCs w:val="24"/>
              </w:rPr>
              <w:t>Noteikumu projekts šo jomu neskar.</w:t>
            </w:r>
          </w:p>
        </w:tc>
        <w:tc>
          <w:tcPr>
            <w:tcW w:w="3119" w:type="dxa"/>
            <w:tcBorders>
              <w:top w:val="single" w:sz="4" w:space="0" w:color="auto"/>
              <w:left w:val="single" w:sz="4" w:space="0" w:color="auto"/>
              <w:bottom w:val="single" w:sz="4" w:space="0" w:color="auto"/>
              <w:right w:val="single" w:sz="4" w:space="0" w:color="auto"/>
            </w:tcBorders>
            <w:hideMark/>
          </w:tcPr>
          <w:p w14:paraId="2EE51837"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iCs/>
                <w:color w:val="000000"/>
                <w:sz w:val="24"/>
                <w:szCs w:val="24"/>
              </w:rPr>
              <w:t>Noteikumu projekts šo jomu neskar.</w:t>
            </w:r>
          </w:p>
        </w:tc>
      </w:tr>
      <w:tr w:rsidR="00BA4B20" w:rsidRPr="000B5889" w14:paraId="00D61ECD" w14:textId="77777777" w:rsidTr="00C523C7">
        <w:tc>
          <w:tcPr>
            <w:tcW w:w="4098" w:type="dxa"/>
            <w:tcBorders>
              <w:top w:val="single" w:sz="4" w:space="0" w:color="auto"/>
              <w:left w:val="single" w:sz="4" w:space="0" w:color="auto"/>
              <w:bottom w:val="single" w:sz="4" w:space="0" w:color="auto"/>
              <w:right w:val="single" w:sz="4" w:space="0" w:color="auto"/>
            </w:tcBorders>
            <w:hideMark/>
          </w:tcPr>
          <w:p w14:paraId="6E4ACECE"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Vai starptautiskajā dokumentā paredzētās saistības nav pretrunā ar jau esošajām Latvijas Republikas starptautiskajām saistībām</w:t>
            </w:r>
          </w:p>
        </w:tc>
        <w:tc>
          <w:tcPr>
            <w:tcW w:w="5683" w:type="dxa"/>
            <w:gridSpan w:val="2"/>
            <w:tcBorders>
              <w:top w:val="single" w:sz="4" w:space="0" w:color="auto"/>
              <w:left w:val="single" w:sz="4" w:space="0" w:color="auto"/>
              <w:bottom w:val="single" w:sz="4" w:space="0" w:color="auto"/>
              <w:right w:val="single" w:sz="4" w:space="0" w:color="auto"/>
            </w:tcBorders>
            <w:hideMark/>
          </w:tcPr>
          <w:p w14:paraId="46ECADD8" w14:textId="31951FD9" w:rsidR="00BA4B20" w:rsidRPr="000B5889" w:rsidRDefault="008B6795" w:rsidP="000E2F9C">
            <w:pPr>
              <w:spacing w:line="240" w:lineRule="auto"/>
              <w:rPr>
                <w:rFonts w:ascii="Times New Roman" w:hAnsi="Times New Roman"/>
                <w:i/>
                <w:color w:val="000000"/>
                <w:sz w:val="24"/>
                <w:szCs w:val="24"/>
              </w:rPr>
            </w:pPr>
            <w:r>
              <w:rPr>
                <w:rFonts w:ascii="Times New Roman" w:hAnsi="Times New Roman"/>
                <w:iCs/>
                <w:color w:val="000000"/>
                <w:sz w:val="24"/>
                <w:szCs w:val="24"/>
              </w:rPr>
              <w:t>P</w:t>
            </w:r>
            <w:r w:rsidR="00BA4B20" w:rsidRPr="000B5889">
              <w:rPr>
                <w:rFonts w:ascii="Times New Roman" w:hAnsi="Times New Roman"/>
                <w:iCs/>
                <w:color w:val="000000"/>
                <w:sz w:val="24"/>
                <w:szCs w:val="24"/>
              </w:rPr>
              <w:t>rojekts šo jomu neskar.</w:t>
            </w:r>
          </w:p>
        </w:tc>
      </w:tr>
      <w:tr w:rsidR="00BA4B20" w:rsidRPr="000B5889" w14:paraId="61A6BA24" w14:textId="77777777" w:rsidTr="00C523C7">
        <w:tc>
          <w:tcPr>
            <w:tcW w:w="4098" w:type="dxa"/>
            <w:tcBorders>
              <w:top w:val="single" w:sz="4" w:space="0" w:color="auto"/>
              <w:left w:val="single" w:sz="4" w:space="0" w:color="auto"/>
              <w:bottom w:val="single" w:sz="4" w:space="0" w:color="auto"/>
              <w:right w:val="single" w:sz="4" w:space="0" w:color="auto"/>
            </w:tcBorders>
            <w:hideMark/>
          </w:tcPr>
          <w:p w14:paraId="31683E18" w14:textId="77777777"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Cita informācija</w:t>
            </w:r>
          </w:p>
        </w:tc>
        <w:tc>
          <w:tcPr>
            <w:tcW w:w="5683" w:type="dxa"/>
            <w:gridSpan w:val="2"/>
            <w:tcBorders>
              <w:top w:val="single" w:sz="4" w:space="0" w:color="auto"/>
              <w:left w:val="single" w:sz="4" w:space="0" w:color="auto"/>
              <w:bottom w:val="single" w:sz="4" w:space="0" w:color="auto"/>
              <w:right w:val="single" w:sz="4" w:space="0" w:color="auto"/>
            </w:tcBorders>
            <w:hideMark/>
          </w:tcPr>
          <w:p w14:paraId="0722EB3A" w14:textId="40F3A2F2" w:rsidR="00BA4B20" w:rsidRPr="000B5889" w:rsidRDefault="00BA4B20" w:rsidP="000E2F9C">
            <w:pPr>
              <w:spacing w:line="240" w:lineRule="auto"/>
              <w:rPr>
                <w:rFonts w:ascii="Times New Roman" w:hAnsi="Times New Roman"/>
                <w:color w:val="000000"/>
                <w:sz w:val="24"/>
                <w:szCs w:val="24"/>
              </w:rPr>
            </w:pPr>
            <w:r w:rsidRPr="000B5889">
              <w:rPr>
                <w:rFonts w:ascii="Times New Roman" w:hAnsi="Times New Roman"/>
                <w:color w:val="000000"/>
                <w:sz w:val="24"/>
                <w:szCs w:val="24"/>
              </w:rPr>
              <w:t>Nav</w:t>
            </w:r>
          </w:p>
        </w:tc>
      </w:tr>
    </w:tbl>
    <w:p w14:paraId="543FE3C3" w14:textId="77777777" w:rsidR="00BA4B20" w:rsidRPr="000B5889" w:rsidRDefault="00BA4B20" w:rsidP="000E2F9C">
      <w:pPr>
        <w:spacing w:line="240" w:lineRule="auto"/>
        <w:rPr>
          <w:rFonts w:ascii="Times New Roman" w:hAnsi="Times New Roman"/>
          <w:sz w:val="24"/>
          <w:szCs w:val="24"/>
        </w:rPr>
      </w:pPr>
    </w:p>
    <w:tbl>
      <w:tblPr>
        <w:tblW w:w="97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309"/>
        <w:gridCol w:w="6057"/>
      </w:tblGrid>
      <w:tr w:rsidR="00BA4B20" w:rsidRPr="000B5889" w14:paraId="65B08BD2" w14:textId="77777777" w:rsidTr="00C523C7">
        <w:trPr>
          <w:trHeight w:val="421"/>
        </w:trPr>
        <w:tc>
          <w:tcPr>
            <w:tcW w:w="9791" w:type="dxa"/>
            <w:gridSpan w:val="3"/>
            <w:vAlign w:val="center"/>
          </w:tcPr>
          <w:p w14:paraId="3211888E" w14:textId="77777777" w:rsidR="00BA4B20" w:rsidRPr="000B5889" w:rsidRDefault="00BA4B20" w:rsidP="000E2F9C">
            <w:pPr>
              <w:pStyle w:val="naisnod"/>
              <w:spacing w:before="0" w:beforeAutospacing="0" w:after="0" w:afterAutospacing="0"/>
              <w:ind w:left="57" w:right="57"/>
              <w:jc w:val="center"/>
            </w:pPr>
            <w:r w:rsidRPr="000B5889">
              <w:rPr>
                <w:b/>
              </w:rPr>
              <w:t>VI Sabiedrības līdzdalība un komunikācijas aktivitātes</w:t>
            </w:r>
          </w:p>
        </w:tc>
      </w:tr>
      <w:tr w:rsidR="00BA4B20" w:rsidRPr="000B5889" w14:paraId="1CFA477F" w14:textId="77777777" w:rsidTr="00BA7771">
        <w:trPr>
          <w:trHeight w:val="553"/>
        </w:trPr>
        <w:tc>
          <w:tcPr>
            <w:tcW w:w="425" w:type="dxa"/>
          </w:tcPr>
          <w:p w14:paraId="40F0E822"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lastRenderedPageBreak/>
              <w:t>1.</w:t>
            </w:r>
          </w:p>
        </w:tc>
        <w:tc>
          <w:tcPr>
            <w:tcW w:w="3309" w:type="dxa"/>
          </w:tcPr>
          <w:p w14:paraId="750628F4" w14:textId="77777777" w:rsidR="00BA4B20" w:rsidRPr="000B5889" w:rsidRDefault="00BA4B20" w:rsidP="000E2F9C">
            <w:pPr>
              <w:tabs>
                <w:tab w:val="left" w:pos="170"/>
              </w:tabs>
              <w:spacing w:line="240" w:lineRule="auto"/>
              <w:ind w:left="57" w:right="57"/>
              <w:rPr>
                <w:rFonts w:ascii="Times New Roman" w:hAnsi="Times New Roman"/>
                <w:sz w:val="24"/>
                <w:szCs w:val="24"/>
              </w:rPr>
            </w:pPr>
            <w:r w:rsidRPr="000B5889">
              <w:rPr>
                <w:rFonts w:ascii="Times New Roman" w:hAnsi="Times New Roman"/>
                <w:sz w:val="24"/>
                <w:szCs w:val="24"/>
              </w:rPr>
              <w:t>Plānotās sabiedrības līdzdalības un komunikācijas aktivitātes saistībā ar projektu</w:t>
            </w:r>
          </w:p>
        </w:tc>
        <w:tc>
          <w:tcPr>
            <w:tcW w:w="6057" w:type="dxa"/>
          </w:tcPr>
          <w:p w14:paraId="55081DD2" w14:textId="77777777" w:rsidR="00F92BEF" w:rsidRDefault="00BA4B20" w:rsidP="00A51256">
            <w:pPr>
              <w:shd w:val="clear" w:color="auto" w:fill="FFFFFF"/>
              <w:spacing w:after="120" w:line="240" w:lineRule="auto"/>
              <w:ind w:left="57" w:right="113"/>
              <w:jc w:val="both"/>
              <w:rPr>
                <w:rFonts w:ascii="Times New Roman" w:hAnsi="Times New Roman"/>
                <w:sz w:val="24"/>
                <w:szCs w:val="24"/>
              </w:rPr>
            </w:pPr>
            <w:bookmarkStart w:id="1" w:name="p61"/>
            <w:bookmarkEnd w:id="1"/>
            <w:r w:rsidRPr="000B5889">
              <w:rPr>
                <w:rFonts w:ascii="Times New Roman" w:hAnsi="Times New Roman"/>
                <w:sz w:val="24"/>
                <w:szCs w:val="24"/>
              </w:rPr>
              <w:t xml:space="preserve">Atbilstoši normatīvo aktu prasībām Ekonomikas ministrija tās tīmekļa vietnē publicē informāciju par noteikumu projektu un par tā virzību. </w:t>
            </w:r>
          </w:p>
          <w:p w14:paraId="085E1939" w14:textId="64963160" w:rsidR="00BA4B20" w:rsidRPr="000B5889" w:rsidRDefault="00A51256" w:rsidP="00A51256">
            <w:pPr>
              <w:shd w:val="clear" w:color="auto" w:fill="FFFFFF"/>
              <w:spacing w:after="120" w:line="240" w:lineRule="auto"/>
              <w:ind w:left="57" w:right="113"/>
              <w:jc w:val="both"/>
              <w:rPr>
                <w:rFonts w:ascii="Times New Roman" w:hAnsi="Times New Roman"/>
                <w:sz w:val="24"/>
                <w:szCs w:val="24"/>
                <w:highlight w:val="yellow"/>
              </w:rPr>
            </w:pPr>
            <w:r>
              <w:rPr>
                <w:rFonts w:ascii="Times New Roman" w:hAnsi="Times New Roman"/>
                <w:sz w:val="24"/>
                <w:szCs w:val="24"/>
              </w:rPr>
              <w:t xml:space="preserve">Izstrādāto noteikumu projektu kā arī </w:t>
            </w:r>
            <w:r w:rsidRPr="00A51256">
              <w:rPr>
                <w:rFonts w:ascii="Times New Roman" w:hAnsi="Times New Roman"/>
                <w:sz w:val="24"/>
                <w:szCs w:val="24"/>
              </w:rPr>
              <w:t>Energoservisa pakalpojuma uzņēmumu finanšu pieejamības</w:t>
            </w:r>
            <w:r>
              <w:rPr>
                <w:rFonts w:ascii="Times New Roman" w:hAnsi="Times New Roman"/>
                <w:sz w:val="24"/>
                <w:szCs w:val="24"/>
              </w:rPr>
              <w:t xml:space="preserve"> </w:t>
            </w:r>
            <w:r w:rsidRPr="00FC5195">
              <w:rPr>
                <w:rFonts w:ascii="Times New Roman" w:hAnsi="Times New Roman"/>
                <w:i/>
                <w:sz w:val="24"/>
                <w:szCs w:val="24"/>
              </w:rPr>
              <w:t>ex ante</w:t>
            </w:r>
            <w:r w:rsidR="00F92BEF">
              <w:rPr>
                <w:rFonts w:ascii="Times New Roman" w:hAnsi="Times New Roman"/>
                <w:sz w:val="24"/>
                <w:szCs w:val="24"/>
              </w:rPr>
              <w:t xml:space="preserve"> izvērtējumu</w:t>
            </w:r>
            <w:r>
              <w:rPr>
                <w:rFonts w:ascii="Times New Roman" w:hAnsi="Times New Roman"/>
                <w:sz w:val="24"/>
                <w:szCs w:val="24"/>
              </w:rPr>
              <w:t xml:space="preserve"> </w:t>
            </w:r>
            <w:r w:rsidR="00F92BEF">
              <w:rPr>
                <w:rFonts w:ascii="Times New Roman" w:hAnsi="Times New Roman"/>
                <w:sz w:val="24"/>
                <w:szCs w:val="24"/>
              </w:rPr>
              <w:t xml:space="preserve">Ekonomikas ministrija sūtīs saskaņošanai </w:t>
            </w:r>
            <w:r w:rsidR="00F92BEF" w:rsidRPr="000F7E0A">
              <w:rPr>
                <w:rFonts w:ascii="Times New Roman" w:hAnsi="Times New Roman"/>
                <w:sz w:val="24"/>
                <w:szCs w:val="24"/>
              </w:rPr>
              <w:t>Eiropas Savienības struktūrfondu un Kohēzijas fonda Uzraudzības komitejā</w:t>
            </w:r>
            <w:r w:rsidR="00F92BEF">
              <w:rPr>
                <w:rFonts w:ascii="Times New Roman" w:hAnsi="Times New Roman"/>
                <w:sz w:val="24"/>
                <w:szCs w:val="24"/>
              </w:rPr>
              <w:t xml:space="preserve"> (turpmāk – Uzraudzības komiteja).</w:t>
            </w:r>
          </w:p>
        </w:tc>
      </w:tr>
      <w:tr w:rsidR="00BA4B20" w:rsidRPr="000B5889" w14:paraId="5B86E381" w14:textId="77777777" w:rsidTr="00BA7771">
        <w:trPr>
          <w:trHeight w:val="339"/>
        </w:trPr>
        <w:tc>
          <w:tcPr>
            <w:tcW w:w="425" w:type="dxa"/>
          </w:tcPr>
          <w:p w14:paraId="489597EC"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2.</w:t>
            </w:r>
          </w:p>
        </w:tc>
        <w:tc>
          <w:tcPr>
            <w:tcW w:w="3309" w:type="dxa"/>
          </w:tcPr>
          <w:p w14:paraId="2DF208D6"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Sabiedrības līdzdalība projekta izstrādē</w:t>
            </w:r>
          </w:p>
        </w:tc>
        <w:tc>
          <w:tcPr>
            <w:tcW w:w="6057" w:type="dxa"/>
          </w:tcPr>
          <w:p w14:paraId="3949B3E3" w14:textId="017B8111" w:rsidR="00F92BEF" w:rsidRPr="00F92BEF" w:rsidRDefault="00DE6CB8" w:rsidP="00F92BEF">
            <w:pPr>
              <w:shd w:val="clear" w:color="auto" w:fill="FFFFFF"/>
              <w:spacing w:after="120" w:line="240" w:lineRule="auto"/>
              <w:ind w:left="57" w:right="113"/>
              <w:jc w:val="both"/>
              <w:rPr>
                <w:rFonts w:ascii="Times New Roman" w:hAnsi="Times New Roman"/>
                <w:kern w:val="24"/>
                <w:sz w:val="24"/>
                <w:szCs w:val="24"/>
                <w:highlight w:val="yellow"/>
              </w:rPr>
            </w:pPr>
            <w:bookmarkStart w:id="2" w:name="p62"/>
            <w:bookmarkEnd w:id="2"/>
            <w:r w:rsidRPr="00DE6CB8">
              <w:rPr>
                <w:rFonts w:ascii="Times New Roman" w:hAnsi="Times New Roman"/>
                <w:sz w:val="24"/>
                <w:szCs w:val="24"/>
              </w:rPr>
              <w:t>S</w:t>
            </w:r>
            <w:r w:rsidR="00C856E8">
              <w:rPr>
                <w:rFonts w:ascii="Times New Roman" w:hAnsi="Times New Roman"/>
                <w:sz w:val="24"/>
                <w:szCs w:val="24"/>
              </w:rPr>
              <w:t xml:space="preserve">abiedrība </w:t>
            </w:r>
            <w:r w:rsidR="00C16A8D">
              <w:rPr>
                <w:rFonts w:ascii="Times New Roman" w:hAnsi="Times New Roman"/>
                <w:sz w:val="24"/>
                <w:szCs w:val="24"/>
              </w:rPr>
              <w:t>Altum</w:t>
            </w:r>
            <w:r w:rsidRPr="00DE6CB8">
              <w:rPr>
                <w:rFonts w:ascii="Times New Roman" w:hAnsi="Times New Roman"/>
                <w:sz w:val="24"/>
                <w:szCs w:val="24"/>
              </w:rPr>
              <w:t xml:space="preserve"> ir veikusi intervijas ar komercbank</w:t>
            </w:r>
            <w:r w:rsidR="00A51256">
              <w:rPr>
                <w:rFonts w:ascii="Times New Roman" w:hAnsi="Times New Roman"/>
                <w:sz w:val="24"/>
                <w:szCs w:val="24"/>
              </w:rPr>
              <w:t>ām</w:t>
            </w:r>
            <w:r w:rsidRPr="00DE6CB8">
              <w:rPr>
                <w:rFonts w:ascii="Times New Roman" w:hAnsi="Times New Roman"/>
                <w:sz w:val="24"/>
                <w:szCs w:val="24"/>
              </w:rPr>
              <w:t>, riska kapitāla fondu un ESKO kompānijām</w:t>
            </w:r>
            <w:r w:rsidR="00C16A8D">
              <w:rPr>
                <w:rFonts w:ascii="Times New Roman" w:hAnsi="Times New Roman"/>
                <w:sz w:val="24"/>
                <w:szCs w:val="24"/>
              </w:rPr>
              <w:t>, noskaidrojot nepieciešamo atbalsta mehānismu.</w:t>
            </w:r>
          </w:p>
        </w:tc>
      </w:tr>
      <w:tr w:rsidR="00BA4B20" w:rsidRPr="000B5889" w14:paraId="2163B486" w14:textId="77777777" w:rsidTr="00BA7771">
        <w:trPr>
          <w:trHeight w:val="476"/>
        </w:trPr>
        <w:tc>
          <w:tcPr>
            <w:tcW w:w="425" w:type="dxa"/>
          </w:tcPr>
          <w:p w14:paraId="60D2B61C"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3.</w:t>
            </w:r>
          </w:p>
        </w:tc>
        <w:tc>
          <w:tcPr>
            <w:tcW w:w="3309" w:type="dxa"/>
          </w:tcPr>
          <w:p w14:paraId="0EA13FBE"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Sabiedrības līdzdalības rezultāti</w:t>
            </w:r>
          </w:p>
        </w:tc>
        <w:tc>
          <w:tcPr>
            <w:tcW w:w="6057" w:type="dxa"/>
          </w:tcPr>
          <w:p w14:paraId="5B172141" w14:textId="77777777" w:rsidR="00BA4B20" w:rsidRPr="000B5889" w:rsidRDefault="005E4F3F" w:rsidP="005E4F3F">
            <w:pPr>
              <w:shd w:val="clear" w:color="auto" w:fill="FFFFFF"/>
              <w:spacing w:after="120" w:line="240" w:lineRule="auto"/>
              <w:ind w:left="57" w:right="113"/>
              <w:jc w:val="both"/>
              <w:rPr>
                <w:rFonts w:ascii="Times New Roman" w:hAnsi="Times New Roman"/>
                <w:sz w:val="24"/>
                <w:szCs w:val="24"/>
              </w:rPr>
            </w:pPr>
            <w:r>
              <w:rPr>
                <w:rFonts w:ascii="Times New Roman" w:hAnsi="Times New Roman"/>
                <w:sz w:val="24"/>
                <w:szCs w:val="24"/>
              </w:rPr>
              <w:t>Izstrādāts MK n</w:t>
            </w:r>
            <w:r w:rsidR="00BA4B20" w:rsidRPr="000B5889">
              <w:rPr>
                <w:rFonts w:ascii="Times New Roman" w:hAnsi="Times New Roman"/>
                <w:sz w:val="24"/>
                <w:szCs w:val="24"/>
              </w:rPr>
              <w:t>oteikumu projekts izsludinā</w:t>
            </w:r>
            <w:r>
              <w:rPr>
                <w:rFonts w:ascii="Times New Roman" w:hAnsi="Times New Roman"/>
                <w:sz w:val="24"/>
                <w:szCs w:val="24"/>
              </w:rPr>
              <w:t xml:space="preserve">šanai </w:t>
            </w:r>
            <w:r w:rsidR="00BA4B20" w:rsidRPr="000B5889">
              <w:rPr>
                <w:rFonts w:ascii="Times New Roman" w:hAnsi="Times New Roman"/>
                <w:sz w:val="24"/>
                <w:szCs w:val="24"/>
              </w:rPr>
              <w:t>Valsts sekretāru sanāksmē. Saskaņošanas procesā ir iesaistīti sociālie, valsts, nevalstiskā sektora un reģionālie partneri.</w:t>
            </w:r>
          </w:p>
        </w:tc>
      </w:tr>
      <w:tr w:rsidR="00BA4B20" w:rsidRPr="000B5889" w14:paraId="30C33F55" w14:textId="77777777" w:rsidTr="00BA7771">
        <w:trPr>
          <w:trHeight w:val="205"/>
        </w:trPr>
        <w:tc>
          <w:tcPr>
            <w:tcW w:w="425" w:type="dxa"/>
          </w:tcPr>
          <w:p w14:paraId="09114077"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4.</w:t>
            </w:r>
          </w:p>
        </w:tc>
        <w:tc>
          <w:tcPr>
            <w:tcW w:w="3309" w:type="dxa"/>
          </w:tcPr>
          <w:p w14:paraId="75E2C927"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Cita informācija</w:t>
            </w:r>
          </w:p>
        </w:tc>
        <w:tc>
          <w:tcPr>
            <w:tcW w:w="6057" w:type="dxa"/>
          </w:tcPr>
          <w:p w14:paraId="184BD8A7" w14:textId="7A131767" w:rsidR="00BA4B20" w:rsidRPr="000B5889" w:rsidRDefault="00BA4B20" w:rsidP="000E2F9C">
            <w:pPr>
              <w:spacing w:line="240" w:lineRule="auto"/>
              <w:ind w:left="57" w:right="113"/>
              <w:jc w:val="both"/>
              <w:rPr>
                <w:rFonts w:ascii="Times New Roman" w:hAnsi="Times New Roman"/>
                <w:sz w:val="24"/>
                <w:szCs w:val="24"/>
              </w:rPr>
            </w:pPr>
            <w:r w:rsidRPr="000B5889">
              <w:rPr>
                <w:rFonts w:ascii="Times New Roman" w:hAnsi="Times New Roman"/>
                <w:sz w:val="24"/>
                <w:szCs w:val="24"/>
              </w:rPr>
              <w:t>Nav</w:t>
            </w:r>
          </w:p>
        </w:tc>
      </w:tr>
    </w:tbl>
    <w:p w14:paraId="4D61705A" w14:textId="77777777" w:rsidR="00BA4B20" w:rsidRPr="000B5889" w:rsidRDefault="00BA4B20" w:rsidP="000E2F9C">
      <w:pPr>
        <w:spacing w:line="240" w:lineRule="auto"/>
        <w:jc w:val="both"/>
        <w:rPr>
          <w:rFonts w:ascii="Times New Roman" w:hAnsi="Times New Roman"/>
          <w:sz w:val="24"/>
          <w:szCs w:val="24"/>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323"/>
        <w:gridCol w:w="6033"/>
      </w:tblGrid>
      <w:tr w:rsidR="00BA4B20" w:rsidRPr="000B5889" w14:paraId="1E204203" w14:textId="77777777" w:rsidTr="00BA7771">
        <w:trPr>
          <w:trHeight w:val="421"/>
        </w:trPr>
        <w:tc>
          <w:tcPr>
            <w:tcW w:w="9781" w:type="dxa"/>
            <w:gridSpan w:val="3"/>
            <w:vAlign w:val="center"/>
          </w:tcPr>
          <w:p w14:paraId="2E2009AF" w14:textId="77777777" w:rsidR="00BA4B20" w:rsidRPr="000B5889" w:rsidRDefault="00BA4B20" w:rsidP="000E2F9C">
            <w:pPr>
              <w:pStyle w:val="naisnod"/>
              <w:spacing w:before="0" w:beforeAutospacing="0" w:after="0" w:afterAutospacing="0"/>
              <w:ind w:left="57" w:right="57"/>
              <w:jc w:val="center"/>
            </w:pPr>
            <w:r w:rsidRPr="000B5889">
              <w:rPr>
                <w:b/>
              </w:rPr>
              <w:t>VII Tiesību akta projekta izpildes nodrošināšana un tās ietekme uz institūcijām</w:t>
            </w:r>
          </w:p>
        </w:tc>
      </w:tr>
      <w:tr w:rsidR="00BA4B20" w:rsidRPr="000B5889" w14:paraId="30B397E9" w14:textId="77777777" w:rsidTr="00BA7771">
        <w:trPr>
          <w:trHeight w:val="553"/>
        </w:trPr>
        <w:tc>
          <w:tcPr>
            <w:tcW w:w="425" w:type="dxa"/>
          </w:tcPr>
          <w:p w14:paraId="569132D9"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1.</w:t>
            </w:r>
          </w:p>
        </w:tc>
        <w:tc>
          <w:tcPr>
            <w:tcW w:w="3323" w:type="dxa"/>
          </w:tcPr>
          <w:p w14:paraId="1B588CCB"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Projekta izpildē iesaistītās institūcijas</w:t>
            </w:r>
          </w:p>
        </w:tc>
        <w:tc>
          <w:tcPr>
            <w:tcW w:w="6033" w:type="dxa"/>
          </w:tcPr>
          <w:p w14:paraId="2F1E190B" w14:textId="47556E30" w:rsidR="00BA4B20" w:rsidRPr="000B5889" w:rsidRDefault="00BA4B20" w:rsidP="000E2F9C">
            <w:pPr>
              <w:shd w:val="clear" w:color="auto" w:fill="FFFFFF"/>
              <w:spacing w:line="240" w:lineRule="auto"/>
              <w:ind w:left="57" w:right="113"/>
              <w:jc w:val="both"/>
              <w:rPr>
                <w:rFonts w:ascii="Times New Roman" w:hAnsi="Times New Roman"/>
                <w:sz w:val="24"/>
                <w:szCs w:val="24"/>
              </w:rPr>
            </w:pPr>
            <w:r w:rsidRPr="000B5889">
              <w:rPr>
                <w:rFonts w:ascii="Times New Roman" w:hAnsi="Times New Roman"/>
                <w:sz w:val="24"/>
                <w:szCs w:val="24"/>
              </w:rPr>
              <w:t>Ekonomikas ministrija, Centrālā finanšu un līgumu aģentūra.</w:t>
            </w:r>
          </w:p>
        </w:tc>
      </w:tr>
      <w:tr w:rsidR="00BA4B20" w:rsidRPr="000B5889" w14:paraId="494B7211" w14:textId="77777777" w:rsidTr="00BA7771">
        <w:trPr>
          <w:trHeight w:val="339"/>
        </w:trPr>
        <w:tc>
          <w:tcPr>
            <w:tcW w:w="425" w:type="dxa"/>
          </w:tcPr>
          <w:p w14:paraId="74D7821C"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2.</w:t>
            </w:r>
          </w:p>
        </w:tc>
        <w:tc>
          <w:tcPr>
            <w:tcW w:w="3323" w:type="dxa"/>
          </w:tcPr>
          <w:p w14:paraId="0AA75C6B"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 xml:space="preserve">Projekta izpildes ietekme uz pārvaldes funkcijām un institucionālo struktūru. </w:t>
            </w:r>
          </w:p>
          <w:p w14:paraId="51912C3E"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Jaunu institūciju izveide, esošu institūciju likvidācija vai reorganizācija, to ietekme uz institūcijas cilvēkresursiem</w:t>
            </w:r>
          </w:p>
        </w:tc>
        <w:tc>
          <w:tcPr>
            <w:tcW w:w="6033" w:type="dxa"/>
          </w:tcPr>
          <w:p w14:paraId="495B2947" w14:textId="77777777" w:rsidR="00BA4B20" w:rsidRPr="000B5889" w:rsidRDefault="00BA4B20" w:rsidP="000E2F9C">
            <w:pPr>
              <w:shd w:val="clear" w:color="auto" w:fill="FFFFFF"/>
              <w:spacing w:line="240" w:lineRule="auto"/>
              <w:ind w:left="57" w:right="113"/>
              <w:jc w:val="both"/>
              <w:rPr>
                <w:rFonts w:ascii="Times New Roman" w:hAnsi="Times New Roman"/>
                <w:kern w:val="24"/>
                <w:sz w:val="24"/>
                <w:szCs w:val="24"/>
              </w:rPr>
            </w:pPr>
            <w:r w:rsidRPr="000B5889">
              <w:rPr>
                <w:rFonts w:ascii="Times New Roman" w:hAnsi="Times New Roman"/>
                <w:sz w:val="24"/>
                <w:szCs w:val="24"/>
              </w:rPr>
              <w:t>Nav plānota jaunu institūciju izveide, esošu institūciju likvidācija vai reorga</w:t>
            </w:r>
            <w:r w:rsidRPr="000B5889">
              <w:rPr>
                <w:rFonts w:ascii="Times New Roman" w:hAnsi="Times New Roman"/>
                <w:sz w:val="24"/>
                <w:szCs w:val="24"/>
              </w:rPr>
              <w:softHyphen/>
              <w:t>nizācija.</w:t>
            </w:r>
          </w:p>
        </w:tc>
      </w:tr>
      <w:tr w:rsidR="00BA4B20" w:rsidRPr="000B5889" w14:paraId="763F30D6" w14:textId="77777777" w:rsidTr="00BA7771">
        <w:trPr>
          <w:trHeight w:val="476"/>
        </w:trPr>
        <w:tc>
          <w:tcPr>
            <w:tcW w:w="425" w:type="dxa"/>
          </w:tcPr>
          <w:p w14:paraId="6E63D7E1" w14:textId="77777777" w:rsidR="00BA4B20" w:rsidRPr="000B5889" w:rsidRDefault="00BA4B20" w:rsidP="000E2F9C">
            <w:pPr>
              <w:spacing w:line="240" w:lineRule="auto"/>
              <w:ind w:left="57" w:right="57"/>
              <w:jc w:val="both"/>
              <w:rPr>
                <w:rFonts w:ascii="Times New Roman" w:hAnsi="Times New Roman"/>
                <w:bCs/>
                <w:sz w:val="24"/>
                <w:szCs w:val="24"/>
              </w:rPr>
            </w:pPr>
            <w:r w:rsidRPr="000B5889">
              <w:rPr>
                <w:rFonts w:ascii="Times New Roman" w:hAnsi="Times New Roman"/>
                <w:bCs/>
                <w:sz w:val="24"/>
                <w:szCs w:val="24"/>
              </w:rPr>
              <w:t>3.</w:t>
            </w:r>
          </w:p>
        </w:tc>
        <w:tc>
          <w:tcPr>
            <w:tcW w:w="3323" w:type="dxa"/>
          </w:tcPr>
          <w:p w14:paraId="075DCD8D" w14:textId="77777777" w:rsidR="00BA4B20" w:rsidRPr="000B5889" w:rsidRDefault="00BA4B20" w:rsidP="000E2F9C">
            <w:pPr>
              <w:spacing w:line="240" w:lineRule="auto"/>
              <w:ind w:left="57" w:right="57"/>
              <w:rPr>
                <w:rFonts w:ascii="Times New Roman" w:hAnsi="Times New Roman"/>
                <w:sz w:val="24"/>
                <w:szCs w:val="24"/>
              </w:rPr>
            </w:pPr>
            <w:r w:rsidRPr="000B5889">
              <w:rPr>
                <w:rFonts w:ascii="Times New Roman" w:hAnsi="Times New Roman"/>
                <w:sz w:val="24"/>
                <w:szCs w:val="24"/>
              </w:rPr>
              <w:t>Cita informācija</w:t>
            </w:r>
          </w:p>
        </w:tc>
        <w:tc>
          <w:tcPr>
            <w:tcW w:w="6033" w:type="dxa"/>
          </w:tcPr>
          <w:p w14:paraId="34A3429C" w14:textId="337100C1" w:rsidR="00BA4B20" w:rsidRPr="000B5889" w:rsidRDefault="00BA4B20" w:rsidP="000E2F9C">
            <w:pPr>
              <w:shd w:val="clear" w:color="auto" w:fill="FFFFFF"/>
              <w:spacing w:line="240" w:lineRule="auto"/>
              <w:ind w:left="57" w:right="113"/>
              <w:jc w:val="both"/>
              <w:rPr>
                <w:rFonts w:ascii="Times New Roman" w:hAnsi="Times New Roman"/>
                <w:sz w:val="24"/>
                <w:szCs w:val="24"/>
              </w:rPr>
            </w:pPr>
            <w:r w:rsidRPr="000B5889">
              <w:rPr>
                <w:rFonts w:ascii="Times New Roman" w:hAnsi="Times New Roman"/>
                <w:sz w:val="24"/>
                <w:szCs w:val="24"/>
              </w:rPr>
              <w:t xml:space="preserve">Nav </w:t>
            </w:r>
          </w:p>
        </w:tc>
      </w:tr>
    </w:tbl>
    <w:p w14:paraId="71417D99" w14:textId="1136B360" w:rsidR="00865185" w:rsidRPr="00D859A3" w:rsidRDefault="00AC28A4" w:rsidP="000E2F9C">
      <w:pPr>
        <w:tabs>
          <w:tab w:val="left" w:pos="7655"/>
        </w:tabs>
        <w:spacing w:line="240" w:lineRule="auto"/>
        <w:jc w:val="both"/>
        <w:rPr>
          <w:rFonts w:ascii="Times New Roman" w:hAnsi="Times New Roman"/>
          <w:bCs/>
          <w:sz w:val="24"/>
          <w:szCs w:val="24"/>
        </w:rPr>
      </w:pPr>
      <w:r w:rsidRPr="000B5889">
        <w:rPr>
          <w:rFonts w:ascii="Times New Roman" w:hAnsi="Times New Roman"/>
          <w:sz w:val="24"/>
          <w:szCs w:val="24"/>
        </w:rPr>
        <w:t>Anotācijas IV sadaļa –</w:t>
      </w:r>
      <w:r w:rsidRPr="000B5889">
        <w:rPr>
          <w:rFonts w:ascii="Times New Roman" w:hAnsi="Times New Roman"/>
          <w:iCs/>
          <w:sz w:val="24"/>
          <w:szCs w:val="24"/>
        </w:rPr>
        <w:t>projekts šo jomu neskar.</w:t>
      </w:r>
    </w:p>
    <w:p w14:paraId="787C3A29" w14:textId="77777777" w:rsidR="00865185" w:rsidRPr="00D859A3" w:rsidRDefault="00865185" w:rsidP="000E2F9C">
      <w:pPr>
        <w:tabs>
          <w:tab w:val="right" w:pos="9071"/>
        </w:tabs>
        <w:spacing w:after="0" w:line="240" w:lineRule="auto"/>
        <w:ind w:left="-567"/>
        <w:jc w:val="both"/>
        <w:rPr>
          <w:rFonts w:ascii="Times New Roman" w:hAnsi="Times New Roman"/>
          <w:color w:val="000000"/>
          <w:sz w:val="24"/>
          <w:szCs w:val="24"/>
        </w:rPr>
      </w:pPr>
    </w:p>
    <w:p w14:paraId="5EF8F618" w14:textId="0B425911" w:rsidR="00DF5354" w:rsidRDefault="00DF5354" w:rsidP="000E2F9C">
      <w:pPr>
        <w:tabs>
          <w:tab w:val="right" w:pos="9071"/>
        </w:tabs>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E</w:t>
      </w:r>
      <w:r w:rsidR="00865185" w:rsidRPr="00D859A3">
        <w:rPr>
          <w:rFonts w:ascii="Times New Roman" w:hAnsi="Times New Roman"/>
          <w:color w:val="000000"/>
          <w:sz w:val="24"/>
          <w:szCs w:val="24"/>
        </w:rPr>
        <w:t>konomikas ministr</w:t>
      </w:r>
      <w:r>
        <w:rPr>
          <w:rFonts w:ascii="Times New Roman" w:hAnsi="Times New Roman"/>
          <w:color w:val="000000"/>
          <w:sz w:val="24"/>
          <w:szCs w:val="24"/>
        </w:rPr>
        <w:t>a vietā</w:t>
      </w:r>
    </w:p>
    <w:p w14:paraId="5B6EF367" w14:textId="6E6EC9F9" w:rsidR="00865185" w:rsidRPr="00D859A3" w:rsidRDefault="00DF5354" w:rsidP="000E2F9C">
      <w:pPr>
        <w:tabs>
          <w:tab w:val="right" w:pos="9071"/>
        </w:tabs>
        <w:spacing w:after="0" w:line="240" w:lineRule="auto"/>
        <w:ind w:left="-567"/>
        <w:jc w:val="both"/>
        <w:rPr>
          <w:rFonts w:ascii="Times New Roman" w:hAnsi="Times New Roman"/>
          <w:color w:val="000000"/>
          <w:sz w:val="24"/>
          <w:szCs w:val="24"/>
        </w:rPr>
      </w:pPr>
      <w:r w:rsidRPr="00DF5354">
        <w:rPr>
          <w:rFonts w:ascii="Times New Roman" w:hAnsi="Times New Roman"/>
          <w:color w:val="000000"/>
          <w:sz w:val="24"/>
          <w:szCs w:val="24"/>
        </w:rPr>
        <w:t xml:space="preserve">izglītības un zinātnes ministrs </w:t>
      </w:r>
      <w:r w:rsidR="00865185" w:rsidRPr="00D859A3">
        <w:rPr>
          <w:rFonts w:ascii="Times New Roman" w:hAnsi="Times New Roman"/>
          <w:color w:val="000000"/>
          <w:sz w:val="24"/>
          <w:szCs w:val="24"/>
        </w:rPr>
        <w:t xml:space="preserve"> </w:t>
      </w:r>
      <w:r w:rsidR="00865185" w:rsidRPr="00D859A3">
        <w:rPr>
          <w:rFonts w:ascii="Times New Roman" w:hAnsi="Times New Roman"/>
          <w:color w:val="000000"/>
          <w:sz w:val="24"/>
          <w:szCs w:val="24"/>
        </w:rPr>
        <w:tab/>
      </w:r>
      <w:r w:rsidRPr="00DF5354">
        <w:rPr>
          <w:rFonts w:ascii="Times New Roman" w:hAnsi="Times New Roman"/>
          <w:color w:val="000000"/>
          <w:sz w:val="24"/>
          <w:szCs w:val="24"/>
        </w:rPr>
        <w:t>K.Šadurskis</w:t>
      </w:r>
    </w:p>
    <w:p w14:paraId="4A7C91D5" w14:textId="77777777" w:rsidR="00865185" w:rsidRPr="00D859A3" w:rsidRDefault="00865185" w:rsidP="000E2F9C">
      <w:pPr>
        <w:keepLines/>
        <w:widowControl w:val="0"/>
        <w:tabs>
          <w:tab w:val="right" w:pos="9071"/>
        </w:tabs>
        <w:spacing w:after="0" w:line="240" w:lineRule="auto"/>
        <w:rPr>
          <w:rFonts w:ascii="Times New Roman" w:eastAsia="Times New Roman" w:hAnsi="Times New Roman"/>
          <w:color w:val="000000"/>
          <w:sz w:val="24"/>
          <w:szCs w:val="24"/>
          <w:lang w:eastAsia="lv-LV"/>
        </w:rPr>
      </w:pPr>
    </w:p>
    <w:p w14:paraId="4C5DADFA" w14:textId="77777777" w:rsidR="00DF5354" w:rsidRDefault="00865185" w:rsidP="000E2F9C">
      <w:pPr>
        <w:tabs>
          <w:tab w:val="right" w:pos="9071"/>
        </w:tabs>
        <w:spacing w:after="0" w:line="240" w:lineRule="auto"/>
        <w:ind w:left="-567"/>
        <w:jc w:val="both"/>
        <w:rPr>
          <w:rFonts w:ascii="Times New Roman" w:hAnsi="Times New Roman"/>
          <w:sz w:val="24"/>
          <w:szCs w:val="24"/>
        </w:rPr>
      </w:pPr>
      <w:r w:rsidRPr="00D859A3">
        <w:rPr>
          <w:rFonts w:ascii="Times New Roman" w:hAnsi="Times New Roman"/>
          <w:color w:val="000000"/>
          <w:sz w:val="24"/>
          <w:szCs w:val="24"/>
        </w:rPr>
        <w:t xml:space="preserve">Vīza: </w:t>
      </w:r>
      <w:r w:rsidRPr="00D859A3">
        <w:rPr>
          <w:rFonts w:ascii="Times New Roman" w:hAnsi="Times New Roman"/>
          <w:sz w:val="24"/>
          <w:szCs w:val="24"/>
        </w:rPr>
        <w:t>Valsts sekretār</w:t>
      </w:r>
      <w:r w:rsidR="00DF5354">
        <w:rPr>
          <w:rFonts w:ascii="Times New Roman" w:hAnsi="Times New Roman"/>
          <w:sz w:val="24"/>
          <w:szCs w:val="24"/>
        </w:rPr>
        <w:t>a vietā</w:t>
      </w:r>
    </w:p>
    <w:p w14:paraId="3F273A66" w14:textId="1D84BE38" w:rsidR="00865185" w:rsidRDefault="00DF5354" w:rsidP="000E2F9C">
      <w:pPr>
        <w:tabs>
          <w:tab w:val="right" w:pos="9071"/>
        </w:tabs>
        <w:spacing w:after="0" w:line="240" w:lineRule="auto"/>
        <w:ind w:left="-567"/>
        <w:jc w:val="both"/>
        <w:rPr>
          <w:rFonts w:ascii="Times New Roman" w:hAnsi="Times New Roman"/>
          <w:sz w:val="24"/>
          <w:szCs w:val="24"/>
        </w:rPr>
      </w:pPr>
      <w:r>
        <w:rPr>
          <w:rFonts w:ascii="Times New Roman" w:hAnsi="Times New Roman"/>
          <w:sz w:val="24"/>
          <w:szCs w:val="24"/>
        </w:rPr>
        <w:t>administrācijas vadītāja</w:t>
      </w:r>
      <w:r w:rsidR="00865185" w:rsidRPr="00D859A3">
        <w:rPr>
          <w:rFonts w:ascii="Times New Roman" w:hAnsi="Times New Roman"/>
          <w:color w:val="000000"/>
          <w:sz w:val="24"/>
          <w:szCs w:val="24"/>
        </w:rPr>
        <w:tab/>
      </w:r>
      <w:r>
        <w:rPr>
          <w:rFonts w:ascii="Times New Roman" w:hAnsi="Times New Roman"/>
          <w:sz w:val="24"/>
          <w:szCs w:val="24"/>
        </w:rPr>
        <w:t>I.Jaunzeme</w:t>
      </w:r>
    </w:p>
    <w:p w14:paraId="6FCFB965" w14:textId="77777777" w:rsidR="00DF5354" w:rsidRDefault="00DF5354" w:rsidP="000E2F9C">
      <w:pPr>
        <w:tabs>
          <w:tab w:val="right" w:pos="9071"/>
        </w:tabs>
        <w:spacing w:after="0" w:line="240" w:lineRule="auto"/>
        <w:ind w:left="-567"/>
        <w:jc w:val="both"/>
        <w:rPr>
          <w:rFonts w:ascii="Times New Roman" w:hAnsi="Times New Roman"/>
          <w:sz w:val="24"/>
          <w:szCs w:val="24"/>
        </w:rPr>
      </w:pPr>
    </w:p>
    <w:p w14:paraId="0BDD7725" w14:textId="6A7A3DE1" w:rsidR="00865185" w:rsidRPr="00FC5195" w:rsidRDefault="00C856E8" w:rsidP="000E2F9C">
      <w:pPr>
        <w:widowControl w:val="0"/>
        <w:tabs>
          <w:tab w:val="left" w:pos="2025"/>
        </w:tabs>
        <w:spacing w:after="0" w:line="240" w:lineRule="auto"/>
        <w:ind w:left="-567"/>
        <w:jc w:val="both"/>
        <w:rPr>
          <w:rFonts w:ascii="Times New Roman" w:eastAsia="Times New Roman" w:hAnsi="Times New Roman"/>
          <w:sz w:val="24"/>
          <w:szCs w:val="24"/>
        </w:rPr>
      </w:pPr>
      <w:r w:rsidRPr="00FC5195">
        <w:rPr>
          <w:rFonts w:ascii="Times New Roman" w:eastAsia="Times New Roman" w:hAnsi="Times New Roman"/>
          <w:sz w:val="24"/>
          <w:szCs w:val="24"/>
        </w:rPr>
        <w:t>Galinska</w:t>
      </w:r>
      <w:r w:rsidR="00AC28A4" w:rsidRPr="00AC28A4">
        <w:rPr>
          <w:rFonts w:ascii="Times New Roman" w:eastAsia="Times New Roman" w:hAnsi="Times New Roman"/>
          <w:sz w:val="24"/>
          <w:szCs w:val="24"/>
        </w:rPr>
        <w:t>, 67013147</w:t>
      </w:r>
      <w:r w:rsidR="00865185" w:rsidRPr="00FC5195">
        <w:rPr>
          <w:rFonts w:ascii="Times New Roman" w:eastAsia="Times New Roman" w:hAnsi="Times New Roman"/>
          <w:sz w:val="24"/>
          <w:szCs w:val="24"/>
        </w:rPr>
        <w:tab/>
      </w:r>
    </w:p>
    <w:p w14:paraId="4A308202" w14:textId="446DA535" w:rsidR="00865185" w:rsidRPr="00D859A3" w:rsidRDefault="00C856E8" w:rsidP="000E2F9C">
      <w:pPr>
        <w:widowControl w:val="0"/>
        <w:spacing w:after="0" w:line="240" w:lineRule="auto"/>
        <w:ind w:left="-567"/>
        <w:jc w:val="both"/>
        <w:rPr>
          <w:rFonts w:ascii="Times New Roman" w:hAnsi="Times New Roman"/>
          <w:sz w:val="20"/>
          <w:szCs w:val="20"/>
        </w:rPr>
      </w:pPr>
      <w:r w:rsidRPr="00FC5195">
        <w:rPr>
          <w:rFonts w:ascii="Times New Roman" w:eastAsia="Times New Roman" w:hAnsi="Times New Roman"/>
          <w:sz w:val="24"/>
          <w:szCs w:val="24"/>
        </w:rPr>
        <w:t>Zane.Galinska</w:t>
      </w:r>
      <w:r w:rsidR="00865185" w:rsidRPr="00FC5195">
        <w:rPr>
          <w:rFonts w:ascii="Times New Roman" w:eastAsia="Times New Roman" w:hAnsi="Times New Roman"/>
          <w:sz w:val="24"/>
          <w:szCs w:val="24"/>
        </w:rPr>
        <w:t>@em.gov.lv</w:t>
      </w:r>
      <w:r w:rsidR="00865185" w:rsidRPr="00D859A3">
        <w:rPr>
          <w:rFonts w:ascii="Times New Roman" w:hAnsi="Times New Roman"/>
          <w:sz w:val="20"/>
          <w:szCs w:val="20"/>
        </w:rPr>
        <w:tab/>
      </w:r>
    </w:p>
    <w:p w14:paraId="72F07193" w14:textId="77777777" w:rsidR="00865185" w:rsidRDefault="00865185" w:rsidP="000E2F9C">
      <w:pPr>
        <w:spacing w:line="240" w:lineRule="auto"/>
      </w:pPr>
    </w:p>
    <w:p w14:paraId="0D420B18" w14:textId="77777777" w:rsidR="000F72AE" w:rsidRDefault="000F72AE" w:rsidP="000E2F9C">
      <w:pPr>
        <w:spacing w:line="240" w:lineRule="auto"/>
      </w:pPr>
    </w:p>
    <w:sectPr w:rsidR="000F72AE" w:rsidSect="00F07D0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5926" w14:textId="77777777" w:rsidR="00E86413" w:rsidRDefault="00E86413">
      <w:pPr>
        <w:spacing w:after="0" w:line="240" w:lineRule="auto"/>
      </w:pPr>
      <w:r>
        <w:separator/>
      </w:r>
    </w:p>
  </w:endnote>
  <w:endnote w:type="continuationSeparator" w:id="0">
    <w:p w14:paraId="60A311D6" w14:textId="77777777" w:rsidR="00E86413" w:rsidRDefault="00E8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D622" w14:textId="0D6F7ED8" w:rsidR="001D2F55" w:rsidRPr="007563C2" w:rsidRDefault="001D2F55" w:rsidP="00BA4B20">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397564">
      <w:rPr>
        <w:rFonts w:ascii="Times New Roman" w:eastAsia="Times New Roman" w:hAnsi="Times New Roman"/>
        <w:noProof/>
        <w:sz w:val="20"/>
        <w:szCs w:val="20"/>
        <w:lang w:eastAsia="lv-LV"/>
      </w:rPr>
      <w:t>EMAnot_240717_ESKO.docx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8A6A" w14:textId="77D61F9C" w:rsidR="001D2F55" w:rsidRPr="002973CD" w:rsidRDefault="001D2F55" w:rsidP="00BA4B20">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397564">
      <w:rPr>
        <w:rFonts w:ascii="Times New Roman" w:eastAsia="Times New Roman" w:hAnsi="Times New Roman"/>
        <w:noProof/>
        <w:sz w:val="20"/>
        <w:szCs w:val="20"/>
        <w:lang w:eastAsia="lv-LV"/>
      </w:rPr>
      <w:t>EMAnot_240717_ESKO.docx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113D" w14:textId="77777777" w:rsidR="00E86413" w:rsidRDefault="00E86413">
      <w:pPr>
        <w:spacing w:after="0" w:line="240" w:lineRule="auto"/>
      </w:pPr>
      <w:r>
        <w:separator/>
      </w:r>
    </w:p>
  </w:footnote>
  <w:footnote w:type="continuationSeparator" w:id="0">
    <w:p w14:paraId="25EAADE3" w14:textId="77777777" w:rsidR="00E86413" w:rsidRDefault="00E8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3151" w14:textId="19C72D3C" w:rsidR="001D2F55" w:rsidRPr="00370273" w:rsidRDefault="001D2F55">
    <w:pPr>
      <w:pStyle w:val="Header"/>
      <w:jc w:val="center"/>
      <w:rPr>
        <w:rFonts w:ascii="Times New Roman" w:hAnsi="Times New Roman"/>
      </w:rPr>
    </w:pPr>
    <w:r w:rsidRPr="00370273">
      <w:rPr>
        <w:rFonts w:ascii="Times New Roman" w:hAnsi="Times New Roman"/>
      </w:rPr>
      <w:fldChar w:fldCharType="begin"/>
    </w:r>
    <w:r w:rsidRPr="00370273">
      <w:rPr>
        <w:rFonts w:ascii="Times New Roman" w:hAnsi="Times New Roman"/>
      </w:rPr>
      <w:instrText xml:space="preserve"> PAGE   \* MERGEFORMAT </w:instrText>
    </w:r>
    <w:r w:rsidRPr="00370273">
      <w:rPr>
        <w:rFonts w:ascii="Times New Roman" w:hAnsi="Times New Roman"/>
      </w:rPr>
      <w:fldChar w:fldCharType="separate"/>
    </w:r>
    <w:r w:rsidR="00282482">
      <w:rPr>
        <w:rFonts w:ascii="Times New Roman" w:hAnsi="Times New Roman"/>
        <w:noProof/>
      </w:rPr>
      <w:t>2</w:t>
    </w:r>
    <w:r w:rsidRPr="00370273">
      <w:rPr>
        <w:rFonts w:ascii="Times New Roman" w:hAnsi="Times New Roman"/>
        <w:noProof/>
      </w:rPr>
      <w:fldChar w:fldCharType="end"/>
    </w:r>
  </w:p>
  <w:p w14:paraId="3231BB48" w14:textId="77777777" w:rsidR="001D2F55" w:rsidRDefault="001D2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25"/>
    <w:multiLevelType w:val="hybridMultilevel"/>
    <w:tmpl w:val="10389AFA"/>
    <w:lvl w:ilvl="0" w:tplc="33DAC18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3781AA4"/>
    <w:multiLevelType w:val="hybridMultilevel"/>
    <w:tmpl w:val="114CD64E"/>
    <w:lvl w:ilvl="0" w:tplc="C7800F3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D737D58"/>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5474CA"/>
    <w:multiLevelType w:val="hybridMultilevel"/>
    <w:tmpl w:val="C6CE4754"/>
    <w:lvl w:ilvl="0" w:tplc="33DAC180">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710464CD"/>
    <w:multiLevelType w:val="hybridMultilevel"/>
    <w:tmpl w:val="56206500"/>
    <w:lvl w:ilvl="0" w:tplc="BAD65208">
      <w:start w:val="1"/>
      <w:numFmt w:val="decimal"/>
      <w:lvlText w:val="%1)"/>
      <w:lvlJc w:val="left"/>
      <w:pPr>
        <w:ind w:left="732" w:hanging="360"/>
      </w:pPr>
      <w:rPr>
        <w:rFonts w:hint="default"/>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11"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8"/>
  </w:num>
  <w:num w:numId="5">
    <w:abstractNumId w:val="3"/>
  </w:num>
  <w:num w:numId="6">
    <w:abstractNumId w:val="9"/>
  </w:num>
  <w:num w:numId="7">
    <w:abstractNumId w:val="0"/>
  </w:num>
  <w:num w:numId="8">
    <w:abstractNumId w:val="10"/>
  </w:num>
  <w:num w:numId="9">
    <w:abstractNumId w:val="2"/>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85"/>
    <w:rsid w:val="000034F3"/>
    <w:rsid w:val="00013A8D"/>
    <w:rsid w:val="0001505B"/>
    <w:rsid w:val="00017A8D"/>
    <w:rsid w:val="00064075"/>
    <w:rsid w:val="00091AEB"/>
    <w:rsid w:val="00093F9B"/>
    <w:rsid w:val="000A0D15"/>
    <w:rsid w:val="000B5889"/>
    <w:rsid w:val="000D3244"/>
    <w:rsid w:val="000D3BCD"/>
    <w:rsid w:val="000E2F9C"/>
    <w:rsid w:val="000F1BC0"/>
    <w:rsid w:val="000F72AE"/>
    <w:rsid w:val="000F7353"/>
    <w:rsid w:val="00100079"/>
    <w:rsid w:val="00105787"/>
    <w:rsid w:val="0011466B"/>
    <w:rsid w:val="00137E50"/>
    <w:rsid w:val="00146480"/>
    <w:rsid w:val="00152C2C"/>
    <w:rsid w:val="001616A3"/>
    <w:rsid w:val="001641E8"/>
    <w:rsid w:val="00184915"/>
    <w:rsid w:val="0018632D"/>
    <w:rsid w:val="001914C9"/>
    <w:rsid w:val="001937FF"/>
    <w:rsid w:val="001A2D8A"/>
    <w:rsid w:val="001A6C45"/>
    <w:rsid w:val="001B1946"/>
    <w:rsid w:val="001C0982"/>
    <w:rsid w:val="001C512F"/>
    <w:rsid w:val="001D2F55"/>
    <w:rsid w:val="001D3F09"/>
    <w:rsid w:val="001E549F"/>
    <w:rsid w:val="00206B5D"/>
    <w:rsid w:val="0021286C"/>
    <w:rsid w:val="00223D14"/>
    <w:rsid w:val="00243235"/>
    <w:rsid w:val="00256500"/>
    <w:rsid w:val="002571BB"/>
    <w:rsid w:val="00271BC2"/>
    <w:rsid w:val="00276B3C"/>
    <w:rsid w:val="00282482"/>
    <w:rsid w:val="0028288C"/>
    <w:rsid w:val="00283B7F"/>
    <w:rsid w:val="00284E43"/>
    <w:rsid w:val="00293B28"/>
    <w:rsid w:val="002A7C12"/>
    <w:rsid w:val="002B162E"/>
    <w:rsid w:val="002C5024"/>
    <w:rsid w:val="002D22D1"/>
    <w:rsid w:val="002F26A5"/>
    <w:rsid w:val="002F38E8"/>
    <w:rsid w:val="002F61F3"/>
    <w:rsid w:val="00300F26"/>
    <w:rsid w:val="003130DA"/>
    <w:rsid w:val="0032623D"/>
    <w:rsid w:val="003269F1"/>
    <w:rsid w:val="00345125"/>
    <w:rsid w:val="00362041"/>
    <w:rsid w:val="003658BE"/>
    <w:rsid w:val="00397564"/>
    <w:rsid w:val="003A33C8"/>
    <w:rsid w:val="003C25D2"/>
    <w:rsid w:val="003E6546"/>
    <w:rsid w:val="003F41A0"/>
    <w:rsid w:val="003F5E9F"/>
    <w:rsid w:val="00414325"/>
    <w:rsid w:val="0041673E"/>
    <w:rsid w:val="00434720"/>
    <w:rsid w:val="00462E63"/>
    <w:rsid w:val="00470C88"/>
    <w:rsid w:val="004857CE"/>
    <w:rsid w:val="004A1310"/>
    <w:rsid w:val="004E1DBC"/>
    <w:rsid w:val="004E5B25"/>
    <w:rsid w:val="004F61B1"/>
    <w:rsid w:val="00501A8C"/>
    <w:rsid w:val="00536B37"/>
    <w:rsid w:val="0053760F"/>
    <w:rsid w:val="00541910"/>
    <w:rsid w:val="00560CCB"/>
    <w:rsid w:val="005A096D"/>
    <w:rsid w:val="005B5DFD"/>
    <w:rsid w:val="005B614D"/>
    <w:rsid w:val="005E4F3F"/>
    <w:rsid w:val="00613EAF"/>
    <w:rsid w:val="0066620E"/>
    <w:rsid w:val="00667A2C"/>
    <w:rsid w:val="006821FD"/>
    <w:rsid w:val="00686244"/>
    <w:rsid w:val="006862D0"/>
    <w:rsid w:val="00695D46"/>
    <w:rsid w:val="006A52F6"/>
    <w:rsid w:val="006A6C36"/>
    <w:rsid w:val="006B06F2"/>
    <w:rsid w:val="006B2223"/>
    <w:rsid w:val="006D37F6"/>
    <w:rsid w:val="006E2597"/>
    <w:rsid w:val="006E308C"/>
    <w:rsid w:val="006F492F"/>
    <w:rsid w:val="00727708"/>
    <w:rsid w:val="007B42BF"/>
    <w:rsid w:val="007C4FA5"/>
    <w:rsid w:val="007F1A9A"/>
    <w:rsid w:val="007F3D4B"/>
    <w:rsid w:val="00811CB5"/>
    <w:rsid w:val="008342E3"/>
    <w:rsid w:val="008351A3"/>
    <w:rsid w:val="00842416"/>
    <w:rsid w:val="00843898"/>
    <w:rsid w:val="00856103"/>
    <w:rsid w:val="00865185"/>
    <w:rsid w:val="00873E70"/>
    <w:rsid w:val="00875408"/>
    <w:rsid w:val="00881C3B"/>
    <w:rsid w:val="00881FDB"/>
    <w:rsid w:val="008B6795"/>
    <w:rsid w:val="008C1F0F"/>
    <w:rsid w:val="008D1C20"/>
    <w:rsid w:val="008D7E13"/>
    <w:rsid w:val="008E059F"/>
    <w:rsid w:val="008F34D9"/>
    <w:rsid w:val="008F4161"/>
    <w:rsid w:val="008F5FCD"/>
    <w:rsid w:val="0092376D"/>
    <w:rsid w:val="009267DA"/>
    <w:rsid w:val="00931270"/>
    <w:rsid w:val="009412CE"/>
    <w:rsid w:val="009437C6"/>
    <w:rsid w:val="00965CE6"/>
    <w:rsid w:val="009769B8"/>
    <w:rsid w:val="00976CC7"/>
    <w:rsid w:val="00993E79"/>
    <w:rsid w:val="009955FC"/>
    <w:rsid w:val="009A2BBA"/>
    <w:rsid w:val="009A3B64"/>
    <w:rsid w:val="009A626A"/>
    <w:rsid w:val="009C2B9C"/>
    <w:rsid w:val="009C67DC"/>
    <w:rsid w:val="009E123F"/>
    <w:rsid w:val="009E20E6"/>
    <w:rsid w:val="00A231DA"/>
    <w:rsid w:val="00A30B66"/>
    <w:rsid w:val="00A346C7"/>
    <w:rsid w:val="00A35B19"/>
    <w:rsid w:val="00A400E2"/>
    <w:rsid w:val="00A44386"/>
    <w:rsid w:val="00A50197"/>
    <w:rsid w:val="00A503C7"/>
    <w:rsid w:val="00A51256"/>
    <w:rsid w:val="00A65C89"/>
    <w:rsid w:val="00A70BBB"/>
    <w:rsid w:val="00A85162"/>
    <w:rsid w:val="00A907F1"/>
    <w:rsid w:val="00A96642"/>
    <w:rsid w:val="00AB7C7C"/>
    <w:rsid w:val="00AC28A4"/>
    <w:rsid w:val="00AE6169"/>
    <w:rsid w:val="00B259AE"/>
    <w:rsid w:val="00B31F27"/>
    <w:rsid w:val="00B470CC"/>
    <w:rsid w:val="00B472DB"/>
    <w:rsid w:val="00B54FF0"/>
    <w:rsid w:val="00B66E46"/>
    <w:rsid w:val="00B71CF4"/>
    <w:rsid w:val="00B84535"/>
    <w:rsid w:val="00BA4B20"/>
    <w:rsid w:val="00BA64FE"/>
    <w:rsid w:val="00BA7771"/>
    <w:rsid w:val="00BC6C3B"/>
    <w:rsid w:val="00BF2F65"/>
    <w:rsid w:val="00C16A8D"/>
    <w:rsid w:val="00C32AA9"/>
    <w:rsid w:val="00C336C9"/>
    <w:rsid w:val="00C336E8"/>
    <w:rsid w:val="00C43D96"/>
    <w:rsid w:val="00C523C7"/>
    <w:rsid w:val="00C53F97"/>
    <w:rsid w:val="00C63D4E"/>
    <w:rsid w:val="00C6484B"/>
    <w:rsid w:val="00C856E8"/>
    <w:rsid w:val="00C95220"/>
    <w:rsid w:val="00C95F83"/>
    <w:rsid w:val="00CA119C"/>
    <w:rsid w:val="00CA1EFD"/>
    <w:rsid w:val="00CA4977"/>
    <w:rsid w:val="00CB3212"/>
    <w:rsid w:val="00CC1528"/>
    <w:rsid w:val="00CC6BA4"/>
    <w:rsid w:val="00CE0870"/>
    <w:rsid w:val="00CE322B"/>
    <w:rsid w:val="00D2468C"/>
    <w:rsid w:val="00D262AE"/>
    <w:rsid w:val="00D301EE"/>
    <w:rsid w:val="00D766B2"/>
    <w:rsid w:val="00D82F39"/>
    <w:rsid w:val="00D92B50"/>
    <w:rsid w:val="00D96047"/>
    <w:rsid w:val="00DA662E"/>
    <w:rsid w:val="00DB2128"/>
    <w:rsid w:val="00DB3F49"/>
    <w:rsid w:val="00DC2A34"/>
    <w:rsid w:val="00DC6D99"/>
    <w:rsid w:val="00DD27F3"/>
    <w:rsid w:val="00DD3193"/>
    <w:rsid w:val="00DE6CB8"/>
    <w:rsid w:val="00DF5354"/>
    <w:rsid w:val="00E17DF1"/>
    <w:rsid w:val="00E21122"/>
    <w:rsid w:val="00E33E85"/>
    <w:rsid w:val="00E40B35"/>
    <w:rsid w:val="00E57641"/>
    <w:rsid w:val="00E63732"/>
    <w:rsid w:val="00E6721D"/>
    <w:rsid w:val="00E81B11"/>
    <w:rsid w:val="00E85D49"/>
    <w:rsid w:val="00E86413"/>
    <w:rsid w:val="00E96708"/>
    <w:rsid w:val="00E9772A"/>
    <w:rsid w:val="00EB161A"/>
    <w:rsid w:val="00EB1991"/>
    <w:rsid w:val="00EB6C27"/>
    <w:rsid w:val="00EC60A1"/>
    <w:rsid w:val="00ED0F98"/>
    <w:rsid w:val="00EF3D08"/>
    <w:rsid w:val="00EF4E4B"/>
    <w:rsid w:val="00F07D03"/>
    <w:rsid w:val="00F24A86"/>
    <w:rsid w:val="00F36727"/>
    <w:rsid w:val="00F52ED3"/>
    <w:rsid w:val="00F60722"/>
    <w:rsid w:val="00F847A4"/>
    <w:rsid w:val="00F84B0A"/>
    <w:rsid w:val="00F90DAE"/>
    <w:rsid w:val="00F92BEF"/>
    <w:rsid w:val="00FC51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2576"/>
  <w15:docId w15:val="{0F597C0D-3140-4AC1-98A7-A4A5A241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51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85"/>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865185"/>
    <w:rPr>
      <w:rFonts w:ascii="Calibri" w:eastAsia="Calibri" w:hAnsi="Calibri" w:cs="Times New Roman"/>
      <w:sz w:val="20"/>
      <w:szCs w:val="20"/>
      <w:lang w:val="x-none" w:eastAsia="x-none"/>
    </w:rPr>
  </w:style>
  <w:style w:type="paragraph" w:styleId="ListParagraph">
    <w:name w:val="List Paragraph"/>
    <w:aliases w:val="2,Strip,H&amp;P List Paragraph"/>
    <w:basedOn w:val="Normal"/>
    <w:link w:val="ListParagraphChar"/>
    <w:uiPriority w:val="34"/>
    <w:qFormat/>
    <w:rsid w:val="00865185"/>
    <w:pPr>
      <w:ind w:left="720"/>
      <w:contextualSpacing/>
    </w:pPr>
    <w:rPr>
      <w:sz w:val="20"/>
      <w:szCs w:val="20"/>
      <w:lang w:val="x-none" w:eastAsia="x-none"/>
    </w:rPr>
  </w:style>
  <w:style w:type="character" w:customStyle="1" w:styleId="ListParagraphChar">
    <w:name w:val="List Paragraph Char"/>
    <w:aliases w:val="2 Char,Strip Char,H&amp;P List Paragraph Char"/>
    <w:link w:val="ListParagraph"/>
    <w:uiPriority w:val="34"/>
    <w:locked/>
    <w:rsid w:val="0086518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AB7C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7C7C"/>
    <w:rPr>
      <w:rFonts w:ascii="Calibri" w:eastAsia="Calibri" w:hAnsi="Calibri" w:cs="Times New Roman"/>
    </w:rPr>
  </w:style>
  <w:style w:type="paragraph" w:styleId="BalloonText">
    <w:name w:val="Balloon Text"/>
    <w:basedOn w:val="Normal"/>
    <w:link w:val="BalloonTextChar"/>
    <w:uiPriority w:val="99"/>
    <w:semiHidden/>
    <w:unhideWhenUsed/>
    <w:rsid w:val="00ED0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98"/>
    <w:rPr>
      <w:rFonts w:ascii="Segoe UI" w:eastAsia="Calibri" w:hAnsi="Segoe UI" w:cs="Segoe UI"/>
      <w:sz w:val="18"/>
      <w:szCs w:val="18"/>
    </w:rPr>
  </w:style>
  <w:style w:type="paragraph" w:customStyle="1" w:styleId="naiskr">
    <w:name w:val="naiskr"/>
    <w:basedOn w:val="Normal"/>
    <w:rsid w:val="00BA4B2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BA4B20"/>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F847A4"/>
    <w:rPr>
      <w:sz w:val="16"/>
      <w:szCs w:val="16"/>
    </w:rPr>
  </w:style>
  <w:style w:type="paragraph" w:styleId="CommentText">
    <w:name w:val="annotation text"/>
    <w:basedOn w:val="Normal"/>
    <w:link w:val="CommentTextChar"/>
    <w:uiPriority w:val="99"/>
    <w:semiHidden/>
    <w:unhideWhenUsed/>
    <w:rsid w:val="00F847A4"/>
    <w:pPr>
      <w:spacing w:line="240" w:lineRule="auto"/>
    </w:pPr>
    <w:rPr>
      <w:sz w:val="20"/>
      <w:szCs w:val="20"/>
    </w:rPr>
  </w:style>
  <w:style w:type="character" w:customStyle="1" w:styleId="CommentTextChar">
    <w:name w:val="Comment Text Char"/>
    <w:basedOn w:val="DefaultParagraphFont"/>
    <w:link w:val="CommentText"/>
    <w:uiPriority w:val="99"/>
    <w:semiHidden/>
    <w:rsid w:val="00F847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47A4"/>
    <w:rPr>
      <w:b/>
      <w:bCs/>
    </w:rPr>
  </w:style>
  <w:style w:type="character" w:customStyle="1" w:styleId="CommentSubjectChar">
    <w:name w:val="Comment Subject Char"/>
    <w:basedOn w:val="CommentTextChar"/>
    <w:link w:val="CommentSubject"/>
    <w:uiPriority w:val="99"/>
    <w:semiHidden/>
    <w:rsid w:val="00F847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16319</Words>
  <Characters>9302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15.septembra noteikumos Nr.1065 „Noteikumi par aizdevumiem sīko (mikro), mazo un vidējo saimnieciskās darbības veicēju un lauksaimniecības pakalpojumu kooperatīvo sabiedrību attīs</vt:lpstr>
    </vt:vector>
  </TitlesOfParts>
  <Company>Altum</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ziņojums (anotācija)</dc:title>
  <dc:subject>Anotācija</dc:subject>
  <dc:creator>Anda Lagzdiņa</dc:creator>
  <dc:description>Anda.Lagzdina@em.gov.lv, tālr. 67013161</dc:description>
  <cp:lastModifiedBy>Daiga Burkevice</cp:lastModifiedBy>
  <cp:revision>2</cp:revision>
  <cp:lastPrinted>2017-05-30T13:17:00Z</cp:lastPrinted>
  <dcterms:created xsi:type="dcterms:W3CDTF">2017-07-25T07:25:00Z</dcterms:created>
  <dcterms:modified xsi:type="dcterms:W3CDTF">2017-07-25T07:25:00Z</dcterms:modified>
  <cp:contentStatus/>
</cp:coreProperties>
</file>